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Body weight quartile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Q1 </w:t>
            </w:r>
            \line 
            <w:r>
              <w:rPr>
                <w:rFonts w:ascii="Calibri" w:hAnsi="Calibri"/>
                <w:sz w:val="20"/>
              </w:rPr>
              <w:t xml:space="preserve">(n=35)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Q2 </w:t>
            </w:r>
            \line 
            <w:r>
              <w:rPr>
                <w:rFonts w:ascii="Calibri" w:hAnsi="Calibri"/>
                <w:sz w:val="20"/>
              </w:rPr>
              <w:t xml:space="preserve">(n=35)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Q3 </w:t>
            </w:r>
            \line 
            <w:r>
              <w:rPr>
                <w:rFonts w:ascii="Calibri" w:hAnsi="Calibri"/>
                <w:sz w:val="20"/>
              </w:rPr>
              <w:t xml:space="preserve">(n=35)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Q4 </w:t>
            </w:r>
            \line 
            <w:r>
              <w:rPr>
                <w:rFonts w:ascii="Calibri" w:hAnsi="Calibri"/>
                <w:sz w:val="20"/>
              </w:rPr>
              <w:t xml:space="preserve">(n=35)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AUC,ss (mg*hr/L)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GeoMean (GeoSD)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9.27 (1.38)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8.11 (1.43)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7.12 (1.43)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6.31 (1.53)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9.35 (4.36, 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7.41 (4.32, 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6.91 (4.00, 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6.62 (2.72, 14.7)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Cmax,ss (ng/mL)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GeoMean (GeoSD)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668 (1.29)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550 (1.31)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 (1.34)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(1.39)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668 (343, 1140)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537 (366, 1070)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 (323, 963)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419 (220, 765)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Cmin,ss (ng/mL)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GeoMean (GeoSD)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227 (1.54)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(1.75)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(76.8, 522)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(82.6, 706)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(81.4, 540)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(48.5, 496)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Weight (kg)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</w:t>
            </w:r>
          </w:p>
        </w:tc>
      </w:tr>
    </w:tbl>
    <w:p>
      <w:pPr>
        <w:pStyle w:val="FirstParagraph"/>
      </w:pPr>
      <w:r>
        <w:t xml:space="preserve"/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Q1-Q4: first through fourth quantiles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AUC,ss: steady-state area under the concentration-time curve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Cmax,ss: steady-state maximum concentration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Cmin,ss: steady-state minimum concentration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GeoMean: geometric mean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GeoSD: geometric standard deviation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code: scripts/pk-ebe-simulate.R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file: results/table/106/106-ebe-wtq.docx</w:t>
      </w:r>
    </w:p>
    <w:sectPr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2024-12-19T15:11:47Z</dcterms:created>
  <dcterms:modified xsi:type="dcterms:W3CDTF">2024-12-19T10:11:47Z</dcterms:modified>
  <cp:lastModifiedBy>kylem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