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Backend Schema Reference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SIH26106 — JAALBHEDI (AI-Powered Email Threat Detection and Forensic Intelligence)</w:t>
      </w:r>
    </w:p>
    <w:p>
      <w:pPr>
        <w:spacing w:after="120"/>
      </w:pPr>
      <w:r>
        <w:rPr>
          <w:i/>
          <w:iCs/>
          <w:color w:val="555555"/>
        </w:rPr>
        <w:t xml:space="preserve">A plain-language reference of the database structure and API, including the four new modules that close the official Problem Statement's gaps. Every technical term is explained the first time it appears.</w:t>
      </w:r>
    </w:p>
    <w:p>
      <w:pPr>
        <w:pStyle w:val="Heading1"/>
        <w:spacing w:after="150" w:before="300"/>
      </w:pPr>
      <w:r>
        <w:t xml:space="preserve">0. What is a "schema"?</w:t>
      </w:r>
    </w:p>
    <w:p>
      <w:pPr>
        <w:spacing w:after="120"/>
      </w:pPr>
      <w:r>
        <w:t xml:space="preserve">A schema is the blueprint of how data is organized — like the column headers of a spreadsheet, before any rows are filled in. The database technology used is SQLite (a lightweight, single-file database) managed through SQLAlchemy (a Python library for reading/writing it using normal code objects).</w:t>
      </w:r>
    </w:p>
    <w:p>
      <w:pPr>
        <w:spacing w:after="120"/>
      </w:pPr>
      <w:r>
        <w:t xml:space="preserve">This document is organized into two parts: (1) the core database tables — unchanged from the original build — and (2) the four new intelligence/safety modules added to close gaps identified in the official Problem Statement.</w:t>
      </w:r>
    </w:p>
    <w:p>
      <w:pPr>
        <w:pStyle w:val="Heading1"/>
        <w:spacing w:after="150" w:before="300"/>
      </w:pPr>
      <w:r>
        <w:t xml:space="preserve">1. Core Database Tables (Summary)</w:t>
      </w:r>
    </w:p>
    <w:p>
      <w:pPr>
        <w:spacing w:after="120"/>
      </w:pPr>
      <w:r>
        <w:t xml:space="preserve">Full field-by-field detail for these ten tables is unchanged from the original Backend Schema document; summarized here for completeness.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15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Case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investigation; status, analyst, notes, conclusion.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uploaded email's SHA-256 fingerprint and encrypted storage location — the legal chain-of-custody record.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parsed subject, sender, reply-to, and body of one email.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HeaderHop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relay server the email passed through, and its trust level.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Indicator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suspicious signal found (lookalike domain, urgency language, etc.).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MLResult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AI model's verdict for one email, including which device (CPU/GPU) ran it.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IPIntel / DomainIntel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Looked-up geolocation and registration info, reused across emails.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GraphEdge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connection between two pieces of evidence, for campaign correlation.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AuditEvent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timestamped, permanent log of every significant action — the accountability trail.</w:t>
            </w:r>
          </w:p>
        </w:tc>
      </w:tr>
    </w:tbl>
    <w:p>
      <w:pPr>
        <w:pStyle w:val="Heading1"/>
        <w:spacing w:after="150" w:before="300"/>
      </w:pPr>
      <w:r>
        <w:t xml:space="preserve">2. New Modules — Gap-Closing Additions</w:t>
      </w:r>
    </w:p>
    <w:p>
      <w:pPr>
        <w:spacing w:after="120"/>
      </w:pPr>
      <w:r>
        <w:t xml:space="preserve">These four modules were added after comparing the official Problem Statement's exact wording against the original build. They are not SQLAlchemy database tables — they are stateless Python functions that read from small local data files or environment-variable configuration, and their results feed into the existing scoring/reporting pipeline.</w:t>
      </w:r>
    </w:p>
    <w:p>
      <w:pPr>
        <w:pStyle w:val="Heading2"/>
        <w:spacing w:after="100" w:before="200"/>
      </w:pPr>
      <w:r>
        <w:t xml:space="preserve">Module: backend/intelligence/threat_intel.py</w:t>
      </w:r>
    </w:p>
    <w:p>
      <w:pPr>
        <w:spacing w:after="120"/>
      </w:pPr>
      <w:r>
        <w:rPr>
          <w:i/>
          <w:iCs/>
          <w:color w:val="555555"/>
        </w:rPr>
        <w:t xml:space="preserve">Correlates extracted domains/IPs against a local blacklist file (data/threat_intel/blacklist.json).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50"/>
      </w:tblGrid>
      <w:tr>
        <w:tc>
          <w:tcPr>
            <w:tcW w:type="dxa" w:w="26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 / field</w:t>
            </w:r>
          </w:p>
        </w:tc>
        <w:tc>
          <w:tcPr>
            <w:tcW w:type="dxa" w:w="14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5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Plain-language meaning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check_domain(domain)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Looks up one domain; returns a BlacklistMatch object.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check_ip(ip)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Looks up one IP address; returns a BlacklistMatch object.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check_indicators(domains, ips)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Batch version — checks a whole list at once, returns only the matches.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BlacklistMatch.matched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True/False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Whether this indicator was found on the list.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BlacklistMatch.category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 kind of threat, e.g. "phishing", "malware_c2".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BlacklistMatch.list_name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Which blacklist source the match came from (for auditability).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Module: backend/intelligence/anonymization.py</w:t>
      </w:r>
    </w:p>
    <w:p>
      <w:pPr>
        <w:spacing w:after="120"/>
      </w:pPr>
      <w:r>
        <w:rPr>
          <w:i/>
          <w:iCs/>
          <w:color w:val="555555"/>
        </w:rPr>
        <w:t xml:space="preserve">Flags IPs that look like Tor exit nodes, known VPN providers, or abuse-tolerant ("bulletproof") hosting.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50"/>
      </w:tblGrid>
      <w:tr>
        <w:tc>
          <w:tcPr>
            <w:tcW w:type="dxa" w:w="26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 / field</w:t>
            </w:r>
          </w:p>
        </w:tc>
        <w:tc>
          <w:tcPr>
            <w:tcW w:type="dxa" w:w="14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5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Plain-language meaning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assess_ip(ip, isp, asn)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Checks one IP against the Tor exit-node list and VPN/hosting keyword lists; returns an AnonymizationAssessment.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assess_hops(hops)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 assess_ip() across every hop in an email's delivery chain.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is_tor_exit_node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True/False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Matched the local Tor exit-node sample list.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is_known_vpn_provider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True/False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IP's ISP name matched a known VPN-provider keyword.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is_suspected_bulletproof_hosting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True/False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IP's ISP name matched an abuse-tolerant-hosting keyword.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confidence / caveat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Always capped at Medium or lower, with an explicit note that this is a heuristic, offline match — not an authoritative live feed.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Module: backend/alerting/webhook.py</w:t>
      </w:r>
    </w:p>
    <w:p>
      <w:pPr>
        <w:spacing w:after="120"/>
      </w:pPr>
      <w:r>
        <w:rPr>
          <w:i/>
          <w:iCs/>
          <w:color w:val="555555"/>
        </w:rPr>
        <w:t xml:space="preserve">Sends a real-time alert to a configured URL when an email scores above a threshold.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50"/>
      </w:tblGrid>
      <w:tr>
        <w:tc>
          <w:tcPr>
            <w:tcW w:type="dxa" w:w="26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 / field</w:t>
            </w:r>
          </w:p>
        </w:tc>
        <w:tc>
          <w:tcPr>
            <w:tcW w:type="dxa" w:w="14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5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Plain-language meaning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dispatch_alert_if_high_risk(...)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main entry point — checks the score against the threshold, and if a webhook URL is configured, sends the alert.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SIH_ALERT_WEBHOOK_URL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Environment variable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destination URL to POST alerts to. Unset = alerting disabled entirely.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SIH_ALERT_SCORE_THRESHOLD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Environment variable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Minimum threat score (0–100) required to trigger an alert. Default: 70.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alert_sent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True/False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Whether the alert was actually delivered.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reason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If not sent: "below_threshold", "no_webhook_configured", or "delivery_failed" with the specific error.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Module: backend/security/privacy.py</w:t>
      </w:r>
    </w:p>
    <w:p>
      <w:pPr>
        <w:spacing w:after="120"/>
      </w:pPr>
      <w:r>
        <w:rPr>
          <w:i/>
          <w:iCs/>
          <w:color w:val="555555"/>
        </w:rPr>
        <w:t xml:space="preserve">Configurable evidence retention and PII (Personally Identifiable Information) masking.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50"/>
      </w:tblGrid>
      <w:tr>
        <w:tc>
          <w:tcPr>
            <w:tcW w:type="dxa" w:w="26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 / field</w:t>
            </w:r>
          </w:p>
        </w:tc>
        <w:tc>
          <w:tcPr>
            <w:tcW w:type="dxa" w:w="14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5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Plain-language meaning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get_retention_days()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Reads the configured retention window in days (default 90; 0 = disabled).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find_expired_evidence(records)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Given a list of Evidence records, returns the ones older than the retention window.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mask_email_addresses(text)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Redacts email addresses in a string — can keep just the domain (e.g. "j***@example.com") or fully redact.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mask_phone_numbers(text)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Redacts phone-number-shaped text.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SIH_RETENTION_DAYS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Environment variable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many days of evidence to keep before it becomes eligible for purge.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SIH_MASKING_ENABLED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Environment variable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"true"/"false" — whether masked report generation is available.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3. Complete API Endpoint List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4650"/>
      </w:tblGrid>
      <w:tr>
        <w:tc>
          <w:tcPr>
            <w:tcW w:type="dxa" w:w="13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65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/api/cases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a new investigation case.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/api/cases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all existing cases.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/api/cases/{id}/upload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an email file into a case; hashes and encrypts it.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/api/emails/{id}/analyze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the full pipeline — now includes threat_intelligence and alerting in the response.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/api/cases/{id}/graph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the investigation graph for a case.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/api/cases/{id}/campaigns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groups of emails detected as the same attack campaign.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/api/cases/{id}/report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the signed PDF/JSON forensic report.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/api/reports/verify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whether a report has been tampered with.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/api/reports/download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Download a previously generated report.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/api/cases/{id}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 a case (admin only if RBAC enabled).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/api/rbac/status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whether role-based access control is active.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system status, including GPU availability.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/api/privacy/status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— reports retention/masking configuration.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/api/privacy/purge-expired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— deletes evidence past the retention window (admin only if RBAC enabled).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/api/alerting/status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— reports whether real-time alerting is configured.</w:t>
            </w:r>
          </w:p>
        </w:tc>
      </w:tr>
    </w:tbl>
    <w:p>
      <w:pPr>
        <w:pStyle w:val="Heading1"/>
        <w:spacing w:after="150" w:before="300"/>
      </w:pPr>
      <w:r>
        <w:t xml:space="preserve">4. How the New Modules Connect to Existing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threat_intel.py and anonymization.py results are computed fresh on every /analyze call — they are not stored as new database tables, but their findings are folded into the existing threat_intelligence_reputation score signal and returned in the API response.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webhook.py reads the score that scoring/engine.py already computed — it doesn't change how the score itself is calculated, it just decides whether to notify an external system afterward.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privacy.py's retention check operates directly on the existing Evidence table — it reads the same ingested_at timestamp that was already being recorded for chain-of-custody purposes.</w:t>
      </w:r>
    </w:p>
    <w:p>
      <w:pPr>
        <w:pStyle w:val="Heading1"/>
        <w:spacing w:after="150" w:before="300"/>
      </w:pPr>
      <w:r>
        <w:t xml:space="preserve">5. Schema Implications of Roadmap Items</w:t>
      </w:r>
    </w:p>
    <w:p>
      <w:pPr>
        <w:spacing w:after="120"/>
      </w:pPr>
      <w:r>
        <w:t xml:space="preserve">For the gaps listed in the PRD/TRD roadmap sections, here is whether closing them would require any database changes.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Geolocation map — no schema change needed. Latitude/longitude are already stored on IPIntel; this is a frontend rendering addition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SOAR auto-action (quarantine/block) — would need one new field, e.g. Email.action_taken (text: "none"/"quarantined"/"blocked"), plus an extension to AuditEvent to log who/what triggered the action.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threat-intel feed / live Tor list — no schema change; only the data source inside threat_intel.py and anonymization.py changes from a local file to a live fetch.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Behavioral/time-series anomaly detection — no new table required; it would be a new aggregation query over the existing Email and Evidence tables (e.g. grouping by from_address or candidate IP over a time window). A database index on Email.from_address and HeaderHop.ip would help this run efficiently at scale.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Searchable case management view — no schema change required for basic filtering (case status, analyst, date range); a full-text search across email subjects/bodies would benefit from a search index, which SQLite supports via its FTS5 (Full-Text Search) extension if needed later.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2026-09-10T03:56:56.236Z</dcterms:created>
  <dcterms:modified xsi:type="dcterms:W3CDTF">2026-09-10T03:56:56.236Z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