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 (PRD)</w:t>
      </w:r>
    </w:p>
    <w:p>
      <w:pPr>
        <w:spacing w:after="120"/>
      </w:pPr>
      <w:r>
        <w:rPr>
          <w:b/>
          <w:bCs/>
          <w:sz w:val="26"/>
          <w:szCs w:val="26"/>
        </w:rPr>
        <w:t xml:space="preserve">SIH26106 — JAALBHEDI (AI-Powered Email Threat Detection and Forensic Intelligence)</w:t>
      </w:r>
    </w:p>
    <w:p>
      <w:pPr>
        <w:spacing w:after="120"/>
      </w:pPr>
      <w:r>
        <w:rPr>
          <w:i/>
          <w:iCs/>
          <w:color w:val="555555"/>
        </w:rPr>
        <w:t xml:space="preserve">A plain-language guide. Every technical term is explained in brackets the first time it appears. This document covers the JAALBHEDI-branded deck (JAALBHEDI_final_verified-1.pptx) and is a separate, standalone version alongside the earlier Forensic Intelligence Workbench (FIW) documents.</w:t>
      </w:r>
    </w:p>
    <w:p>
      <w:pPr>
        <w:spacing w:after="120"/>
      </w:pPr>
      <w:r>
        <w:rPr>
          <w:i/>
          <w:iCs/>
          <w:color w:val="B7791F"/>
        </w:rPr>
        <w:t xml:space="preserve">Note on team name: the deck's header shows "Team Sentinels" while its title-slide bullet shows "Team Name: Sentinels" — these should be reconciled to one exact form before final submission to the portal.</w:t>
      </w:r>
    </w:p>
    <w:p>
      <w:pPr>
        <w:pStyle w:val="Heading1"/>
        <w:spacing w:after="150" w:before="300"/>
      </w:pPr>
      <w:r>
        <w:t xml:space="preserve">0. What is a PRD?</w:t>
      </w:r>
    </w:p>
    <w:p>
      <w:pPr>
        <w:spacing w:after="120"/>
      </w:pPr>
      <w:r>
        <w:t xml:space="preserve">A PRD (Product Requirements Document — explains WHAT a product should do and WHY, for a non-technical audience) describes the problem, the users, and the features. The companion TRD (Technical Requirements Document) explains HOW it's built, and the Backend Schema document gives full technical data-structure detail.</w:t>
      </w:r>
    </w:p>
    <w:p>
      <w:pPr>
        <w:pStyle w:val="Heading1"/>
        <w:spacing w:after="150" w:before="300"/>
      </w:pPr>
      <w:r>
        <w:t xml:space="preserve">1. Problem Statement (Official)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0F2A44" w:val="clear"/>
            <w:tcMar>
              <w:top w:type="dxa" w:w="80"/>
              <w:left w:type="dxa" w:w="100"/>
              <w:bottom w:type="dxa" w:w="80"/>
              <w:right w:type="dxa" w:w="100"/>
            </w:tcMar>
          </w:tcPr>
          <w:p>
            <w:r>
              <w:rPr>
                <w:b/>
                <w:bCs/>
                <w:color w:val="FFFFFF"/>
                <w:sz w:val="20"/>
                <w:szCs w:val="20"/>
              </w:rPr>
              <w:t xml:space="preserve">Field</w:t>
            </w:r>
          </w:p>
        </w:tc>
        <w:tc>
          <w:tcPr>
            <w:tcW w:type="dxa" w:w="6350"/>
            <w:shd w:fill="0F2A44"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color w:val="000000"/>
                <w:sz w:val="20"/>
                <w:szCs w:val="20"/>
              </w:rPr>
              <w:t xml:space="preserve">Problem Statement ID</w:t>
            </w:r>
          </w:p>
        </w:tc>
        <w:tc>
          <w:tcPr>
            <w:tcW w:type="dxa" w:w="6350"/>
            <w:tcMar>
              <w:top w:type="dxa" w:w="80"/>
              <w:left w:type="dxa" w:w="100"/>
              <w:bottom w:type="dxa" w:w="80"/>
              <w:right w:type="dxa" w:w="100"/>
            </w:tcMar>
          </w:tcPr>
          <w:p>
            <w:r>
              <w:rPr>
                <w:b w:val="false"/>
                <w:bCs w:val="false"/>
                <w:color w:val="000000"/>
                <w:sz w:val="20"/>
                <w:szCs w:val="20"/>
              </w:rPr>
              <w:t xml:space="preserve">26106</w:t>
            </w:r>
          </w:p>
        </w:tc>
      </w:tr>
      <w:tr>
        <w:tc>
          <w:tcPr>
            <w:tcW w:type="dxa" w:w="3000"/>
            <w:tcMar>
              <w:top w:type="dxa" w:w="80"/>
              <w:left w:type="dxa" w:w="100"/>
              <w:bottom w:type="dxa" w:w="80"/>
              <w:right w:type="dxa" w:w="100"/>
            </w:tcMar>
          </w:tcPr>
          <w:p>
            <w:r>
              <w:rPr>
                <w:b w:val="false"/>
                <w:bCs w:val="false"/>
                <w:color w:val="000000"/>
                <w:sz w:val="20"/>
                <w:szCs w:val="20"/>
              </w:rPr>
              <w:t xml:space="preserve">Title</w:t>
            </w:r>
          </w:p>
        </w:tc>
        <w:tc>
          <w:tcPr>
            <w:tcW w:type="dxa" w:w="6350"/>
            <w:tcMar>
              <w:top w:type="dxa" w:w="80"/>
              <w:left w:type="dxa" w:w="100"/>
              <w:bottom w:type="dxa" w:w="80"/>
              <w:right w:type="dxa" w:w="100"/>
            </w:tcMar>
          </w:tcPr>
          <w:p>
            <w:r>
              <w:rPr>
                <w:b w:val="false"/>
                <w:bCs w:val="false"/>
                <w:color w:val="000000"/>
                <w:sz w:val="20"/>
                <w:szCs w:val="20"/>
              </w:rPr>
              <w:t xml:space="preserve">AI-Powered Email Threat Detection, GeoLocation and Forensic Intelligence Platform</w:t>
            </w:r>
          </w:p>
        </w:tc>
      </w:tr>
      <w:tr>
        <w:tc>
          <w:tcPr>
            <w:tcW w:type="dxa" w:w="3000"/>
            <w:tcMar>
              <w:top w:type="dxa" w:w="80"/>
              <w:left w:type="dxa" w:w="100"/>
              <w:bottom w:type="dxa" w:w="80"/>
              <w:right w:type="dxa" w:w="100"/>
            </w:tcMar>
          </w:tcPr>
          <w:p>
            <w:r>
              <w:rPr>
                <w:b w:val="false"/>
                <w:bCs w:val="false"/>
                <w:color w:val="000000"/>
                <w:sz w:val="20"/>
                <w:szCs w:val="20"/>
              </w:rPr>
              <w:t xml:space="preserve">Organization</w:t>
            </w:r>
          </w:p>
        </w:tc>
        <w:tc>
          <w:tcPr>
            <w:tcW w:type="dxa" w:w="6350"/>
            <w:tcMar>
              <w:top w:type="dxa" w:w="80"/>
              <w:left w:type="dxa" w:w="100"/>
              <w:bottom w:type="dxa" w:w="80"/>
              <w:right w:type="dxa" w:w="100"/>
            </w:tcMar>
          </w:tcPr>
          <w:p>
            <w:r>
              <w:rPr>
                <w:b w:val="false"/>
                <w:bCs w:val="false"/>
                <w:color w:val="000000"/>
                <w:sz w:val="20"/>
                <w:szCs w:val="20"/>
              </w:rPr>
              <w:t xml:space="preserve">All India Council for Technical Education (Cyber Security Cell)</w:t>
            </w:r>
          </w:p>
        </w:tc>
      </w:tr>
      <w:tr>
        <w:tc>
          <w:tcPr>
            <w:tcW w:type="dxa" w:w="3000"/>
            <w:tcMar>
              <w:top w:type="dxa" w:w="80"/>
              <w:left w:type="dxa" w:w="100"/>
              <w:bottom w:type="dxa" w:w="80"/>
              <w:right w:type="dxa" w:w="100"/>
            </w:tcMar>
          </w:tcPr>
          <w:p>
            <w:r>
              <w:rPr>
                <w:b w:val="false"/>
                <w:bCs w:val="false"/>
                <w:color w:val="000000"/>
                <w:sz w:val="20"/>
                <w:szCs w:val="20"/>
              </w:rPr>
              <w:t xml:space="preserve">Category</w:t>
            </w:r>
          </w:p>
        </w:tc>
        <w:tc>
          <w:tcPr>
            <w:tcW w:type="dxa" w:w="6350"/>
            <w:tcMar>
              <w:top w:type="dxa" w:w="80"/>
              <w:left w:type="dxa" w:w="100"/>
              <w:bottom w:type="dxa" w:w="80"/>
              <w:right w:type="dxa" w:w="100"/>
            </w:tcMar>
          </w:tcPr>
          <w:p>
            <w:r>
              <w:rPr>
                <w:b w:val="false"/>
                <w:bCs w:val="false"/>
                <w:color w:val="000000"/>
                <w:sz w:val="20"/>
                <w:szCs w:val="20"/>
              </w:rPr>
              <w:t xml:space="preserve">Software</w:t>
            </w:r>
          </w:p>
        </w:tc>
      </w:tr>
      <w:tr>
        <w:tc>
          <w:tcPr>
            <w:tcW w:type="dxa" w:w="3000"/>
            <w:tcMar>
              <w:top w:type="dxa" w:w="80"/>
              <w:left w:type="dxa" w:w="100"/>
              <w:bottom w:type="dxa" w:w="80"/>
              <w:right w:type="dxa" w:w="100"/>
            </w:tcMar>
          </w:tcPr>
          <w:p>
            <w:r>
              <w:rPr>
                <w:b w:val="false"/>
                <w:bCs w:val="false"/>
                <w:color w:val="000000"/>
                <w:sz w:val="20"/>
                <w:szCs w:val="20"/>
              </w:rPr>
              <w:t xml:space="preserve">Theme</w:t>
            </w:r>
          </w:p>
        </w:tc>
        <w:tc>
          <w:tcPr>
            <w:tcW w:type="dxa" w:w="6350"/>
            <w:tcMar>
              <w:top w:type="dxa" w:w="80"/>
              <w:left w:type="dxa" w:w="100"/>
              <w:bottom w:type="dxa" w:w="80"/>
              <w:right w:type="dxa" w:w="100"/>
            </w:tcMar>
          </w:tcPr>
          <w:p>
            <w:r>
              <w:rPr>
                <w:b w:val="false"/>
                <w:bCs w:val="false"/>
                <w:color w:val="000000"/>
                <w:sz w:val="20"/>
                <w:szCs w:val="20"/>
              </w:rPr>
              <w:t xml:space="preserve">Blockchain &amp; Cybersecurity (note: the deck's title slide shows "Cybersecurity and Blockchain" — reversed order; reconcile before submission)</w:t>
            </w:r>
          </w:p>
        </w:tc>
      </w:tr>
    </w:tbl>
    <w:p>
      <w:pPr>
        <w:pStyle w:val="Heading1"/>
        <w:spacing w:after="150" w:before="300"/>
      </w:pPr>
      <w:r>
        <w:t xml:space="preserve">2. Proposed Solution — In Plain Words</w:t>
      </w:r>
    </w:p>
    <w:p>
      <w:pPr>
        <w:spacing w:after="120"/>
      </w:pPr>
      <w:r>
        <w:t xml:space="preserve">JAALBHEDI is a tool that opens up a suspicious email, examines every piece of technical evidence inside it, and produces a report explaining exactly why it thinks the email is dangerous — with proof, not just a guess. The name reflects the product's purpose: tracing the "web" (jaal) an attacker's infrastructure leaves behind.</w:t>
      </w:r>
    </w:p>
    <w:p>
      <w:pPr>
        <w:spacing w:after="120"/>
      </w:pPr>
      <w:r>
        <w:t xml:space="preserve">The deck frames the pipeline as five stages (matching slide 3 of the JAALBHEDI deck):</w:t>
      </w:r>
    </w:p>
    <w:p>
      <w:pPr>
        <w:pStyle w:val="ListParagraph"/>
        <w:numPr>
          <w:ilvl w:val="0"/>
          <w:numId w:val="1"/>
        </w:numPr>
        <w:spacing w:after="80"/>
      </w:pPr>
      <w:r>
        <w:rPr>
          <w:b/>
          <w:bCs/>
        </w:rPr>
        <w:t xml:space="preserve">1. Ingestion </w:t>
      </w:r>
      <w:r>
        <w:rPr>
          <w:i/>
          <w:iCs/>
          <w:color w:val="555555"/>
        </w:rPr>
        <w:t xml:space="preserve">(raw email (.eml), headers/metadata, and sender authentication (SPF/DKIM/DMARC) are taken in)</w:t>
      </w:r>
    </w:p>
    <w:p>
      <w:pPr>
        <w:pStyle w:val="ListParagraph"/>
        <w:numPr>
          <w:ilvl w:val="0"/>
          <w:numId w:val="1"/>
        </w:numPr>
        <w:spacing w:after="80"/>
      </w:pPr>
      <w:r>
        <w:rPr>
          <w:b/>
          <w:bCs/>
        </w:rPr>
        <w:t xml:space="preserve">2. Normalization </w:t>
      </w:r>
      <w:r>
        <w:rPr>
          <w:i/>
          <w:iCs/>
          <w:color w:val="555555"/>
        </w:rPr>
        <w:t xml:space="preserve">(the email is parsed (MIME decoded — MIME is the format that packages an email's subject/body/attachments together), URLs and attachments extracted, and everything tagged into a structured feature/evidence store)</w:t>
      </w:r>
    </w:p>
    <w:p>
      <w:pPr>
        <w:pStyle w:val="ListParagraph"/>
        <w:numPr>
          <w:ilvl w:val="0"/>
          <w:numId w:val="1"/>
        </w:numPr>
        <w:spacing w:after="80"/>
      </w:pPr>
      <w:r>
        <w:rPr>
          <w:b/>
          <w:bCs/>
        </w:rPr>
        <w:t xml:space="preserve">3. AI &amp; Forensic Analysis Engines </w:t>
      </w:r>
      <w:r>
        <w:rPr>
          <w:i/>
          <w:iCs/>
          <w:color w:val="555555"/>
        </w:rPr>
        <w:t xml:space="preserve">(six parallel analysis engines run: NLP content analysis, ML classification, header/relay forensics, IP intelligence &amp; geolocation, domain/URL analysis, and graph correlation)</w:t>
      </w:r>
    </w:p>
    <w:p>
      <w:pPr>
        <w:pStyle w:val="ListParagraph"/>
        <w:numPr>
          <w:ilvl w:val="0"/>
          <w:numId w:val="1"/>
        </w:numPr>
        <w:spacing w:after="80"/>
      </w:pPr>
      <w:r>
        <w:rPr>
          <w:b/>
          <w:bCs/>
        </w:rPr>
        <w:t xml:space="preserve">4. Risk Fusion &amp; Decision </w:t>
      </w:r>
      <w:r>
        <w:rPr>
          <w:i/>
          <w:iCs/>
          <w:color w:val="555555"/>
        </w:rPr>
        <w:t xml:space="preserve">(a weighted threat-scoring engine (fed by threat-intel feeds) combines every signal into one explainable score and verdict)</w:t>
      </w:r>
    </w:p>
    <w:p>
      <w:pPr>
        <w:pStyle w:val="ListParagraph"/>
        <w:numPr>
          <w:ilvl w:val="0"/>
          <w:numId w:val="1"/>
        </w:numPr>
        <w:spacing w:after="80"/>
      </w:pPr>
      <w:r>
        <w:rPr>
          <w:b/>
          <w:bCs/>
        </w:rPr>
        <w:t xml:space="preserve">5. Forensic Intelligence Outputs </w:t>
      </w:r>
      <w:r>
        <w:rPr>
          <w:i/>
          <w:iCs/>
          <w:color w:val="555555"/>
        </w:rPr>
        <w:t xml:space="preserve">(an analyst console, a geolocation map, a signed forensic report, and (per the deck) SIEM/SOAR integration for automated response)</w:t>
      </w:r>
    </w:p>
    <w:p>
      <w:pPr>
        <w:pStyle w:val="Heading1"/>
        <w:spacing w:after="150" w:before="300"/>
      </w:pPr>
      <w:r>
        <w:t xml:space="preserve">3. Who Is This For? (Beneficiaries, per the deck)</w:t>
      </w:r>
    </w:p>
    <w:p>
      <w:pPr>
        <w:pStyle w:val="ListParagraph"/>
        <w:numPr>
          <w:ilvl w:val="0"/>
          <w:numId w:val="1"/>
        </w:numPr>
        <w:spacing w:after="80"/>
      </w:pPr>
      <w:r>
        <w:t xml:space="preserve">Security Operations Centres and incident-response teams</w:t>
      </w:r>
    </w:p>
    <w:p>
      <w:pPr>
        <w:pStyle w:val="ListParagraph"/>
        <w:numPr>
          <w:ilvl w:val="0"/>
          <w:numId w:val="1"/>
        </w:numPr>
        <w:spacing w:after="80"/>
      </w:pPr>
      <w:r>
        <w:t xml:space="preserve">Government, enterprises, banks, and public-sector organizations</w:t>
      </w:r>
    </w:p>
    <w:p>
      <w:pPr>
        <w:pStyle w:val="ListParagraph"/>
        <w:numPr>
          <w:ilvl w:val="0"/>
          <w:numId w:val="1"/>
        </w:numPr>
        <w:spacing w:after="80"/>
      </w:pPr>
      <w:r>
        <w:t xml:space="preserve">Forensic investigators, compliance teams, and end users</w:t>
      </w:r>
    </w:p>
    <w:p>
      <w:pPr>
        <w:pStyle w:val="Heading1"/>
        <w:spacing w:after="150" w:before="300"/>
      </w:pPr>
      <w:r>
        <w:t xml:space="preserve">4. Coverage Check — What's Actually Built vs. What the Deck Describes</w:t>
      </w:r>
    </w:p>
    <w:p>
      <w:pPr>
        <w:spacing w:after="120"/>
      </w:pPr>
      <w:r>
        <w:t xml:space="preserve">This section directly answers "what is the topic missing." Every claim in the JAALBHEDI deck was checked against the real, tested codebase (36/36 automated tests passing as of this writing). Four status tags are used:</w:t>
      </w:r>
    </w:p>
    <w:p>
      <w:pPr>
        <w:spacing w:after="120"/>
      </w:pPr>
      <w:r>
        <w:t xml:space="preserve"/>
      </w:r>
    </w:p>
    <w:p>
      <w:pPr>
        <w:pStyle w:val="ListParagraph"/>
        <w:numPr>
          <w:ilvl w:val="0"/>
          <w:numId w:val="1"/>
        </w:numPr>
        <w:spacing w:after="90"/>
      </w:pPr>
      <w:r>
        <w:rPr>
          <w:b/>
          <w:bCs/>
          <w:color w:val="FFFFFF"/>
          <w:shd w:fill="1F7A3D" w:val="clear"/>
        </w:rPr>
        <w:t xml:space="preserve"> [BUILT &amp; TESTED] </w:t>
      </w:r>
      <w:r>
        <w:t xml:space="preserve"> Genuinely implemented and covered by an automated test that currently passes.</w:t>
      </w:r>
    </w:p>
    <w:p>
      <w:pPr>
        <w:pStyle w:val="ListParagraph"/>
        <w:numPr>
          <w:ilvl w:val="0"/>
          <w:numId w:val="1"/>
        </w:numPr>
        <w:spacing w:after="90"/>
      </w:pPr>
      <w:r>
        <w:rPr>
          <w:b/>
          <w:bCs/>
          <w:color w:val="FFFFFF"/>
          <w:shd w:fill="B7791F" w:val="clear"/>
        </w:rPr>
        <w:t xml:space="preserve"> [HEURISTIC ONLY] </w:t>
      </w:r>
      <w:r>
        <w:t xml:space="preserve"> Implemented, but as a lightweight offline heuristic/local list — not a live, authoritative, paid data feed. Still real and testable, just narrower than the deck's phrasing might imply.</w:t>
      </w:r>
    </w:p>
    <w:p>
      <w:pPr>
        <w:pStyle w:val="ListParagraph"/>
        <w:numPr>
          <w:ilvl w:val="0"/>
          <w:numId w:val="1"/>
        </w:numPr>
        <w:spacing w:after="90"/>
      </w:pPr>
      <w:r>
        <w:rPr>
          <w:b/>
          <w:bCs/>
          <w:color w:val="FFFFFF"/>
          <w:shd w:fill="8A1C1C" w:val="clear"/>
        </w:rPr>
        <w:t xml:space="preserve"> [NOT IMPLEMENTED] </w:t>
      </w:r>
      <w:r>
        <w:t xml:space="preserve"> Described in the deck's architecture diagram or table, but no corresponding code exists yet. Treat as roadmap, not shipped capability.</w:t>
      </w:r>
    </w:p>
    <w:p>
      <w:pPr>
        <w:pStyle w:val="ListParagraph"/>
        <w:numPr>
          <w:ilvl w:val="0"/>
          <w:numId w:val="1"/>
        </w:numPr>
        <w:spacing w:after="90"/>
      </w:pPr>
      <w:r>
        <w:rPr>
          <w:b/>
          <w:bCs/>
          <w:color w:val="FFFFFF"/>
          <w:shd w:fill="2E5395" w:val="clear"/>
        </w:rPr>
        <w:t xml:space="preserve"> [BUILT BUT NOT ON THE SLIDE] </w:t>
      </w:r>
      <w:r>
        <w:t xml:space="preserve"> Real, tested capability that isn't currently mentioned anywhere in the deck — an opportunity to strengthen the pitch, not a gap to hide.</w:t>
      </w:r>
    </w:p>
    <w:p>
      <w:pPr>
        <w:spacing w:after="120"/>
      </w:pPr>
      <w:r>
        <w:t xml:space="preserve"/>
      </w:r>
    </w:p>
    <w:p>
      <w:pPr>
        <w:pStyle w:val="Heading2"/>
        <w:spacing w:after="100" w:before="220"/>
      </w:pPr>
      <w:r>
        <w:t xml:space="preserve">Stage 1–2: Ingestion &amp; Normalization</w:t>
      </w:r>
    </w:p>
    <w:p>
      <w:pPr>
        <w:pStyle w:val="ListParagraph"/>
        <w:numPr>
          <w:ilvl w:val="0"/>
          <w:numId w:val="1"/>
        </w:numPr>
        <w:spacing w:after="90"/>
      </w:pPr>
      <w:r>
        <w:rPr>
          <w:b/>
          <w:bCs/>
          <w:color w:val="FFFFFF"/>
          <w:shd w:fill="1F7A3D" w:val="clear"/>
        </w:rPr>
        <w:t xml:space="preserve"> [BUILT &amp; TESTED] </w:t>
      </w:r>
      <w:r>
        <w:t xml:space="preserve"> Raw .eml parsing (RFC 5322 / MIME), SHA-256 evidence hashing, evidence encryption at rest, SPF/DKIM/DMARC checks including real DKIM cryptographic verification.</w:t>
      </w:r>
    </w:p>
    <w:p>
      <w:pPr>
        <w:pStyle w:val="Heading2"/>
        <w:spacing w:after="100" w:before="220"/>
      </w:pPr>
      <w:r>
        <w:t xml:space="preserve">Stage 3: AI &amp; Forensic Analysis Engines</w:t>
      </w:r>
    </w:p>
    <w:p>
      <w:pPr>
        <w:pStyle w:val="ListParagraph"/>
        <w:numPr>
          <w:ilvl w:val="0"/>
          <w:numId w:val="1"/>
        </w:numPr>
        <w:spacing w:after="90"/>
      </w:pPr>
      <w:r>
        <w:rPr>
          <w:b/>
          <w:bCs/>
          <w:color w:val="FFFFFF"/>
          <w:shd w:fill="1F7A3D" w:val="clear"/>
        </w:rPr>
        <w:t xml:space="preserve"> [BUILT &amp; TESTED] </w:t>
      </w:r>
      <w:r>
        <w:t xml:space="preserve"> NLP/ML classification (CPU TF-IDF baseline + optional GPU transformer), header/relay forensics with trust-boundary logic, domain/URL analysis (lookalike domains, punycode, entropy-style suspicious patterns), graph-based campaign correlation.</w:t>
      </w:r>
    </w:p>
    <w:p>
      <w:pPr>
        <w:pStyle w:val="ListParagraph"/>
        <w:numPr>
          <w:ilvl w:val="0"/>
          <w:numId w:val="1"/>
        </w:numPr>
        <w:spacing w:after="90"/>
      </w:pPr>
      <w:r>
        <w:rPr>
          <w:b/>
          <w:bCs/>
          <w:color w:val="FFFFFF"/>
          <w:shd w:fill="B7791F" w:val="clear"/>
        </w:rPr>
        <w:t xml:space="preserve"> [HEURISTIC ONLY] </w:t>
      </w:r>
      <w:r>
        <w:t xml:space="preserve"> "IP Intelligence &amp; Geolocation: ASN, proxy/VPN, country risk" — VPN/Tor detection is a local, offline keyword/list match (known VPN-provider ISP names + a small sample Tor exit-node list), not a live proxy-detection feed.</w:t>
      </w:r>
    </w:p>
    <w:p>
      <w:pPr>
        <w:pStyle w:val="Heading2"/>
        <w:spacing w:after="100" w:before="220"/>
      </w:pPr>
      <w:r>
        <w:t xml:space="preserve">Stage 4: Risk Fusion &amp; Decision</w:t>
      </w:r>
    </w:p>
    <w:p>
      <w:pPr>
        <w:pStyle w:val="ListParagraph"/>
        <w:numPr>
          <w:ilvl w:val="0"/>
          <w:numId w:val="1"/>
        </w:numPr>
        <w:spacing w:after="90"/>
      </w:pPr>
      <w:r>
        <w:rPr>
          <w:b/>
          <w:bCs/>
          <w:color w:val="FFFFFF"/>
          <w:shd w:fill="1F7A3D" w:val="clear"/>
        </w:rPr>
        <w:t xml:space="preserve"> [BUILT &amp; TESTED] </w:t>
      </w:r>
      <w:r>
        <w:t xml:space="preserve"> Weighted explainable score fusion (5 signal families, every point traceable to a reason) — this is the deck's "Threat Scoring Engine."</w:t>
      </w:r>
    </w:p>
    <w:p>
      <w:pPr>
        <w:pStyle w:val="ListParagraph"/>
        <w:numPr>
          <w:ilvl w:val="0"/>
          <w:numId w:val="1"/>
        </w:numPr>
        <w:spacing w:after="90"/>
      </w:pPr>
      <w:r>
        <w:rPr>
          <w:b/>
          <w:bCs/>
          <w:color w:val="FFFFFF"/>
          <w:shd w:fill="B7791F" w:val="clear"/>
        </w:rPr>
        <w:t xml:space="preserve"> [HEURISTIC ONLY] </w:t>
      </w:r>
      <w:r>
        <w:t xml:space="preserve"> "Threat Intel Feeds" — a small local curated blacklist file, not a live commercial/community threat-intelligence subscription. The code is written so a real feed can be substituted later without changing any calling code.</w:t>
      </w:r>
    </w:p>
    <w:p>
      <w:pPr>
        <w:pStyle w:val="Heading2"/>
        <w:spacing w:after="100" w:before="220"/>
      </w:pPr>
      <w:r>
        <w:t xml:space="preserve">Stage 5: Forensic Intelligence Outputs</w:t>
      </w:r>
    </w:p>
    <w:p>
      <w:pPr>
        <w:pStyle w:val="ListParagraph"/>
        <w:numPr>
          <w:ilvl w:val="0"/>
          <w:numId w:val="1"/>
        </w:numPr>
        <w:spacing w:after="90"/>
      </w:pPr>
      <w:r>
        <w:rPr>
          <w:b/>
          <w:bCs/>
          <w:color w:val="FFFFFF"/>
          <w:shd w:fill="1F7A3D" w:val="clear"/>
        </w:rPr>
        <w:t xml:space="preserve"> [BUILT &amp; TESTED] </w:t>
      </w:r>
      <w:r>
        <w:t xml:space="preserve"> Signed, tamper-evident PDF/JSON forensic reports with full chain-of-custody audit trail; a working analyst dashboard; real-time high-risk alert dispatch via webhook (tested end-to-end against an independent mock receiver).</w:t>
      </w:r>
    </w:p>
    <w:p>
      <w:pPr>
        <w:pStyle w:val="ListParagraph"/>
        <w:numPr>
          <w:ilvl w:val="0"/>
          <w:numId w:val="1"/>
        </w:numPr>
        <w:spacing w:after="90"/>
      </w:pPr>
      <w:r>
        <w:rPr>
          <w:b/>
          <w:bCs/>
          <w:color w:val="FFFFFF"/>
          <w:shd w:fill="8A1C1C" w:val="clear"/>
        </w:rPr>
        <w:t xml:space="preserve"> [NOT IMPLEMENTED] </w:t>
      </w:r>
      <w:r>
        <w:t xml:space="preserve"> "SIEM/SOAR &amp; API: automated response actions" — the system alerts and reports; it does not automatically quarantine, block, or take enforcement action on an email. If asked, say this is Phase 2 roadmap.</w:t>
      </w:r>
    </w:p>
    <w:p>
      <w:pPr>
        <w:pStyle w:val="ListParagraph"/>
        <w:numPr>
          <w:ilvl w:val="0"/>
          <w:numId w:val="1"/>
        </w:numPr>
        <w:spacing w:after="90"/>
      </w:pPr>
      <w:r>
        <w:rPr>
          <w:b/>
          <w:bCs/>
          <w:color w:val="FFFFFF"/>
          <w:shd w:fill="8A1C1C" w:val="clear"/>
        </w:rPr>
        <w:t xml:space="preserve"> [NOT IMPLEMENTED] </w:t>
      </w:r>
      <w:r>
        <w:t xml:space="preserve"> "Geolocation Map View" as an interactive map widget — geolocation data is captured and included in reports/API responses, but no map visualization component is built yet.</w:t>
      </w:r>
    </w:p>
    <w:p>
      <w:pPr>
        <w:pStyle w:val="Heading2"/>
        <w:spacing w:after="100" w:before="220"/>
      </w:pPr>
      <w:r>
        <w:t xml:space="preserve">Vulnerabilities &amp; Mitigations table (deck slide 4) — specific checks</w:t>
      </w:r>
    </w:p>
    <w:p>
      <w:pPr>
        <w:pStyle w:val="ListParagraph"/>
        <w:numPr>
          <w:ilvl w:val="0"/>
          <w:numId w:val="1"/>
        </w:numPr>
        <w:spacing w:after="90"/>
      </w:pPr>
      <w:r>
        <w:rPr>
          <w:b/>
          <w:bCs/>
          <w:color w:val="FFFFFF"/>
          <w:shd w:fill="1F7A3D" w:val="clear"/>
        </w:rPr>
        <w:t xml:space="preserve"> [BUILT &amp; TESTED] </w:t>
      </w:r>
      <w:r>
        <w:t xml:space="preserve"> "Forensic Evidence Tampering" mitigation — SHA-256 hashing, encryption at rest, audit logs, and RBAC (Role-Based Access Control) are all real and tested.</w:t>
      </w:r>
    </w:p>
    <w:p>
      <w:pPr>
        <w:pStyle w:val="ListParagraph"/>
        <w:numPr>
          <w:ilvl w:val="0"/>
          <w:numId w:val="1"/>
        </w:numPr>
        <w:spacing w:after="90"/>
      </w:pPr>
      <w:r>
        <w:rPr>
          <w:b/>
          <w:bCs/>
          <w:color w:val="FFFFFF"/>
          <w:shd w:fill="B7791F" w:val="clear"/>
        </w:rPr>
        <w:t xml:space="preserve"> [HEURISTIC ONLY] </w:t>
      </w:r>
      <w:r>
        <w:t xml:space="preserve"> "Isolated, sandboxed processing... SSRF protection" — the system avoids SSRF (Server-Side Request Forgery — a vulnerability where a server can be tricked into making unintended network requests) risk by design, since URLs found in an email are never automatically fetched/visited. However, there is no formal OS-level sandboxing, and only basic upload-size and MIME-nesting-depth limits exist — not full CPU/memory/timeout resource enforcement.</w:t>
      </w:r>
    </w:p>
    <w:p>
      <w:pPr>
        <w:pStyle w:val="ListParagraph"/>
        <w:numPr>
          <w:ilvl w:val="0"/>
          <w:numId w:val="1"/>
        </w:numPr>
        <w:spacing w:after="90"/>
      </w:pPr>
      <w:r>
        <w:rPr>
          <w:b/>
          <w:bCs/>
          <w:color w:val="FFFFFF"/>
          <w:shd w:fill="8A1C1C" w:val="clear"/>
        </w:rPr>
        <w:t xml:space="preserve"> [NOT IMPLEMENTED] </w:t>
      </w:r>
      <w:r>
        <w:t xml:space="preserve"> "Behavioral anomalies in sender IP, time, recipient patterns, volume and history" — this describes cross-email, time-series behavioral analysis. The system currently analyzes each case's emails for content/infrastructure overlap (campaign clustering), not longitudinal sender-behavior history.</w:t>
      </w:r>
    </w:p>
    <w:p>
      <w:pPr>
        <w:pStyle w:val="Heading2"/>
        <w:spacing w:after="100" w:before="220"/>
      </w:pPr>
      <w:r>
        <w:t xml:space="preserve">Not mentioned in the deck, but real</w:t>
      </w:r>
    </w:p>
    <w:p>
      <w:pPr>
        <w:pStyle w:val="ListParagraph"/>
        <w:numPr>
          <w:ilvl w:val="0"/>
          <w:numId w:val="1"/>
        </w:numPr>
        <w:spacing w:after="90"/>
      </w:pPr>
      <w:r>
        <w:rPr>
          <w:b/>
          <w:bCs/>
          <w:color w:val="FFFFFF"/>
          <w:shd w:fill="2E5395" w:val="clear"/>
        </w:rPr>
        <w:t xml:space="preserve"> [BUILT BUT NOT ON THE SLIDE] </w:t>
      </w:r>
      <w:r>
        <w:t xml:space="preserve"> Configurable evidence retention policy and PII (Personally Identifiable Information) masking for reports — directly answers the official PS's "configurable retention and masking mechanisms" requirement, and is fully implemented and tested, but doesn't appear anywhere in the current deck.</w:t>
      </w:r>
    </w:p>
    <w:p>
      <w:pPr>
        <w:pStyle w:val="Heading1"/>
        <w:spacing w:after="150" w:before="300"/>
      </w:pPr>
      <w:r>
        <w:t xml:space="preserve">5. Exhaustive Official PS Coverage Checklist</w:t>
      </w:r>
    </w:p>
    <w:p>
      <w:pPr>
        <w:spacing w:after="120"/>
      </w:pPr>
      <w:r>
        <w:t xml:space="preserve">The section above checked the deck against the code, stage by stage. This section instead goes through the official Problem Statement text you provided, clause by clause, so nothing in the official requirement is missed — regardless of whether the deck happens to mention it.</w:t>
      </w:r>
    </w:p>
    <w:p>
      <w:pPr>
        <w:pStyle w:val="Heading2"/>
        <w:spacing w:after="100" w:before="220"/>
      </w:pPr>
      <w:r>
        <w:t xml:space="preserve">A. Fraudulent Email Detection Engine</w:t>
      </w:r>
    </w:p>
    <w:p>
      <w:pPr>
        <w:pStyle w:val="ListParagraph"/>
        <w:numPr>
          <w:ilvl w:val="0"/>
          <w:numId w:val="1"/>
        </w:numPr>
        <w:spacing w:after="90"/>
      </w:pPr>
      <w:r>
        <w:rPr>
          <w:b/>
          <w:bCs/>
          <w:color w:val="FFFFFF"/>
          <w:shd w:fill="1F7A3D" w:val="clear"/>
        </w:rPr>
        <w:t xml:space="preserve"> [BUILT &amp; TESTED] </w:t>
      </w:r>
      <w:r>
        <w:t xml:space="preserve"> NLP-based analysis of subject/body/urgency/impersonation language — backend/indicators/ioc_extractor.py's content-cue detector plus the ML classifier.</w:t>
      </w:r>
    </w:p>
    <w:p>
      <w:pPr>
        <w:pStyle w:val="ListParagraph"/>
        <w:numPr>
          <w:ilvl w:val="0"/>
          <w:numId w:val="1"/>
        </w:numPr>
        <w:spacing w:after="90"/>
      </w:pPr>
      <w:r>
        <w:rPr>
          <w:b/>
          <w:bCs/>
          <w:color w:val="FFFFFF"/>
          <w:shd w:fill="1F7A3D" w:val="clear"/>
        </w:rPr>
        <w:t xml:space="preserve"> [BUILT &amp; TESTED] </w:t>
      </w:r>
      <w:r>
        <w:t xml:space="preserve"> Phishing indicators: spoofed sender, deceptive/lookalike domains, obfuscated URLs — all detected.</w:t>
      </w:r>
    </w:p>
    <w:p>
      <w:pPr>
        <w:pStyle w:val="ListParagraph"/>
        <w:numPr>
          <w:ilvl w:val="0"/>
          <w:numId w:val="1"/>
        </w:numPr>
        <w:spacing w:after="90"/>
      </w:pPr>
      <w:r>
        <w:rPr>
          <w:b/>
          <w:bCs/>
          <w:color w:val="FFFFFF"/>
          <w:shd w:fill="B7791F" w:val="clear"/>
        </w:rPr>
        <w:t xml:space="preserve"> [HEURISTIC ONLY] </w:t>
      </w:r>
      <w:r>
        <w:t xml:space="preserve"> "Suspicious attachments" — attachment metadata (filename, size, content-type) is recorded, but attachment CONTENTS are never opened or scanned (deliberate safety choice — never execute untrusted attachment content). No malware-scanning of attachment bytes exists.</w:t>
      </w:r>
    </w:p>
    <w:p>
      <w:pPr>
        <w:pStyle w:val="ListParagraph"/>
        <w:numPr>
          <w:ilvl w:val="0"/>
          <w:numId w:val="1"/>
        </w:numPr>
        <w:spacing w:after="90"/>
      </w:pPr>
      <w:r>
        <w:rPr>
          <w:b/>
          <w:bCs/>
          <w:color w:val="FFFFFF"/>
          <w:shd w:fill="1F7A3D" w:val="clear"/>
        </w:rPr>
        <w:t xml:space="preserve"> [BUILT &amp; TESTED] </w:t>
      </w:r>
      <w:r>
        <w:t xml:space="preserve"> AI/ML classification into legitimate / suspicious / impersonated / phishing / fraud-related — matches our exact category set.</w:t>
      </w:r>
    </w:p>
    <w:p>
      <w:pPr>
        <w:pStyle w:val="ListParagraph"/>
        <w:numPr>
          <w:ilvl w:val="0"/>
          <w:numId w:val="1"/>
        </w:numPr>
        <w:spacing w:after="90"/>
      </w:pPr>
      <w:r>
        <w:rPr>
          <w:b/>
          <w:bCs/>
          <w:color w:val="FFFFFF"/>
          <w:shd w:fill="1F7A3D" w:val="clear"/>
        </w:rPr>
        <w:t xml:space="preserve"> [BUILT &amp; TESTED] </w:t>
      </w:r>
      <w:r>
        <w:t xml:space="preserve"> BEC (Business Email Compromise) patterns: payment diversion, fake invoice requests, credential harvesting — covered by the PAYMENT_REQUEST_WORDS and CREDENTIAL_REQUEST_WORDS content-cue lists.</w:t>
      </w:r>
    </w:p>
    <w:p>
      <w:pPr>
        <w:pStyle w:val="ListParagraph"/>
        <w:numPr>
          <w:ilvl w:val="0"/>
          <w:numId w:val="1"/>
        </w:numPr>
        <w:spacing w:after="90"/>
      </w:pPr>
      <w:r>
        <w:rPr>
          <w:b/>
          <w:bCs/>
          <w:color w:val="FFFFFF"/>
          <w:shd w:fill="B7791F" w:val="clear"/>
        </w:rPr>
        <w:t xml:space="preserve"> [HEURISTIC ONLY] </w:t>
      </w:r>
      <w:r>
        <w:t xml:space="preserve"> "Executive impersonation" specifically — covered generically via display-name/domain mismatch detection, not a named-executive-list feature.</w:t>
      </w:r>
    </w:p>
    <w:p>
      <w:pPr>
        <w:pStyle w:val="Heading2"/>
        <w:spacing w:after="100" w:before="220"/>
      </w:pPr>
      <w:r>
        <w:t xml:space="preserve">B. Email Header and Protocol Analysis Module</w:t>
      </w:r>
    </w:p>
    <w:p>
      <w:pPr>
        <w:pStyle w:val="ListParagraph"/>
        <w:numPr>
          <w:ilvl w:val="0"/>
          <w:numId w:val="1"/>
        </w:numPr>
        <w:spacing w:after="90"/>
      </w:pPr>
      <w:r>
        <w:rPr>
          <w:b/>
          <w:bCs/>
          <w:color w:val="FFFFFF"/>
          <w:shd w:fill="1F7A3D" w:val="clear"/>
        </w:rPr>
        <w:t xml:space="preserve"> [BUILT &amp; TESTED] </w:t>
      </w:r>
      <w:r>
        <w:t xml:space="preserve"> Return-Path, Received headers, Message-ID, Reply-To, DKIM, SPF, DMARC — all parsed and checked, including real DKIM cryptographic verification.</w:t>
      </w:r>
    </w:p>
    <w:p>
      <w:pPr>
        <w:pStyle w:val="ListParagraph"/>
        <w:numPr>
          <w:ilvl w:val="0"/>
          <w:numId w:val="1"/>
        </w:numPr>
        <w:spacing w:after="90"/>
      </w:pPr>
      <w:r>
        <w:rPr>
          <w:b/>
          <w:bCs/>
          <w:color w:val="FFFFFF"/>
          <w:shd w:fill="1F7A3D" w:val="clear"/>
        </w:rPr>
        <w:t xml:space="preserve"> [BUILT &amp; TESTED] </w:t>
      </w:r>
      <w:r>
        <w:t xml:space="preserve"> Routing anomalies, forged sender fields, relay manipulation — the trust-boundary logic in header_analyzer.py.</w:t>
      </w:r>
    </w:p>
    <w:p>
      <w:pPr>
        <w:pStyle w:val="ListParagraph"/>
        <w:numPr>
          <w:ilvl w:val="0"/>
          <w:numId w:val="1"/>
        </w:numPr>
        <w:spacing w:after="90"/>
      </w:pPr>
      <w:r>
        <w:rPr>
          <w:b/>
          <w:bCs/>
          <w:color w:val="FFFFFF"/>
          <w:shd w:fill="1F7A3D" w:val="clear"/>
        </w:rPr>
        <w:t xml:space="preserve"> [BUILT &amp; TESTED] </w:t>
      </w:r>
      <w:r>
        <w:t xml:space="preserve"> Validating authorized vs suspicious relay paths — same trust-boundary system.</w:t>
      </w:r>
    </w:p>
    <w:p>
      <w:pPr>
        <w:pStyle w:val="Heading2"/>
        <w:spacing w:after="100" w:before="220"/>
      </w:pPr>
      <w:r>
        <w:t xml:space="preserve">C. Origin Traceability and Location Analysis</w:t>
      </w:r>
    </w:p>
    <w:p>
      <w:pPr>
        <w:pStyle w:val="ListParagraph"/>
        <w:numPr>
          <w:ilvl w:val="0"/>
          <w:numId w:val="1"/>
        </w:numPr>
        <w:spacing w:after="90"/>
      </w:pPr>
      <w:r>
        <w:rPr>
          <w:b/>
          <w:bCs/>
          <w:color w:val="FFFFFF"/>
          <w:shd w:fill="1F7A3D" w:val="clear"/>
        </w:rPr>
        <w:t xml:space="preserve"> [BUILT &amp; TESTED] </w:t>
      </w:r>
      <w:r>
        <w:t xml:space="preserve"> Originating IP extraction and earliest reliable sending node identification.</w:t>
      </w:r>
    </w:p>
    <w:p>
      <w:pPr>
        <w:pStyle w:val="ListParagraph"/>
        <w:numPr>
          <w:ilvl w:val="0"/>
          <w:numId w:val="1"/>
        </w:numPr>
        <w:spacing w:after="90"/>
      </w:pPr>
      <w:r>
        <w:rPr>
          <w:b/>
          <w:bCs/>
          <w:color w:val="FFFFFF"/>
          <w:shd w:fill="1F7A3D" w:val="clear"/>
        </w:rPr>
        <w:t xml:space="preserve"> [BUILT &amp; TESTED] </w:t>
      </w:r>
      <w:r>
        <w:t xml:space="preserve"> IP geolocation — country/region/city/ISP via MaxMind GeoLite2 (free database).</w:t>
      </w:r>
    </w:p>
    <w:p>
      <w:pPr>
        <w:pStyle w:val="ListParagraph"/>
        <w:numPr>
          <w:ilvl w:val="0"/>
          <w:numId w:val="1"/>
        </w:numPr>
        <w:spacing w:after="90"/>
      </w:pPr>
      <w:r>
        <w:rPr>
          <w:b/>
          <w:bCs/>
          <w:color w:val="FFFFFF"/>
          <w:shd w:fill="B7791F" w:val="clear"/>
        </w:rPr>
        <w:t xml:space="preserve"> [HEURISTIC ONLY] </w:t>
      </w:r>
      <w:r>
        <w:t xml:space="preserve"> VPN / TOR / open-relay / botnet / cloud-hosted correlation — implemented as local, offline keyword and list-based heuristics (backend/intelligence/anonymization.py), not a live, paid detection service. 'Open relay' specifically is not separately flagged — only VPN, Tor, and abuse-tolerant/bulletproof hosting keywords are checked today.</w:t>
      </w:r>
    </w:p>
    <w:p>
      <w:pPr>
        <w:pStyle w:val="ListParagraph"/>
        <w:numPr>
          <w:ilvl w:val="0"/>
          <w:numId w:val="1"/>
        </w:numPr>
        <w:spacing w:after="90"/>
      </w:pPr>
      <w:r>
        <w:rPr>
          <w:b/>
          <w:bCs/>
          <w:color w:val="FFFFFF"/>
          <w:shd w:fill="1F7A3D" w:val="clear"/>
        </w:rPr>
        <w:t xml:space="preserve"> [BUILT &amp; TESTED] </w:t>
      </w:r>
      <w:r>
        <w:t xml:space="preserve"> Domain intelligence: DNS, MX records, registrar details — via RDAP (Registration Data Access Protocol), the free, modern, no-API-key-required replacement for WHOIS. Functionally answers the same requirement.</w:t>
      </w:r>
    </w:p>
    <w:p>
      <w:pPr>
        <w:pStyle w:val="Heading2"/>
        <w:spacing w:after="100" w:before="220"/>
      </w:pPr>
      <w:r>
        <w:t xml:space="preserve">D. Identity Correlation and Attribution Support</w:t>
      </w:r>
    </w:p>
    <w:p>
      <w:pPr>
        <w:pStyle w:val="ListParagraph"/>
        <w:numPr>
          <w:ilvl w:val="0"/>
          <w:numId w:val="1"/>
        </w:numPr>
        <w:spacing w:after="90"/>
      </w:pPr>
      <w:r>
        <w:rPr>
          <w:b/>
          <w:bCs/>
          <w:color w:val="FFFFFF"/>
          <w:shd w:fill="1F7A3D" w:val="clear"/>
        </w:rPr>
        <w:t xml:space="preserve"> [BUILT &amp; TESTED] </w:t>
      </w:r>
      <w:r>
        <w:t xml:space="preserve"> Correlation with known threat intelligence and blacklists — backend/intelligence/threat_intel.py, using a local curated blacklist file (see feasibility section below for the live-feed upgrade path).</w:t>
      </w:r>
    </w:p>
    <w:p>
      <w:pPr>
        <w:pStyle w:val="ListParagraph"/>
        <w:numPr>
          <w:ilvl w:val="0"/>
          <w:numId w:val="1"/>
        </w:numPr>
        <w:spacing w:after="90"/>
      </w:pPr>
      <w:r>
        <w:rPr>
          <w:b/>
          <w:bCs/>
          <w:color w:val="FFFFFF"/>
          <w:shd w:fill="1F7A3D" w:val="clear"/>
        </w:rPr>
        <w:t xml:space="preserve"> [BUILT &amp; TESTED] </w:t>
      </w:r>
      <w:r>
        <w:t xml:space="preserve"> "Previous incidents" and "repeated fraud campaigns" correlation — backend/graph/campaign_clustering.py, matching emails within a case by shared infrastructure and content similarity.</w:t>
      </w:r>
    </w:p>
    <w:p>
      <w:pPr>
        <w:pStyle w:val="ListParagraph"/>
        <w:numPr>
          <w:ilvl w:val="0"/>
          <w:numId w:val="1"/>
        </w:numPr>
        <w:spacing w:after="90"/>
      </w:pPr>
      <w:r>
        <w:rPr>
          <w:b/>
          <w:bCs/>
          <w:color w:val="FFFFFF"/>
          <w:shd w:fill="1F7A3D" w:val="clear"/>
        </w:rPr>
        <w:t xml:space="preserve"> [BUILT &amp; TESTED] </w:t>
      </w:r>
      <w:r>
        <w:t xml:space="preserve"> Graph-based relationship analysis between domains, IPs, aliases, reply chains — backend/graph/correlation.py.</w:t>
      </w:r>
    </w:p>
    <w:p>
      <w:pPr>
        <w:pStyle w:val="ListParagraph"/>
        <w:numPr>
          <w:ilvl w:val="0"/>
          <w:numId w:val="1"/>
        </w:numPr>
        <w:spacing w:after="90"/>
      </w:pPr>
      <w:r>
        <w:rPr>
          <w:b/>
          <w:bCs/>
          <w:color w:val="FFFFFF"/>
          <w:shd w:fill="1F7A3D" w:val="clear"/>
        </w:rPr>
        <w:t xml:space="preserve"> [BUILT &amp; TESTED] </w:t>
      </w:r>
      <w:r>
        <w:t xml:space="preserve"> Confidence-based investigative assessment — every score carries a High/Medium/Low confidence label.</w:t>
      </w:r>
    </w:p>
    <w:p>
      <w:pPr>
        <w:pStyle w:val="ListParagraph"/>
        <w:numPr>
          <w:ilvl w:val="0"/>
          <w:numId w:val="1"/>
        </w:numPr>
        <w:spacing w:after="90"/>
      </w:pPr>
      <w:r>
        <w:rPr>
          <w:b/>
          <w:bCs/>
          <w:color w:val="FFFFFF"/>
          <w:shd w:fill="B7791F" w:val="clear"/>
        </w:rPr>
        <w:t xml:space="preserve"> [HEURISTIC ONLY] </w:t>
      </w:r>
      <w:r>
        <w:t xml:space="preserve"> Flagging compromised-account vs spoofed-domain vs anonymized-infrastructure vs direct-malicious-actor as a single explicit classification label — today the underlying evidence for each of these is surfaced (auth failures, anonymization flags, blacklist matches) but the system does not output one consolidated "which of these four" verdict field.</w:t>
      </w:r>
    </w:p>
    <w:p>
      <w:pPr>
        <w:pStyle w:val="Heading2"/>
        <w:spacing w:after="100" w:before="220"/>
      </w:pPr>
      <w:r>
        <w:t xml:space="preserve">E. Alerting, Dashboard, and Forensic Reporting</w:t>
      </w:r>
    </w:p>
    <w:p>
      <w:pPr>
        <w:pStyle w:val="ListParagraph"/>
        <w:numPr>
          <w:ilvl w:val="0"/>
          <w:numId w:val="1"/>
        </w:numPr>
        <w:spacing w:after="90"/>
      </w:pPr>
      <w:r>
        <w:rPr>
          <w:b/>
          <w:bCs/>
          <w:color w:val="FFFFFF"/>
          <w:shd w:fill="1F7A3D" w:val="clear"/>
        </w:rPr>
        <w:t xml:space="preserve"> [BUILT &amp; TESTED] </w:t>
      </w:r>
      <w:r>
        <w:t xml:space="preserve"> Real-time alerts for high-risk emails — backend/alerting/webhook.py, tested end-to-end against an independent receiver.</w:t>
      </w:r>
    </w:p>
    <w:p>
      <w:pPr>
        <w:pStyle w:val="ListParagraph"/>
        <w:numPr>
          <w:ilvl w:val="0"/>
          <w:numId w:val="1"/>
        </w:numPr>
        <w:spacing w:after="90"/>
      </w:pPr>
      <w:r>
        <w:rPr>
          <w:b/>
          <w:bCs/>
          <w:color w:val="FFFFFF"/>
          <w:shd w:fill="1F7A3D" w:val="clear"/>
        </w:rPr>
        <w:t xml:space="preserve"> [BUILT &amp; TESTED] </w:t>
      </w:r>
      <w:r>
        <w:t xml:space="preserve"> Analyst dashboard showing fraud score, spoofing indicators, sender trace path, attribution confidence.</w:t>
      </w:r>
    </w:p>
    <w:p>
      <w:pPr>
        <w:pStyle w:val="ListParagraph"/>
        <w:numPr>
          <w:ilvl w:val="0"/>
          <w:numId w:val="1"/>
        </w:numPr>
        <w:spacing w:after="90"/>
      </w:pPr>
      <w:r>
        <w:rPr>
          <w:b/>
          <w:bCs/>
          <w:color w:val="FFFFFF"/>
          <w:shd w:fill="8A1C1C" w:val="clear"/>
        </w:rPr>
        <w:t xml:space="preserve"> [NOT IMPLEMENTED] </w:t>
      </w:r>
      <w:r>
        <w:t xml:space="preserve"> "Geolocation map" as part of the dashboard — data exists, visual map does not (see feasibility section).</w:t>
      </w:r>
    </w:p>
    <w:p>
      <w:pPr>
        <w:pStyle w:val="ListParagraph"/>
        <w:numPr>
          <w:ilvl w:val="0"/>
          <w:numId w:val="1"/>
        </w:numPr>
        <w:spacing w:after="90"/>
      </w:pPr>
      <w:r>
        <w:rPr>
          <w:b/>
          <w:bCs/>
          <w:color w:val="FFFFFF"/>
          <w:shd w:fill="1F7A3D" w:val="clear"/>
        </w:rPr>
        <w:t xml:space="preserve"> [BUILT &amp; TESTED] </w:t>
      </w:r>
      <w:r>
        <w:t xml:space="preserve"> Structured forensic reports for institutional/legal/law-enforcement use — signed PDF/JSON reports.</w:t>
      </w:r>
    </w:p>
    <w:p>
      <w:pPr>
        <w:pStyle w:val="ListParagraph"/>
        <w:numPr>
          <w:ilvl w:val="0"/>
          <w:numId w:val="1"/>
        </w:numPr>
        <w:spacing w:after="90"/>
      </w:pPr>
      <w:r>
        <w:rPr>
          <w:b/>
          <w:bCs/>
          <w:color w:val="FFFFFF"/>
          <w:shd w:fill="B7791F" w:val="clear"/>
        </w:rPr>
        <w:t xml:space="preserve"> [HEURISTIC ONLY] </w:t>
      </w:r>
      <w:r>
        <w:t xml:space="preserve"> "Searchable case management view" — a case list endpoint exists (GET /api/cases) and campaign grouping exists, but there is no free-text search/filter parameter on it yet.</w:t>
      </w:r>
    </w:p>
    <w:p>
      <w:pPr>
        <w:pStyle w:val="Heading2"/>
        <w:spacing w:after="100" w:before="220"/>
      </w:pPr>
      <w:r>
        <w:t xml:space="preserve">F. Privacy, Legal, and Compliance Safeguards</w:t>
      </w:r>
    </w:p>
    <w:p>
      <w:pPr>
        <w:pStyle w:val="ListParagraph"/>
        <w:numPr>
          <w:ilvl w:val="0"/>
          <w:numId w:val="1"/>
        </w:numPr>
        <w:spacing w:after="90"/>
      </w:pPr>
      <w:r>
        <w:rPr>
          <w:b/>
          <w:bCs/>
          <w:color w:val="FFFFFF"/>
          <w:shd w:fill="1F7A3D" w:val="clear"/>
        </w:rPr>
        <w:t xml:space="preserve"> [BUILT &amp; TESTED] </w:t>
      </w:r>
      <w:r>
        <w:t xml:space="preserve"> Controlled handling of personal data/metadata — evidence is encrypted at rest; PII masking available for reports.</w:t>
      </w:r>
    </w:p>
    <w:p>
      <w:pPr>
        <w:pStyle w:val="ListParagraph"/>
        <w:numPr>
          <w:ilvl w:val="0"/>
          <w:numId w:val="1"/>
        </w:numPr>
        <w:spacing w:after="90"/>
      </w:pPr>
      <w:r>
        <w:rPr>
          <w:b/>
          <w:bCs/>
          <w:color w:val="FFFFFF"/>
          <w:shd w:fill="1F7A3D" w:val="clear"/>
        </w:rPr>
        <w:t xml:space="preserve"> [BUILT &amp; TESTED] </w:t>
      </w:r>
      <w:r>
        <w:t xml:space="preserve"> Logging, evidence preservation, chain of custody — SHA-256 hashing plus the AuditEvent table.</w:t>
      </w:r>
    </w:p>
    <w:p>
      <w:pPr>
        <w:pStyle w:val="ListParagraph"/>
        <w:numPr>
          <w:ilvl w:val="0"/>
          <w:numId w:val="1"/>
        </w:numPr>
        <w:spacing w:after="90"/>
      </w:pPr>
      <w:r>
        <w:rPr>
          <w:b/>
          <w:bCs/>
          <w:color w:val="FFFFFF"/>
          <w:shd w:fill="1F7A3D" w:val="clear"/>
        </w:rPr>
        <w:t xml:space="preserve"> [BUILT &amp; TESTED] </w:t>
      </w:r>
      <w:r>
        <w:t xml:space="preserve"> Configurable retention and masking mechanisms — backend/security/privacy.py (this session's addition).</w:t>
      </w:r>
    </w:p>
    <w:p>
      <w:pPr>
        <w:pStyle w:val="Heading1"/>
        <w:spacing w:after="150" w:before="300"/>
      </w:pPr>
      <w:r>
        <w:t xml:space="preserve">6. Roadmap Feasibility — Can It Be Done, and Does It Cost Money?</w:t>
      </w:r>
    </w:p>
    <w:p>
      <w:pPr>
        <w:spacing w:after="120"/>
      </w:pPr>
      <w:r>
        <w:t xml:space="preserve">For every gap identified above, here is what it would take to close it — and critically, whether that requires a paid subscription/API or can be done entirely with free tools. This matters for a self-funded student team.</w:t>
      </w:r>
    </w:p>
    <w:p>
      <w:pPr>
        <w:pStyle w:val="Heading2"/>
        <w:spacing w:after="100" w:before="220"/>
      </w:pPr>
      <w:r>
        <w:t xml:space="preserve">Geolocation map view</w:t>
      </w:r>
    </w:p>
    <w:p>
      <w:pPr>
        <w:pStyle w:val="ListParagraph"/>
        <w:numPr>
          <w:ilvl w:val="0"/>
          <w:numId w:val="1"/>
        </w:numPr>
        <w:spacing w:after="90"/>
      </w:pPr>
      <w:r>
        <w:rPr>
          <w:b/>
          <w:bCs/>
          <w:color w:val="FFFFFF"/>
          <w:shd w:fill="1F7A3D" w:val="clear"/>
        </w:rPr>
        <w:t xml:space="preserve"> [CAN DO — FREE] </w:t>
      </w:r>
      <w:r>
        <w:t xml:space="preserve"> Leaflet.js + OpenStreetMap tiles. Both are free, open-source, and have no API key or usage cap for reasonable demo traffic. The backend already returns latitude/longitude — this is purely a frontend addition.</w:t>
      </w:r>
    </w:p>
    <w:p>
      <w:pPr>
        <w:pStyle w:val="Heading2"/>
        <w:spacing w:after="100" w:before="220"/>
      </w:pPr>
      <w:r>
        <w:t xml:space="preserve">SIEM/SOAR automated response (auto quarantine/block)</w:t>
      </w:r>
    </w:p>
    <w:p>
      <w:pPr>
        <w:pStyle w:val="ListParagraph"/>
        <w:numPr>
          <w:ilvl w:val="0"/>
          <w:numId w:val="1"/>
        </w:numPr>
        <w:spacing w:after="90"/>
      </w:pPr>
      <w:r>
        <w:rPr>
          <w:b/>
          <w:bCs/>
          <w:color w:val="FFFFFF"/>
          <w:shd w:fill="1F7A3D" w:val="clear"/>
        </w:rPr>
        <w:t xml:space="preserve"> [CAN DO — FREE (partial)] </w:t>
      </w:r>
      <w:r>
        <w:t xml:space="preserve"> Auto-moving a flagged email to a quarantine folder is achievable for free via the Gmail API or Microsoft Graph API (both have generous free tiers), through OAuth setup per mailbox.</w:t>
      </w:r>
    </w:p>
    <w:p>
      <w:pPr>
        <w:pStyle w:val="ListParagraph"/>
        <w:numPr>
          <w:ilvl w:val="0"/>
          <w:numId w:val="1"/>
        </w:numPr>
        <w:spacing w:after="90"/>
      </w:pPr>
      <w:r>
        <w:rPr>
          <w:b/>
          <w:bCs/>
          <w:color w:val="FFFFFF"/>
          <w:shd w:fill="B7791F" w:val="clear"/>
        </w:rPr>
        <w:t xml:space="preserve"> [CAN DO — PAID (fuller version)] </w:t>
      </w:r>
      <w:r>
        <w:t xml:space="preserve"> Enterprise SOAR platforms (Splunk SOAR, Cortex XSOAR, Microsoft Sentinel playbooks) integrate with our existing webhook for automated multi-step response, but those platforms themselves are commercial products.</w:t>
      </w:r>
    </w:p>
    <w:p>
      <w:pPr>
        <w:pStyle w:val="ListParagraph"/>
        <w:numPr>
          <w:ilvl w:val="0"/>
          <w:numId w:val="1"/>
        </w:numPr>
        <w:spacing w:after="90"/>
      </w:pPr>
      <w:r>
        <w:rPr>
          <w:b/>
          <w:bCs/>
          <w:color w:val="FFFFFF"/>
          <w:shd w:fill="8A1C1C" w:val="clear"/>
        </w:rPr>
        <w:t xml:space="preserve"> [CANNOT DO — within hackathon scope] </w:t>
      </w:r>
      <w:r>
        <w:t xml:space="preserve"> A single, universal, zero-configuration auto-block that works across every possible mail provider without per-organization credential setup — this is inherently deployment-specific, not a generic feature we can ship pre-built.</w:t>
      </w:r>
    </w:p>
    <w:p>
      <w:pPr>
        <w:pStyle w:val="Heading2"/>
        <w:spacing w:after="100" w:before="220"/>
      </w:pPr>
      <w:r>
        <w:t xml:space="preserve">Live threat-intelligence feed (vs. local blacklist)</w:t>
      </w:r>
    </w:p>
    <w:p>
      <w:pPr>
        <w:pStyle w:val="ListParagraph"/>
        <w:numPr>
          <w:ilvl w:val="0"/>
          <w:numId w:val="1"/>
        </w:numPr>
        <w:spacing w:after="90"/>
      </w:pPr>
      <w:r>
        <w:rPr>
          <w:b/>
          <w:bCs/>
          <w:color w:val="FFFFFF"/>
          <w:shd w:fill="1F7A3D" w:val="clear"/>
        </w:rPr>
        <w:t xml:space="preserve"> [CAN DO — FREE] </w:t>
      </w:r>
      <w:r>
        <w:t xml:space="preserve"> abuse.ch URLhaus and Spamhaus DROP are both genuinely free, no-registration-required (or free-registration) feeds that could replace/supplement the static local blacklist.json with minimal code change, since threat_intel.py was deliberately written so the lookup source can be swapped without touching any calling code.</w:t>
      </w:r>
    </w:p>
    <w:p>
      <w:pPr>
        <w:pStyle w:val="ListParagraph"/>
        <w:numPr>
          <w:ilvl w:val="0"/>
          <w:numId w:val="1"/>
        </w:numPr>
        <w:spacing w:after="90"/>
      </w:pPr>
      <w:r>
        <w:rPr>
          <w:b/>
          <w:bCs/>
          <w:color w:val="FFFFFF"/>
          <w:shd w:fill="B7791F" w:val="clear"/>
        </w:rPr>
        <w:t xml:space="preserve"> [CAN DO — PAID (richer data)] </w:t>
      </w:r>
      <w:r>
        <w:t xml:space="preserve"> Commercial options (VirusTotal paid tier, Recorded Future, Anomali) offer more comprehensive coverage at a subscription cost.</w:t>
      </w:r>
    </w:p>
    <w:p>
      <w:pPr>
        <w:pStyle w:val="Heading2"/>
        <w:spacing w:after="100" w:before="220"/>
      </w:pPr>
      <w:r>
        <w:t xml:space="preserve">Live Tor exit-node list (vs. static sample)</w:t>
      </w:r>
    </w:p>
    <w:p>
      <w:pPr>
        <w:pStyle w:val="ListParagraph"/>
        <w:numPr>
          <w:ilvl w:val="0"/>
          <w:numId w:val="1"/>
        </w:numPr>
        <w:spacing w:after="90"/>
      </w:pPr>
      <w:r>
        <w:rPr>
          <w:b/>
          <w:bCs/>
          <w:color w:val="FFFFFF"/>
          <w:shd w:fill="1F7A3D" w:val="clear"/>
        </w:rPr>
        <w:t xml:space="preserve"> [CAN DO — FREE] </w:t>
      </w:r>
      <w:r>
        <w:t xml:space="preserve"> The official Tor Project publishes a free, public, authoritative exit-node list at check.torproject.org/torbulkexitlist. Upgrading from our static sample file to this live list is a small, free code change (a scheduled refresh job).</w:t>
      </w:r>
    </w:p>
    <w:p>
      <w:pPr>
        <w:pStyle w:val="Heading2"/>
        <w:spacing w:after="100" w:before="220"/>
      </w:pPr>
      <w:r>
        <w:t xml:space="preserve">Cross-email behavioral/time-series anomaly detection</w:t>
      </w:r>
    </w:p>
    <w:p>
      <w:pPr>
        <w:pStyle w:val="ListParagraph"/>
        <w:numPr>
          <w:ilvl w:val="0"/>
          <w:numId w:val="1"/>
        </w:numPr>
        <w:spacing w:after="90"/>
      </w:pPr>
      <w:r>
        <w:rPr>
          <w:b/>
          <w:bCs/>
          <w:color w:val="FFFFFF"/>
          <w:shd w:fill="1F7A3D" w:val="clear"/>
        </w:rPr>
        <w:t xml:space="preserve"> [CAN DO — FREE] </w:t>
      </w:r>
      <w:r>
        <w:t xml:space="preserve"> Technically buildable using only the existing SQLite database — e.g. "has this sender IP sent N emails in the last hour." Pure code work, no paid dependency.</w:t>
      </w:r>
    </w:p>
    <w:p>
      <w:pPr>
        <w:pStyle w:val="ListParagraph"/>
        <w:numPr>
          <w:ilvl w:val="0"/>
          <w:numId w:val="1"/>
        </w:numPr>
        <w:spacing w:after="90"/>
      </w:pPr>
      <w:r>
        <w:rPr>
          <w:b/>
          <w:bCs/>
          <w:color w:val="FFFFFF"/>
          <w:shd w:fill="8A1C1C" w:val="clear"/>
        </w:rPr>
        <w:t xml:space="preserve"> [CANNOT DO — convincingly, within hackathon scope] </w:t>
      </w:r>
      <w:r>
        <w:t xml:space="preserve"> True behavioral baselining needs weeks/months of real historical data per sender to be statistically meaningful. A hackathon demo can't organically accumulate that; it would need seeded synthetic history to demo, which risks looking fabricated to a technical judge.</w:t>
      </w:r>
    </w:p>
    <w:p>
      <w:pPr>
        <w:pStyle w:val="Heading2"/>
        <w:spacing w:after="100" w:before="220"/>
      </w:pPr>
      <w:r>
        <w:t xml:space="preserve">Full OS-level sandboxing with enforced resource limits</w:t>
      </w:r>
    </w:p>
    <w:p>
      <w:pPr>
        <w:pStyle w:val="ListParagraph"/>
        <w:numPr>
          <w:ilvl w:val="0"/>
          <w:numId w:val="1"/>
        </w:numPr>
        <w:spacing w:after="90"/>
      </w:pPr>
      <w:r>
        <w:rPr>
          <w:b/>
          <w:bCs/>
          <w:color w:val="FFFFFF"/>
          <w:shd w:fill="1F7A3D" w:val="clear"/>
        </w:rPr>
        <w:t xml:space="preserve"> [CAN DO — FREE] </w:t>
      </w:r>
      <w:r>
        <w:t xml:space="preserve"> Docker containers with --memory/--cpus flags, or Linux cgroups directly, are free and would add real resource enforcement beyond today's upload-size/MIME-depth limits.</w:t>
      </w:r>
    </w:p>
    <w:p>
      <w:pPr>
        <w:pStyle w:val="ListParagraph"/>
        <w:numPr>
          <w:ilvl w:val="0"/>
          <w:numId w:val="1"/>
        </w:numPr>
        <w:spacing w:after="90"/>
      </w:pPr>
      <w:r>
        <w:rPr>
          <w:b/>
          <w:bCs/>
          <w:color w:val="FFFFFF"/>
          <w:shd w:fill="8A1C1C" w:val="clear"/>
        </w:rPr>
        <w:t xml:space="preserve"> [CANNOT DO — easily, on the target hardware] </w:t>
      </w:r>
      <w:r>
        <w:t xml:space="preserve"> True OS-level sandboxing (gVisor, Firecracker microVMs) is Linux-server-oriented; reliably running it on a judge's Windows laptop specifically would need WSL2 or Docker Desktop pre-installed — added deployment complexity beyond what a laptop-first prototype should require.</w:t>
      </w:r>
    </w:p>
    <w:p>
      <w:pPr>
        <w:pStyle w:val="Heading1"/>
        <w:spacing w:after="150" w:before="300"/>
      </w:pPr>
      <w:r>
        <w:t xml:space="preserve">7. Out of Scope (Non-Goals)</w:t>
      </w:r>
    </w:p>
    <w:p>
      <w:pPr>
        <w:pStyle w:val="ListParagraph"/>
        <w:numPr>
          <w:ilvl w:val="0"/>
          <w:numId w:val="1"/>
        </w:numPr>
        <w:spacing w:after="80"/>
      </w:pPr>
      <w:r>
        <w:t xml:space="preserve">Does not claim to identify a human attacker's real-world identity — only infrastructure.</w:t>
      </w:r>
    </w:p>
    <w:p>
      <w:pPr>
        <w:pStyle w:val="ListParagraph"/>
        <w:numPr>
          <w:ilvl w:val="0"/>
          <w:numId w:val="1"/>
        </w:numPr>
        <w:spacing w:after="80"/>
      </w:pPr>
      <w:r>
        <w:t xml:space="preserve">Geolocation shows where infrastructure is registered, not a confirmed physical attacker location.</w:t>
      </w:r>
    </w:p>
    <w:p>
      <w:pPr>
        <w:pStyle w:val="ListParagraph"/>
        <w:numPr>
          <w:ilvl w:val="0"/>
          <w:numId w:val="1"/>
        </w:numPr>
        <w:spacing w:after="80"/>
      </w:pPr>
      <w:r>
        <w:t xml:space="preserve">Does not automatically block, quarantine, or delete emails — decision-support only, pending the Phase 2 SOAR roadmap item.</w:t>
      </w:r>
    </w:p>
    <w:p>
      <w:pPr>
        <w:pStyle w:val="Heading1"/>
        <w:spacing w:after="150" w:before="300"/>
      </w:pPr>
      <w:r>
        <w:t xml:space="preserve">8. Success Criteria</w:t>
      </w:r>
    </w:p>
    <w:p>
      <w:pPr>
        <w:pStyle w:val="ListParagraph"/>
        <w:numPr>
          <w:ilvl w:val="0"/>
          <w:numId w:val="1"/>
        </w:numPr>
        <w:spacing w:after="80"/>
      </w:pPr>
      <w:r>
        <w:t xml:space="preserve">Automated pipeline correctly ingests, hashes, analyzes, and scores a phishing email end-to-end</w:t>
      </w:r>
    </w:p>
    <w:p>
      <w:pPr>
        <w:pStyle w:val="ListParagraph"/>
        <w:numPr>
          <w:ilvl w:val="0"/>
          <w:numId w:val="1"/>
        </w:numPr>
        <w:spacing w:after="80"/>
      </w:pPr>
      <w:r>
        <w:t xml:space="preserve">Every score is traceable to specific, named evidence — never a black-box number</w:t>
      </w:r>
    </w:p>
    <w:p>
      <w:pPr>
        <w:pStyle w:val="ListParagraph"/>
        <w:numPr>
          <w:ilvl w:val="0"/>
          <w:numId w:val="1"/>
        </w:numPr>
        <w:spacing w:after="80"/>
      </w:pPr>
      <w:r>
        <w:t xml:space="preserve">System keeps working with zero GPU, zero internet connection, and malformed input</w:t>
      </w:r>
    </w:p>
    <w:p>
      <w:pPr>
        <w:pStyle w:val="ListParagraph"/>
        <w:numPr>
          <w:ilvl w:val="0"/>
          <w:numId w:val="1"/>
        </w:numPr>
        <w:spacing w:after="80"/>
      </w:pPr>
      <w:r>
        <w:t xml:space="preserve">Reports are cryptographically verifiable; tampering is detectable</w:t>
      </w:r>
    </w:p>
    <w:p>
      <w:pPr>
        <w:pStyle w:val="ListParagraph"/>
        <w:numPr>
          <w:ilvl w:val="0"/>
          <w:numId w:val="1"/>
        </w:numPr>
        <w:spacing w:after="80"/>
      </w:pPr>
      <w:r>
        <w:t xml:space="preserve">36/36 automated tests passing as of this document's writing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2026-09-10T03:56:05.347Z</dcterms:created>
  <dcterms:modified xsi:type="dcterms:W3CDTF">2026-09-10T03:56:05.356Z</dcterms:modified>
</cp:coreProperties>
</file>

<file path=docProps/custom.xml><?xml version="1.0" encoding="utf-8"?>
<Properties xmlns="http://schemas.openxmlformats.org/officeDocument/2006/custom-properties" xmlns:vt="http://schemas.openxmlformats.org/officeDocument/2006/docPropsVTypes"/>
</file>