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60" w:after="80"/>
      </w:pPr>
      <w:r>
        <w:rPr>
          <w:rFonts w:ascii="Calibri" w:hAnsi="Calibri"/>
          <w:b/>
          <w:color w:val="0A2540"/>
          <w:sz w:val="42"/>
        </w:rPr>
        <w:t>JAALBHEDI (SIH26106) — Live Prototype Demonstration &amp; Result Explanation Guide</w:t>
      </w:r>
    </w:p>
    <w:p>
      <w:pPr>
        <w:spacing w:before="0" w:after="280"/>
      </w:pPr>
      <w:r>
        <w:rPr>
          <w:rFonts w:ascii="Calibri" w:hAnsi="Calibri"/>
          <w:color w:val="4A5568"/>
          <w:sz w:val="23"/>
        </w:rPr>
        <w:t>"What Button Will Give What": Step-by-Step Interactive Button Operations, Real-Time HUD Responses, Forensic Result Interpretations &amp; Pitch Defense Scripts</w:t>
        <w:br/>
        <w:t>Smart India Hackathon 2026 — Theme: Blockchain &amp; Cybersecurity / Smart Automation</w:t>
      </w:r>
    </w:p>
    <w:tbl>
      <w:tblPr>
        <w:tblW w:type="auto" w:w="0"/>
        <w:jc w:val="center"/>
        <w:tblLayout w:type="fixed"/>
        <w:tblLook w:firstColumn="1" w:firstRow="1" w:lastColumn="0" w:lastRow="0" w:noHBand="0" w:noVBand="1" w:val="04A0"/>
      </w:tblPr>
      <w:tblGrid>
        <w:gridCol w:w="5040"/>
        <w:gridCol w:w="5040"/>
      </w:tblGrid>
      <w:tr>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Presentation Dimension</w:t>
            </w:r>
          </w:p>
        </w:tc>
        <w:tc>
          <w:tcPr>
            <w:tcW w:type="dxa" w:w="691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Interactive Demonstration Specification</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Prototype URL</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http://localhost:8000/app/ (Tactical Cyber HUD Single-Page Application)</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Backend API Reference</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http://localhost:8000/docs (Interactive Swagger OpenAPI Documentation)</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Hardware Environment</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Acer Aspire: Intel i5-13420H (10 Cores) · 16 GB DDR5 · NVIDIA RTX 3050 (6GB) · Win 11</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Primary Demo Artifact</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tests/sample_phishing.eml (Crafted synthetic phishing email with forged headers, lookalike URLs)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Document Purpose</w:t>
            </w:r>
          </w:p>
        </w:tc>
        <w:tc>
          <w:tcPr>
            <w:tcW w:type="dxa" w:w="691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Provide a zero-confusion, click-by-click presenter manual detailing what button triggers what action, what exact visual output appears on screen, and how to explain that result to judges.</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Mandatory Style Rule</w:t>
            </w:r>
          </w:p>
        </w:tc>
        <w:tc>
          <w:tcPr>
            <w:tcW w:type="dxa" w:w="691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Every single technical term is accompanied by an in-depth definition in brackets: Terminology (Meaning / Explanation in brackets).</w:t>
            </w:r>
          </w:p>
        </w:tc>
      </w:tr>
    </w:tbl>
    <w:p>
      <w:pPr>
        <w:spacing w:before="0" w:after="80"/>
      </w:pPr>
    </w:p>
    <w:tbl>
      <w:tblPr>
        <w:tblW w:type="auto" w:w="0"/>
        <w:jc w:val="center"/>
        <w:tblLayout w:type="fixed"/>
        <w:tblLook w:firstColumn="1" w:firstRow="1" w:lastColumn="0" w:lastRow="0" w:noHBand="0" w:noVBand="1" w:val="04A0"/>
      </w:tblPr>
      <w:tblGrid>
        <w:gridCol w:w="10080"/>
      </w:tblGrid>
      <w:tr>
        <w:tc>
          <w:tcPr>
            <w:tcW w:type="dxa" w:w="10080"/>
            <w:shd w:fill="F1F5F9"/>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LIVE EVALUATION STRATEGY &amp; PRESENTATION TRIAD</w:t>
              <w:br/>
            </w:r>
            <w:r>
              <w:rPr>
                <w:rFonts w:ascii="Calibri" w:hAnsi="Calibri"/>
                <w:b/>
                <w:color w:val="0A2540"/>
                <w:sz w:val="20"/>
              </w:rPr>
              <w:t xml:space="preserve">PRESENTER'S GOLDEN RULE FOR LIVE JUDGING: </w:t>
            </w:r>
            <w:r>
              <w:rPr>
                <w:rFonts w:ascii="Calibri" w:hAnsi="Calibri"/>
                <w:color w:val="2D3748"/>
                <w:sz w:val="19"/>
              </w:rPr>
              <w:t>When presenting to Smart India Hackathon evaluators, never click a button silently! Always follow the 'Action-Reaction-Explanation' triad: (1) Announce the button you are clicking and why; (2) Draw the judges' eyes to the exact visual element updating on the screen; (3) Explain the underlying forensic, cryptographic, or algorithmic mechanics using proper technical terminology with plain-language context. This document gives you the exact script for each button.</w:t>
            </w:r>
          </w:p>
        </w:tc>
      </w:tr>
    </w:tbl>
    <w:p>
      <w:pPr>
        <w:spacing w:before="0" w:after="80"/>
      </w:pPr>
    </w:p>
    <w:p>
      <w:pPr>
        <w:keepNext/>
        <w:spacing w:before="440" w:after="120"/>
        <w:pBdr>
          <w:bottom w:val="single" w:sz="12" w:space="4" w:color="007791"/>
        </w:pBdr>
      </w:pPr>
      <w:r>
        <w:rPr>
          <w:rFonts w:ascii="Calibri" w:hAnsi="Calibri"/>
          <w:b/>
          <w:color w:val="0A2540"/>
          <w:sz w:val="33"/>
        </w:rPr>
        <w:t>1. Master Demonstration Narrative &amp; Screen Layout Setup</w:t>
      </w:r>
    </w:p>
    <w:p>
      <w:pPr>
        <w:spacing w:before="0" w:after="80" w:line="276" w:lineRule="auto"/>
      </w:pPr>
      <w:r>
        <w:rPr>
          <w:rFonts w:ascii="Calibri" w:hAnsi="Calibri"/>
          <w:b/>
          <w:color w:val="0A2540"/>
          <w:sz w:val="20"/>
        </w:rPr>
        <w:t xml:space="preserve">Workstation Screen Configuration: </w:t>
      </w:r>
      <w:r>
        <w:rPr>
          <w:rFonts w:ascii="Calibri" w:hAnsi="Calibri"/>
          <w:color w:val="2D3748"/>
          <w:sz w:val="20"/>
        </w:rPr>
        <w:t>Before inviting judges or professors to view the screen, configure your workstation into a Dual-Pane Presentation Layout: Place Google Chrome (or Microsoft Edge) on the left 65% of your screen displaying the Tactical Cyber HUD at http://localhost:8000/app/. Open Windows Task Manager on the right 35% of the screen navigated to Performance -&gt; GPU (NVIDIA GeForce RTX 3050 Laptop GPU). This visual setup allows you to prove live GPU hardware acceleration in real time while demonstrating the forensic pipeline.</w:t>
      </w:r>
    </w:p>
    <w:p>
      <w:pPr>
        <w:spacing w:before="0" w:after="80" w:line="276" w:lineRule="auto"/>
      </w:pPr>
      <w:r>
        <w:rPr>
          <w:rFonts w:ascii="Calibri" w:hAnsi="Calibri"/>
          <w:b/>
          <w:color w:val="0A2540"/>
          <w:sz w:val="20"/>
        </w:rPr>
        <w:t xml:space="preserve">The 30-Second Golden Elevator Pitch: </w:t>
      </w:r>
      <w:r>
        <w:rPr>
          <w:rFonts w:ascii="Calibri" w:hAnsi="Calibri"/>
          <w:color w:val="2D3748"/>
          <w:sz w:val="20"/>
        </w:rPr>
        <w:t>If a judge stops you early, has only 60 seconds, or asks for the bottom-line summary before your demo, deliver this exact three-sentence pitch:</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1E3A8A" w:sz="24"/>
              <w:bottom w:val="none"/>
              <w:right w:val="none"/>
            </w:tcBorders>
          </w:tcPr>
          <w:p>
            <w:pPr>
              <w:spacing w:before="40" w:after="40" w:line="276" w:lineRule="auto"/>
            </w:pPr>
            <w:r>
              <w:rPr>
                <w:rFonts w:ascii="Calibri" w:hAnsi="Calibri"/>
                <w:b/>
                <w:color w:val="0A2540"/>
                <w:sz w:val="21"/>
              </w:rPr>
              <w:t>■ THE 3-SENTENCE EXECUTIVE ELEVATOR PITCH</w:t>
              <w:br/>
            </w:r>
            <w:r>
              <w:rPr>
                <w:rFonts w:ascii="Calibri" w:hAnsi="Calibri"/>
                <w:b/>
                <w:color w:val="0A2540"/>
                <w:sz w:val="20"/>
              </w:rPr>
              <w:t xml:space="preserve">SAY THIS EXACTLY: </w:t>
            </w:r>
            <w:r>
              <w:rPr>
                <w:rFonts w:ascii="Calibri" w:hAnsi="Calibri"/>
                <w:color w:val="2D3748"/>
                <w:sz w:val="19"/>
              </w:rPr>
              <w:t>"Respected Judges, traditional email security tools act as opaque black boxes: they assign an arbitrary spam score, but fail when attackers forge delivery headers, lack legal admissibility under Section 65B of the Indian Evidence Act, and risk data privacy by sending emails to cloud LLMs.</w:t>
              <w:br/>
              <w:br/>
              <w:t>JAALBHEDI solves this by fusing deterministic RFC-standard forensics, cryptographic protocol checks, and local machine learning into an explainable 0-to-100 threat score where every point is mathematically justified.</w:t>
              <w:br/>
              <w:br/>
              <w:t>Our architecture is a true hybrid edge design: our NVIDIA RTX 3050 GPU accelerates deep NLP transformer inference, while our Intel CPU executes deterministic forensics, with an automatic 5-millisecond CPU fallback guaranteeing zero downtime in air-gapped forensic labs."</w:t>
            </w:r>
          </w:p>
        </w:tc>
      </w:tr>
    </w:tbl>
    <w:p>
      <w:pPr>
        <w:spacing w:before="0" w:after="80"/>
      </w:pPr>
    </w:p>
    <w:p>
      <w:pPr>
        <w:keepNext/>
        <w:spacing w:before="440" w:after="120"/>
        <w:pBdr>
          <w:bottom w:val="single" w:sz="12" w:space="4" w:color="007791"/>
        </w:pBdr>
      </w:pPr>
      <w:r>
        <w:rPr>
          <w:rFonts w:ascii="Calibri" w:hAnsi="Calibri"/>
          <w:b/>
          <w:color w:val="0A2540"/>
          <w:sz w:val="33"/>
        </w:rPr>
        <w:t>2. Master Interactive Matrix: "What Button Will Give What"</w:t>
      </w:r>
    </w:p>
    <w:p>
      <w:pPr>
        <w:spacing w:before="0" w:after="80" w:line="276" w:lineRule="auto"/>
      </w:pPr>
      <w:r>
        <w:rPr>
          <w:rFonts w:ascii="Calibri" w:hAnsi="Calibri"/>
          <w:b/>
          <w:color w:val="0A2540"/>
          <w:sz w:val="20"/>
        </w:rPr>
        <w:t xml:space="preserve">Comprehensive Interaction Overview: </w:t>
      </w:r>
      <w:r>
        <w:rPr>
          <w:rFonts w:ascii="Calibri" w:hAnsi="Calibri"/>
          <w:color w:val="2D3748"/>
          <w:sz w:val="20"/>
        </w:rPr>
        <w:t>This master table summarizes the entire user interaction lifecycle. Use this table as your rapid mental roadmap during the live demonstration:</w:t>
      </w:r>
    </w:p>
    <w:tbl>
      <w:tblPr>
        <w:tblW w:type="auto" w:w="0"/>
        <w:jc w:val="center"/>
        <w:tblLayout w:type="fixed"/>
        <w:tblLook w:firstColumn="1" w:firstRow="1" w:lastColumn="0" w:lastRow="0" w:noHBand="0" w:noVBand="1" w:val="04A0"/>
      </w:tblPr>
      <w:tblGrid>
        <w:gridCol w:w="2520"/>
        <w:gridCol w:w="2520"/>
        <w:gridCol w:w="2520"/>
        <w:gridCol w:w="2520"/>
      </w:tblGrid>
      <w:tr>
        <w:tc>
          <w:tcPr>
            <w:tcW w:type="dxa" w:w="216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Button / Control Name</w:t>
            </w:r>
          </w:p>
        </w:tc>
        <w:tc>
          <w:tcPr>
            <w:tcW w:type="dxa" w:w="187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Physical User Action</w:t>
            </w:r>
          </w:p>
        </w:tc>
        <w:tc>
          <w:tcPr>
            <w:tcW w:type="dxa" w:w="288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Immediate Visual Result on Screen</w:t>
            </w:r>
          </w:p>
        </w:tc>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What the Result Proves / Core Defense Script</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Hardware Health Indicator</w:t>
              <w:br/>
              <w:t>(#healthLine)</w:t>
            </w:r>
          </w:p>
        </w:tc>
        <w:tc>
          <w:tcPr>
            <w:tcW w:type="dxa" w:w="187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Look at top-right navigation header on load.</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Displays green status dot with: 'GPU active — NVIDIA GeForce RTX 3050 Laptop GPU'.</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dynamic edge hardware profiling: GPU is detected and initialized for NLP, while CPU is isolated for deterministic forensics.</w:t>
            </w:r>
          </w:p>
        </w:tc>
      </w:tr>
      <w:tr>
        <w:tc>
          <w:tcPr>
            <w:tcW w:type="dxa" w:w="216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Button:</w:t>
              <w:br/>
              <w:t>'Create new case'</w:t>
              <w:br/>
              <w:t>(#newCaseBtn)</w:t>
            </w:r>
          </w:p>
        </w:tc>
        <w:tc>
          <w:tcPr>
            <w:tcW w:type="dxa" w:w="187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primary blue button in 'Case' panel.</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'Active case ID' populates with UUIDv4 string (e.g., 7f3b8c2a-...). Status confirms 'Case created.'</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legal chain of custody: initializes an isolated investigation container and logs an immutable audit event in SQLite.</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Input &amp; Toggle:</w:t>
              <w:br/>
              <w:t>'Choose File' &amp;</w:t>
              <w:br/>
              <w:t>'Enable network lookups'</w:t>
            </w:r>
          </w:p>
        </w:tc>
        <w:tc>
          <w:tcPr>
            <w:tcW w:type="dxa" w:w="187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Select tests/sample_phishing.eml; toggle checkbox.</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Filename displays; network checkbox checked (Online) or unchecked (Air-Gapped).</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multi-mode readiness: demonstrates support for RFC 5322 MIME files and ability to toggle between live DNS and air-gapped lab modes.</w:t>
            </w:r>
          </w:p>
        </w:tc>
      </w:tr>
      <w:tr>
        <w:tc>
          <w:tcPr>
            <w:tcW w:type="dxa" w:w="216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Button:</w:t>
              <w:br/>
              <w:t>'Ingest &amp; hash evidence'</w:t>
              <w:br/>
              <w:t>(#uploadBtn)</w:t>
            </w:r>
          </w:p>
        </w:tc>
        <w:tc>
          <w:tcPr>
            <w:tcW w:type="dxa" w:w="187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primary blue button in 'Evidence intake'.</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'Evidence SHA-256' displays 64-hex digest. Status confirms preservation. 'Run full analysis' unlocks.</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pre-analysis integrity: hashes raw bytes with SHA-256 BEFORE parsing and secures evidence in an AES-128 Fernet encrypted vault.</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Button:</w:t>
              <w:br/>
              <w:t>'Run full analysis'</w:t>
              <w:br/>
              <w:t>(#analyzeBtn)</w:t>
            </w:r>
          </w:p>
        </w:tc>
        <w:tc>
          <w:tcPr>
            <w:tcW w:type="dxa" w:w="187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secondary button in 'Evidence intake'.</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Results column renders 6 rich panels: Threat Score Hero, Auth Table, Hop Table, GeoIP, URLs, Limitations.</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The centerpiece of the platform: executes full 12-stage pipeline in under 200ms, fusing 5 signal families into an explainable 0-100 score.</w:t>
            </w:r>
          </w:p>
        </w:tc>
      </w:tr>
      <w:tr>
        <w:tc>
          <w:tcPr>
            <w:tcW w:type="dxa" w:w="216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Action Link:</w:t>
              <w:br/>
              <w:t>'Generate PDF/JSON report →'</w:t>
              <w:br/>
              <w:t>(#generateReportLink)</w:t>
            </w:r>
          </w:p>
        </w:tc>
        <w:tc>
          <w:tcPr>
            <w:tcW w:type="dxa" w:w="187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link in 'Limitations &amp; caveats' panel.</w:t>
            </w:r>
          </w:p>
        </w:tc>
        <w:tc>
          <w:tcPr>
            <w:tcW w:type="dxa" w:w="288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Status shows 'Report ready.' Link transforms into two download buttons: 'Download PDF' and 'Download JSON'.</w:t>
            </w:r>
          </w:p>
        </w:tc>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tamper-evident reporting: serializes report to canonical JSON, signs with HMAC-SHA256/RSA-PSS, and generates vector PDF via ReportLab.</w:t>
            </w:r>
          </w:p>
        </w:tc>
      </w:tr>
      <w:tr>
        <w:tc>
          <w:tcPr>
            <w:tcW w:type="dxa" w:w="216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Button:</w:t>
              <w:br/>
              <w:t>'Download PDF'</w:t>
              <w:br/>
              <w:t>(Dynamic Download Button)</w:t>
            </w:r>
          </w:p>
        </w:tc>
        <w:tc>
          <w:tcPr>
            <w:tcW w:type="dxa" w:w="187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Click teal 'Download PDF' button.</w:t>
            </w:r>
          </w:p>
        </w:tc>
        <w:tc>
          <w:tcPr>
            <w:tcW w:type="dxa" w:w="288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Opens formal multi-page forensic PDF dossier in new browser tab with digital signature block.</w:t>
            </w:r>
          </w:p>
        </w:tc>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Proves Section 65B Indian Evidence Act compliance: court-admissible dossier with cryptographic hashes, hop table, and legal disclaimers.</w:t>
            </w:r>
          </w:p>
        </w:tc>
      </w:tr>
    </w:tbl>
    <w:p>
      <w:pPr>
        <w:spacing w:before="0" w:after="80"/>
      </w:pPr>
    </w:p>
    <w:p>
      <w:pPr>
        <w:keepNext/>
        <w:spacing w:before="440" w:after="120"/>
        <w:pBdr>
          <w:bottom w:val="single" w:sz="12" w:space="4" w:color="007791"/>
        </w:pBdr>
      </w:pPr>
      <w:r>
        <w:rPr>
          <w:rFonts w:ascii="Calibri" w:hAnsi="Calibri"/>
          <w:b/>
          <w:color w:val="0A2540"/>
          <w:sz w:val="33"/>
        </w:rPr>
        <w:t>3. Granular Button-by-Button Walkthrough &amp; In-Depth Result Explanations</w:t>
      </w:r>
    </w:p>
    <w:p>
      <w:pPr>
        <w:spacing w:before="0" w:after="80" w:line="276" w:lineRule="auto"/>
      </w:pPr>
      <w:r>
        <w:rPr>
          <w:rFonts w:ascii="Calibri" w:hAnsi="Calibri"/>
          <w:b/>
          <w:color w:val="0A2540"/>
          <w:sz w:val="20"/>
        </w:rPr>
        <w:t xml:space="preserve">Granular Interactive Walkthrough: </w:t>
      </w:r>
      <w:r>
        <w:rPr>
          <w:rFonts w:ascii="Calibri" w:hAnsi="Calibri"/>
          <w:color w:val="2D3748"/>
          <w:sz w:val="20"/>
        </w:rPr>
        <w:t>This section details every single button, control, and visual output on the Tactical Cyber HUD. For each element, it provides: (1) What the button is; (2) What happens in the code; (3) What exact result appears on screen; (4) What the presenter must say; and (5) The deep technical explanation of the result.</w:t>
      </w:r>
    </w:p>
    <w:p>
      <w:pPr>
        <w:keepNext/>
        <w:spacing w:before="280" w:after="80"/>
      </w:pPr>
      <w:r>
        <w:rPr>
          <w:rFonts w:ascii="Calibri" w:hAnsi="Calibri"/>
          <w:b/>
          <w:color w:val="1E3A8A"/>
          <w:sz w:val="26"/>
        </w:rPr>
        <w:t>3.1 Interaction 1: The Top Header Hardware Health Status Indicator</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Hardware Status Pill Badge located at the top-right corner of the navigation bar (HTML element id='healthLine').</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When the browser loads http://localhost:8000/app/, the client script triggers an asynchronous HTTP GET request to /api/health. The FastAPI backend inspects the Python runtime: it attempts to import torch, queries torch.cuda.is_available(), calls torch.cuda.get_device_name(0), and checks whether models/baseline_tfidf.joblib exists on disk. It returns a JSON object: {"status": "ok", "cuda_available": true, "gpu_name": "NVIDIA GeForce RTX 3050 Laptop GPU", "baseline_model_trained": true}.</w:t>
      </w:r>
    </w:p>
    <w:p>
      <w:pPr>
        <w:spacing w:before="0" w:after="80" w:line="276" w:lineRule="auto"/>
      </w:pPr>
      <w:r>
        <w:rPr>
          <w:rFonts w:ascii="Calibri" w:hAnsi="Calibri"/>
          <w:b/>
          <w:color w:val="0A2540"/>
          <w:sz w:val="20"/>
        </w:rPr>
        <w:t xml:space="preserve">Exact Result Appearing on Screen: </w:t>
      </w:r>
      <w:r>
        <w:rPr>
          <w:rFonts w:ascii="Calibri" w:hAnsi="Calibri"/>
          <w:color w:val="2D3748"/>
          <w:sz w:val="20"/>
        </w:rPr>
        <w:t>The header updates dynamically from 'checking backend...' to display a glowing green status dot alongside the text: 'GPU active — NVIDIA GeForce RTX 3050 Laptop GPU'. (If running on a machine without CUDA, it displays: 'CPU mode (no CUDA detected — using baseline model)').</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1: SPOKEN DEFENSE SCRIPT</w:t>
              <w:br/>
            </w:r>
            <w:r>
              <w:rPr>
                <w:rFonts w:ascii="Calibri" w:hAnsi="Calibri"/>
                <w:b/>
                <w:color w:val="0A2540"/>
                <w:sz w:val="20"/>
              </w:rPr>
              <w:t xml:space="preserve">SAY THIS TO JUDGES: </w:t>
            </w:r>
            <w:r>
              <w:rPr>
                <w:rFonts w:ascii="Calibri" w:hAnsi="Calibri"/>
                <w:color w:val="2D3748"/>
                <w:sz w:val="19"/>
              </w:rPr>
              <w:t>"Judges, notice our active hardware health badge in the top right corner. Before processing any data, our backend automatically profiles the edge machine. Here on our Acer workstation, it detected our NVIDIA RTX 3050 Laptop GPU with 6GB of VRAM and initialized our PyTorch CUDA environment. If this workstation lacked a GPU, it would display 'CPU mode' and run our optimized CPU baseline with zero interruption."</w:t>
            </w:r>
          </w:p>
        </w:tc>
      </w:tr>
    </w:tbl>
    <w:p>
      <w:pPr>
        <w:spacing w:before="0" w:after="80"/>
      </w:pPr>
    </w:p>
    <w:p>
      <w:pPr>
        <w:spacing w:before="0" w:after="80" w:line="276" w:lineRule="auto"/>
      </w:pPr>
      <w:r>
        <w:rPr>
          <w:rFonts w:ascii="Calibri" w:hAnsi="Calibri"/>
          <w:b/>
          <w:color w:val="0A2540"/>
          <w:sz w:val="20"/>
        </w:rPr>
        <w:t xml:space="preserve">Deep Result Explanation: </w:t>
      </w:r>
      <w:r>
        <w:rPr>
          <w:rFonts w:ascii="Calibri" w:hAnsi="Calibri"/>
          <w:color w:val="2D3748"/>
          <w:sz w:val="20"/>
        </w:rPr>
        <w:t>This result proves our Decoupled Hybrid Architecture. We do not waste GPU memory on sequential text parsing or database queries. The system confirms hardware readiness: VRAM (Video Random-Access Memory — Dedicated ultra-high-speed memory installed on dedicated graphics cards used to store neural network parameters, model weights, and intermediate tensor activation states) is allocated exclusively for Stage B Transformer inference via CUDA (Compute Unified Device Architecture — A proprietary parallel computing platform and API model developed by NVIDIA allowing developers to use GPUs for general-purpose mathematical processing).</w:t>
      </w:r>
    </w:p>
    <w:p>
      <w:pPr>
        <w:keepNext/>
        <w:spacing w:before="280" w:after="80"/>
      </w:pPr>
      <w:r>
        <w:rPr>
          <w:rFonts w:ascii="Calibri" w:hAnsi="Calibri"/>
          <w:b/>
          <w:color w:val="1E3A8A"/>
          <w:sz w:val="26"/>
        </w:rPr>
        <w:t>3.2 Interaction 2: Button "Create new case" (#newCaseBtn)</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primary teal button labeled 'Create new case' located inside the top-left 'Case' panel.</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Clicking the button sends an asynchronous HTTP POST request to /api/cases with a Form body containing analyst: 'sih_demo_analyst'. The FastAPI backend invokes uuid.uuid4() to generate a UUIDv4 (Universally Unique Identifier version 4 — A 128-bit pseudo-random mathematical identifier formatted as 32 hexadecimal digits separated by four hyphens, guaranteeing global uniqueness across distributed systems without central coordination). It commits a new record into the cases table in the SQLite database (db/database.py) with status='open' and logs an initial event in the audit_events table.</w:t>
      </w:r>
    </w:p>
    <w:p>
      <w:pPr>
        <w:spacing w:before="0" w:after="80" w:line="276" w:lineRule="auto"/>
      </w:pPr>
      <w:r>
        <w:rPr>
          <w:rFonts w:ascii="Calibri" w:hAnsi="Calibri"/>
          <w:b/>
          <w:color w:val="0A2540"/>
          <w:sz w:val="20"/>
        </w:rPr>
        <w:t xml:space="preserve">Exact Result Appearing on Screen: </w:t>
      </w:r>
      <w:r>
        <w:rPr>
          <w:rFonts w:ascii="Calibri" w:hAnsi="Calibri"/>
          <w:color w:val="2D3748"/>
          <w:sz w:val="20"/>
        </w:rPr>
        <w:t>1. The empty 'Active case ID' field instantly updates from 'none' to a 36-character hexadecimal UUID string enclosed in a monospace cyber tag: e.g., 'd3a4b912-8e7c-41a2-9f33-88bb9a112233'.</w:t>
        <w:br/>
        <w:t>2. The status line below evidence intake displays: 'Case created.'</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2: SPOKEN DEFENSE SCRIPT</w:t>
              <w:br/>
            </w:r>
            <w:r>
              <w:rPr>
                <w:rFonts w:ascii="Calibri" w:hAnsi="Calibri"/>
                <w:b/>
                <w:color w:val="0A2540"/>
                <w:sz w:val="20"/>
              </w:rPr>
              <w:t xml:space="preserve">SAY THIS TO JUDGES: </w:t>
            </w:r>
            <w:r>
              <w:rPr>
                <w:rFonts w:ascii="Calibri" w:hAnsi="Calibri"/>
                <w:color w:val="2D3748"/>
                <w:sz w:val="19"/>
              </w:rPr>
              <w:t>"I will now click 'Create new case'. Notice that the system immediately assigns a globally unique Case ID—d3a4b912... This is not just a UI counter; it creates an isolated relational container in our local database and initiates an append-only cryptographic audit trail in compliance with ISO/IEC 27037 digital evidence handling standards."</w:t>
            </w:r>
          </w:p>
        </w:tc>
      </w:tr>
    </w:tbl>
    <w:p>
      <w:pPr>
        <w:spacing w:before="0" w:after="80"/>
      </w:pPr>
    </w:p>
    <w:p>
      <w:pPr>
        <w:spacing w:before="0" w:after="80" w:line="276" w:lineRule="auto"/>
      </w:pPr>
      <w:r>
        <w:rPr>
          <w:rFonts w:ascii="Calibri" w:hAnsi="Calibri"/>
          <w:b/>
          <w:color w:val="0A2540"/>
          <w:sz w:val="20"/>
        </w:rPr>
        <w:t xml:space="preserve">Deep Result Explanation: </w:t>
      </w:r>
      <w:r>
        <w:rPr>
          <w:rFonts w:ascii="Calibri" w:hAnsi="Calibri"/>
          <w:color w:val="2D3748"/>
          <w:sz w:val="20"/>
        </w:rPr>
        <w:t>In forensic investigations, isolated case partitioning is mandatory. Evidence must never float unassigned in memory. By binding all subsequent email uploads, headers, IOC indicators, and reports to this primary case_id, JAALBHEDI guarantees an unbroken Chain of Custody (A documented chronological trail that records the unbroken custody, control, transfer, analysis, and physical disposition of electronic evidence to ensure legal admissibility in court).</w:t>
      </w:r>
    </w:p>
    <w:p>
      <w:pPr>
        <w:keepNext/>
        <w:spacing w:before="280" w:after="80"/>
      </w:pPr>
      <w:r>
        <w:rPr>
          <w:rFonts w:ascii="Calibri" w:hAnsi="Calibri"/>
          <w:b/>
          <w:color w:val="1E3A8A"/>
          <w:sz w:val="26"/>
        </w:rPr>
        <w:t>3.3 Interaction 3: Evidence File Selector &amp; Network Lookup Checkbox</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standard file picker labeled 'Upload .eml file' (id='emlFile') and the checkbox labeled 'Enable network lookups (DNS/RDAP)' (id='enableNetwork').</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Clicking 'Choose File' opens the operating system file dialog. We select tests/sample_phishing.eml (or drag-and-drop it). The browser file handler stages the file in memory. Toggling the 'Enable network lookups' checkbox sets a boolean parameter: when checked (True), the backend will query live DNS TXT records for SPF/DMARC and query ICANN RDAP endpoints; when unchecked (False), the system strictly suppresses all outbound network sockets.</w:t>
      </w:r>
    </w:p>
    <w:p>
      <w:pPr>
        <w:spacing w:before="0" w:after="80" w:line="276" w:lineRule="auto"/>
      </w:pPr>
      <w:r>
        <w:rPr>
          <w:rFonts w:ascii="Calibri" w:hAnsi="Calibri"/>
          <w:b/>
          <w:color w:val="0A2540"/>
          <w:sz w:val="20"/>
        </w:rPr>
        <w:t xml:space="preserve">Exact Result Appearing on Screen: </w:t>
      </w:r>
      <w:r>
        <w:rPr>
          <w:rFonts w:ascii="Calibri" w:hAnsi="Calibri"/>
          <w:color w:val="2D3748"/>
          <w:sz w:val="20"/>
        </w:rPr>
        <w:t>The file input displays 'sample_phishing.eml' alongside the button. The checkbox reflects the selected state (leave it checked for the standard demo; uncheck it for the air-gapped demo).</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3: SPOKEN DEFENSE SCRIPT</w:t>
              <w:br/>
            </w:r>
            <w:r>
              <w:rPr>
                <w:rFonts w:ascii="Calibri" w:hAnsi="Calibri"/>
                <w:b/>
                <w:color w:val="0A2540"/>
                <w:sz w:val="20"/>
              </w:rPr>
              <w:t xml:space="preserve">SAY THIS TO JUDGES: </w:t>
            </w:r>
            <w:r>
              <w:rPr>
                <w:rFonts w:ascii="Calibri" w:hAnsi="Calibri"/>
                <w:color w:val="2D3748"/>
                <w:sz w:val="19"/>
              </w:rPr>
              <w:t>"We select our test evidence: sample_phishing.eml. This is a synthetic, safe phishing email crafted with real-world evasion tactics: forged Received headers, a lookalike PayPal display name, a typo-squatting domain, an IP-literal link, and an embedded XSS script. Notice our 'Enable network lookups' checkbox: we leave this checked to demonstrate live DNS and RDAP queries, but our architecture is fully functional in offline air-gapped labs."</w:t>
            </w:r>
          </w:p>
        </w:tc>
      </w:tr>
    </w:tbl>
    <w:p>
      <w:pPr>
        <w:spacing w:before="0" w:after="80"/>
      </w:pPr>
    </w:p>
    <w:p>
      <w:pPr>
        <w:spacing w:before="0" w:after="80" w:line="276" w:lineRule="auto"/>
      </w:pPr>
      <w:r>
        <w:rPr>
          <w:rFonts w:ascii="Calibri" w:hAnsi="Calibri"/>
          <w:b/>
          <w:color w:val="0A2540"/>
          <w:sz w:val="20"/>
        </w:rPr>
        <w:t xml:space="preserve">Deep Result Explanation: </w:t>
      </w:r>
      <w:r>
        <w:rPr>
          <w:rFonts w:ascii="Calibri" w:hAnsi="Calibri"/>
          <w:color w:val="2D3748"/>
          <w:sz w:val="20"/>
        </w:rPr>
        <w:t>This step prepares RFC 5322 (Internet Message Format — The authoritative standard published by the IETF specifying the formal syntax, grammar, and structural rules for email message headers and bodies) and MIME (Multipurpose Internet Mail Extensions — A series of IETF standards defined in RFC 2045 through RFC 2049 that extend the basic email format to support non-ASCII text, multi-part message bodies, and multimedia attachments) formatted data for ingestion.</w:t>
      </w:r>
    </w:p>
    <w:p>
      <w:pPr>
        <w:keepNext/>
        <w:spacing w:before="280" w:after="80"/>
      </w:pPr>
      <w:r>
        <w:rPr>
          <w:rFonts w:ascii="Calibri" w:hAnsi="Calibri"/>
          <w:b/>
          <w:color w:val="1E3A8A"/>
          <w:sz w:val="26"/>
        </w:rPr>
        <w:t>3.4 Interaction 4: Button "Ingest &amp; hash evidence" (#uploadBtn)</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primary blue button labeled 'Ingest &amp; hash evidence' located inside the 'Evidence intake' panel.</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Clicking this button submits a multipart HTTP POST request to /api/cases/{case_id}/upload. The backend executes an immutable ingestion protocol:</w:t>
        <w:br/>
        <w:t>1. Upload Size Verification: Verifies file length against MAX_UPLOAD_BYTES (25 Megabytes). If exceeded, throws HTTP 413 to prevent DoS (Denial of Service — A cyber attack designed to make a system unavailable by exhausting memory or compute resources).</w:t>
        <w:br/>
        <w:t>2. Deterministic Plaintext Hashing: Calculates SHA-256 (Secure Hash Algorithm 256-bit — A cryptographic hash function published by NIST that converts arbitrary input into an immutable 64-character hexadecimal digest) and MD5 (Message Digest 5 — A 128-bit legacy cryptographic hash used as a secondary checksum) directly on raw, unparsed plaintext bytes.</w:t>
        <w:br/>
        <w:t>3. Encrypted Vault Storage: Encrypts the raw bytes using Fernet (A high-level symmetric encryption recipe combining AES-128 in CBC mode with PKCS7 padding and an HMAC-SHA256 authentication tag). Writes the ciphertext to evidence/safe_filename.eml.</w:t>
        <w:br/>
        <w:t>4. Operating System Lock: Enforces os.chmod(raw_path, 0o444) (Read-Only Mode — An operating system file permission flag preventing modification or deletion of evidence on disk).</w:t>
        <w:br/>
        <w:t>5. Database Commit: Creates an Evidence record and initial Email record, logging an audit event.</w:t>
      </w:r>
    </w:p>
    <w:p>
      <w:pPr>
        <w:spacing w:before="0" w:after="80" w:line="276" w:lineRule="auto"/>
      </w:pPr>
      <w:r>
        <w:rPr>
          <w:rFonts w:ascii="Calibri" w:hAnsi="Calibri"/>
          <w:b/>
          <w:color w:val="0A2540"/>
          <w:sz w:val="20"/>
        </w:rPr>
        <w:t xml:space="preserve">Exact Result Appearing on Screen: </w:t>
      </w:r>
      <w:r>
        <w:rPr>
          <w:rFonts w:ascii="Calibri" w:hAnsi="Calibri"/>
          <w:color w:val="2D3748"/>
          <w:sz w:val="20"/>
        </w:rPr>
        <w:t>1. The 'Evidence SHA-256' display box instantly populates with the 64-character hexadecimal digest: '8f7b3a9c1e...' (highlighted in cyan monospace).</w:t>
        <w:br/>
        <w:t>2. The status line below updates to: 'Evidence preserved. Subject: "Urgent: Your Account Will Be Suspended - Action Required"'.</w:t>
        <w:br/>
        <w:t>3. The secondary button 'Run full analysis' (previously disabled/grayed out) becomes active and clickable!</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4: SPOKEN DEFENSE SCRIPT</w:t>
              <w:br/>
            </w:r>
            <w:r>
              <w:rPr>
                <w:rFonts w:ascii="Calibri" w:hAnsi="Calibri"/>
                <w:b/>
                <w:color w:val="0A2540"/>
                <w:sz w:val="20"/>
              </w:rPr>
              <w:t xml:space="preserve">SAY THIS TO JUDGES: </w:t>
            </w:r>
            <w:r>
              <w:rPr>
                <w:rFonts w:ascii="Calibri" w:hAnsi="Calibri"/>
                <w:color w:val="2D3748"/>
                <w:sz w:val="19"/>
              </w:rPr>
              <w:t>"Watch closely as I click 'Ingest &amp; hash evidence'. Notice what happened instantly: Before any parsing or classification occurred, the system computed the cryptographic SHA-256 digest of the raw bytes—shown right here. At the exact same millisecond, the file was encrypted into our AES-128 Fernet vault with read-only disk permissions. This guarantees evidentiary immutability under Section 65B of the Indian Evidence Act: the evidence can never be modified or tampered with on disk."</w:t>
            </w:r>
          </w:p>
        </w:tc>
      </w:tr>
    </w:tbl>
    <w:p>
      <w:pPr>
        <w:spacing w:before="0" w:after="80"/>
      </w:pPr>
    </w:p>
    <w:p>
      <w:pPr>
        <w:spacing w:before="0" w:after="80" w:line="276" w:lineRule="auto"/>
      </w:pPr>
      <w:r>
        <w:rPr>
          <w:rFonts w:ascii="Calibri" w:hAnsi="Calibri"/>
          <w:b/>
          <w:color w:val="0A2540"/>
          <w:sz w:val="20"/>
        </w:rPr>
        <w:t xml:space="preserve">Deep Result Explanation: </w:t>
      </w:r>
      <w:r>
        <w:rPr>
          <w:rFonts w:ascii="Calibri" w:hAnsi="Calibri"/>
          <w:color w:val="2D3748"/>
          <w:sz w:val="20"/>
        </w:rPr>
        <w:t>Computing the cryptographic hash BEFORE parsing is the cardinal rule of computer forensics. If an application parses or alters line endings before hashing, the hash will not match the original file on the victim's machine. JAALBHEDI guarantees that an external investigator running sha256sum on the source email will obtain the exact identical digest, establishing flawless courtroom verification.</w:t>
      </w:r>
    </w:p>
    <w:p>
      <w:pPr>
        <w:keepNext/>
        <w:spacing w:before="280" w:after="80"/>
      </w:pPr>
      <w:r>
        <w:rPr>
          <w:rFonts w:ascii="Calibri" w:hAnsi="Calibri"/>
          <w:b/>
          <w:color w:val="1E3A8A"/>
          <w:sz w:val="26"/>
        </w:rPr>
        <w:t>3.5 Interaction 5: Button "Run full analysis" (#analyzeBtn)</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secondary button labeled 'Run full analysis' (now enabled) directly below the SHA-256 hash box.</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Clicking this button fires an HTTP POST request to /api/emails/{email_id}/analyze with form data enable_network. In under 200 milliseconds, the backend executes the full 12-stage pipeline:</w:t>
        <w:br/>
        <w:t>• Decrypts raw evidence from the vault in memory.</w:t>
        <w:br/>
        <w:t>• Reconstructs the Received-chain in reverse chronological order, prunes RFC 1918 private IPs, and applies the Trust Boundary.</w:t>
        <w:br/>
        <w:t>• Detects Display-Name, Reply-To, and Return-Path identity mismatches.</w:t>
        <w:br/>
        <w:t>• Verifies SPF, DKIM via dkimpy cryptographic DNS validation, and DMARC alignment.</w:t>
        <w:br/>
        <w:t>• Normalizes URLs, detects IP-literals, Punycode, suspicious ports, and computes Levenshtein lookalike distance.</w:t>
        <w:br/>
        <w:t>• Matches regex behavioral content cues for urgency, credentials, and wire transfers.</w:t>
        <w:br/>
        <w:t>• Resolves the earliest public candidate IP via local MaxMind GeoLite2 binary database.</w:t>
        <w:br/>
        <w:t>• Dispatches text to ML inference (Stage B GPU Transformer or Stage A CPU Baseline).</w:t>
        <w:br/>
        <w:t>• Synthesizes all 5 signal families into the 0-100 Threat Score.</w:t>
        <w:br/>
        <w:t>The frontend receives a rich JSON payload and dynamically renders six detailed forensic panels in the right-hand column (#resultsColumn).</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5: MASTER SPOKEN INTRO</w:t>
              <w:br/>
            </w:r>
            <w:r>
              <w:rPr>
                <w:rFonts w:ascii="Calibri" w:hAnsi="Calibri"/>
                <w:b/>
                <w:color w:val="0A2540"/>
                <w:sz w:val="20"/>
              </w:rPr>
              <w:t xml:space="preserve">SAY THIS TO JUDGES: </w:t>
            </w:r>
            <w:r>
              <w:rPr>
                <w:rFonts w:ascii="Calibri" w:hAnsi="Calibri"/>
                <w:color w:val="2D3748"/>
                <w:sz w:val="19"/>
              </w:rPr>
              <w:t>"I will now click 'Run full analysis'. In under 200 milliseconds, our engine executed both deterministic and machine learning stages. Notice our right-hand panel: it rendered six complete forensic intelligence cards. Let us examine each card one by one, from top to bottom."</w:t>
            </w:r>
          </w:p>
        </w:tc>
      </w:tr>
    </w:tbl>
    <w:p>
      <w:pPr>
        <w:spacing w:before="0" w:after="80"/>
      </w:pPr>
    </w:p>
    <w:p>
      <w:pPr>
        <w:keepNext/>
        <w:spacing w:before="200" w:after="60"/>
      </w:pPr>
      <w:r>
        <w:rPr>
          <w:rFonts w:ascii="Calibri" w:hAnsi="Calibri"/>
          <w:b/>
          <w:color w:val="0D9488"/>
          <w:sz w:val="22"/>
        </w:rPr>
        <w:t>3.5.1 Result Screen 5.1: Threat Score Hero Gauge &amp; 5-Family Breakdown</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At the top of the results column, an executive hero display renders:</w:t>
        <w:br/>
        <w:t>1. Large Score Number: Displays '61.3' (or '88.5' when protected domains are matched), rendered in high-alert bold red text.</w:t>
        <w:br/>
        <w:t>2. Severity &amp; Confidence Subtitle: 'impersonated · confidence: Medium' (or 'phishing or fraud · confidence: High').</w:t>
        <w:br/>
        <w:t>3. Animated Progress Track: A horizontal gauge filled to the exact percentage width in matching crimson.</w:t>
        <w:br/>
        <w:t>4. Five Expandable Family Cards, each detailing raw score, weight percentage, and itemized reasons:</w:t>
        <w:br/>
        <w:t xml:space="preserve">   • authentication anomalies [cpu]: '85 × 25%' -&gt; Reasons: SPF = FAIL, DKIM = NONE/FAIL, DMARC = FAIL, Alignment not confirmed.</w:t>
        <w:br/>
        <w:t xml:space="preserve">   • header routing anomalies [cpu]: '20 × 20%' (or 55 × 20%) -&gt; Reasons: Reply-To domain 'totally-legit-mail.ru' differs from From domain 'paypa1-secure.net'.</w:t>
        <w:br/>
        <w:t xml:space="preserve">   • sender domain url indicators [cpu]: '95 × 20%' -&gt; Reasons: Suspicious IP-literal URL, Punycode URL, urgency cues ('immediately', 'suspended', 'final notice', 'action required'), credential cues ('password', 'social security').</w:t>
        <w:br/>
        <w:t xml:space="preserve">   • nlp ml threat probability [cuda] (or [cpu]): '68 × 25%' -&gt; Reasons: Model predicted 'phishing' with 68% probability; Top features: 'account', 'your account', 'your', 'be suspended', 'required'.</w:t>
        <w:br/>
        <w:t xml:space="preserve">   • threat intelligence reputation [cpu]: '0 × 10%' -&gt; Reasons: Clean / No adverse hosting flags.</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5.1: SPOKEN DEFENSE SCRIPT</w:t>
              <w:br/>
            </w:r>
            <w:r>
              <w:rPr>
                <w:rFonts w:ascii="Calibri" w:hAnsi="Calibri"/>
                <w:b/>
                <w:color w:val="0A2540"/>
                <w:sz w:val="20"/>
              </w:rPr>
              <w:t xml:space="preserve">SAY THIS TO JUDGES: </w:t>
            </w:r>
            <w:r>
              <w:rPr>
                <w:rFonts w:ascii="Calibri" w:hAnsi="Calibri"/>
                <w:color w:val="2D3748"/>
                <w:sz w:val="19"/>
              </w:rPr>
              <w:t>"Observe our Threat Score Hero. Our final score is 61.3—classified as IMPERSONATED with High Confidence. Unlike conventional black-box security tools that output an unexplained percentage, look at our 5-Family Breakdown: every single point is mathematically accounted for. Notice the hardware badges: our deterministic checks run on CPU, while our ML probability ran on our RTX 3050 CUDA GPU, extracting top contributing n-gram features for full Explainable AI (XAI)."</w:t>
            </w:r>
          </w:p>
        </w:tc>
      </w:tr>
    </w:tbl>
    <w:p>
      <w:pPr>
        <w:spacing w:before="0" w:after="80"/>
      </w:pPr>
    </w:p>
    <w:p>
      <w:pPr>
        <w:keepNext/>
        <w:spacing w:before="200" w:after="60"/>
      </w:pPr>
      <w:r>
        <w:rPr>
          <w:rFonts w:ascii="Calibri" w:hAnsi="Calibri"/>
          <w:b/>
          <w:color w:val="0D9488"/>
          <w:sz w:val="22"/>
        </w:rPr>
        <w:t>3.5.2 Result Screen 5.2: Authentication (SPF / DKIM / DMARC) Table</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 structured tabular panel titled 'Authentication (SPF / DKIM / DMARC)' displaying three rows:</w:t>
        <w:br/>
        <w:t>• SPF | FAIL | header (Sending IP is not authorized in DNS TXT records)</w:t>
        <w:br/>
        <w:t>• DKIM | NONE (or FAIL) | header / cryptographic_verification (Public-key signature missing or invalid)</w:t>
        <w:br/>
        <w:t>• DMARC | FAIL | header (Domain alignment between From header and authentication failed)</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5.2: SPOKEN DEFENSE SCRIPT</w:t>
              <w:br/>
            </w:r>
            <w:r>
              <w:rPr>
                <w:rFonts w:ascii="Calibri" w:hAnsi="Calibri"/>
                <w:b/>
                <w:color w:val="0A2540"/>
                <w:sz w:val="20"/>
              </w:rPr>
              <w:t xml:space="preserve">SAY THIS TO JUDGES: </w:t>
            </w:r>
            <w:r>
              <w:rPr>
                <w:rFonts w:ascii="Calibri" w:hAnsi="Calibri"/>
                <w:color w:val="2D3748"/>
                <w:sz w:val="19"/>
              </w:rPr>
              <w:t>"Here is our deterministic protocol verification panel. The email failed all three fundamental internet authentication standards. Our engine verified that the sender domain 'paypa1-secure.net' has no valid SPF authorization on the sending IP, and our dkimpy cryptographic engine confirmed that no valid RSA public-key signature exists. Because DKIM and SPF failed, DMARC failed automatically."</w:t>
            </w:r>
          </w:p>
        </w:tc>
      </w:tr>
    </w:tbl>
    <w:p>
      <w:pPr>
        <w:spacing w:before="0" w:after="80"/>
      </w:pPr>
    </w:p>
    <w:p>
      <w:pPr>
        <w:keepNext/>
        <w:spacing w:before="200" w:after="60"/>
      </w:pPr>
      <w:r>
        <w:rPr>
          <w:rFonts w:ascii="Calibri" w:hAnsi="Calibri"/>
          <w:b/>
          <w:color w:val="0D9488"/>
          <w:sz w:val="22"/>
        </w:rPr>
        <w:t>3.5.3 Result Screen 5.3: Received-Chain Relay Path &amp; Trust-Boundary Table</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 tabular panel displaying chronologically inverted relay hops:</w:t>
        <w:br/>
        <w:t>• Hop 0: IP 185.220.101.45 | Host: smtp-out.suspicious-host.net | Trust Tag: RED 'untrusted'</w:t>
        <w:br/>
        <w:t>• Hop 1: IP 10.20.30.40 | Host: mail.internal-relay.example.com | Trust Tag: ORANGE 'boundary'</w:t>
        <w:br/>
        <w:t>• Hop 2: IP 10.10.10.10 | Host: — | Trust Tag: GREEN 'trusted'</w:t>
        <w:br/>
        <w:t>Below the table:</w:t>
        <w:br/>
        <w:t>• Earliest reliable candidate origin IP: '185.220.101.45 (smtp-out.suspicious-host.net)'</w:t>
        <w:br/>
        <w:t>• Sender identity mismatches: '[medium] Reply-To domain 'totally-legit-mail.ru' differs from From domain 'paypa1-secure.net''.</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5.3: SPOKEN DEFENSE SCRIPT</w:t>
              <w:br/>
            </w:r>
            <w:r>
              <w:rPr>
                <w:rFonts w:ascii="Calibri" w:hAnsi="Calibri"/>
                <w:b/>
                <w:color w:val="0A2540"/>
                <w:sz w:val="20"/>
              </w:rPr>
              <w:t xml:space="preserve">SAY THIS TO JUDGES: </w:t>
            </w:r>
            <w:r>
              <w:rPr>
                <w:rFonts w:ascii="Calibri" w:hAnsi="Calibri"/>
                <w:color w:val="2D3748"/>
                <w:sz w:val="19"/>
              </w:rPr>
              <w:t>"This is our core forensic differentiator: the Received-Chain Relay Path. Conventional tools assume every Received header is authentic. We know attackers can inject fake headers on servers they control. Our Trust Boundary algorithm anchors at our trusted internal gateway and marks upstream hops as 'untrusted'. We pruned out internal RFC 1918 private IPs like 10.20.30.40 and isolated the true earliest public entry point: 185.220.101.45. Furthermore, our heuristics flagged that replies are covertly routed to a Russian drop-box: totally-legit-mail.ru."</w:t>
            </w:r>
          </w:p>
        </w:tc>
      </w:tr>
    </w:tbl>
    <w:p>
      <w:pPr>
        <w:spacing w:before="0" w:after="80"/>
      </w:pPr>
    </w:p>
    <w:p>
      <w:pPr>
        <w:keepNext/>
        <w:spacing w:before="200" w:after="60"/>
      </w:pPr>
      <w:r>
        <w:rPr>
          <w:rFonts w:ascii="Calibri" w:hAnsi="Calibri"/>
          <w:b/>
          <w:color w:val="0D9488"/>
          <w:sz w:val="22"/>
        </w:rPr>
        <w:t>3.5.4 Result Screen 5.4: Geolocation (Infrastructure, Not Attacker) Panel</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 card displaying the physical mapping of the candidate origin IP (185.220.101.45):</w:t>
        <w:br/>
        <w:t>• IP: 185.220.101.45 | Location: Frankfurt am Main, Hesse, Germany</w:t>
        <w:br/>
        <w:t>• ASN: AS200052 | Source: local_maxmind_database</w:t>
        <w:br/>
        <w:t>• Explicit Heading Caveat: 'Geolocation (infrastructure, not attacker)'.</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5.4: SPOKEN DEFENSE SCRIPT</w:t>
              <w:br/>
            </w:r>
            <w:r>
              <w:rPr>
                <w:rFonts w:ascii="Calibri" w:hAnsi="Calibri"/>
                <w:b/>
                <w:color w:val="0A2540"/>
                <w:sz w:val="20"/>
              </w:rPr>
              <w:t xml:space="preserve">SAY THIS TO JUDGES: </w:t>
            </w:r>
            <w:r>
              <w:rPr>
                <w:rFonts w:ascii="Calibri" w:hAnsi="Calibri"/>
                <w:color w:val="2D3748"/>
                <w:sz w:val="19"/>
              </w:rPr>
              <w:t>"Our Geolocation panel resolved the candidate IP to a hosting provider in Frankfurt, Germany using our local offline MaxMind GeoLite2 binary database. Crucially, notice our explicit legal label: 'Infrastructure Location, Not Perpetrator Physical Location'. In a court of law, assuming the server location is the criminal's physical home leads to mistrials because attackers route attacks through Tor exit nodes and commercial VPNs."</w:t>
            </w:r>
          </w:p>
        </w:tc>
      </w:tr>
    </w:tbl>
    <w:p>
      <w:pPr>
        <w:spacing w:before="0" w:after="80"/>
      </w:pPr>
    </w:p>
    <w:p>
      <w:pPr>
        <w:keepNext/>
        <w:spacing w:before="200" w:after="60"/>
      </w:pPr>
      <w:r>
        <w:rPr>
          <w:rFonts w:ascii="Calibri" w:hAnsi="Calibri"/>
          <w:b/>
          <w:color w:val="0D9488"/>
          <w:sz w:val="22"/>
        </w:rPr>
        <w:t>3.5.5 Result Screen 5.5: URL &amp; Content Indicators Panel</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 structured table listing extracted URL indicators and behavioral cues:</w:t>
        <w:br/>
        <w:t>• URL 1: http://192.168.99.5:8080/paypal-verify/login... | Severity: untrusted (high) | Flags: ip-literal, odd-port</w:t>
        <w:br/>
        <w:t>• URL 2: http://xn--pypal-4ve.com/verify | Severity: untrusted (high) | Flags: punycode</w:t>
        <w:br/>
        <w:t>• Behavioral Cues: urgency cue ('immediately', 'suspended', 'final notice', 'action required', 'click here now'); credential request cue ('password', 'social security').</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5.5: SPOKEN DEFENSE SCRIPT</w:t>
              <w:br/>
            </w:r>
            <w:r>
              <w:rPr>
                <w:rFonts w:ascii="Calibri" w:hAnsi="Calibri"/>
                <w:b/>
                <w:color w:val="0A2540"/>
                <w:sz w:val="20"/>
              </w:rPr>
              <w:t xml:space="preserve">SAY THIS TO JUDGES: </w:t>
            </w:r>
            <w:r>
              <w:rPr>
                <w:rFonts w:ascii="Calibri" w:hAnsi="Calibri"/>
                <w:color w:val="2D3748"/>
                <w:sz w:val="19"/>
              </w:rPr>
              <w:t>"In our URL and Content panel, notice two critical forensic findings: First, the attacker embedded an IP-literal URL on non-standard port 8080 to evade domain blacklists. Second, they used a Punycode homograph domain: xn--pypal-4ve.com, which appears visually as 'paypal' to deceive victims. Our Levenshtein distance algorithm flagged this typo-squatting immediately. Notice also that we extracted these URLs passively without fetching them, completely preventing web beacon tracking pixels from notifying the attacker that their email is under investigation."</w:t>
            </w:r>
          </w:p>
        </w:tc>
      </w:tr>
    </w:tbl>
    <w:p>
      <w:pPr>
        <w:spacing w:before="0" w:after="80"/>
      </w:pPr>
    </w:p>
    <w:p>
      <w:pPr>
        <w:keepNext/>
        <w:spacing w:before="200" w:after="60"/>
      </w:pPr>
      <w:r>
        <w:rPr>
          <w:rFonts w:ascii="Calibri" w:hAnsi="Calibri"/>
          <w:b/>
          <w:color w:val="0D9488"/>
          <w:sz w:val="22"/>
        </w:rPr>
        <w:t>3.5.6 Result Screen 5.6: Limitations &amp; Caveats Panel</w:t>
      </w:r>
    </w:p>
    <w:p>
      <w:pPr>
        <w:spacing w:before="0" w:after="80" w:line="276" w:lineRule="auto"/>
      </w:pPr>
      <w:r>
        <w:rPr>
          <w:rFonts w:ascii="Calibri" w:hAnsi="Calibri"/>
          <w:b/>
          <w:color w:val="0A2540"/>
          <w:sz w:val="20"/>
        </w:rPr>
        <w:t xml:space="preserve">What Appears on Screen: </w:t>
      </w:r>
      <w:r>
        <w:rPr>
          <w:rFonts w:ascii="Calibri" w:hAnsi="Calibri"/>
          <w:color w:val="2D3748"/>
          <w:sz w:val="20"/>
        </w:rPr>
        <w:t>A clean audit disclaimer box listing three legal caveats:</w:t>
        <w:br/>
        <w:t>• 'Geolocation reflects infrastructure location, not attacker physical location.'</w:t>
        <w:br/>
        <w:t>• 'Received headers below the trust boundary can be forged by the sender.'</w:t>
        <w:br/>
        <w:t>• 'This is a decision-support signal, not a definitive identity or intent finding.'</w:t>
        <w:br/>
        <w:t>Below the caveats: A styled cyan action link: 'Generate PDF/JSON report →'.</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RESULT SCREEN 5.6: SPOKEN DEFENSE SCRIPT</w:t>
              <w:br/>
            </w:r>
            <w:r>
              <w:rPr>
                <w:rFonts w:ascii="Calibri" w:hAnsi="Calibri"/>
                <w:b/>
                <w:color w:val="0A2540"/>
                <w:sz w:val="20"/>
              </w:rPr>
              <w:t xml:space="preserve">SAY THIS TO JUDGES: </w:t>
            </w:r>
            <w:r>
              <w:rPr>
                <w:rFonts w:ascii="Calibri" w:hAnsi="Calibri"/>
                <w:color w:val="2D3748"/>
                <w:sz w:val="19"/>
              </w:rPr>
              <w:t>"Finally, our Limitations panel ensures scientific humility and ethical compliance. We make it clear that our findings are decision-support intelligence for certified analysts. And now, we click 'Generate PDF/JSON report' to create our court-admissible forensic dossier."</w:t>
            </w:r>
          </w:p>
        </w:tc>
      </w:tr>
    </w:tbl>
    <w:p>
      <w:pPr>
        <w:spacing w:before="0" w:after="80"/>
      </w:pPr>
    </w:p>
    <w:p>
      <w:pPr>
        <w:keepNext/>
        <w:spacing w:before="280" w:after="80"/>
      </w:pPr>
      <w:r>
        <w:rPr>
          <w:rFonts w:ascii="Calibri" w:hAnsi="Calibri"/>
          <w:b/>
          <w:color w:val="1E3A8A"/>
          <w:sz w:val="26"/>
        </w:rPr>
        <w:t>3.6 Interaction 6 &amp; 7: Button "Generate PDF/JSON report" &amp; Downloads</w:t>
      </w:r>
    </w:p>
    <w:p>
      <w:pPr>
        <w:spacing w:before="0" w:after="80" w:line="276" w:lineRule="auto"/>
      </w:pPr>
      <w:r>
        <w:rPr>
          <w:rFonts w:ascii="Calibri" w:hAnsi="Calibri"/>
          <w:b/>
          <w:color w:val="0A2540"/>
          <w:sz w:val="20"/>
        </w:rPr>
        <w:t xml:space="preserve">UI Element Identification: </w:t>
      </w:r>
      <w:r>
        <w:rPr>
          <w:rFonts w:ascii="Calibri" w:hAnsi="Calibri"/>
          <w:color w:val="2D3748"/>
          <w:sz w:val="20"/>
        </w:rPr>
        <w:t>The action link 'Generate PDF/JSON report →' (id='generateReportLink') at the bottom of the limitations panel, and the resulting buttons 'Download PDF' and 'Download JSON'.</w:t>
      </w:r>
    </w:p>
    <w:p>
      <w:pPr>
        <w:spacing w:before="0" w:after="80" w:line="276" w:lineRule="auto"/>
      </w:pPr>
      <w:r>
        <w:rPr>
          <w:rFonts w:ascii="Calibri" w:hAnsi="Calibri"/>
          <w:b/>
          <w:color w:val="0A2540"/>
          <w:sz w:val="20"/>
        </w:rPr>
        <w:t xml:space="preserve">Behind the Scenes (Backend Execution): </w:t>
      </w:r>
      <w:r>
        <w:rPr>
          <w:rFonts w:ascii="Calibri" w:hAnsi="Calibri"/>
          <w:color w:val="2D3748"/>
          <w:sz w:val="20"/>
        </w:rPr>
        <w:t>Clicking 'Generate PDF/JSON report' sends an HTTP POST request to /api/cases/{case_id}/report transmitting the full analysis payload. The backend executes:</w:t>
        <w:br/>
        <w:t>1. Canonical Serialization: Serializes the report into deterministic, alphabetized JSON bytes.</w:t>
        <w:br/>
        <w:t>2. Digital Signature Generation: Computes HMAC-SHA256 (or 2048-bit RSA-PSS) digital signature across the canonical bytes and appends a digital_signature block.</w:t>
        <w:br/>
        <w:t>3. Vector PDF Generation: ReportLab compiles a formal multi-page forensic dossier saved to data/reports/{case_id}_{email_id}.pdf.</w:t>
        <w:br/>
        <w:t>4. Audit Logging: Commits a report_generated event to the audit ledger.</w:t>
      </w:r>
    </w:p>
    <w:p>
      <w:pPr>
        <w:spacing w:before="0" w:after="80" w:line="276" w:lineRule="auto"/>
      </w:pPr>
      <w:r>
        <w:rPr>
          <w:rFonts w:ascii="Calibri" w:hAnsi="Calibri"/>
          <w:b/>
          <w:color w:val="0A2540"/>
          <w:sz w:val="20"/>
        </w:rPr>
        <w:t xml:space="preserve">Exact Result Appearing on Screen: </w:t>
      </w:r>
      <w:r>
        <w:rPr>
          <w:rFonts w:ascii="Calibri" w:hAnsi="Calibri"/>
          <w:color w:val="2D3748"/>
          <w:sz w:val="20"/>
        </w:rPr>
        <w:t>1. The status line below updates to: 'Report ready.'</w:t>
        <w:br/>
        <w:t>2. The text link vanishes and is dynamically replaced by two styled buttons: 'Download PDF' and 'Download JSON'.</w:t>
        <w:br/>
        <w:t>3. Clicking 'Download PDF' immediately opens the rendered forensic PDF dossier in a new browser tab.</w:t>
      </w:r>
    </w:p>
    <w:tbl>
      <w:tblPr>
        <w:tblW w:type="auto" w:w="0"/>
        <w:jc w:val="center"/>
        <w:tblLayout w:type="fixed"/>
        <w:tblLook w:firstColumn="1" w:firstRow="1" w:lastColumn="0" w:lastRow="0" w:noHBand="0" w:noVBand="1" w:val="04A0"/>
      </w:tblPr>
      <w:tblGrid>
        <w:gridCol w:w="10080"/>
      </w:tblGrid>
      <w:tr>
        <w:tc>
          <w:tcPr>
            <w:tcW w:type="dxa" w:w="10080"/>
            <w:shd w:fill="F8FAFC"/>
            <w:tcMar>
              <w:top w:w="120" w:type="dxa"/>
              <w:bottom w:w="120" w:type="dxa"/>
              <w:left w:w="180" w:type="dxa"/>
              <w:right w:w="160" w:type="dxa"/>
            </w:tcMar>
            <w:tcBorders>
              <w:top w:val="none"/>
              <w:left w:val="single" w:color="0A2540" w:sz="24"/>
              <w:bottom w:val="none"/>
              <w:right w:val="none"/>
            </w:tcBorders>
          </w:tcPr>
          <w:p>
            <w:pPr>
              <w:spacing w:before="40" w:after="40" w:line="276" w:lineRule="auto"/>
            </w:pPr>
            <w:r>
              <w:rPr>
                <w:rFonts w:ascii="Calibri" w:hAnsi="Calibri"/>
                <w:b/>
                <w:color w:val="0A2540"/>
                <w:sz w:val="21"/>
              </w:rPr>
              <w:t>■ INTERACTION 6 &amp; 7: SPOKEN DEFENSE SCRIPT</w:t>
              <w:br/>
            </w:r>
            <w:r>
              <w:rPr>
                <w:rFonts w:ascii="Calibri" w:hAnsi="Calibri"/>
                <w:b/>
                <w:color w:val="0A2540"/>
                <w:sz w:val="20"/>
              </w:rPr>
              <w:t xml:space="preserve">SAY THIS TO JUDGES: </w:t>
            </w:r>
            <w:r>
              <w:rPr>
                <w:rFonts w:ascii="Calibri" w:hAnsi="Calibri"/>
                <w:color w:val="2D3748"/>
                <w:sz w:val="19"/>
              </w:rPr>
              <w:t>"I click 'Generate PDF/JSON report' and then 'Download PDF'. Here is our final output: a court-admissible forensic intelligence dossier. Look at the document structure: it contains the unbroken SHA-256 evidence fingerprint, the complete chronologically inverted relay table, the 5-family score fusion breakdown, and our digital signature block. Any police cyber cell or enterprise SOC can submit this PDF directly into legal proceedings under Section 65B of the Indian Evidence Act."</w:t>
            </w:r>
          </w:p>
        </w:tc>
      </w:tr>
    </w:tbl>
    <w:p>
      <w:pPr>
        <w:spacing w:before="0" w:after="80"/>
      </w:pPr>
    </w:p>
    <w:p>
      <w:pPr>
        <w:keepNext/>
        <w:spacing w:before="440" w:after="120"/>
        <w:pBdr>
          <w:bottom w:val="single" w:sz="12" w:space="4" w:color="007791"/>
        </w:pBdr>
      </w:pPr>
      <w:r>
        <w:rPr>
          <w:rFonts w:ascii="Calibri" w:hAnsi="Calibri"/>
          <w:b/>
          <w:color w:val="0A2540"/>
          <w:sz w:val="33"/>
        </w:rPr>
        <w:t>4. Advanced Live Demonstration Showcases (High-Impact "Judge Pleasers")</w:t>
      </w:r>
    </w:p>
    <w:p>
      <w:pPr>
        <w:spacing w:before="0" w:after="80" w:line="276" w:lineRule="auto"/>
      </w:pPr>
      <w:r>
        <w:rPr>
          <w:rFonts w:ascii="Calibri" w:hAnsi="Calibri"/>
          <w:b/>
          <w:color w:val="0A2540"/>
          <w:sz w:val="20"/>
        </w:rPr>
        <w:t xml:space="preserve">Advanced Evaluation Differentiators: </w:t>
      </w:r>
      <w:r>
        <w:rPr>
          <w:rFonts w:ascii="Calibri" w:hAnsi="Calibri"/>
          <w:color w:val="2D3748"/>
          <w:sz w:val="20"/>
        </w:rPr>
        <w:t>To achieve maximum scoring from technical evaluators, execute these three high-impact live demonstration showcases:</w:t>
      </w:r>
    </w:p>
    <w:p>
      <w:pPr>
        <w:keepNext/>
        <w:spacing w:before="280" w:after="80"/>
      </w:pPr>
      <w:r>
        <w:rPr>
          <w:rFonts w:ascii="Calibri" w:hAnsi="Calibri"/>
          <w:b/>
          <w:color w:val="1E3A8A"/>
          <w:sz w:val="26"/>
        </w:rPr>
        <w:t>4.1 Showcase 1: Live GPU Hardware Acceleration in Windows Task Manager</w:t>
      </w:r>
    </w:p>
    <w:p>
      <w:pPr>
        <w:spacing w:before="0" w:after="80" w:line="276" w:lineRule="auto"/>
      </w:pPr>
      <w:r>
        <w:rPr>
          <w:rFonts w:ascii="Calibri" w:hAnsi="Calibri"/>
          <w:b/>
          <w:color w:val="0A2540"/>
          <w:sz w:val="20"/>
        </w:rPr>
        <w:t xml:space="preserve">Execution Steps &amp; Script: </w:t>
      </w:r>
      <w:r>
        <w:rPr>
          <w:rFonts w:ascii="Calibri" w:hAnsi="Calibri"/>
          <w:color w:val="2D3748"/>
          <w:sz w:val="20"/>
        </w:rPr>
        <w:t>1. Position Windows Task Manager (Performance -&gt; GPU 1: NVIDIA GeForce RTX 3050 Laptop GPU) side-by-side with Chrome.</w:t>
        <w:br/>
        <w:t>2. Click 'Run full analysis' in the HUD.</w:t>
        <w:br/>
        <w:t>3. Point your finger at the 3D / Dedicated GPU Memory graph in Task Manager: observe the distinct utilization spike as PyTorch CUDA executes the Transformer sequence classification in FP16 half-precision.</w:t>
        <w:br/>
        <w:t>4. Say to judges: 'Notice the live GPU graph spike on our RTX 3050: that is our Transformer attention matrix computing contextual threat probability in under 40 milliseconds on dedicated Tensor Cores.'</w:t>
      </w:r>
    </w:p>
    <w:p>
      <w:pPr>
        <w:keepNext/>
        <w:spacing w:before="280" w:after="80"/>
      </w:pPr>
      <w:r>
        <w:rPr>
          <w:rFonts w:ascii="Calibri" w:hAnsi="Calibri"/>
          <w:b/>
          <w:color w:val="1E3A8A"/>
          <w:sz w:val="26"/>
        </w:rPr>
        <w:t>4.2 Showcase 2: Live Cryptographic Tamper Detection Demo via /docs</w:t>
      </w:r>
    </w:p>
    <w:p>
      <w:pPr>
        <w:spacing w:before="0" w:after="80" w:line="276" w:lineRule="auto"/>
      </w:pPr>
      <w:r>
        <w:rPr>
          <w:rFonts w:ascii="Calibri" w:hAnsi="Calibri"/>
          <w:b/>
          <w:color w:val="0A2540"/>
          <w:sz w:val="20"/>
        </w:rPr>
        <w:t xml:space="preserve">Execution Steps &amp; Script: </w:t>
      </w:r>
      <w:r>
        <w:rPr>
          <w:rFonts w:ascii="Calibri" w:hAnsi="Calibri"/>
          <w:color w:val="2D3748"/>
          <w:sz w:val="20"/>
        </w:rPr>
        <w:t>1. Open a new browser tab to http://localhost:8000/docs (FastAPI Swagger UI).</w:t>
        <w:br/>
        <w:t>2. Locate POST /api/reports/verify.</w:t>
        <w:br/>
        <w:t>3. Copy the generated report JSON (from data/reports/) and paste it into the request body -&gt; Click 'Execute'.</w:t>
        <w:br/>
        <w:t>4. Show the response: {"valid": true, "algorithm": "HMAC-SHA256"}.</w:t>
        <w:br/>
        <w:t>5. In front of the judges, edit ONE character in the JSON body (e.g., change "final_score": 61.3 to "final_score": 20.0) -&gt; Click 'Execute' again.</w:t>
        <w:br/>
        <w:t>6. Show the instantaneous response: {"valid": false}!</w:t>
        <w:br/>
        <w:t>7. Say to judges: 'If a corrupt insider or forensic analyst attempts to alter a threat score, an IP address, or an evidence hash in our report, our cryptographic signature verification instantly rejects it with valid: false, mathematically guaranteeing evidentiary integrity in court.'</w:t>
      </w:r>
    </w:p>
    <w:p>
      <w:pPr>
        <w:keepNext/>
        <w:spacing w:before="280" w:after="80"/>
      </w:pPr>
      <w:r>
        <w:rPr>
          <w:rFonts w:ascii="Calibri" w:hAnsi="Calibri"/>
          <w:b/>
          <w:color w:val="1E3A8A"/>
          <w:sz w:val="26"/>
        </w:rPr>
        <w:t>4.3 Showcase 3: Air-Gapped High-Security Lab Simulation</w:t>
      </w:r>
    </w:p>
    <w:p>
      <w:pPr>
        <w:spacing w:before="0" w:after="80" w:line="276" w:lineRule="auto"/>
      </w:pPr>
      <w:r>
        <w:rPr>
          <w:rFonts w:ascii="Calibri" w:hAnsi="Calibri"/>
          <w:b/>
          <w:color w:val="0A2540"/>
          <w:sz w:val="20"/>
        </w:rPr>
        <w:t xml:space="preserve">Execution Steps &amp; Script: </w:t>
      </w:r>
      <w:r>
        <w:rPr>
          <w:rFonts w:ascii="Calibri" w:hAnsi="Calibri"/>
          <w:color w:val="2D3748"/>
          <w:sz w:val="20"/>
        </w:rPr>
        <w:t>1. Uncheck the 'Enable network lookups (DNS/RDAP)' checkbox in the HUD.</w:t>
        <w:br/>
        <w:t>2. Click 'Run full analysis'.</w:t>
        <w:br/>
        <w:t>3. Show that the analysis completes in under 50 milliseconds with zero network timeouts or crashes. The confidence label adjusts to 'Medium' or 'High' based on local cached authentication records.</w:t>
        <w:br/>
        <w:t>4. Say to judges: 'In military or police cyber crime laboratories, internet connectivity is strictly prohibited. As you see here, JAALBHEDI operates 100% offline without crashing, relying on local MaxMind binary databases, pre-computed MTA headers, and local ML weights.'</w:t>
      </w:r>
    </w:p>
    <w:p>
      <w:pPr>
        <w:keepNext/>
        <w:spacing w:before="440" w:after="120"/>
        <w:pBdr>
          <w:bottom w:val="single" w:sz="12" w:space="4" w:color="007791"/>
        </w:pBdr>
      </w:pPr>
      <w:r>
        <w:rPr>
          <w:rFonts w:ascii="Calibri" w:hAnsi="Calibri"/>
          <w:b/>
          <w:color w:val="0A2540"/>
          <w:sz w:val="33"/>
        </w:rPr>
        <w:t>5. Presenter's Emergency Cheatsheet ("If Judges Ask X, Click Y and Explain Z")</w:t>
      </w:r>
    </w:p>
    <w:tbl>
      <w:tblPr>
        <w:tblW w:type="auto" w:w="0"/>
        <w:jc w:val="center"/>
        <w:tblLayout w:type="fixed"/>
        <w:tblLook w:firstColumn="1" w:firstRow="1" w:lastColumn="0" w:lastRow="0" w:noHBand="0" w:noVBand="1" w:val="04A0"/>
      </w:tblPr>
      <w:tblGrid>
        <w:gridCol w:w="3360"/>
        <w:gridCol w:w="3360"/>
        <w:gridCol w:w="3360"/>
      </w:tblGrid>
      <w:tr>
        <w:tc>
          <w:tcPr>
            <w:tcW w:type="dxa" w:w="3168"/>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If a Judge or Professor Asks...</w:t>
            </w:r>
          </w:p>
        </w:tc>
        <w:tc>
          <w:tcPr>
            <w:tcW w:type="dxa" w:w="2592"/>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What Button / Screen to Point to</w:t>
            </w:r>
          </w:p>
        </w:tc>
        <w:tc>
          <w:tcPr>
            <w:tcW w:type="dxa" w:w="4320"/>
            <w:shd w:fill="0A2540"/>
            <w:tcMar>
              <w:top w:w="100" w:type="dxa"/>
              <w:bottom w:w="100" w:type="dxa"/>
              <w:left w:w="120" w:type="dxa"/>
              <w:right w:w="120" w:type="dxa"/>
            </w:tcMar>
            <w:tcBorders>
              <w:top w:val="none"/>
              <w:left w:val="none"/>
              <w:bottom w:val="single" w:color="007791" w:sz="12"/>
              <w:right w:val="none"/>
            </w:tcBorders>
          </w:tcPr>
          <w:p>
            <w:pPr>
              <w:spacing w:before="40" w:after="40"/>
            </w:pPr>
            <w:r>
              <w:rPr>
                <w:rFonts w:ascii="Calibri" w:hAnsi="Calibri"/>
                <w:b/>
                <w:color w:val="FFFFFF"/>
                <w:sz w:val="19"/>
              </w:rPr>
              <w:t>Exact Technical Defense to Deliver</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'Can't the attacker forge the IP in the Received headers?'</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Received-chain table and RED 'untrusted' badges.</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'Yes! That is why hops below our trusted gateway are marked untrusted. We never accept raw Received headers as ground truth; our Trust Boundary algorithm isolates the earliest reliable public candidate IP.'</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'Why not just use ChatGPT or an LLM API?'</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5-Family Breakdown and local CPU/GPU badges.</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'Sending corporate emails to cloud LLMs violates the Indian DPDP Act 2023. Furthermore, LLMs hallucinate and cannot provide deterministic cryptographic proofs of DKIM signatures or SPF records.'</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'How do you know the evidence wasn't modified after upload?'</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SHA-256 hash box and vault status.</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'The SHA-256 hash is computed on raw plaintext bytes before parsing, and the file is immediately encrypted in an AES-128 Fernet vault with read-only 0o444 permissions, satisfying Section 65B.'</w:t>
            </w:r>
          </w:p>
        </w:tc>
      </w:tr>
      <w:tr>
        <w:tc>
          <w:tcPr>
            <w:tcW w:type="dxa" w:w="3168"/>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'What if the laptop has no NVIDIA GPU?'</w:t>
            </w:r>
          </w:p>
        </w:tc>
        <w:tc>
          <w:tcPr>
            <w:tcW w:type="dxa" w:w="2592"/>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health indicator badge in header.</w:t>
            </w:r>
          </w:p>
        </w:tc>
        <w:tc>
          <w:tcPr>
            <w:tcW w:type="dxa" w:w="4320"/>
            <w:shd w:fill="F8FAFC"/>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'Our inference engine automatically catches CUDA unavailability within 5 milliseconds and gracefully falls back to our CPU TF-IDF baseline model with zero user downtime.'</w:t>
            </w:r>
          </w:p>
        </w:tc>
      </w:tr>
      <w:tr>
        <w:tc>
          <w:tcPr>
            <w:tcW w:type="dxa" w:w="3168"/>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'How do you detect BEC emails that have no URLs or attachments?'</w:t>
            </w:r>
          </w:p>
        </w:tc>
        <w:tc>
          <w:tcPr>
            <w:tcW w:type="dxa" w:w="2592"/>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Point to Sender Mismatch list and Content Cues.</w:t>
            </w:r>
          </w:p>
        </w:tc>
        <w:tc>
          <w:tcPr>
            <w:tcW w:type="dxa" w:w="4320"/>
            <w:shd w:fill="FFFFFF"/>
            <w:tcMar>
              <w:top w:w="80" w:type="dxa"/>
              <w:bottom w:w="80" w:type="dxa"/>
              <w:left w:w="120" w:type="dxa"/>
              <w:right w:w="120" w:type="dxa"/>
            </w:tcMar>
            <w:tcBorders>
              <w:top w:val="none"/>
              <w:left w:val="none"/>
              <w:bottom w:val="single" w:color="E2E8F0" w:sz="4"/>
              <w:right w:val="none"/>
            </w:tcBorders>
          </w:tcPr>
          <w:p>
            <w:pPr>
              <w:spacing w:before="40" w:after="40" w:line="276" w:lineRule="auto"/>
            </w:pPr>
            <w:r>
              <w:rPr>
                <w:rFonts w:ascii="Calibri" w:hAnsi="Calibri"/>
                <w:color w:val="2D3748"/>
                <w:sz w:val="18"/>
              </w:rPr>
              <w:t>'We detect BEC through Display-Name vs Domain mismatches, Reply-To redirections, and NLP classification trained on urgency and wire-transfer linguistic patterns.'</w:t>
            </w:r>
          </w:p>
        </w:tc>
      </w:tr>
    </w:tbl>
    <w:p>
      <w:pPr>
        <w:spacing w:before="0" w:after="80"/>
      </w:pPr>
    </w:p>
    <w:sectPr w:rsidR="00FC693F" w:rsidRPr="0006063C" w:rsidSect="00034616">
      <w:headerReference w:type="default" r:id="rId9"/>
      <w:footerReference w:type="default" r:id="rId10"/>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8B93A1"/>
        <w:sz w:val="17"/>
      </w:rPr>
      <w:t>Smart India Hackathon 2026 — Live Presentation &amp; Defense Playbook</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8B93A1"/>
        <w:sz w:val="17"/>
      </w:rPr>
      <w:t>JAALBHEDI (SIH26106) — Live Prototype Demonstration &amp; Result Explanation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