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pPr>
      <w:r>
        <w:rPr>
          <w:rFonts w:ascii="Calibri" w:hAnsi="Calibri"/>
          <w:b/>
          <w:color w:val="0A2540"/>
          <w:sz w:val="44"/>
        </w:rPr>
        <w:t>JAALBHEDI / FORENSIC INTELLIGENCE WORKBENCH (FIW)</w:t>
      </w:r>
    </w:p>
    <w:p>
      <w:pPr>
        <w:spacing w:before="0" w:after="320"/>
      </w:pPr>
      <w:r>
        <w:rPr>
          <w:rFonts w:ascii="Calibri" w:hAnsi="Calibri"/>
          <w:color w:val="4A5568"/>
          <w:sz w:val="24"/>
        </w:rPr>
        <w:t>The Master Prototype Technical Reference, Forensic Architecture &amp; Presentation Defense Manual</w:t>
        <w:br/>
        <w:t>Comprehensive, Exhaustive Technical Specification (Zero-Omission Guide)</w:t>
      </w:r>
    </w:p>
    <w:tbl>
      <w:tblPr>
        <w:tblW w:type="auto" w:w="0"/>
        <w:jc w:val="center"/>
        <w:tblLayout w:type="fixed"/>
        <w:tblLook w:firstColumn="1" w:firstRow="1" w:lastColumn="0" w:lastRow="0" w:noHBand="0" w:noVBand="1" w:val="04A0"/>
      </w:tblPr>
      <w:tblGrid>
        <w:gridCol w:w="5040"/>
        <w:gridCol w:w="5040"/>
      </w:tblGrid>
      <w:tr>
        <w:tc>
          <w:tcPr>
            <w:tcW w:type="dxa" w:w="3168"/>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Project Parameter</w:t>
            </w:r>
          </w:p>
        </w:tc>
        <w:tc>
          <w:tcPr>
            <w:tcW w:type="dxa" w:w="6912"/>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System Specification Details</w:t>
            </w:r>
          </w:p>
        </w:tc>
      </w:tr>
      <w:tr>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Problem Statement ID</w:t>
            </w:r>
          </w:p>
        </w:tc>
        <w:tc>
          <w:tcPr>
            <w:tcW w:type="dxa" w:w="691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SIH26106 (Smart India Hackathon 2026 — Ministry of Home Affairs / Cyber Crime Cells)</w:t>
            </w:r>
          </w:p>
        </w:tc>
      </w:tr>
      <w:tr>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Problem Statement Title</w:t>
            </w:r>
          </w:p>
        </w:tc>
        <w:tc>
          <w:tcPr>
            <w:tcW w:type="dxa" w:w="6912"/>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AI-Powered Email Threat Detection, GeoLocation and Forensic Intelligence Platform</w:t>
            </w:r>
          </w:p>
        </w:tc>
      </w:tr>
      <w:tr>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System Identity</w:t>
            </w:r>
          </w:p>
        </w:tc>
        <w:tc>
          <w:tcPr>
            <w:tcW w:type="dxa" w:w="691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JAALBHEDI — Forensic Intelligence Workbench (FIW)</w:t>
            </w:r>
          </w:p>
        </w:tc>
      </w:tr>
      <w:tr>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Theme &amp; Category</w:t>
            </w:r>
          </w:p>
        </w:tc>
        <w:tc>
          <w:tcPr>
            <w:tcW w:type="dxa" w:w="6912"/>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Blockchain &amp; Cybersecurity / Smart Automation — Software (Hybrid Edge Architecture)</w:t>
            </w:r>
          </w:p>
        </w:tc>
      </w:tr>
      <w:tr>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Verification Status</w:t>
            </w:r>
          </w:p>
        </w:tc>
        <w:tc>
          <w:tcPr>
            <w:tcW w:type="dxa" w:w="691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100% Verified against Codebase (22/22 Automated Pytest Test Suites Passing)</w:t>
            </w:r>
          </w:p>
        </w:tc>
      </w:tr>
      <w:tr>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Hardware Profile Target</w:t>
            </w:r>
          </w:p>
        </w:tc>
        <w:tc>
          <w:tcPr>
            <w:tcW w:type="dxa" w:w="6912"/>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Intel Core i5-13420H (10 Cores, 16 Threads) · 16 GB DDR5 RAM · NVIDIA RTX 3050 (6GB VRAM) · Windows 11</w:t>
            </w:r>
          </w:p>
        </w:tc>
      </w:tr>
      <w:tr>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Core Architecture</w:t>
            </w:r>
          </w:p>
        </w:tc>
        <w:tc>
          <w:tcPr>
            <w:tcW w:type="dxa" w:w="691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Decoupled Hybrid Compute: 100% Deterministic Forensics on CPU + Contextual NLP on CUDA GPU</w:t>
            </w:r>
          </w:p>
        </w:tc>
      </w:tr>
      <w:tr>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Target Beneficiaries</w:t>
            </w:r>
          </w:p>
        </w:tc>
        <w:tc>
          <w:tcPr>
            <w:tcW w:type="dxa" w:w="6912"/>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Law Enforcement Cyber Cells, State Police Forensic Labs, Enterprise SOC Tier-1/2 Analysts, Universities</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1F5F9"/>
            <w:tcMar>
              <w:top w:w="120" w:type="dxa"/>
              <w:bottom w:w="120" w:type="dxa"/>
              <w:left w:w="180" w:type="dxa"/>
              <w:right w:w="160" w:type="dxa"/>
            </w:tcMar>
            <w:tcBorders>
              <w:top w:val="none"/>
              <w:left w:val="single" w:color="0A2540" w:sz="24"/>
              <w:bottom w:val="none"/>
              <w:right w:val="none"/>
            </w:tcBorders>
          </w:tcPr>
          <w:p>
            <w:pPr>
              <w:spacing w:before="40" w:after="40" w:line="276" w:lineRule="auto"/>
            </w:pPr>
            <w:r>
              <w:rPr>
                <w:rFonts w:ascii="Calibri" w:hAnsi="Calibri"/>
                <w:b/>
                <w:color w:val="0A2540"/>
                <w:sz w:val="21"/>
              </w:rPr>
              <w:t>■ DOCUMENT DESIGN &amp; CONVERSATIONAL DEFENSE PURPOSE</w:t>
              <w:br/>
            </w:r>
            <w:r>
              <w:rPr>
                <w:rFonts w:ascii="Calibri" w:hAnsi="Calibri"/>
                <w:b/>
                <w:color w:val="0A2540"/>
                <w:sz w:val="20"/>
              </w:rPr>
              <w:t xml:space="preserve">EXPLANATORY REQUIREMENT NOTE: </w:t>
            </w:r>
            <w:r>
              <w:rPr>
                <w:rFonts w:ascii="Calibri" w:hAnsi="Calibri"/>
                <w:color w:val="2D3748"/>
                <w:sz w:val="19"/>
              </w:rPr>
              <w:t>This master reference manual is intentionally authored to provide comprehensive, granular coverage of the entire JAALBHEDI prototype without omitting any minor forensic, algorithmic, or architectural detail. In strict accordance with technical documentation requirements, every specialized technical concept, forensic mechanism, protocol standard, and cryptographic primitive is introduced using its official industry terminology accompanied immediately by an explanatory definition enclosed in brackets: Terminology (Meaning / Explanation in brackets).</w:t>
            </w:r>
          </w:p>
        </w:tc>
      </w:tr>
    </w:tbl>
    <w:p>
      <w:pPr>
        <w:spacing w:before="0" w:after="80"/>
      </w:pPr>
    </w:p>
    <w:p>
      <w:pPr>
        <w:keepNext/>
        <w:spacing w:before="440" w:after="120"/>
        <w:pBdr>
          <w:bottom w:val="single" w:sz="12" w:space="4" w:color="007791"/>
        </w:pBdr>
      </w:pPr>
      <w:r>
        <w:rPr>
          <w:rFonts w:ascii="Calibri" w:hAnsi="Calibri"/>
          <w:b/>
          <w:color w:val="0A2540"/>
          <w:sz w:val="33"/>
        </w:rPr>
        <w:t>1. Executive Summary &amp; Problem Context</w:t>
      </w:r>
    </w:p>
    <w:p>
      <w:pPr>
        <w:spacing w:before="0" w:after="80" w:line="276" w:lineRule="auto"/>
      </w:pPr>
      <w:r>
        <w:rPr>
          <w:rFonts w:ascii="Calibri" w:hAnsi="Calibri"/>
          <w:b/>
          <w:color w:val="0A2540"/>
          <w:sz w:val="20"/>
        </w:rPr>
        <w:t xml:space="preserve">The Weaponization of Corporate Email: </w:t>
      </w:r>
      <w:r>
        <w:rPr>
          <w:rFonts w:ascii="Calibri" w:hAnsi="Calibri"/>
          <w:color w:val="2D3748"/>
          <w:sz w:val="20"/>
        </w:rPr>
        <w:t>Electronic mail remains the primary initial attack vector across global cyber operations, accounting for over 90% of enterprise security breaches. Modern adversaries have evolved far beyond crude, mass-distributed spam campaigns; they now deploy hyper-targeted Spear-Phishing (A targeted form of phishing where adversaries conduct prior reconnaissance to craft highly personalized emails tailored to specific individuals or organizations to maximize deception), Business Email Compromise / BEC (A sophisticated class of financial fraud where attackers spoof or compromise corporate executive or vendor accounts to deceive employees into redirecting multimillion-dollar wire payments or disclosing proprietary trade secrets), CEO Fraud (An executive impersonation attack wherein threat actors forge the identity of a Chief Executive Officer or Managing Director to demand urgent, out-of-band financial transactions), Invoice Redirection Fraud (A specialized corporate deception tactic where legitimate vendor payment details are surreptitiously substituted with attacker-controlled banking accounts during pending commercial settlements), and Brand Spoofing (The deceptive visual and technical impersonation of a well-known institution, such as a major banking portal or cloud service provider, designed to harvest sensitive user credentials).</w:t>
      </w:r>
    </w:p>
    <w:p>
      <w:pPr>
        <w:spacing w:before="0" w:after="80" w:line="276" w:lineRule="auto"/>
      </w:pPr>
      <w:r>
        <w:rPr>
          <w:rFonts w:ascii="Calibri" w:hAnsi="Calibri"/>
          <w:b/>
          <w:color w:val="0A2540"/>
          <w:sz w:val="20"/>
        </w:rPr>
        <w:t xml:space="preserve">The Critical Breakdown of Legacy Defenses: </w:t>
      </w:r>
      <w:r>
        <w:rPr>
          <w:rFonts w:ascii="Calibri" w:hAnsi="Calibri"/>
          <w:color w:val="2D3748"/>
          <w:sz w:val="20"/>
        </w:rPr>
        <w:t>When confronted with these sophisticated threats, conventional enterprise defense tools—predominantly legacy Secure Email Gateways / SEGs (Cybersecurity devices or cloud services deployed directly along the Simple Mail Transfer Protocol delivery path that inspect incoming and outgoing email traffic against static signatures, reputation blacklists, and rudimentary keyword heuristics)—suffer from profound structural and forensic failures:</w:t>
      </w:r>
    </w:p>
    <w:p>
      <w:pPr>
        <w:pStyle w:val="ListBullet"/>
        <w:spacing w:before="20" w:after="60" w:line="276" w:lineRule="auto"/>
      </w:pPr>
      <w:r>
        <w:rPr>
          <w:rFonts w:ascii="Calibri" w:hAnsi="Calibri"/>
          <w:b/>
          <w:color w:val="0A2540"/>
          <w:sz w:val="20"/>
        </w:rPr>
        <w:t xml:space="preserve">1. Opaque 'Black-Box' Decision Engines: </w:t>
      </w:r>
      <w:r>
        <w:rPr>
          <w:rFonts w:ascii="Calibri" w:hAnsi="Calibri"/>
          <w:color w:val="2D3748"/>
          <w:sz w:val="20"/>
        </w:rPr>
        <w:t>Conventional spam filters assign an arbitrary percentage risk score (e.g., '87% Spam') generated by a closed neural network without providing itemized, human-understandable evidence. Forensic analysts and incident responders cannot verify which specific header fields, routing anomalies, or content patterns triggered the alert.</w:t>
      </w:r>
    </w:p>
    <w:p>
      <w:pPr>
        <w:pStyle w:val="ListBullet"/>
        <w:spacing w:before="20" w:after="60" w:line="276" w:lineRule="auto"/>
      </w:pPr>
      <w:r>
        <w:rPr>
          <w:rFonts w:ascii="Calibri" w:hAnsi="Calibri"/>
          <w:b/>
          <w:color w:val="0A2540"/>
          <w:sz w:val="20"/>
        </w:rPr>
        <w:t xml:space="preserve">2. Susceptibility to Forged Delivery Headers: </w:t>
      </w:r>
      <w:r>
        <w:rPr>
          <w:rFonts w:ascii="Calibri" w:hAnsi="Calibri"/>
          <w:color w:val="2D3748"/>
          <w:sz w:val="20"/>
        </w:rPr>
        <w:t>Attackers routinely forge the visible 'From:' display header while maintaining valid domain syntax. When attackers operate their own Mail Transfer Agent / MTA (A software application that transfers electronic mail messages between network hosts using SMTP, such as Postfix or Microsoft Exchange), they can easily prepend forged intermediate delivery records to misdirect forensic investigations.</w:t>
      </w:r>
    </w:p>
    <w:p>
      <w:pPr>
        <w:pStyle w:val="ListBullet"/>
        <w:spacing w:before="20" w:after="60" w:line="276" w:lineRule="auto"/>
      </w:pPr>
      <w:r>
        <w:rPr>
          <w:rFonts w:ascii="Calibri" w:hAnsi="Calibri"/>
          <w:b/>
          <w:color w:val="0A2540"/>
          <w:sz w:val="20"/>
        </w:rPr>
        <w:t xml:space="preserve">3. Complete Inadmissibility in Legal Proceedings: </w:t>
      </w:r>
      <w:r>
        <w:rPr>
          <w:rFonts w:ascii="Calibri" w:hAnsi="Calibri"/>
          <w:color w:val="2D3748"/>
          <w:sz w:val="20"/>
        </w:rPr>
        <w:t>Automated alerts from commercial cloud email filters lack cryptographic preservation and unalterable chain-of-custody logging. Consequently, their printouts and alert logs are routinely dismissed in courtrooms for failing to fulfill mandatory statutory standards, specifically Section 65B of the Indian Evidence Act (A statutory legal provision in Indian jurisprudence governing the admissibility of electronic records in judicial proceedings, mandating strict proof of device integrity and tamper-free record generation) and the updated Bharatiya Sakshya Adhiniyam 2023 / BSA (The modernized statutory criminal evidence code of India that updates and replaces the historic 1872 Evidence Act, reinforcing strict technical standards for digital evidence integrity).</w:t>
      </w:r>
    </w:p>
    <w:p>
      <w:pPr>
        <w:pStyle w:val="ListBullet"/>
        <w:spacing w:before="20" w:after="60" w:line="276" w:lineRule="auto"/>
      </w:pPr>
      <w:r>
        <w:rPr>
          <w:rFonts w:ascii="Calibri" w:hAnsi="Calibri"/>
          <w:b/>
          <w:color w:val="0A2540"/>
          <w:sz w:val="20"/>
        </w:rPr>
        <w:t xml:space="preserve">4. Data Privacy Violations via External Cloud APIs: </w:t>
      </w:r>
      <w:r>
        <w:rPr>
          <w:rFonts w:ascii="Calibri" w:hAnsi="Calibri"/>
          <w:color w:val="2D3748"/>
          <w:sz w:val="20"/>
        </w:rPr>
        <w:t>Many emerging 'AI email filters' blindly forward raw incoming corporate emails to third-party public cloud Large Language Model / LLM (Massive artificial intelligence neural networks trained on broad web-scale text corpora that generate natural language responses) Application Programming Interfaces / APIs (Standardized software interfaces allowing separate computer programs to communicate with each other over network protocols). This practice constitutes an egregious corporate privacy violation and breaches statutory regulations such as India's Digital Personal Data Protection Act / DPDP Act 2023 (Statutory national legislation regulating the processing, storage, consent management, and cross-border transfer of personal digital data).</w:t>
      </w:r>
    </w:p>
    <w:p>
      <w:pPr>
        <w:spacing w:before="0" w:after="80" w:line="276" w:lineRule="auto"/>
      </w:pPr>
      <w:r>
        <w:rPr>
          <w:rFonts w:ascii="Calibri" w:hAnsi="Calibri"/>
          <w:b/>
          <w:color w:val="0A2540"/>
          <w:sz w:val="20"/>
        </w:rPr>
        <w:t xml:space="preserve">The JAALBHEDI Paradigm Shift: </w:t>
      </w:r>
      <w:r>
        <w:rPr>
          <w:rFonts w:ascii="Calibri" w:hAnsi="Calibri"/>
          <w:color w:val="2D3748"/>
          <w:sz w:val="20"/>
        </w:rPr>
        <w:t>The Forensic Intelligence Workbench / FIW (The technical system name for the JAALBHEDI platform, functioning as an explainable, tamper-evident email threat intelligence and forensic investigation environment) directly resolves this crisis. JAALBHEDI fuses deterministic protocol forensics (based on formal Internet standards), mathematical indicators, and local hybrid machine learning into a single unified platform. It operates entirely on-premise without transmitting email bodies to external servers, preserves evidence immutability through AES-128 authenticated encryption, reconstructs multi-hop routing paths across strict trust boundaries, mathematically verifies cryptographic domain keys, extracts suspicious lexical cues, and yields an explainable 0 to 100 Threat Score wherein every single point is backed by an audit-ready technical justification.</w:t>
      </w:r>
    </w:p>
    <w:p>
      <w:pPr>
        <w:keepNext/>
        <w:spacing w:before="440" w:after="120"/>
        <w:pBdr>
          <w:bottom w:val="single" w:sz="12" w:space="4" w:color="007791"/>
        </w:pBdr>
      </w:pPr>
      <w:r>
        <w:rPr>
          <w:rFonts w:ascii="Calibri" w:hAnsi="Calibri"/>
          <w:b/>
          <w:color w:val="0A2540"/>
          <w:sz w:val="33"/>
        </w:rPr>
        <w:t>2. System Architecture &amp; Hardware Target (Hybrid CPU/GPU Design)</w:t>
      </w:r>
    </w:p>
    <w:p>
      <w:pPr>
        <w:spacing w:before="0" w:after="80" w:line="276" w:lineRule="auto"/>
      </w:pPr>
      <w:r>
        <w:rPr>
          <w:rFonts w:ascii="Calibri" w:hAnsi="Calibri"/>
          <w:b/>
          <w:color w:val="0A2540"/>
          <w:sz w:val="20"/>
        </w:rPr>
        <w:t xml:space="preserve">Target Hardware Profile: </w:t>
      </w:r>
      <w:r>
        <w:rPr>
          <w:rFonts w:ascii="Calibri" w:hAnsi="Calibri"/>
          <w:color w:val="2D3748"/>
          <w:sz w:val="20"/>
        </w:rPr>
        <w:t>A foundational strength of JAALBHEDI is its engineered alignment with real-world edge hardware environments. Unlike cloud-native enterprise security platforms that demand massive, recurring cloud infrastructure subscriptions, JAALBHEDI was architected and benchmarked specifically for a mid-range forensic workstation or laptop. The designated hardware baseline is an Acer Aspire 7 workstation containing:</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Hardware Component</w:t>
            </w:r>
          </w:p>
        </w:tc>
        <w:tc>
          <w:tcPr>
            <w:tcW w:type="dxa" w:w="3888"/>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Technical Specifications</w:t>
            </w:r>
          </w:p>
        </w:tc>
        <w:tc>
          <w:tcPr>
            <w:tcW w:type="dxa" w:w="3600"/>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Forensic Allocation in JAALBHEDI</w:t>
            </w:r>
          </w:p>
        </w:tc>
      </w:tr>
      <w:tr>
        <w:tc>
          <w:tcPr>
            <w:tcW w:type="dxa" w:w="259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Central Processing Unit</w:t>
              <w:br/>
              <w:t>(CPU)</w:t>
            </w:r>
          </w:p>
        </w:tc>
        <w:tc>
          <w:tcPr>
            <w:tcW w:type="dxa" w:w="388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Intel Core i5-13420H</w:t>
              <w:br/>
              <w:t>• 10 Physical Cores (4 P-Cores + 6 E-Cores)</w:t>
              <w:br/>
              <w:t>• 16 Threads, up to 4.60 GHz Boost</w:t>
              <w:br/>
              <w:t>• 12 MB Intel Smart Cache</w:t>
            </w:r>
          </w:p>
        </w:tc>
        <w:tc>
          <w:tcPr>
            <w:tcW w:type="dxa" w:w="360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100% of Deterministic Forensics: RFC MIME parsing, SHA-256 hashing, Received-chain reconstruction, SPF/DKIM verification, Levenshtein edit distance, GeoIP, and Score Fusion.</w:t>
            </w:r>
          </w:p>
        </w:tc>
      </w:tr>
      <w:tr>
        <w:tc>
          <w:tcPr>
            <w:tcW w:type="dxa" w:w="2592"/>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System Memory</w:t>
              <w:br/>
              <w:t>(RAM)</w:t>
            </w:r>
          </w:p>
        </w:tc>
        <w:tc>
          <w:tcPr>
            <w:tcW w:type="dxa" w:w="388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16 GB DDR5 Dual-Channel</w:t>
              <w:br/>
              <w:t>• 5200 MT/s Memory Clock Speed</w:t>
              <w:br/>
              <w:t>• High-bandwidth low-latency memory</w:t>
            </w:r>
          </w:p>
        </w:tc>
        <w:tc>
          <w:tcPr>
            <w:tcW w:type="dxa" w:w="360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Holds in-memory SQLite database cache, pre-parsed MIME structures, MaxMind MMDB memory-mapped trees, and scikit-learn TF-IDF matrices.</w:t>
            </w:r>
          </w:p>
        </w:tc>
      </w:tr>
      <w:tr>
        <w:tc>
          <w:tcPr>
            <w:tcW w:type="dxa" w:w="259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Graphics Processing Unit</w:t>
              <w:br/>
              <w:t>(GPU)</w:t>
            </w:r>
          </w:p>
        </w:tc>
        <w:tc>
          <w:tcPr>
            <w:tcW w:type="dxa" w:w="388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NVIDIA GeForce RTX 3050 Laptop GPU</w:t>
              <w:br/>
              <w:t>• 6 GB GDDR6 Dedicated VRAM</w:t>
              <w:br/>
              <w:t>• Ampere Architecture (GA107 Die)</w:t>
              <w:br/>
              <w:t>• 2048 CUDA Cores, 64 Tensor Cores</w:t>
            </w:r>
          </w:p>
        </w:tc>
        <w:tc>
          <w:tcPr>
            <w:tcW w:type="dxa" w:w="360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Strictly dedicated to Stage B NLP inference: Accelerates Transformer multi-head attention matrix multiplication using PyTorch CUDA FP16 half-precision.</w:t>
            </w:r>
          </w:p>
        </w:tc>
      </w:tr>
      <w:tr>
        <w:tc>
          <w:tcPr>
            <w:tcW w:type="dxa" w:w="2592"/>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Operating System</w:t>
              <w:br/>
              <w:t>(OS)</w:t>
            </w:r>
          </w:p>
        </w:tc>
        <w:tc>
          <w:tcPr>
            <w:tcW w:type="dxa" w:w="388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Windows 11 64-Bit</w:t>
              <w:br/>
              <w:t>• PowerShell 7 / Windows Terminal</w:t>
              <w:br/>
              <w:t>• WSL2 (Windows Subsystem for Linux) ready</w:t>
            </w:r>
          </w:p>
        </w:tc>
        <w:tc>
          <w:tcPr>
            <w:tcW w:type="dxa" w:w="360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Host OS executing FastAPI ASGI backend, Python 3.11 virtual environment, Uvicorn server, and React / Vanilla web clients.</w:t>
            </w:r>
          </w:p>
        </w:tc>
      </w:tr>
    </w:tbl>
    <w:p>
      <w:pPr>
        <w:spacing w:before="0" w:after="80"/>
      </w:pPr>
    </w:p>
    <w:p>
      <w:pPr>
        <w:keepNext/>
        <w:spacing w:before="280" w:after="80"/>
      </w:pPr>
      <w:r>
        <w:rPr>
          <w:rFonts w:ascii="Calibri" w:hAnsi="Calibri"/>
          <w:b/>
          <w:color w:val="1E3A8A"/>
          <w:sz w:val="26"/>
        </w:rPr>
        <w:t>2.1 The Architectural Separation Principle: Determinism vs Probabilism</w:t>
      </w:r>
    </w:p>
    <w:p>
      <w:pPr>
        <w:spacing w:before="0" w:after="80" w:line="276" w:lineRule="auto"/>
      </w:pPr>
      <w:r>
        <w:rPr>
          <w:rFonts w:ascii="Calibri" w:hAnsi="Calibri"/>
          <w:b/>
          <w:color w:val="0A2540"/>
          <w:sz w:val="20"/>
        </w:rPr>
        <w:t xml:space="preserve">Core Architectural Tenet: </w:t>
      </w:r>
      <w:r>
        <w:rPr>
          <w:rFonts w:ascii="Calibri" w:hAnsi="Calibri"/>
          <w:color w:val="2D3748"/>
          <w:sz w:val="20"/>
        </w:rPr>
        <w:t>In digital forensics and legal testimony, combining artificial intelligence with deterministic protocol checks must follow strict architectural boundaries. If a system allows a neural network to guess whether a digital signature is valid, the entire finding is scientifically invalid. JAALBHEDI strictly bifurcates computational tasks into two distinct hardware domains:</w:t>
      </w:r>
    </w:p>
    <w:p>
      <w:pPr>
        <w:pStyle w:val="ListBullet"/>
        <w:spacing w:before="20" w:after="60" w:line="276" w:lineRule="auto"/>
      </w:pPr>
      <w:r>
        <w:rPr>
          <w:rFonts w:ascii="Calibri" w:hAnsi="Calibri"/>
          <w:b/>
          <w:color w:val="0A2540"/>
          <w:sz w:val="20"/>
        </w:rPr>
        <w:t xml:space="preserve">1. The Deterministic Protocol Domain (CPU-Bound): </w:t>
      </w:r>
      <w:r>
        <w:rPr>
          <w:rFonts w:ascii="Calibri" w:hAnsi="Calibri"/>
          <w:color w:val="2D3748"/>
          <w:sz w:val="20"/>
        </w:rPr>
        <w:t>Central Processing Unit (CPU — The primary electronic circuitry within a computer that executes instructions comprising a computer program by performing fundamental arithmetic, logic, controlling, and input/output operations). In JAALBHEDI, the CPU executes 100% of all deterministic forensic operations: hashing raw bytes with SHA-256, parsing RFC 5322 MIME headers, evaluating RFC 1918 subnets, verifying DKIM public-key signatures via dkimpy, computing Levenshtein edit distance against protected domains, resolving MaxMind GeoLite2 binary databases, executing AES-128-CBC Fernet vault encryption, applying HMAC/RSA digital signatures, and calculating the final weighted score fusion. Because these tasks involve sequential control logic, string manipulation, and bitwise arithmetic, the CPU handles them with microsecond latency and zero GPU memory overhead.</w:t>
      </w:r>
    </w:p>
    <w:p>
      <w:pPr>
        <w:pStyle w:val="ListBullet"/>
        <w:spacing w:before="20" w:after="60" w:line="276" w:lineRule="auto"/>
      </w:pPr>
      <w:r>
        <w:rPr>
          <w:rFonts w:ascii="Calibri" w:hAnsi="Calibri"/>
          <w:b/>
          <w:color w:val="0A2540"/>
          <w:sz w:val="20"/>
        </w:rPr>
        <w:t xml:space="preserve">2. The Probabilistic Contextual NLP Domain (GPU-Bound): </w:t>
      </w:r>
      <w:r>
        <w:rPr>
          <w:rFonts w:ascii="Calibri" w:hAnsi="Calibri"/>
          <w:color w:val="2D3748"/>
          <w:sz w:val="20"/>
        </w:rPr>
        <w:t>Graphics Processing Unit (GPU — A specialized electronic processor composed of thousands of compact, high-efficiency cores designed to rapidly manipulate and alter memory to accelerate the creation of images and massively parallel tensor mathematics). In JAALBHEDI, the GPU is strictly and exclusively allocated to Stage B Natural Language Processing (NLP — A branch of computer science and artificial intelligence concerned with giving computers the ability to understand text and spoken words in much the same way human beings can). Specifically, the GPU accelerates deep Transformer (A neural network architecture introduced by Vaswani et al. based on multi-head self-attention mechanisms that process input tokens in parallel to capture deep contextual relationships across sentences) sequence classification using NVIDIA CUDA (Compute Unified Device Architecture — A proprietary parallel computing platform and application programming interface model developed by NVIDIA allowing software engineers to use CUDA-enabled GPUs for general-purpose mathematical processing). The RTX 3050 utilizes FP16 (Half-Precision 16-Bit Floating Point Format — A numerical computer data format that occupies 16 bits in computer memory, doubling computational throughput and halving memory footprint on Tensor Cores compared to standard 32-bit floating point).</w:t>
      </w:r>
    </w:p>
    <w:p>
      <w:pPr>
        <w:keepNext/>
        <w:spacing w:before="280" w:after="80"/>
      </w:pPr>
      <w:r>
        <w:rPr>
          <w:rFonts w:ascii="Calibri" w:hAnsi="Calibri"/>
          <w:b/>
          <w:color w:val="1E3A8A"/>
          <w:sz w:val="26"/>
        </w:rPr>
        <w:t>2.2 Graceful Degradation &amp; Zero-Downtime Fallback Mechanics</w:t>
      </w:r>
    </w:p>
    <w:p>
      <w:pPr>
        <w:spacing w:before="0" w:after="80" w:line="276" w:lineRule="auto"/>
      </w:pPr>
      <w:r>
        <w:rPr>
          <w:rFonts w:ascii="Calibri" w:hAnsi="Calibri"/>
          <w:b/>
          <w:color w:val="0A2540"/>
          <w:sz w:val="20"/>
        </w:rPr>
        <w:t xml:space="preserve">Resilient Fault-Tolerant Design: </w:t>
      </w:r>
      <w:r>
        <w:rPr>
          <w:rFonts w:ascii="Calibri" w:hAnsi="Calibri"/>
          <w:color w:val="2D3748"/>
          <w:sz w:val="20"/>
        </w:rPr>
        <w:t>A critical vulnerability in most modern AI security prototypes is fragility: if an external model file is missing, if CUDA drivers fail, or if GPU Video Random-Access Memory (VRAM — Dedicated ultra-high-speed memory installed on dedicated graphics cards used to store neural network parameters, model weights, and intermediate tensor activation states) is exhausted, the entire application crashes with an Out-of-Memory / OOM error. JAALBHEDI solves this via an automated, silent, zero-downtime fallback mechanism implemented inside backend/ml/inference.py:</w:t>
      </w:r>
    </w:p>
    <w:p>
      <w:pPr>
        <w:pStyle w:val="ListBullet"/>
        <w:spacing w:before="20" w:after="60" w:line="276" w:lineRule="auto"/>
      </w:pPr>
      <w:r>
        <w:rPr>
          <w:rFonts w:ascii="Calibri" w:hAnsi="Calibri"/>
          <w:b/>
          <w:color w:val="0A2540"/>
          <w:sz w:val="20"/>
        </w:rPr>
        <w:t xml:space="preserve">Step 1 (Preferred GPU Execution): </w:t>
      </w:r>
      <w:r>
        <w:rPr>
          <w:rFonts w:ascii="Calibri" w:hAnsi="Calibri"/>
          <w:color w:val="2D3748"/>
          <w:sz w:val="20"/>
        </w:rPr>
        <w:t>When an email is submitted for threat analysis, the classify() inference orchestrator first attempts to load the fine-tuned Transformer model (DistilBERT or MiniLM) onto the CUDA GPU device.</w:t>
      </w:r>
    </w:p>
    <w:p>
      <w:pPr>
        <w:pStyle w:val="ListBullet"/>
        <w:spacing w:before="20" w:after="60" w:line="276" w:lineRule="auto"/>
      </w:pPr>
      <w:r>
        <w:rPr>
          <w:rFonts w:ascii="Calibri" w:hAnsi="Calibri"/>
          <w:b/>
          <w:color w:val="0A2540"/>
          <w:sz w:val="20"/>
        </w:rPr>
        <w:t xml:space="preserve">Step 2 (Silent Exception Interception): </w:t>
      </w:r>
      <w:r>
        <w:rPr>
          <w:rFonts w:ascii="Calibri" w:hAnsi="Calibri"/>
          <w:color w:val="2D3748"/>
          <w:sz w:val="20"/>
        </w:rPr>
        <w:t>If any failure occurs—such as torch not being installed, NVIDIA CUDA drivers being absent, the GPU checkpoint folder not existing, or a CUDA Out-of-Memory exception being thrown—the system catches the exception silently within 5 milliseconds.</w:t>
      </w:r>
    </w:p>
    <w:p>
      <w:pPr>
        <w:pStyle w:val="ListBullet"/>
        <w:spacing w:before="20" w:after="60" w:line="276" w:lineRule="auto"/>
      </w:pPr>
      <w:r>
        <w:rPr>
          <w:rFonts w:ascii="Calibri" w:hAnsi="Calibri"/>
          <w:b/>
          <w:color w:val="0A2540"/>
          <w:sz w:val="20"/>
        </w:rPr>
        <w:t xml:space="preserve">Step 3 (Instantaneous CPU Fallback): </w:t>
      </w:r>
      <w:r>
        <w:rPr>
          <w:rFonts w:ascii="Calibri" w:hAnsi="Calibri"/>
          <w:color w:val="2D3748"/>
          <w:sz w:val="20"/>
        </w:rPr>
        <w:t>The system instantaneously routes the text payload to Stage A: a lightweight, CPU-optimized Term Frequency-Inverse Document Frequency (TF-IDF — A numerical statistic intended to reflect how important a word is to a document in a collection or corpus) vectorizer coupled with a Logistic Regression (A supervised machine learning classification algorithm that models the probability of a discrete categorical outcome using a logistic sigmoid function) classifier trained on domain-specific lexical markers. The analysis completes seamlessly without raising an unhandled exception or dropping the user's connection.</w:t>
      </w:r>
    </w:p>
    <w:p>
      <w:pPr>
        <w:pStyle w:val="ListBullet"/>
        <w:spacing w:before="20" w:after="60" w:line="276" w:lineRule="auto"/>
      </w:pPr>
      <w:r>
        <w:rPr>
          <w:rFonts w:ascii="Calibri" w:hAnsi="Calibri"/>
          <w:b/>
          <w:color w:val="0A2540"/>
          <w:sz w:val="20"/>
        </w:rPr>
        <w:t xml:space="preserve">Step 4 (Device Attribution Provenance): </w:t>
      </w:r>
      <w:r>
        <w:rPr>
          <w:rFonts w:ascii="Calibri" w:hAnsi="Calibri"/>
          <w:color w:val="2D3748"/>
          <w:sz w:val="20"/>
        </w:rPr>
        <w:t>The ML prediction object explicitly records device_used: 'cuda' or device_used: 'cpu'. This parameter is surfaced directly onto the analyst's dashboard and forensic report as a visual badge, guaranteeing 100% transparency regarding which hardware subsystem produced the result.</w:t>
      </w:r>
    </w:p>
    <w:p>
      <w:pPr>
        <w:keepNext/>
        <w:spacing w:before="280" w:after="80"/>
      </w:pPr>
      <w:r>
        <w:rPr>
          <w:rFonts w:ascii="Calibri" w:hAnsi="Calibri"/>
          <w:b/>
          <w:color w:val="1E3A8A"/>
          <w:sz w:val="26"/>
        </w:rPr>
        <w:t>2.3 Dual Operational Capabilities: Connected vs Air-Gapped Modes</w:t>
      </w:r>
    </w:p>
    <w:p>
      <w:pPr>
        <w:spacing w:before="0" w:after="80" w:line="276" w:lineRule="auto"/>
      </w:pPr>
      <w:r>
        <w:rPr>
          <w:rFonts w:ascii="Calibri" w:hAnsi="Calibri"/>
          <w:b/>
          <w:color w:val="0A2540"/>
          <w:sz w:val="20"/>
        </w:rPr>
        <w:t xml:space="preserve">Operational Flexibility: </w:t>
      </w:r>
      <w:r>
        <w:rPr>
          <w:rFonts w:ascii="Calibri" w:hAnsi="Calibri"/>
          <w:color w:val="2D3748"/>
          <w:sz w:val="20"/>
        </w:rPr>
        <w:t>Real-world forensic investigations frequently occur within strictly isolated, air-gapped military or police forensic laboratories where forensic workstations are forbidden from connecting to the public internet to prevent evidence leakage or remote malware communication. JAALBHEDI is natively engineered with a dual-mode operational switch:</w:t>
      </w:r>
    </w:p>
    <w:p>
      <w:pPr>
        <w:pStyle w:val="ListBullet"/>
        <w:spacing w:before="20" w:after="60" w:line="276" w:lineRule="auto"/>
      </w:pPr>
      <w:r>
        <w:rPr>
          <w:rFonts w:ascii="Calibri" w:hAnsi="Calibri"/>
          <w:b/>
          <w:color w:val="0A2540"/>
          <w:sz w:val="20"/>
        </w:rPr>
        <w:t xml:space="preserve">Mode A: Connected / Online Mode (Network Enabled): </w:t>
      </w:r>
      <w:r>
        <w:rPr>
          <w:rFonts w:ascii="Calibri" w:hAnsi="Calibri"/>
          <w:color w:val="2D3748"/>
          <w:sz w:val="20"/>
        </w:rPr>
        <w:t>In this standard mode, JAALBHEDI executes live Domain Name System (DNS — The hierarchical and decentralized naming system used to identify computers, services, and other resources reachable over the internet) TXT record queries to retrieve live SPF records, verifies live DKIM public keys directly from the domain's authoritative nameservers, and queries Registration Data Access Protocol (RDAP — A modern, structured RESTful protocol defined by ICANN that delivers domain registration data and ownership timestamps, succeeding legacy WHOIS) endpoints to evaluate domain registration age and registrar reputation.</w:t>
      </w:r>
    </w:p>
    <w:p>
      <w:pPr>
        <w:pStyle w:val="ListBullet"/>
        <w:spacing w:before="20" w:after="60" w:line="276" w:lineRule="auto"/>
      </w:pPr>
      <w:r>
        <w:rPr>
          <w:rFonts w:ascii="Calibri" w:hAnsi="Calibri"/>
          <w:b/>
          <w:color w:val="0A2540"/>
          <w:sz w:val="20"/>
        </w:rPr>
        <w:t xml:space="preserve">Mode B: Air-Gapped / High-Security Offline Mode: </w:t>
      </w:r>
      <w:r>
        <w:rPr>
          <w:rFonts w:ascii="Calibri" w:hAnsi="Calibri"/>
          <w:color w:val="2D3748"/>
          <w:sz w:val="20"/>
        </w:rPr>
        <w:t>When the 'Enable network lookups' control is unchecked, JAALBHEDI completely disables all outbound socket connections. The authentication engine parses the existing, immutable Authentication-Results headers stamped into the email by the recipient's edge Mail Transfer Agent; the geolocation module queries the local offline MaxMind binary database stored on disk; and the ML engine executes offline on local CPU/GPU weights. All 22 automated test suites pass with 100% success in this completely offline mode, proving that JAALBHEDI has zero mandatory internet dependencies.</w:t>
      </w:r>
    </w:p>
    <w:p>
      <w:pPr>
        <w:keepNext/>
        <w:spacing w:before="440" w:after="120"/>
        <w:pBdr>
          <w:bottom w:val="single" w:sz="12" w:space="4" w:color="007791"/>
        </w:pBdr>
      </w:pPr>
      <w:r>
        <w:rPr>
          <w:rFonts w:ascii="Calibri" w:hAnsi="Calibri"/>
          <w:b/>
          <w:color w:val="0A2540"/>
          <w:sz w:val="33"/>
        </w:rPr>
        <w:t>3. Complete Forensic Pipeline Breakdown (The 12 Exhaustive Stages)</w:t>
      </w:r>
    </w:p>
    <w:p>
      <w:pPr>
        <w:spacing w:before="0" w:after="80" w:line="276" w:lineRule="auto"/>
      </w:pPr>
      <w:r>
        <w:rPr>
          <w:rFonts w:ascii="Calibri" w:hAnsi="Calibri"/>
          <w:b/>
          <w:color w:val="0A2540"/>
          <w:sz w:val="20"/>
        </w:rPr>
        <w:t xml:space="preserve">End-to-End Pipeline Architecture: </w:t>
      </w:r>
      <w:r>
        <w:rPr>
          <w:rFonts w:ascii="Calibri" w:hAnsi="Calibri"/>
          <w:color w:val="2D3748"/>
          <w:sz w:val="20"/>
        </w:rPr>
        <w:t>To guarantee that an investigator can explain the JAALBHEDI prototype without leaving out any minor technical detail, this section walks through the complete lifecycle of evidence processing. The pipeline comprises twelve distinct, rigorously sequenced stages from initial intake to courtroom-ready export.</w:t>
      </w:r>
    </w:p>
    <w:p>
      <w:pPr>
        <w:keepNext/>
        <w:spacing w:before="280" w:after="80"/>
      </w:pPr>
      <w:r>
        <w:rPr>
          <w:rFonts w:ascii="Calibri" w:hAnsi="Calibri"/>
          <w:b/>
          <w:color w:val="1E3A8A"/>
          <w:sz w:val="26"/>
        </w:rPr>
        <w:t>Stage 1: Case Management &amp; Cryptographic Audit Ledger</w:t>
      </w:r>
    </w:p>
    <w:p>
      <w:pPr>
        <w:spacing w:before="0" w:after="80" w:line="276" w:lineRule="auto"/>
      </w:pPr>
      <w:r>
        <w:rPr>
          <w:rFonts w:ascii="Calibri" w:hAnsi="Calibri"/>
          <w:b/>
          <w:color w:val="0A2540"/>
          <w:sz w:val="20"/>
        </w:rPr>
        <w:t xml:space="preserve">Audit Ledger Initialization: </w:t>
      </w:r>
      <w:r>
        <w:rPr>
          <w:rFonts w:ascii="Calibri" w:hAnsi="Calibri"/>
          <w:color w:val="2D3748"/>
          <w:sz w:val="20"/>
        </w:rPr>
        <w:t>The forensic process begins by initializing a formal case container via the POST /api/cases endpoint. A Universally Unique Identifier version 4 (UUIDv4 — A 128-bit pseudo-random mathematical identifier formatted as 32 hexadecimal digits separated by four hyphens, guaranteeing global uniqueness across distributed systems without central coordination) is generated as the case_id. Concurrently, an entry is written into the audit_events table within the SQLite database. Every subsequent user action—including evidence upload, full analysis execution, report export, and case deletion—is permanently logged in this ledger with an exact UTC (Coordinated Universal Time — The primary time standard by which the world regulates clocks and time) timestamp, the active actor role, the specific action taken, and the SHA-256 fingerprint of the affected evidence. This ledger guarantees an unbroken Chain of Custody (A documented, chronological trail demonstrating the unbroken custody, control, transfer, analysis, and physical disposition of digital evidence to satisfy legal admissibility standards).</w:t>
      </w:r>
    </w:p>
    <w:p>
      <w:pPr>
        <w:keepNext/>
        <w:spacing w:before="280" w:after="80"/>
      </w:pPr>
      <w:r>
        <w:rPr>
          <w:rFonts w:ascii="Calibri" w:hAnsi="Calibri"/>
          <w:b/>
          <w:color w:val="1E3A8A"/>
          <w:sz w:val="26"/>
        </w:rPr>
        <w:t>Stage 2: Evidence Intake, Ingestion &amp; Immutable Vault Storage</w:t>
      </w:r>
    </w:p>
    <w:p>
      <w:pPr>
        <w:spacing w:before="0" w:after="80" w:line="276" w:lineRule="auto"/>
      </w:pPr>
      <w:r>
        <w:rPr>
          <w:rFonts w:ascii="Calibri" w:hAnsi="Calibri"/>
          <w:b/>
          <w:color w:val="0A2540"/>
          <w:sz w:val="20"/>
        </w:rPr>
        <w:t xml:space="preserve">Cryptographic Intake Workflow: </w:t>
      </w:r>
      <w:r>
        <w:rPr>
          <w:rFonts w:ascii="Calibri" w:hAnsi="Calibri"/>
          <w:color w:val="2D3748"/>
          <w:sz w:val="20"/>
        </w:rPr>
        <w:t>Raw email files (.eml, .msg, or pasted MIME source) enter the system via the POST /api/cases/{case_id}/upload endpoint. The ingestion workflow follows a strict evidentiary preservation protocol:</w:t>
      </w:r>
    </w:p>
    <w:p>
      <w:pPr>
        <w:pStyle w:val="ListBullet"/>
        <w:spacing w:before="20" w:after="60" w:line="276" w:lineRule="auto"/>
      </w:pPr>
      <w:r>
        <w:rPr>
          <w:rFonts w:ascii="Calibri" w:hAnsi="Calibri"/>
          <w:b/>
          <w:color w:val="0A2540"/>
          <w:sz w:val="20"/>
        </w:rPr>
        <w:t xml:space="preserve">1. Upload Ceiling Verification: </w:t>
      </w:r>
      <w:r>
        <w:rPr>
          <w:rFonts w:ascii="Calibri" w:hAnsi="Calibri"/>
          <w:color w:val="2D3748"/>
          <w:sz w:val="20"/>
        </w:rPr>
        <w:t>The raw byte length is checked against MAX_UPLOAD_BYTES (set to 25 Megabytes). If a file exceeds this ceiling, the API immediately halts execution with an HTTP 413 Payload Too Large exception to prevent Denial of Service (DoS — A cyber attack in which the perpetrator seeks to make a machine or network resource unavailable to its intended users by exhausting memory or CPU resources) vulnerabilities.</w:t>
      </w:r>
    </w:p>
    <w:p>
      <w:pPr>
        <w:pStyle w:val="ListBullet"/>
        <w:spacing w:before="20" w:after="60" w:line="276" w:lineRule="auto"/>
      </w:pPr>
      <w:r>
        <w:rPr>
          <w:rFonts w:ascii="Calibri" w:hAnsi="Calibri"/>
          <w:b/>
          <w:color w:val="0A2540"/>
          <w:sz w:val="20"/>
        </w:rPr>
        <w:t xml:space="preserve">2. Deterministic Integrity Hashing: </w:t>
      </w:r>
      <w:r>
        <w:rPr>
          <w:rFonts w:ascii="Calibri" w:hAnsi="Calibri"/>
          <w:color w:val="2D3748"/>
          <w:sz w:val="20"/>
        </w:rPr>
        <w:t>Before any parsing, tokenization, or file system writes occur, JAALBHEDI calculates the Secure Hash Algorithm 256-bit (SHA-256 — A cryptographic hash function published by the National Institute of Standards and Technology that converts an arbitrary stream of input bytes into an immutable, unique 64-character hexadecimal digest) and Message Digest 5 (MD5 — A 128-bit cryptographic hash function widely used in digital forensics as a secondary legacy checksum for file verification). Crucially, the hash is computed directly over the raw, plaintext source bytes. This ensures that the fingerprint matches exactly what an external investigator or law enforcement officer obtains when running sha256sum on the source file using standard operating system tools.</w:t>
      </w:r>
    </w:p>
    <w:p>
      <w:pPr>
        <w:pStyle w:val="ListBullet"/>
        <w:spacing w:before="20" w:after="60" w:line="276" w:lineRule="auto"/>
      </w:pPr>
      <w:r>
        <w:rPr>
          <w:rFonts w:ascii="Calibri" w:hAnsi="Calibri"/>
          <w:b/>
          <w:color w:val="0A2540"/>
          <w:sz w:val="20"/>
        </w:rPr>
        <w:t xml:space="preserve">3. Encrypted Evidence Vault Storage: </w:t>
      </w:r>
      <w:r>
        <w:rPr>
          <w:rFonts w:ascii="Calibri" w:hAnsi="Calibri"/>
          <w:color w:val="2D3748"/>
          <w:sz w:val="20"/>
        </w:rPr>
        <w:t>To protect Sensitive Personally Identifiable Information (PII — Any representation of information that permits the identity of an individual to whom the information applies to be reasonably inferred, including names, bank account numbers, and private correspondence) against disk theft or forensic workstation compromise, the raw bytes are encrypted at rest using Fernet (A high-level cryptographic recipe implemented in Python's cryptography package that guarantees symmetric encryption confidentiality and authenticity by combining AES-128 in Cipher Block Chaining mode with PKCS7 padding and an HMAC-SHA256 authentication tag). The encrypted ciphertext is written to evidence/{safe_filename}. The file permissions on disk are immediately locked to 0o444 (Read-Only Mode — An operating system file permission flag that prevents any user or process from modifying or overwriting the file contents).</w:t>
      </w:r>
    </w:p>
    <w:p>
      <w:pPr>
        <w:keepNext/>
        <w:spacing w:before="280" w:after="80"/>
      </w:pPr>
      <w:r>
        <w:rPr>
          <w:rFonts w:ascii="Calibri" w:hAnsi="Calibri"/>
          <w:b/>
          <w:color w:val="1E3A8A"/>
          <w:sz w:val="26"/>
        </w:rPr>
        <w:t>Stage 3: RFC 5322 &amp; MIME Boundary Parsing</w:t>
      </w:r>
    </w:p>
    <w:p>
      <w:pPr>
        <w:spacing w:before="0" w:after="80" w:line="276" w:lineRule="auto"/>
      </w:pPr>
      <w:r>
        <w:rPr>
          <w:rFonts w:ascii="Calibri" w:hAnsi="Calibri"/>
          <w:b/>
          <w:color w:val="0A2540"/>
          <w:sz w:val="20"/>
        </w:rPr>
        <w:t xml:space="preserve">Structural Message Parsing: </w:t>
      </w:r>
      <w:r>
        <w:rPr>
          <w:rFonts w:ascii="Calibri" w:hAnsi="Calibri"/>
          <w:color w:val="2D3748"/>
          <w:sz w:val="20"/>
        </w:rPr>
        <w:t>Once evidence is secured, the backend decrypts the ciphertext into memory and invokes backend/parsers/email_parser.py to unpack the email structure in strict compliance with RFC 5322 (The authoritative Internet Engineering Task Force standard defining the syntax, grammar, and structural rules for electronic mail message headers and bodies) and Multipurpose Internet Mail Extensions (MIME — A series of IETF standards defined in RFC 2045 through RFC 2049 that extend the basic email format to support non-ASCII text, multi-part message bodies, embedded HTML markup, and binary attachments).</w:t>
      </w:r>
    </w:p>
    <w:p>
      <w:pPr>
        <w:pStyle w:val="ListBullet"/>
        <w:spacing w:before="20" w:after="60" w:line="276" w:lineRule="auto"/>
      </w:pPr>
      <w:r>
        <w:rPr>
          <w:rFonts w:ascii="Calibri" w:hAnsi="Calibri"/>
          <w:b/>
          <w:color w:val="0A2540"/>
          <w:sz w:val="20"/>
        </w:rPr>
        <w:t xml:space="preserve">Envelope Extraction: </w:t>
      </w:r>
      <w:r>
        <w:rPr>
          <w:rFonts w:ascii="Calibri" w:hAnsi="Calibri"/>
          <w:color w:val="2D3748"/>
          <w:sz w:val="20"/>
        </w:rPr>
        <w:t>The parser extracts core envelope fields: Message-ID, Subject, From, Reply-To, Return-Path, Date, and all multi-line Received header blocks.</w:t>
      </w:r>
    </w:p>
    <w:p>
      <w:pPr>
        <w:pStyle w:val="ListBullet"/>
        <w:spacing w:before="20" w:after="60" w:line="276" w:lineRule="auto"/>
      </w:pPr>
      <w:r>
        <w:rPr>
          <w:rFonts w:ascii="Calibri" w:hAnsi="Calibri"/>
          <w:b/>
          <w:color w:val="0A2540"/>
          <w:sz w:val="20"/>
        </w:rPr>
        <w:t xml:space="preserve">MIME Decoding: </w:t>
      </w:r>
      <w:r>
        <w:rPr>
          <w:rFonts w:ascii="Calibri" w:hAnsi="Calibri"/>
          <w:color w:val="2D3748"/>
          <w:sz w:val="20"/>
        </w:rPr>
        <w:t>The parser decodes complex transfer encodings including Quoted-Printable (An encoding system defined in RFC 2045 that represents arbitrary 8-bit data using printable US-ASCII characters, typically denoted by '=XX' hex sequences) and Base64 (A binary-to-text encoding scheme that represents binary data in an ASCII string format by translating it into a radix-64 representation).</w:t>
      </w:r>
    </w:p>
    <w:p>
      <w:pPr>
        <w:pStyle w:val="ListBullet"/>
        <w:spacing w:before="20" w:after="60" w:line="276" w:lineRule="auto"/>
      </w:pPr>
      <w:r>
        <w:rPr>
          <w:rFonts w:ascii="Calibri" w:hAnsi="Calibri"/>
          <w:b/>
          <w:color w:val="0A2540"/>
          <w:sz w:val="20"/>
        </w:rPr>
        <w:t xml:space="preserve">HTML Sanitization (Bleach): </w:t>
      </w:r>
      <w:r>
        <w:rPr>
          <w:rFonts w:ascii="Calibri" w:hAnsi="Calibri"/>
          <w:color w:val="2D3748"/>
          <w:sz w:val="20"/>
        </w:rPr>
        <w:t>If the email contains an HTML payload, the raw HTML markup is passed through Bleach (A whitelist-based Python HTML sanitization library that parses and cleans untrusted HTML markup by stripping disallowed tags, scripts, and attributes to prevent Cross-Site Scripting vulnerabilities). This prevents Cross-Site Scripting (XSS — A security vulnerability wherein malicious client-side scripts are injected into trusted web interfaces, potentially compromising an analyst's session or browser) from executing when the email body is rendered within the analyst HUD.</w:t>
      </w:r>
    </w:p>
    <w:p>
      <w:pPr>
        <w:keepNext/>
        <w:spacing w:before="280" w:after="80"/>
      </w:pPr>
      <w:r>
        <w:rPr>
          <w:rFonts w:ascii="Calibri" w:hAnsi="Calibri"/>
          <w:b/>
          <w:color w:val="1E3A8A"/>
          <w:sz w:val="26"/>
        </w:rPr>
        <w:t>Stage 4: Header Forensics &amp; Received-Chain Relay Trace</w:t>
      </w:r>
    </w:p>
    <w:p>
      <w:pPr>
        <w:spacing w:before="0" w:after="80" w:line="276" w:lineRule="auto"/>
      </w:pPr>
      <w:r>
        <w:rPr>
          <w:rFonts w:ascii="Calibri" w:hAnsi="Calibri"/>
          <w:b/>
          <w:color w:val="0A2540"/>
          <w:sz w:val="20"/>
        </w:rPr>
        <w:t xml:space="preserve">Relay Path Reconstruction: </w:t>
      </w:r>
      <w:r>
        <w:rPr>
          <w:rFonts w:ascii="Calibri" w:hAnsi="Calibri"/>
          <w:color w:val="2D3748"/>
          <w:sz w:val="20"/>
        </w:rPr>
        <w:t>Header forensics represents the primary investigative differentiator of JAALBHEDI. Attackers routinely manipulate visible email headers, but they cannot evade the physical transmission path recorded by mail transfer agents. The analyzer executes a multi-step algorithmic reconstruction:</w:t>
      </w:r>
    </w:p>
    <w:p>
      <w:pPr>
        <w:pStyle w:val="ListBullet"/>
        <w:spacing w:before="20" w:after="60" w:line="276" w:lineRule="auto"/>
      </w:pPr>
      <w:r>
        <w:rPr>
          <w:rFonts w:ascii="Calibri" w:hAnsi="Calibri"/>
          <w:b/>
          <w:color w:val="0A2540"/>
          <w:sz w:val="20"/>
        </w:rPr>
        <w:t xml:space="preserve">1. Chronological Inversion: </w:t>
      </w:r>
      <w:r>
        <w:rPr>
          <w:rFonts w:ascii="Calibri" w:hAnsi="Calibri"/>
          <w:color w:val="2D3748"/>
          <w:sz w:val="20"/>
        </w:rPr>
        <w:t>In raw MIME messages, each Mail Transfer Agent prepends its own Received: header to the top of the file as the message traverses the internet. Consequently, Received headers appear in newest-first order. JAALBHEDI reverses this list chronologically (bottom-to-top) to follow the physical journey of the packet from the sender's origin MTA to the recipient's internal inbox.</w:t>
      </w:r>
    </w:p>
    <w:p>
      <w:pPr>
        <w:pStyle w:val="ListBullet"/>
        <w:spacing w:before="20" w:after="60" w:line="276" w:lineRule="auto"/>
      </w:pPr>
      <w:r>
        <w:rPr>
          <w:rFonts w:ascii="Calibri" w:hAnsi="Calibri"/>
          <w:b/>
          <w:color w:val="0A2540"/>
          <w:sz w:val="20"/>
        </w:rPr>
        <w:t xml:space="preserve">2. Grammar Regex Extraction: </w:t>
      </w:r>
      <w:r>
        <w:rPr>
          <w:rFonts w:ascii="Calibri" w:hAnsi="Calibri"/>
          <w:color w:val="2D3748"/>
          <w:sz w:val="20"/>
        </w:rPr>
        <w:t>Using regular expressions conforming to RFC 5321 (Simple Mail Transfer Protocol — The foundational internet standard for email transmission across IP networks), the analyzer extracts the sending hostname ('from'), the originating IP address enclosed in brackets, the receiving host ('by'), the transport protocol ('with ESMTP'), the unique queue identifier ('id'), and the terminal timestamp separated by a semicolon.</w:t>
      </w:r>
    </w:p>
    <w:p>
      <w:pPr>
        <w:pStyle w:val="ListBullet"/>
        <w:spacing w:before="20" w:after="60" w:line="276" w:lineRule="auto"/>
      </w:pPr>
      <w:r>
        <w:rPr>
          <w:rFonts w:ascii="Calibri" w:hAnsi="Calibri"/>
          <w:b/>
          <w:color w:val="0A2540"/>
          <w:sz w:val="20"/>
        </w:rPr>
        <w:t xml:space="preserve">3. RFC 1918 Private IP Pruning: </w:t>
      </w:r>
      <w:r>
        <w:rPr>
          <w:rFonts w:ascii="Calibri" w:hAnsi="Calibri"/>
          <w:color w:val="2D3748"/>
          <w:sz w:val="20"/>
        </w:rPr>
        <w:t>The extracted IP addresses are cross-referenced against RFC 1918 (Address Allocation for Private Internets — The IETF standard defining private IPv4 address spaces reserved for local internal networks, specifically 10.0.0.0/8, 172.16.0.0/12, and 192.168.0.0/16) as well as loopback (127.0.0.0/8) and link-local (169.254.0.0/16) subnets. Non-routable private IP addresses are identified and flagged so they are never erroneously assigned as public originators.</w:t>
      </w:r>
    </w:p>
    <w:p>
      <w:pPr>
        <w:pStyle w:val="ListBullet"/>
        <w:spacing w:before="20" w:after="60" w:line="276" w:lineRule="auto"/>
      </w:pPr>
      <w:r>
        <w:rPr>
          <w:rFonts w:ascii="Calibri" w:hAnsi="Calibri"/>
          <w:b/>
          <w:color w:val="0A2540"/>
          <w:sz w:val="20"/>
        </w:rPr>
        <w:t xml:space="preserve">4. Trust Boundary Hop Classification: </w:t>
      </w:r>
      <w:r>
        <w:rPr>
          <w:rFonts w:ascii="Calibri" w:hAnsi="Calibri"/>
          <w:color w:val="2D3748"/>
          <w:sz w:val="20"/>
        </w:rPr>
        <w:t>JAALBHEDI does NOT make the naive assumption that every Received header is authentic. Attackers controlling their own mail server can forge arbitrary Received headers prior to handing the message off to external relays. JAALBHEDI solves this via a configurable Trust Boundary algorithm: The analyst can configure TRUSTED_RELAY_HOSTNAMES (the hostnames of their organization's known corporate mail gateway). The analyzer scans the chain; hops originating inside the trusted infrastructure are marked 'trusted'; the first external hop that handed the message to the trusted gateway is designated as the 'boundary'; and all prior hops further upstream are marked 'untrusted'. If no trusted hostnames are configured, the system conservatively marks all hops as untrusted-but-visible, preventing false investigative confidence.</w:t>
      </w:r>
    </w:p>
    <w:p>
      <w:pPr>
        <w:pStyle w:val="ListBullet"/>
        <w:spacing w:before="20" w:after="60" w:line="276" w:lineRule="auto"/>
      </w:pPr>
      <w:r>
        <w:rPr>
          <w:rFonts w:ascii="Calibri" w:hAnsi="Calibri"/>
          <w:b/>
          <w:color w:val="0A2540"/>
          <w:sz w:val="20"/>
        </w:rPr>
        <w:t xml:space="preserve">5. Earliest Candidate Origin IP Selection: </w:t>
      </w:r>
      <w:r>
        <w:rPr>
          <w:rFonts w:ascii="Calibri" w:hAnsi="Calibri"/>
          <w:color w:val="2D3748"/>
          <w:sz w:val="20"/>
        </w:rPr>
        <w:t>The analyzer identifies the earliest non-private, routable public IP address discovered chronologically in the chain. This IP is designated as the Candidate Origin IP, accompanied by an explicit caveat that it represents the earliest verifiable point of network injection.</w:t>
      </w:r>
    </w:p>
    <w:p>
      <w:pPr>
        <w:pStyle w:val="ListBullet"/>
        <w:spacing w:before="20" w:after="60" w:line="276" w:lineRule="auto"/>
      </w:pPr>
      <w:r>
        <w:rPr>
          <w:rFonts w:ascii="Calibri" w:hAnsi="Calibri"/>
          <w:b/>
          <w:color w:val="0A2540"/>
          <w:sz w:val="20"/>
        </w:rPr>
        <w:t xml:space="preserve">6. Sender Identity Mismatch Heuristics: </w:t>
      </w:r>
      <w:r>
        <w:rPr>
          <w:rFonts w:ascii="Calibri" w:hAnsi="Calibri"/>
          <w:color w:val="2D3748"/>
          <w:sz w:val="20"/>
        </w:rPr>
        <w:t>JAALBHEDI inspects the RFC 5322 header trio: From, Reply-To, and Return-Path. It evaluates Display-Name vs Domain Mismatch (e.g., when the display name says 'State Bank of India Support' but the actual sending address is 'alerts@suspicious-domain.ru'), Reply-To Mismatch (where responses are covertly redirected to an external domain differing from the From domain), and Return-Path Mismatch (where automated bounce notifications point to a rogue drop-box). Each mismatch generates an itemized forensic finding weighted by severity (Low +10, Medium +20, High +35 points).</w:t>
      </w:r>
    </w:p>
    <w:p>
      <w:pPr>
        <w:keepNext/>
        <w:spacing w:before="280" w:after="80"/>
      </w:pPr>
      <w:r>
        <w:rPr>
          <w:rFonts w:ascii="Calibri" w:hAnsi="Calibri"/>
          <w:b/>
          <w:color w:val="1E3A8A"/>
          <w:sz w:val="26"/>
        </w:rPr>
        <w:t>Stage 5: Cryptographic Protocol Authentication (SPF, DKIM, DMARC)</w:t>
      </w:r>
    </w:p>
    <w:p>
      <w:pPr>
        <w:spacing w:before="0" w:after="80" w:line="276" w:lineRule="auto"/>
      </w:pPr>
      <w:r>
        <w:rPr>
          <w:rFonts w:ascii="Calibri" w:hAnsi="Calibri"/>
          <w:b/>
          <w:color w:val="0A2540"/>
          <w:sz w:val="20"/>
        </w:rPr>
        <w:t xml:space="preserve">Protocol Authentication Verification: </w:t>
      </w:r>
      <w:r>
        <w:rPr>
          <w:rFonts w:ascii="Calibri" w:hAnsi="Calibri"/>
          <w:color w:val="2D3748"/>
          <w:sz w:val="20"/>
        </w:rPr>
        <w:t>JAALBHEDI verifies the core trinity of email authentication protocols, distinguishing between pre-computed header assertions and genuine cryptographic proofs:</w:t>
      </w:r>
    </w:p>
    <w:p>
      <w:pPr>
        <w:pStyle w:val="ListBullet"/>
        <w:spacing w:before="20" w:after="60" w:line="276" w:lineRule="auto"/>
      </w:pPr>
      <w:r>
        <w:rPr>
          <w:rFonts w:ascii="Calibri" w:hAnsi="Calibri"/>
          <w:b/>
          <w:color w:val="0A2540"/>
          <w:sz w:val="20"/>
        </w:rPr>
        <w:t xml:space="preserve">1. RFC 7208 SPF Evaluation: </w:t>
      </w:r>
      <w:r>
        <w:rPr>
          <w:rFonts w:ascii="Calibri" w:hAnsi="Calibri"/>
          <w:color w:val="2D3748"/>
          <w:sz w:val="20"/>
        </w:rPr>
        <w:t>Sender Policy Framework (SPF — An email authentication protocol defined in RFC 7208 that enables domain owners to publish DNS TXT records specifying the IP addresses authorized to send emails on behalf of their domain). JAALBHEDI evaluates whether the sending MTA IP is authorized, parsing results into PASS, FAIL, SOFTFAIL (~all), NEUTRAL, NONE, or PERMERROR.</w:t>
      </w:r>
    </w:p>
    <w:p>
      <w:pPr>
        <w:pStyle w:val="ListBullet"/>
        <w:spacing w:before="20" w:after="60" w:line="276" w:lineRule="auto"/>
      </w:pPr>
      <w:r>
        <w:rPr>
          <w:rFonts w:ascii="Calibri" w:hAnsi="Calibri"/>
          <w:b/>
          <w:color w:val="0A2540"/>
          <w:sz w:val="20"/>
        </w:rPr>
        <w:t xml:space="preserve">2. RFC 6376 DKIM Cryptographic Verification: </w:t>
      </w:r>
      <w:r>
        <w:rPr>
          <w:rFonts w:ascii="Calibri" w:hAnsi="Calibri"/>
          <w:color w:val="2D3748"/>
          <w:sz w:val="20"/>
        </w:rPr>
        <w:t>DomainKeys Identified Mail (DKIM — An email authentication protocol defined in RFC 6376 that uses public-key cryptography to verify that an email message originated from an authorized domain and that its body and header contents were not altered in transit). In addition to reading the stamped Authentication-Results header, JAALBHEDI incorporates a real cryptographic engine powered by dkimpy: When network access is enabled, it extracts the selector ('s=') and domain ('d=') from the DKIM-Signature header, performs a live DNS query to retrieve the published public key (from selector._domainkey.domain.com), and mathematically recomputes the SHA-256 cryptographic hashes across the headers and canonicalized body. If the signature matches the public key, dkim_cryptographically_verified is set to True. If verification fails or the signature is tampered, it asserts DKIM=FAIL.</w:t>
      </w:r>
    </w:p>
    <w:p>
      <w:pPr>
        <w:pStyle w:val="ListBullet"/>
        <w:spacing w:before="20" w:after="60" w:line="276" w:lineRule="auto"/>
      </w:pPr>
      <w:r>
        <w:rPr>
          <w:rFonts w:ascii="Calibri" w:hAnsi="Calibri"/>
          <w:b/>
          <w:color w:val="0A2540"/>
          <w:sz w:val="20"/>
        </w:rPr>
        <w:t xml:space="preserve">3. RFC 7489 DMARC Policy Alignment: </w:t>
      </w:r>
      <w:r>
        <w:rPr>
          <w:rFonts w:ascii="Calibri" w:hAnsi="Calibri"/>
          <w:color w:val="2D3748"/>
          <w:sz w:val="20"/>
        </w:rPr>
        <w:t>Domain-based Message Authentication, Reporting, and Conformance (DMARC — An email authentication policy framework defined in RFC 7489 that leverages SPF and DKIM to determine the authenticity of an email message and specifies how receiving mail servers should handle failing messages). JAALBHEDI verifies whether the domain in the visible 'From:' header matches the domains validated by SPF and DKIM. It evaluates whether the domain owner has published an enforcement policy: 'p=none' (monitoring only), 'p=quarantine' (divert to spam folder), or 'p=reject' (block delivery outright).</w:t>
      </w:r>
    </w:p>
    <w:p>
      <w:pPr>
        <w:keepNext/>
        <w:spacing w:before="280" w:after="80"/>
      </w:pPr>
      <w:r>
        <w:rPr>
          <w:rFonts w:ascii="Calibri" w:hAnsi="Calibri"/>
          <w:b/>
          <w:color w:val="1E3A8A"/>
          <w:sz w:val="26"/>
        </w:rPr>
        <w:t>Stage 6: Threat Indicators &amp; IOC Extraction (URLs, Domains, Lexical Cues)</w:t>
      </w:r>
    </w:p>
    <w:p>
      <w:pPr>
        <w:spacing w:before="0" w:after="80" w:line="276" w:lineRule="auto"/>
      </w:pPr>
      <w:r>
        <w:rPr>
          <w:rFonts w:ascii="Calibri" w:hAnsi="Calibri"/>
          <w:b/>
          <w:color w:val="0A2540"/>
          <w:sz w:val="20"/>
        </w:rPr>
        <w:t xml:space="preserve">Passive Indicator Extraction: </w:t>
      </w:r>
      <w:r>
        <w:rPr>
          <w:rFonts w:ascii="Calibri" w:hAnsi="Calibri"/>
          <w:color w:val="2D3748"/>
          <w:sz w:val="20"/>
        </w:rPr>
        <w:t>In accordance with strict forensic guidelines (PRD Section 8.4), JAALBHEDI extracts and normalizes all Indicators of Compromise (IOC — Forensic artifacts observed on a network or operating system that with high confidence indicate a computer intrusion or malicious cyber activity) from the email body, but NEVER visits or downloads remote links. Visiting attacker URLs during an investigation triggers Web Beacons (Transparent 1x1 tracking pixels or unique URLs embedded in email bodies designed to alert attackers that an email has been opened, thereby validating target victim active status). Extraction includes:</w:t>
      </w:r>
    </w:p>
    <w:p>
      <w:pPr>
        <w:pStyle w:val="ListBullet"/>
        <w:spacing w:before="20" w:after="60" w:line="276" w:lineRule="auto"/>
      </w:pPr>
      <w:r>
        <w:rPr>
          <w:rFonts w:ascii="Calibri" w:hAnsi="Calibri"/>
          <w:b/>
          <w:color w:val="0A2540"/>
          <w:sz w:val="20"/>
        </w:rPr>
        <w:t xml:space="preserve">1. Lexical URL Normalization &amp; Flagging: </w:t>
      </w:r>
      <w:r>
        <w:rPr>
          <w:rFonts w:ascii="Calibri" w:hAnsi="Calibri"/>
          <w:color w:val="2D3748"/>
          <w:sz w:val="20"/>
        </w:rPr>
        <w:t>URLs are parsed using urllib.parse to identify IP-Literal URLs (URLs where the host is an explicit IP address rather than a registered domain, e.g., http://192.0.2.1/login, heavily utilized in credential phishing to bypass domain reputation filters), Punycode / IDN Homograph URLs (Internationalized Domain Names translated into ASCII strings prefixed with 'xn--', used by attackers to substitute Cyrillic or Greek characters that look visually identical to Latin characters), Non-Standard Ports (URLs specifying ports other than 80 or 443, such as :8080 or :8443), and Open Redirect Parameters (URLs containing parameters like '?url=http://...' or '?redirect=http://...').</w:t>
      </w:r>
    </w:p>
    <w:p>
      <w:pPr>
        <w:pStyle w:val="ListBullet"/>
        <w:spacing w:before="20" w:after="60" w:line="276" w:lineRule="auto"/>
      </w:pPr>
      <w:r>
        <w:rPr>
          <w:rFonts w:ascii="Calibri" w:hAnsi="Calibri"/>
          <w:b/>
          <w:color w:val="0A2540"/>
          <w:sz w:val="20"/>
        </w:rPr>
        <w:t xml:space="preserve">2. Lookalike Typo-Squatting Detection: </w:t>
      </w:r>
      <w:r>
        <w:rPr>
          <w:rFonts w:ascii="Calibri" w:hAnsi="Calibri"/>
          <w:color w:val="2D3748"/>
          <w:sz w:val="20"/>
        </w:rPr>
        <w:t>JAALBHEDI protects high-value institutional and banking domains using Levenshtein Distance (A dynamic programming string metric calculating the minimum number of single-character edit operations—insertions, deletions, or substitutions—required to transform one string into another). If an embedded URL domain has an edit distance of 1 or 2 from a protected brand (e.g., 'paypa1.com' vs 'paypal.com', or 'yourco11ege.edu' vs 'yourcollege.edu'), it is immediately flagged as a high-severity lookalike domain.</w:t>
      </w:r>
    </w:p>
    <w:p>
      <w:pPr>
        <w:pStyle w:val="ListBullet"/>
        <w:spacing w:before="20" w:after="60" w:line="276" w:lineRule="auto"/>
      </w:pPr>
      <w:r>
        <w:rPr>
          <w:rFonts w:ascii="Calibri" w:hAnsi="Calibri"/>
          <w:b/>
          <w:color w:val="0A2540"/>
          <w:sz w:val="20"/>
        </w:rPr>
        <w:t xml:space="preserve">3. Behavioral Content Cues: </w:t>
      </w:r>
      <w:r>
        <w:rPr>
          <w:rFonts w:ascii="Calibri" w:hAnsi="Calibri"/>
          <w:color w:val="2D3748"/>
          <w:sz w:val="20"/>
        </w:rPr>
        <w:t>The text is parsed against regex dictionaries targeting psychological social engineering cues: Urgency Cues ('act immediately', 'account suspended', 'final notice'), Credential Request Cues ('enter password', 'verify credentials', 'one-time password', 'security pin'), and Payment Request Cues ('wire transfer', 'update billing', 'routing number', 'invoice attached').</w:t>
      </w:r>
    </w:p>
    <w:p>
      <w:pPr>
        <w:keepNext/>
        <w:spacing w:before="280" w:after="80"/>
      </w:pPr>
      <w:r>
        <w:rPr>
          <w:rFonts w:ascii="Calibri" w:hAnsi="Calibri"/>
          <w:b/>
          <w:color w:val="1E3A8A"/>
          <w:sz w:val="26"/>
        </w:rPr>
        <w:t>Stage 7: Infrastructure Geolocation &amp; Threat Intelligence</w:t>
      </w:r>
    </w:p>
    <w:p>
      <w:pPr>
        <w:spacing w:before="0" w:after="80" w:line="276" w:lineRule="auto"/>
      </w:pPr>
      <w:r>
        <w:rPr>
          <w:rFonts w:ascii="Calibri" w:hAnsi="Calibri"/>
          <w:b/>
          <w:color w:val="0A2540"/>
          <w:sz w:val="20"/>
        </w:rPr>
        <w:t xml:space="preserve">Geographic &amp; Network Routing Attribution: </w:t>
      </w:r>
      <w:r>
        <w:rPr>
          <w:rFonts w:ascii="Calibri" w:hAnsi="Calibri"/>
          <w:color w:val="2D3748"/>
          <w:sz w:val="20"/>
        </w:rPr>
        <w:t>JAALBHEDI translates candidate IP addresses into geographical and network routing intelligence using a local, offline MaxMind GeoLite2 binary database (.mmdb format). This database provides zero-latency memory-mapped lookups of physical coordinates (Latitude, Longitude), Country, Region, City, Internet Service Provider (ISP — An organization that provides services for accessing, using, or participating in the Internet), and Autonomous System Number (ASN — A globally unique identifier assigned to a group of IP routing prefixes operated by one or more network operators under a common routing policy).</w:t>
      </w:r>
    </w:p>
    <w:tbl>
      <w:tblPr>
        <w:tblW w:type="auto" w:w="0"/>
        <w:jc w:val="center"/>
        <w:tblLayout w:type="fixed"/>
        <w:tblLook w:firstColumn="1" w:firstRow="1" w:lastColumn="0" w:lastRow="0" w:noHBand="0" w:noVBand="1" w:val="04A0"/>
      </w:tblPr>
      <w:tblGrid>
        <w:gridCol w:w="10080"/>
      </w:tblGrid>
      <w:tr>
        <w:tc>
          <w:tcPr>
            <w:tcW w:type="dxa" w:w="10080"/>
            <w:shd w:fill="F1F5F9"/>
            <w:tcMar>
              <w:top w:w="120" w:type="dxa"/>
              <w:bottom w:w="120" w:type="dxa"/>
              <w:left w:w="180" w:type="dxa"/>
              <w:right w:w="160" w:type="dxa"/>
            </w:tcMar>
            <w:tcBorders>
              <w:top w:val="none"/>
              <w:left w:val="single" w:color="007791" w:sz="24"/>
              <w:bottom w:val="none"/>
              <w:right w:val="none"/>
            </w:tcBorders>
          </w:tcPr>
          <w:p>
            <w:pPr>
              <w:spacing w:before="40" w:after="40" w:line="276" w:lineRule="auto"/>
            </w:pPr>
            <w:r>
              <w:rPr>
                <w:rFonts w:ascii="Calibri" w:hAnsi="Calibri"/>
                <w:b/>
                <w:color w:val="0A2540"/>
                <w:sz w:val="21"/>
              </w:rPr>
              <w:t>■ LEGAL ATTRIBUTION DISCLAIMER</w:t>
              <w:br/>
            </w:r>
            <w:r>
              <w:rPr>
                <w:rFonts w:ascii="Calibri" w:hAnsi="Calibri"/>
                <w:b/>
                <w:color w:val="0A2540"/>
                <w:sz w:val="20"/>
              </w:rPr>
              <w:t xml:space="preserve">CRITICAL FORENSIC CAVEAT (PRD Section 15 &amp; 25): </w:t>
            </w:r>
            <w:r>
              <w:rPr>
                <w:rFonts w:ascii="Calibri" w:hAnsi="Calibri"/>
                <w:color w:val="2D3748"/>
                <w:sz w:val="19"/>
              </w:rPr>
              <w:t>JAALBHEDI explicitly labels all geolocation findings on the dashboard and in exported reports with the mandatory legal disclaimer: 'Geolocation reflects infrastructure location, not perpetrator physical location.' Attackers routinely route attack traffic through Virtual Private Networks (VPN), Tor exit nodes, compromised proxy servers, or foreign cloud hosting providers (e.g., DigitalOcean, Hetzner, AWS). Confusing server hosting location with attacker physical residence leads to false legal accusations.</w:t>
            </w:r>
          </w:p>
        </w:tc>
      </w:tr>
    </w:tbl>
    <w:p>
      <w:pPr>
        <w:spacing w:before="0" w:after="80"/>
      </w:pPr>
    </w:p>
    <w:p>
      <w:pPr>
        <w:keepNext/>
        <w:spacing w:before="280" w:after="80"/>
      </w:pPr>
      <w:r>
        <w:rPr>
          <w:rFonts w:ascii="Calibri" w:hAnsi="Calibri"/>
          <w:b/>
          <w:color w:val="1E3A8A"/>
          <w:sz w:val="26"/>
        </w:rPr>
        <w:t>Stage 8: Hybrid Machine Learning Threat Classification</w:t>
      </w:r>
    </w:p>
    <w:p>
      <w:pPr>
        <w:spacing w:before="0" w:after="80" w:line="276" w:lineRule="auto"/>
      </w:pPr>
      <w:r>
        <w:rPr>
          <w:rFonts w:ascii="Calibri" w:hAnsi="Calibri"/>
          <w:b/>
          <w:color w:val="0A2540"/>
          <w:sz w:val="20"/>
        </w:rPr>
        <w:t xml:space="preserve">Contextual NLP Inference: </w:t>
      </w:r>
      <w:r>
        <w:rPr>
          <w:rFonts w:ascii="Calibri" w:hAnsi="Calibri"/>
          <w:color w:val="2D3748"/>
          <w:sz w:val="20"/>
        </w:rPr>
        <w:t>The natural language payload (concatenated Subject and sanitized Body text) is dispatched to the hybrid ML inference engine. Depending on hardware availability, it executes Stage B (GPU Transformer) or Stage A (CPU TF-IDF Baseline), generating predicted class probabilities and explainable feature attributions.</w:t>
      </w:r>
    </w:p>
    <w:p>
      <w:pPr>
        <w:keepNext/>
        <w:spacing w:before="280" w:after="80"/>
      </w:pPr>
      <w:r>
        <w:rPr>
          <w:rFonts w:ascii="Calibri" w:hAnsi="Calibri"/>
          <w:b/>
          <w:color w:val="1E3A8A"/>
          <w:sz w:val="26"/>
        </w:rPr>
        <w:t>Stage 9: Explainable 5-Family Weighted Score Fusion</w:t>
      </w:r>
    </w:p>
    <w:p>
      <w:pPr>
        <w:spacing w:before="0" w:after="80" w:line="276" w:lineRule="auto"/>
      </w:pPr>
      <w:r>
        <w:rPr>
          <w:rFonts w:ascii="Calibri" w:hAnsi="Calibri"/>
          <w:b/>
          <w:color w:val="0A2540"/>
          <w:sz w:val="20"/>
        </w:rPr>
        <w:t xml:space="preserve">Deterministic Score Synthesis: </w:t>
      </w:r>
      <w:r>
        <w:rPr>
          <w:rFonts w:ascii="Calibri" w:hAnsi="Calibri"/>
          <w:color w:val="2D3748"/>
          <w:sz w:val="20"/>
        </w:rPr>
        <w:t>The core mathematical synthesis of JAALBHEDI occurs in backend/scoring/engine.py. The final threat score S in [0, 100] is calculated by a weighted linear combination of five normalized signal families, ensuring that deterministic truth always grounds probabilistic AI. The complete mathematical formulation, penalty matrices, and severity thresholds are detailed in Section 4 of this guide.</w:t>
      </w:r>
    </w:p>
    <w:p>
      <w:pPr>
        <w:keepNext/>
        <w:spacing w:before="280" w:after="80"/>
      </w:pPr>
      <w:r>
        <w:rPr>
          <w:rFonts w:ascii="Calibri" w:hAnsi="Calibri"/>
          <w:b/>
          <w:color w:val="1E3A8A"/>
          <w:sz w:val="26"/>
        </w:rPr>
        <w:t>Stage 10: Multi-Tenant Investigation Graph &amp; Campaign Clustering</w:t>
      </w:r>
    </w:p>
    <w:p>
      <w:pPr>
        <w:spacing w:before="0" w:after="80" w:line="276" w:lineRule="auto"/>
      </w:pPr>
      <w:r>
        <w:rPr>
          <w:rFonts w:ascii="Calibri" w:hAnsi="Calibri"/>
          <w:b/>
          <w:color w:val="0A2540"/>
          <w:sz w:val="20"/>
        </w:rPr>
        <w:t xml:space="preserve">Cross-Incident Threat Correlation: </w:t>
      </w:r>
      <w:r>
        <w:rPr>
          <w:rFonts w:ascii="Calibri" w:hAnsi="Calibri"/>
          <w:color w:val="2D3748"/>
          <w:sz w:val="20"/>
        </w:rPr>
        <w:t>When an incident responder analyzes multiple suspicious emails within a case, JAALBHEDI activates two correlation modules:</w:t>
      </w:r>
    </w:p>
    <w:p>
      <w:pPr>
        <w:pStyle w:val="ListBullet"/>
        <w:spacing w:before="20" w:after="60" w:line="276" w:lineRule="auto"/>
      </w:pPr>
      <w:r>
        <w:rPr>
          <w:rFonts w:ascii="Calibri" w:hAnsi="Calibri"/>
          <w:b/>
          <w:color w:val="0A2540"/>
          <w:sz w:val="20"/>
        </w:rPr>
        <w:t xml:space="preserve">1. Relational Graph Correlation (NetworkX): </w:t>
      </w:r>
      <w:r>
        <w:rPr>
          <w:rFonts w:ascii="Calibri" w:hAnsi="Calibri"/>
          <w:color w:val="2D3748"/>
          <w:sz w:val="20"/>
        </w:rPr>
        <w:t>Using NetworkX (A high-performance Python library for the creation, manipulation, and study of complex networks, graph structures, and relational topologies), the system constructs an undirected bipartite investigation graph. Emails are represented as central nodes linked to satellite entity nodes: IP addresses, domains, ASNs, sender addresses, and embedded URLs. The graph correlation engine isolates shared infrastructure across disparate emails, uncovering coordinated attack infrastructure.</w:t>
      </w:r>
    </w:p>
    <w:p>
      <w:pPr>
        <w:pStyle w:val="ListBullet"/>
        <w:spacing w:before="20" w:after="60" w:line="276" w:lineRule="auto"/>
      </w:pPr>
      <w:r>
        <w:rPr>
          <w:rFonts w:ascii="Calibri" w:hAnsi="Calibri"/>
          <w:b/>
          <w:color w:val="0A2540"/>
          <w:sz w:val="20"/>
        </w:rPr>
        <w:t xml:space="preserve">2. Dual-Signal Campaign Clustering: </w:t>
      </w:r>
      <w:r>
        <w:rPr>
          <w:rFonts w:ascii="Calibri" w:hAnsi="Calibri"/>
          <w:color w:val="2D3748"/>
          <w:sz w:val="20"/>
        </w:rPr>
        <w:t>Implemented in backend/graph/campaign_clustering.py, this module groups emails into campaigns using TF-IDF n-gram vectorization and Pairwise Cosine Similarity (A mathematical metric measuring the cosine of the angle between two non-zero vectors in an inner product space, evaluating topical and structural similarity regardless of document length). Email pairs with a cosine similarity &gt;= 0.55 are linked using a Union-Find (A disjoint-set data structure that tracks partitioned non-overlapping subsets with near-constant time operations) algorithm. The system cross-references content clusters with the infrastructure graph: if emails share BOTH content templates and infrastructure, the campaign is assigned High Confidence; if they share only content templates, it is assigned Medium Confidence.</w:t>
      </w:r>
    </w:p>
    <w:p>
      <w:pPr>
        <w:keepNext/>
        <w:spacing w:before="280" w:after="80"/>
      </w:pPr>
      <w:r>
        <w:rPr>
          <w:rFonts w:ascii="Calibri" w:hAnsi="Calibri"/>
          <w:b/>
          <w:color w:val="1E3A8A"/>
          <w:sz w:val="26"/>
        </w:rPr>
        <w:t>Stage 11: Tamper-Evident Report Generation &amp; Digital Signing</w:t>
      </w:r>
    </w:p>
    <w:p>
      <w:pPr>
        <w:spacing w:before="0" w:after="80" w:line="276" w:lineRule="auto"/>
      </w:pPr>
      <w:r>
        <w:rPr>
          <w:rFonts w:ascii="Calibri" w:hAnsi="Calibri"/>
          <w:b/>
          <w:color w:val="0A2540"/>
          <w:sz w:val="20"/>
        </w:rPr>
        <w:t xml:space="preserve">Multi-Format Reporting: </w:t>
      </w:r>
      <w:r>
        <w:rPr>
          <w:rFonts w:ascii="Calibri" w:hAnsi="Calibri"/>
          <w:color w:val="2D3748"/>
          <w:sz w:val="20"/>
        </w:rPr>
        <w:t>Forensic evidence must be exportable in formats suitable for corporate leadership, incident response partners, and judicial courts. JAALBHEDI generates two distinct report formats:</w:t>
      </w:r>
    </w:p>
    <w:p>
      <w:pPr>
        <w:pStyle w:val="ListBullet"/>
        <w:spacing w:before="20" w:after="60" w:line="276" w:lineRule="auto"/>
      </w:pPr>
      <w:r>
        <w:rPr>
          <w:rFonts w:ascii="Calibri" w:hAnsi="Calibri"/>
          <w:b/>
          <w:color w:val="0A2540"/>
          <w:sz w:val="20"/>
        </w:rPr>
        <w:t xml:space="preserve">1. STIX 2.1 Intelligence Dossier: </w:t>
      </w:r>
      <w:r>
        <w:rPr>
          <w:rFonts w:ascii="Calibri" w:hAnsi="Calibri"/>
          <w:color w:val="2D3748"/>
          <w:sz w:val="20"/>
        </w:rPr>
        <w:t>Structured Threat Information Expression version 2.1 (STIX 2.1 — A standardized, JSON-based serialization language developed by OASIS for communicating, storing, and sharing cyber threat intelligence in machine-readable format). STIX 2.1 dossiers can be ingested directly into enterprise SIEM (Security Information and Event Management) and SOAR (Security Orchestration, Automation, and Response) platforms.</w:t>
      </w:r>
    </w:p>
    <w:p>
      <w:pPr>
        <w:pStyle w:val="ListBullet"/>
        <w:spacing w:before="20" w:after="60" w:line="276" w:lineRule="auto"/>
      </w:pPr>
      <w:r>
        <w:rPr>
          <w:rFonts w:ascii="Calibri" w:hAnsi="Calibri"/>
          <w:b/>
          <w:color w:val="0A2540"/>
          <w:sz w:val="20"/>
        </w:rPr>
        <w:t xml:space="preserve">2. Court-Admissible Forensic PDF: </w:t>
      </w:r>
      <w:r>
        <w:rPr>
          <w:rFonts w:ascii="Calibri" w:hAnsi="Calibri"/>
          <w:color w:val="2D3748"/>
          <w:sz w:val="20"/>
        </w:rPr>
        <w:t>A formal, vector-rendered forensic intelligence PDF dossier generated dynamically using ReportLab (An open-source Python library for generating dynamic, vector-precise PDF documents programmatically). The PDF contains an executive threat summary, forensic findings, relay hop table, geolocation breakdown, and an unbroken audit ledger.</w:t>
      </w:r>
    </w:p>
    <w:p>
      <w:pPr>
        <w:pStyle w:val="ListBullet"/>
        <w:spacing w:before="20" w:after="60" w:line="276" w:lineRule="auto"/>
      </w:pPr>
      <w:r>
        <w:rPr>
          <w:rFonts w:ascii="Calibri" w:hAnsi="Calibri"/>
          <w:b/>
          <w:color w:val="0A2540"/>
          <w:sz w:val="20"/>
        </w:rPr>
        <w:t xml:space="preserve">3. Digital Signature &amp; Verification: </w:t>
      </w:r>
      <w:r>
        <w:rPr>
          <w:rFonts w:ascii="Calibri" w:hAnsi="Calibri"/>
          <w:color w:val="2D3748"/>
          <w:sz w:val="20"/>
        </w:rPr>
        <w:t>Before writing to disk, the report payload is canonicalized into deterministic JSON. In Mode 1 (Default), the payload is signed using HMAC-SHA256 (A keyed-hash message authentication code providing symmetric data integrity and authentication). In Mode 2 (Asymmetric), it is signed using 2048-bit RSA-PSS (Rivest-Shamir-Adleman Probabilistic Signature Scheme — An asymmetric digital signature algorithm incorporating randomized salt padding to provide provable security against existential forgery). A third party (e.g., a judge or opposing counsel) can verify the report's authenticity using only the public key (data/rsa_public.pem) via the POST /api/reports/verify endpoint. Any modification of a single byte, score, or timestamp causes verification to fail instantly.</w:t>
      </w:r>
    </w:p>
    <w:p>
      <w:pPr>
        <w:keepNext/>
        <w:spacing w:before="280" w:after="80"/>
      </w:pPr>
      <w:r>
        <w:rPr>
          <w:rFonts w:ascii="Calibri" w:hAnsi="Calibri"/>
          <w:b/>
          <w:color w:val="1E3A8A"/>
          <w:sz w:val="26"/>
        </w:rPr>
        <w:t>Stage 12: Role-Based Access Control (RBAC) &amp; Enterprise Governance</w:t>
      </w:r>
    </w:p>
    <w:p>
      <w:pPr>
        <w:spacing w:before="0" w:after="80" w:line="276" w:lineRule="auto"/>
      </w:pPr>
      <w:r>
        <w:rPr>
          <w:rFonts w:ascii="Calibri" w:hAnsi="Calibri"/>
          <w:b/>
          <w:color w:val="0A2540"/>
          <w:sz w:val="20"/>
        </w:rPr>
        <w:t xml:space="preserve">Access Control Architecture: </w:t>
      </w:r>
      <w:r>
        <w:rPr>
          <w:rFonts w:ascii="Calibri" w:hAnsi="Calibri"/>
          <w:color w:val="2D3748"/>
          <w:sz w:val="20"/>
        </w:rPr>
        <w:t>To protect forensic integrity in multi-analyst security operations centers, JAALBHEDI implements Role-Based Access Control (RBAC — A security authorization framework that restricts system operations and resource access according to defined user roles and privileges). Three hierarchical roles are enforced via FastAPI dependency injection checking the X-API-Key HTTP header:</w:t>
      </w:r>
    </w:p>
    <w:p>
      <w:pPr>
        <w:pStyle w:val="ListBullet"/>
        <w:spacing w:before="20" w:after="60" w:line="276" w:lineRule="auto"/>
      </w:pPr>
      <w:r>
        <w:rPr>
          <w:rFonts w:ascii="Calibri" w:hAnsi="Calibri"/>
          <w:b/>
          <w:color w:val="0A2540"/>
          <w:sz w:val="20"/>
        </w:rPr>
        <w:t xml:space="preserve">1. Analyst Role (SIH_APIKEY_ANALYST): </w:t>
      </w:r>
      <w:r>
        <w:rPr>
          <w:rFonts w:ascii="Calibri" w:hAnsi="Calibri"/>
          <w:color w:val="2D3748"/>
          <w:sz w:val="20"/>
        </w:rPr>
        <w:t>Tier-1 SOC Analyst (Hierarchy Level 1). Can initialize cases, upload evidence, execute threat analysis, inspect headers, and view correlation graphs. Cannot decrypt raw vault evidence, generate digitally signed reports, or delete cases.</w:t>
      </w:r>
    </w:p>
    <w:p>
      <w:pPr>
        <w:pStyle w:val="ListBullet"/>
        <w:spacing w:before="20" w:after="60" w:line="276" w:lineRule="auto"/>
      </w:pPr>
      <w:r>
        <w:rPr>
          <w:rFonts w:ascii="Calibri" w:hAnsi="Calibri"/>
          <w:b/>
          <w:color w:val="0A2540"/>
          <w:sz w:val="20"/>
        </w:rPr>
        <w:t xml:space="preserve">2. Investigator Role (SIH_APIKEY_INVESTIGATOR): </w:t>
      </w:r>
      <w:r>
        <w:rPr>
          <w:rFonts w:ascii="Calibri" w:hAnsi="Calibri"/>
          <w:color w:val="2D3748"/>
          <w:sz w:val="20"/>
        </w:rPr>
        <w:t>Senior Forensic Investigator (Hierarchy Level 2). Possesses all Analyst permissions, plus the legal authority to decrypt and download raw evidence from the encrypted vault and trigger the generation and digital signing of court-admissible forensic reports.</w:t>
      </w:r>
    </w:p>
    <w:p>
      <w:pPr>
        <w:pStyle w:val="ListBullet"/>
        <w:spacing w:before="20" w:after="60" w:line="276" w:lineRule="auto"/>
      </w:pPr>
      <w:r>
        <w:rPr>
          <w:rFonts w:ascii="Calibri" w:hAnsi="Calibri"/>
          <w:b/>
          <w:color w:val="0A2540"/>
          <w:sz w:val="20"/>
        </w:rPr>
        <w:t xml:space="preserve">3. Admin Role (SIH_APIKEY_ADMIN): </w:t>
      </w:r>
      <w:r>
        <w:rPr>
          <w:rFonts w:ascii="Calibri" w:hAnsi="Calibri"/>
          <w:color w:val="2D3748"/>
          <w:sz w:val="20"/>
        </w:rPr>
        <w:t>Forensic Lab Administrator (Hierarchy Level 3). Possesses full system authority, including the exclusive permission to delete cases and manage cryptographic vault keys. Crucially, case deletion logs an immutable audit event prior to purging, ensuring that record deletion can never occur silently.</w:t>
      </w:r>
    </w:p>
    <w:p>
      <w:pPr>
        <w:keepNext/>
        <w:spacing w:before="440" w:after="120"/>
        <w:pBdr>
          <w:bottom w:val="single" w:sz="12" w:space="4" w:color="007791"/>
        </w:pBdr>
      </w:pPr>
      <w:r>
        <w:rPr>
          <w:rFonts w:ascii="Calibri" w:hAnsi="Calibri"/>
          <w:b/>
          <w:color w:val="0A2540"/>
          <w:sz w:val="33"/>
        </w:rPr>
        <w:t>4. Mathematical &amp; Algorithmic Specifications</w:t>
      </w:r>
    </w:p>
    <w:p>
      <w:pPr>
        <w:spacing w:before="0" w:after="80" w:line="276" w:lineRule="auto"/>
      </w:pPr>
      <w:r>
        <w:rPr>
          <w:rFonts w:ascii="Calibri" w:hAnsi="Calibri"/>
          <w:b/>
          <w:color w:val="0A2540"/>
          <w:sz w:val="20"/>
        </w:rPr>
        <w:t xml:space="preserve">Mathematical Transparency: </w:t>
      </w:r>
      <w:r>
        <w:rPr>
          <w:rFonts w:ascii="Calibri" w:hAnsi="Calibri"/>
          <w:color w:val="2D3748"/>
          <w:sz w:val="20"/>
        </w:rPr>
        <w:t>A primary requirement for academic evaluation and judicial defense is mathematical transparency. Conventional email filters rely on opaque neural networks whose weights cannot be audited. JAALBHEDI implements an Explainable AI (XAI — Artificial intelligence methodologies and techniques that enable human experts to understand, interpret, and audit the internal decision logic, feature contributions, and outcomes of machine learning models) framework grounded in rigorous mathematical formulations.</w:t>
      </w:r>
    </w:p>
    <w:p>
      <w:pPr>
        <w:keepNext/>
        <w:spacing w:before="280" w:after="80"/>
      </w:pPr>
      <w:r>
        <w:rPr>
          <w:rFonts w:ascii="Calibri" w:hAnsi="Calibri"/>
          <w:b/>
          <w:color w:val="1E3A8A"/>
          <w:sz w:val="26"/>
        </w:rPr>
        <w:t>4.1 Five-Family Threat Score Fusion Formula</w:t>
      </w:r>
    </w:p>
    <w:p>
      <w:pPr>
        <w:spacing w:before="0" w:after="80" w:line="276" w:lineRule="auto"/>
      </w:pPr>
      <w:r>
        <w:rPr>
          <w:rFonts w:ascii="Calibri" w:hAnsi="Calibri"/>
          <w:b/>
          <w:color w:val="0A2540"/>
          <w:sz w:val="20"/>
        </w:rPr>
        <w:t xml:space="preserve">Linear Combination Formulation: </w:t>
      </w:r>
      <w:r>
        <w:rPr>
          <w:rFonts w:ascii="Calibri" w:hAnsi="Calibri"/>
          <w:color w:val="2D3748"/>
          <w:sz w:val="20"/>
        </w:rPr>
        <w:t>The composite Threat Score S in [0, 100] is calculated via a normalized weighted linear combination of five distinct signal families:</w:t>
      </w: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0A2540" w:sz="24"/>
              <w:bottom w:val="none"/>
              <w:right w:val="none"/>
            </w:tcBorders>
          </w:tcPr>
          <w:p>
            <w:pPr>
              <w:spacing w:before="40" w:after="40" w:line="276" w:lineRule="auto"/>
            </w:pPr>
            <w:r>
              <w:rPr>
                <w:rFonts w:ascii="Calibri" w:hAnsi="Calibri"/>
                <w:b/>
                <w:color w:val="0A2540"/>
                <w:sz w:val="21"/>
              </w:rPr>
              <w:t>■ MATHEMATICAL SCORE FUSION MODEL</w:t>
              <w:br/>
            </w:r>
            <w:r>
              <w:rPr>
                <w:rFonts w:ascii="Calibri" w:hAnsi="Calibri"/>
                <w:b/>
                <w:color w:val="0A2540"/>
                <w:sz w:val="20"/>
              </w:rPr>
              <w:t xml:space="preserve">THREAT SCORING FUSION EQUATION: </w:t>
            </w:r>
            <w:r>
              <w:rPr>
                <w:rFonts w:ascii="Calibri" w:hAnsi="Calibri"/>
                <w:color w:val="2D3748"/>
                <w:sz w:val="19"/>
              </w:rPr>
              <w:t>S = min( 100.0,  sum_{i=1}^{5} [ w_i * s_i ] )</w:t>
              <w:br/>
              <w:br/>
              <w:t>Where:</w:t>
              <w:br/>
              <w:t>• S is the Final Threat Score, bounded in the continuous range [0.0, 100.0].</w:t>
              <w:br/>
              <w:t>• w_i is the fixed architectural weight assigned to signal family i, satisfying sum_{i=1}^{5} w_i = 1.00.</w:t>
              <w:br/>
              <w:t>• s_i is the normalized raw sub-score for family i, bounded in the continuous range [0.0, 100.0].</w:t>
            </w:r>
          </w:p>
        </w:tc>
      </w:tr>
    </w:tbl>
    <w:p>
      <w:pPr>
        <w:spacing w:before="0" w:after="80"/>
      </w:pP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728"/>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Signal Family Index (i)</w:t>
            </w:r>
          </w:p>
        </w:tc>
        <w:tc>
          <w:tcPr>
            <w:tcW w:type="dxa" w:w="3168"/>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Signal Family Name</w:t>
            </w:r>
          </w:p>
        </w:tc>
        <w:tc>
          <w:tcPr>
            <w:tcW w:type="dxa" w:w="1440"/>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Weight (w_i)</w:t>
            </w:r>
          </w:p>
        </w:tc>
        <w:tc>
          <w:tcPr>
            <w:tcW w:type="dxa" w:w="3744"/>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Underlying Detection Mechanics &amp; Rationale</w:t>
            </w:r>
          </w:p>
        </w:tc>
      </w:tr>
      <w:tr>
        <w:tc>
          <w:tcPr>
            <w:tcW w:type="dxa" w:w="172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Family 1 (w_1)</w:t>
            </w:r>
          </w:p>
        </w:tc>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Authentication Anomalies</w:t>
              <w:br/>
              <w:t>(s_1)</w:t>
            </w:r>
          </w:p>
        </w:tc>
        <w:tc>
          <w:tcPr>
            <w:tcW w:type="dxa" w:w="144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0.25</w:t>
              <w:br/>
              <w:t>(25%)</w:t>
            </w:r>
          </w:p>
        </w:tc>
        <w:tc>
          <w:tcPr>
            <w:tcW w:type="dxa" w:w="3744"/>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Deterministic validation of SPF DNS authorization, DKIM RSA/Ed25519 cryptographic signatures, and DMARC domain alignment.</w:t>
            </w:r>
          </w:p>
        </w:tc>
      </w:tr>
      <w:tr>
        <w:tc>
          <w:tcPr>
            <w:tcW w:type="dxa" w:w="172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Family 2 (w_2)</w:t>
            </w:r>
          </w:p>
        </w:tc>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Header &amp; Routing Anomalies</w:t>
              <w:br/>
              <w:t>(s_2)</w:t>
            </w:r>
          </w:p>
        </w:tc>
        <w:tc>
          <w:tcPr>
            <w:tcW w:type="dxa" w:w="144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0.20</w:t>
              <w:br/>
              <w:t>(20%)</w:t>
            </w:r>
          </w:p>
        </w:tc>
        <w:tc>
          <w:tcPr>
            <w:tcW w:type="dxa" w:w="3744"/>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Chronological Received-chain analysis, untrusted hop count exceeding threshold (&gt;3), and From vs Reply-To / Return-Path mismatches.</w:t>
            </w:r>
          </w:p>
        </w:tc>
      </w:tr>
      <w:tr>
        <w:tc>
          <w:tcPr>
            <w:tcW w:type="dxa" w:w="172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Family 3 (w_3)</w:t>
            </w:r>
          </w:p>
        </w:tc>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Sender Domain &amp; URL Indicators</w:t>
              <w:br/>
              <w:t>(s_3)</w:t>
            </w:r>
          </w:p>
        </w:tc>
        <w:tc>
          <w:tcPr>
            <w:tcW w:type="dxa" w:w="144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0.20</w:t>
              <w:br/>
              <w:t>(20%)</w:t>
            </w:r>
          </w:p>
        </w:tc>
        <w:tc>
          <w:tcPr>
            <w:tcW w:type="dxa" w:w="3744"/>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Passive extraction of IP-literal URLs, Punycode/IDN homographs, non-standard ports, Levenshtein lookalike typo-squatting, and behavioral urgency cues.</w:t>
            </w:r>
          </w:p>
        </w:tc>
      </w:tr>
      <w:tr>
        <w:tc>
          <w:tcPr>
            <w:tcW w:type="dxa" w:w="172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Family 4 (w_4)</w:t>
            </w:r>
          </w:p>
        </w:tc>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NLP/ML Threat Probability</w:t>
              <w:br/>
              <w:t>(s_4)</w:t>
            </w:r>
          </w:p>
        </w:tc>
        <w:tc>
          <w:tcPr>
            <w:tcW w:type="dxa" w:w="144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0.25</w:t>
              <w:br/>
              <w:t>(25%)</w:t>
            </w:r>
          </w:p>
        </w:tc>
        <w:tc>
          <w:tcPr>
            <w:tcW w:type="dxa" w:w="3744"/>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Contextual classification of subject and body semantics via GPU Transformer (Stage B) or CPU TF-IDF Logistic Regression (Stage A).</w:t>
            </w:r>
          </w:p>
        </w:tc>
      </w:tr>
      <w:tr>
        <w:tc>
          <w:tcPr>
            <w:tcW w:type="dxa" w:w="172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Family 5 (w_5)</w:t>
            </w:r>
          </w:p>
        </w:tc>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Threat Intelligence &amp; Reputation</w:t>
              <w:br/>
              <w:t>(s_5)</w:t>
            </w:r>
          </w:p>
        </w:tc>
        <w:tc>
          <w:tcPr>
            <w:tcW w:type="dxa" w:w="144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0.10</w:t>
              <w:br/>
              <w:t>(10%)</w:t>
            </w:r>
          </w:p>
        </w:tc>
        <w:tc>
          <w:tcPr>
            <w:tcW w:type="dxa" w:w="3744"/>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Autonomous System Number (ASN) categorization (bulletproof/cloud hosting heuristics) and ICANN RDAP domain registration age evaluation.</w:t>
            </w:r>
          </w:p>
        </w:tc>
      </w:tr>
    </w:tbl>
    <w:p>
      <w:pPr>
        <w:spacing w:before="0" w:after="80"/>
      </w:pPr>
    </w:p>
    <w:p>
      <w:pPr>
        <w:keepNext/>
        <w:spacing w:before="280" w:after="80"/>
      </w:pPr>
      <w:r>
        <w:rPr>
          <w:rFonts w:ascii="Calibri" w:hAnsi="Calibri"/>
          <w:b/>
          <w:color w:val="1E3A8A"/>
          <w:sz w:val="26"/>
        </w:rPr>
        <w:t>4.2 Granular Signal Family Penalty Computations</w:t>
      </w:r>
    </w:p>
    <w:p>
      <w:pPr>
        <w:spacing w:before="0" w:after="80" w:line="276" w:lineRule="auto"/>
      </w:pPr>
      <w:r>
        <w:rPr>
          <w:rFonts w:ascii="Calibri" w:hAnsi="Calibri"/>
          <w:b/>
          <w:color w:val="0A2540"/>
          <w:sz w:val="20"/>
        </w:rPr>
        <w:t xml:space="preserve">Sub-Score Penalty Algorithms: </w:t>
      </w:r>
      <w:r>
        <w:rPr>
          <w:rFonts w:ascii="Calibri" w:hAnsi="Calibri"/>
          <w:color w:val="2D3748"/>
          <w:sz w:val="20"/>
        </w:rPr>
        <w:t>Each raw sub-score s_i is computed using an additive penalty framework capped at 100 points:</w:t>
      </w:r>
    </w:p>
    <w:p>
      <w:pPr>
        <w:pStyle w:val="ListBullet"/>
        <w:spacing w:before="20" w:after="60" w:line="276" w:lineRule="auto"/>
      </w:pPr>
      <w:r>
        <w:rPr>
          <w:rFonts w:ascii="Calibri" w:hAnsi="Calibri"/>
          <w:b/>
          <w:color w:val="0A2540"/>
          <w:sz w:val="20"/>
        </w:rPr>
        <w:t xml:space="preserve">1. Authentication Sub-Score (s_1): </w:t>
      </w:r>
      <w:r>
        <w:rPr>
          <w:rFonts w:ascii="Calibri" w:hAnsi="Calibri"/>
          <w:color w:val="2D3748"/>
          <w:sz w:val="20"/>
        </w:rPr>
        <w:t>s_1 = min(100, SPF_pts + DKIM_pts + DMARC_pts + Alignment_pts). Penalties: FAIL = +30 pts; NONE / ERROR / TEMPERROR / PERMERROR = +15 pts; SOFTFAIL = +20 pts. Domain alignment failure adds +10 pts. If all mechanisms pass and align, s_1 = 0 pts.</w:t>
      </w:r>
    </w:p>
    <w:p>
      <w:pPr>
        <w:pStyle w:val="ListBullet"/>
        <w:spacing w:before="20" w:after="60" w:line="276" w:lineRule="auto"/>
      </w:pPr>
      <w:r>
        <w:rPr>
          <w:rFonts w:ascii="Calibri" w:hAnsi="Calibri"/>
          <w:b/>
          <w:color w:val="0A2540"/>
          <w:sz w:val="20"/>
        </w:rPr>
        <w:t xml:space="preserve">2. Header &amp; Routing Sub-Score (s_2): </w:t>
      </w:r>
      <w:r>
        <w:rPr>
          <w:rFonts w:ascii="Calibri" w:hAnsi="Calibri"/>
          <w:color w:val="2D3748"/>
          <w:sz w:val="20"/>
        </w:rPr>
        <w:t>s_2 = min(100, Hop_pts + Mismatch_pts). Penalties: More than 3 untrusted relay hops in chain = +15 pts. Display-name vs Domain Mismatch = +35 pts (High); Reply-To Domain Mismatch = +20 pts (Medium); Return-Path Domain Mismatch = +10 pts (Low).</w:t>
      </w:r>
    </w:p>
    <w:p>
      <w:pPr>
        <w:pStyle w:val="ListBullet"/>
        <w:spacing w:before="20" w:after="60" w:line="276" w:lineRule="auto"/>
      </w:pPr>
      <w:r>
        <w:rPr>
          <w:rFonts w:ascii="Calibri" w:hAnsi="Calibri"/>
          <w:b/>
          <w:color w:val="0A2540"/>
          <w:sz w:val="20"/>
        </w:rPr>
        <w:t xml:space="preserve">3. Domain &amp; URL Indicator Sub-Score (s_3): </w:t>
      </w:r>
      <w:r>
        <w:rPr>
          <w:rFonts w:ascii="Calibri" w:hAnsi="Calibri"/>
          <w:color w:val="2D3748"/>
          <w:sz w:val="20"/>
        </w:rPr>
        <w:t>s_3 = min(100, URL_pts + Lookalike_pts + Content_pts). Penalties: High-severity URL (IP literal or Punycode) = +30 pts each; Medium-severity URL (excessive subdomains &gt;= 4, odd port, or redirect parameter) = +15 pts each; Lookalike domain (Levenshtein distance 1) = +30 pts; Lookalike domain (Levenshtein distance 2) = +15 pts; Behavioral content cues (Urgency, Credential harvesting, Financial wire transfer) = +5 pts per unique matched pattern.</w:t>
      </w:r>
    </w:p>
    <w:p>
      <w:pPr>
        <w:pStyle w:val="ListBullet"/>
        <w:spacing w:before="20" w:after="60" w:line="276" w:lineRule="auto"/>
      </w:pPr>
      <w:r>
        <w:rPr>
          <w:rFonts w:ascii="Calibri" w:hAnsi="Calibri"/>
          <w:b/>
          <w:color w:val="0A2540"/>
          <w:sz w:val="20"/>
        </w:rPr>
        <w:t xml:space="preserve">4. Machine Learning Sub-Score (s_4): </w:t>
      </w:r>
      <w:r>
        <w:rPr>
          <w:rFonts w:ascii="Calibri" w:hAnsi="Calibri"/>
          <w:color w:val="2D3748"/>
          <w:sz w:val="20"/>
        </w:rPr>
        <w:t>s_4 = (Probability * 100) if Predicted Class in {phishing, fraud, impersonated, malicious}; s_4 = ((1.0 - Probability) * 100) if Predicted Class in {legitimate, benign}. Top contributing n-gram feature tokens are extracted for XAI auditing.</w:t>
      </w:r>
    </w:p>
    <w:p>
      <w:pPr>
        <w:pStyle w:val="ListBullet"/>
        <w:spacing w:before="20" w:after="60" w:line="276" w:lineRule="auto"/>
      </w:pPr>
      <w:r>
        <w:rPr>
          <w:rFonts w:ascii="Calibri" w:hAnsi="Calibri"/>
          <w:b/>
          <w:color w:val="0A2540"/>
          <w:sz w:val="20"/>
        </w:rPr>
        <w:t xml:space="preserve">5. Threat Intelligence Sub-Score (s_5): </w:t>
      </w:r>
      <w:r>
        <w:rPr>
          <w:rFonts w:ascii="Calibri" w:hAnsi="Calibri"/>
          <w:color w:val="2D3748"/>
          <w:sz w:val="20"/>
        </w:rPr>
        <w:t>s_5 = min(100, RDAP_pts + Hosting_pts). Penalties: Unverifiable or missing domain registration data via live RDAP = +10 pts; Origin IP resolving to known bulletproof or commercial cloud hosting ASN rather than residential/business ISP = +15 pts.</w:t>
      </w:r>
    </w:p>
    <w:p>
      <w:pPr>
        <w:keepNext/>
        <w:spacing w:before="280" w:after="80"/>
      </w:pPr>
      <w:r>
        <w:rPr>
          <w:rFonts w:ascii="Calibri" w:hAnsi="Calibri"/>
          <w:b/>
          <w:color w:val="1E3A8A"/>
          <w:sz w:val="26"/>
        </w:rPr>
        <w:t>4.3 Dynamic Severity Thresholds &amp; Confidence Labeling</w:t>
      </w:r>
    </w:p>
    <w:tbl>
      <w:tblPr>
        <w:tblW w:type="auto" w:w="0"/>
        <w:jc w:val="center"/>
        <w:tblLayout w:type="fixed"/>
        <w:tblLook w:firstColumn="1" w:firstRow="1" w:lastColumn="0" w:lastRow="0" w:noHBand="0" w:noVBand="1" w:val="04A0"/>
      </w:tblPr>
      <w:tblGrid>
        <w:gridCol w:w="3360"/>
        <w:gridCol w:w="3360"/>
        <w:gridCol w:w="3360"/>
      </w:tblGrid>
      <w:tr>
        <w:tc>
          <w:tcPr>
            <w:tcW w:type="dxa" w:w="2160"/>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Score Range (S)</w:t>
            </w:r>
          </w:p>
        </w:tc>
        <w:tc>
          <w:tcPr>
            <w:tcW w:type="dxa" w:w="2880"/>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Severity Category</w:t>
            </w:r>
          </w:p>
        </w:tc>
        <w:tc>
          <w:tcPr>
            <w:tcW w:type="dxa" w:w="5040"/>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Operational Meaning &amp; Recommended Action</w:t>
            </w:r>
          </w:p>
        </w:tc>
      </w:tr>
      <w:tr>
        <w:tc>
          <w:tcPr>
            <w:tcW w:type="dxa" w:w="216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80.0 &lt;= S &lt;= 100.0</w:t>
            </w:r>
          </w:p>
        </w:tc>
        <w:tc>
          <w:tcPr>
            <w:tcW w:type="dxa" w:w="288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PHISHING_OR_FRAUD</w:t>
              <w:br/>
              <w:t>(Critical Severity)</w:t>
            </w:r>
          </w:p>
        </w:tc>
        <w:tc>
          <w:tcPr>
            <w:tcW w:type="dxa" w:w="504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Critical active malicious threat. High confidence of credential harvesting, malware delivery, or active financial fraud. Immediate quarantine and SOC escalation.</w:t>
            </w:r>
          </w:p>
        </w:tc>
      </w:tr>
      <w:tr>
        <w:tc>
          <w:tcPr>
            <w:tcW w:type="dxa" w:w="216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60.0 &lt;= S &lt; 80.0</w:t>
            </w:r>
          </w:p>
        </w:tc>
        <w:tc>
          <w:tcPr>
            <w:tcW w:type="dxa" w:w="288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IMPERSONATED</w:t>
              <w:br/>
              <w:t>(High Risk Suspicious)</w:t>
            </w:r>
          </w:p>
        </w:tc>
        <w:tc>
          <w:tcPr>
            <w:tcW w:type="dxa" w:w="504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Executive or brand identity spoofing detected with significant protocol or header alignment failures. Block delivery and inspect sender identity.</w:t>
            </w:r>
          </w:p>
        </w:tc>
      </w:tr>
      <w:tr>
        <w:tc>
          <w:tcPr>
            <w:tcW w:type="dxa" w:w="216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35.0 &lt;= S &lt; 60.0</w:t>
            </w:r>
          </w:p>
        </w:tc>
        <w:tc>
          <w:tcPr>
            <w:tcW w:type="dxa" w:w="288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SUSPICIOUS</w:t>
              <w:br/>
              <w:t>(Moderate Advisory)</w:t>
            </w:r>
          </w:p>
        </w:tc>
        <w:tc>
          <w:tcPr>
            <w:tcW w:type="dxa" w:w="504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Anomalous routing, unusual vocabulary, or partial protocol failures detected. Deliver to quarantine folder with warning banner displayed to recipient.</w:t>
            </w:r>
          </w:p>
        </w:tc>
      </w:tr>
      <w:tr>
        <w:tc>
          <w:tcPr>
            <w:tcW w:type="dxa" w:w="216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0.0 &lt;= S &lt; 35.0</w:t>
            </w:r>
          </w:p>
        </w:tc>
        <w:tc>
          <w:tcPr>
            <w:tcW w:type="dxa" w:w="288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LEGITIMATE</w:t>
              <w:br/>
              <w:t>(Benign Verified)</w:t>
            </w:r>
          </w:p>
        </w:tc>
        <w:tc>
          <w:tcPr>
            <w:tcW w:type="dxa" w:w="504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Email satisfies SPF/DKIM/DMARC authentication, exhibits legitimate relay provenance, clean URLs, and normal linguistic structure. Safe for inbox delivery.</w:t>
            </w:r>
          </w:p>
        </w:tc>
      </w:tr>
    </w:tbl>
    <w:p>
      <w:pPr>
        <w:spacing w:before="0" w:after="80"/>
      </w:pPr>
    </w:p>
    <w:p>
      <w:pPr>
        <w:spacing w:before="0" w:after="80" w:line="276" w:lineRule="auto"/>
      </w:pPr>
      <w:r>
        <w:rPr>
          <w:rFonts w:ascii="Calibri" w:hAnsi="Calibri"/>
          <w:b/>
          <w:color w:val="0A2540"/>
          <w:sz w:val="20"/>
        </w:rPr>
        <w:t xml:space="preserve">Algorithmic Confidence Calculation: </w:t>
      </w:r>
      <w:r>
        <w:rPr>
          <w:rFonts w:ascii="Calibri" w:hAnsi="Calibri"/>
          <w:color w:val="2D3748"/>
          <w:sz w:val="20"/>
        </w:rPr>
        <w:t>Confidence is not an arbitrary metric. JAALBHEDI calculates confidence dynamically based on the completeness of active evidentiary signals: 'High' Confidence indicates that all five signal families had active, verified data. 'Medium' Confidence indicates that exactly one family was degraded (for example, in air-gapped mode where live RDAP was disabled). 'Low' Confidence indicates that multiple signal families were unavailable or degraded.</w:t>
      </w:r>
    </w:p>
    <w:p>
      <w:pPr>
        <w:keepNext/>
        <w:spacing w:before="280" w:after="80"/>
      </w:pPr>
      <w:r>
        <w:rPr>
          <w:rFonts w:ascii="Calibri" w:hAnsi="Calibri"/>
          <w:b/>
          <w:color w:val="1E3A8A"/>
          <w:sz w:val="26"/>
        </w:rPr>
        <w:t>4.4 Levenshtein Edit Distance Dynamic Programming Recurrence</w:t>
      </w:r>
    </w:p>
    <w:p>
      <w:pPr>
        <w:spacing w:before="0" w:after="80" w:line="276" w:lineRule="auto"/>
      </w:pPr>
      <w:r>
        <w:rPr>
          <w:rFonts w:ascii="Calibri" w:hAnsi="Calibri"/>
          <w:b/>
          <w:color w:val="0A2540"/>
          <w:sz w:val="20"/>
        </w:rPr>
        <w:t xml:space="preserve">Edit Distance Recurrence: </w:t>
      </w:r>
      <w:r>
        <w:rPr>
          <w:rFonts w:ascii="Calibri" w:hAnsi="Calibri"/>
          <w:color w:val="2D3748"/>
          <w:sz w:val="20"/>
        </w:rPr>
        <w:t>To detect typo-squatting domains (e.g., 'paypa1.com' vs 'paypal.com'), JAALBHEDI implements the Levenshtein Distance algorithm using dynamic programming. For candidate domain string a of length |a| and protected domain string b of length |b|, the distance D_{i,j} is defined by the recurrence:</w:t>
      </w: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0D9488" w:sz="24"/>
              <w:bottom w:val="none"/>
              <w:right w:val="none"/>
            </w:tcBorders>
          </w:tcPr>
          <w:p>
            <w:pPr>
              <w:spacing w:before="40" w:after="40" w:line="276" w:lineRule="auto"/>
            </w:pPr>
            <w:r>
              <w:rPr>
                <w:rFonts w:ascii="Calibri" w:hAnsi="Calibri"/>
                <w:b/>
                <w:color w:val="0A2540"/>
                <w:sz w:val="21"/>
              </w:rPr>
              <w:t>■ DYNAMIC PROGRAMMING MATRIX FORMULATION</w:t>
              <w:br/>
            </w:r>
            <w:r>
              <w:rPr>
                <w:rFonts w:ascii="Calibri" w:hAnsi="Calibri"/>
                <w:b/>
                <w:color w:val="0A2540"/>
                <w:sz w:val="20"/>
              </w:rPr>
              <w:t xml:space="preserve">LEVENSHTEIN RECURRENCE RELATION: </w:t>
            </w:r>
            <w:r>
              <w:rPr>
                <w:rFonts w:ascii="Calibri" w:hAnsi="Calibri"/>
                <w:color w:val="2D3748"/>
                <w:sz w:val="19"/>
              </w:rPr>
              <w:t>D_{i,0} = i    for 0 &lt;= i &lt;= |a|</w:t>
              <w:br/>
              <w:t>D_{0,j} = j    for 0 &lt;= j &lt;= |b|</w:t>
              <w:br/>
              <w:br/>
              <w:t>D_{i,j} = min {</w:t>
              <w:br/>
              <w:t xml:space="preserve">    D_{i-1, j} + 1                   (Deletion)</w:t>
              <w:br/>
              <w:t xml:space="preserve">    D_{i, j-1} + 1                   (Insertion)</w:t>
              <w:br/>
              <w:t xml:space="preserve">    D_{i-1, j-1} + cost_{i,j}        (Substitution)</w:t>
              <w:br/>
              <w:t>}</w:t>
              <w:br/>
              <w:br/>
              <w:t>Where cost_{i,j} = 0 if a_i == b_j, else 1.</w:t>
              <w:br/>
              <w:t>Candidate domains where 0 &lt; D_{|a|,|b|} &lt;= 2 and |b| &gt; 4 are flagged as lookalike threats.</w:t>
            </w:r>
          </w:p>
        </w:tc>
      </w:tr>
    </w:tbl>
    <w:p>
      <w:pPr>
        <w:spacing w:before="0" w:after="80"/>
      </w:pPr>
    </w:p>
    <w:p>
      <w:pPr>
        <w:keepNext/>
        <w:spacing w:before="440" w:after="120"/>
        <w:pBdr>
          <w:bottom w:val="single" w:sz="12" w:space="4" w:color="007791"/>
        </w:pBdr>
      </w:pPr>
      <w:r>
        <w:rPr>
          <w:rFonts w:ascii="Calibri" w:hAnsi="Calibri"/>
          <w:b/>
          <w:color w:val="0A2540"/>
          <w:sz w:val="33"/>
        </w:rPr>
        <w:t>5. Codebase Implementation Architecture &amp; File Mapping</w:t>
      </w:r>
    </w:p>
    <w:p>
      <w:pPr>
        <w:spacing w:before="0" w:after="80" w:line="276" w:lineRule="auto"/>
      </w:pPr>
      <w:r>
        <w:rPr>
          <w:rFonts w:ascii="Calibri" w:hAnsi="Calibri"/>
          <w:b/>
          <w:color w:val="0A2540"/>
          <w:sz w:val="20"/>
        </w:rPr>
        <w:t xml:space="preserve">Structural Codebase Verification: </w:t>
      </w:r>
      <w:r>
        <w:rPr>
          <w:rFonts w:ascii="Calibri" w:hAnsi="Calibri"/>
          <w:color w:val="2D3748"/>
          <w:sz w:val="20"/>
        </w:rPr>
        <w:t>To provide rigorous proof of real-world implementation to evaluators, this section details the complete physical codebase architecture across all 22 core Python modules, database schemas, and frontend interfaces.</w:t>
      </w:r>
    </w:p>
    <w:tbl>
      <w:tblPr>
        <w:tblW w:type="auto" w:w="0"/>
        <w:jc w:val="center"/>
        <w:tblLayout w:type="fixed"/>
        <w:tblLook w:firstColumn="1" w:firstRow="1" w:lastColumn="0" w:lastRow="0" w:noHBand="0" w:noVBand="1" w:val="04A0"/>
      </w:tblPr>
      <w:tblGrid>
        <w:gridCol w:w="3360"/>
        <w:gridCol w:w="3360"/>
        <w:gridCol w:w="3360"/>
      </w:tblGrid>
      <w:tr>
        <w:tc>
          <w:tcPr>
            <w:tcW w:type="dxa" w:w="3168"/>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File System Path</w:t>
            </w:r>
          </w:p>
        </w:tc>
        <w:tc>
          <w:tcPr>
            <w:tcW w:type="dxa" w:w="2592"/>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Module / Component</w:t>
            </w:r>
          </w:p>
        </w:tc>
        <w:tc>
          <w:tcPr>
            <w:tcW w:type="dxa" w:w="4320"/>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Key Classes, Functions &amp; Architectural Purpose</w:t>
            </w:r>
          </w:p>
        </w:tc>
      </w:tr>
      <w:tr>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backend/app.py</w:t>
            </w:r>
          </w:p>
        </w:tc>
        <w:tc>
          <w:tcPr>
            <w:tcW w:type="dxa" w:w="259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FastAPI Entrypoint</w:t>
            </w:r>
          </w:p>
        </w:tc>
        <w:tc>
          <w:tcPr>
            <w:tcW w:type="dxa" w:w="432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FastAPI app instance, CORS middleware, /api/health endpoint (reporting CUDA/GPU availability and baseline status), static frontend mounting at /app.</w:t>
            </w:r>
          </w:p>
        </w:tc>
      </w:tr>
      <w:tr>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backend/api/routes.py</w:t>
            </w:r>
          </w:p>
        </w:tc>
        <w:tc>
          <w:tcPr>
            <w:tcW w:type="dxa" w:w="2592"/>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REST API Router</w:t>
            </w:r>
          </w:p>
        </w:tc>
        <w:tc>
          <w:tcPr>
            <w:tcW w:type="dxa" w:w="432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Core REST endpoints: POST /cases, POST /cases/{id}/upload, POST /emails/{id}/analyze, GET /cases/{id}/graph, POST /cases/{id}/report, POST /reports/verify.</w:t>
            </w:r>
          </w:p>
        </w:tc>
      </w:tr>
      <w:tr>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backend/parsers/email_parser.py</w:t>
            </w:r>
          </w:p>
        </w:tc>
        <w:tc>
          <w:tcPr>
            <w:tcW w:type="dxa" w:w="259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MIME &amp; RFC 5322 Parser</w:t>
            </w:r>
          </w:p>
        </w:tc>
        <w:tc>
          <w:tcPr>
            <w:tcW w:type="dxa" w:w="432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parse_email_bytes(), compute_sha256(), compute_md5(). Extracts envelope headers, decodes Base64/QP, sanitizes HTML via Bleach.</w:t>
            </w:r>
          </w:p>
        </w:tc>
      </w:tr>
      <w:tr>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backend/forensics/header_analyzer.py</w:t>
            </w:r>
          </w:p>
        </w:tc>
        <w:tc>
          <w:tcPr>
            <w:tcW w:type="dxa" w:w="2592"/>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Relay Chain Forensics</w:t>
            </w:r>
          </w:p>
        </w:tc>
        <w:tc>
          <w:tcPr>
            <w:tcW w:type="dxa" w:w="432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parse_received_chain(), earliest_reliable_candidate_ip(), detect_display_reply_mismatch(). Inverts hops, prunes RFC 1918 IPs, applies trust boundary.</w:t>
            </w:r>
          </w:p>
        </w:tc>
      </w:tr>
      <w:tr>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backend/auth/spf_dkim_dmarc.py</w:t>
            </w:r>
          </w:p>
        </w:tc>
        <w:tc>
          <w:tcPr>
            <w:tcW w:type="dxa" w:w="259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Authentication Engine</w:t>
            </w:r>
          </w:p>
        </w:tc>
        <w:tc>
          <w:tcPr>
            <w:tcW w:type="dxa" w:w="432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run_full_auth_check(), verify_dkim_signature(), lookup_spf_record(), lookup_dmarc_record(), check_alignment(). Incorporates dkimpy cryptographic checks.</w:t>
            </w:r>
          </w:p>
        </w:tc>
      </w:tr>
      <w:tr>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backend/indicators/ioc_extractor.py</w:t>
            </w:r>
          </w:p>
        </w:tc>
        <w:tc>
          <w:tcPr>
            <w:tcW w:type="dxa" w:w="2592"/>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Indicator &amp; Lookalike Engine</w:t>
            </w:r>
          </w:p>
        </w:tc>
        <w:tc>
          <w:tcPr>
            <w:tcW w:type="dxa" w:w="432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extract_all_indicators(), analyze_url(), lookalike_domain_distance(), levenshtein(), extract_content_cues(). Detects IP-literals, Punycode, typo-squatting.</w:t>
            </w:r>
          </w:p>
        </w:tc>
      </w:tr>
      <w:tr>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backend/intelligence/geoip.py</w:t>
            </w:r>
          </w:p>
        </w:tc>
        <w:tc>
          <w:tcPr>
            <w:tcW w:type="dxa" w:w="259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Offline GeoIP Engine</w:t>
            </w:r>
          </w:p>
        </w:tc>
        <w:tc>
          <w:tcPr>
            <w:tcW w:type="dxa" w:w="432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lookup_ip(). Memory-mapped lookup via MaxMind GeoLite2-City.mmdb and GeoLite2-ASN.mmdb. Maps coordinates, city, country, ISP, and hosting flags.</w:t>
            </w:r>
          </w:p>
        </w:tc>
      </w:tr>
      <w:tr>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backend/intelligence/dns_rdap.py</w:t>
            </w:r>
          </w:p>
        </w:tc>
        <w:tc>
          <w:tcPr>
            <w:tcW w:type="dxa" w:w="2592"/>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Domain Intelligence</w:t>
            </w:r>
          </w:p>
        </w:tc>
        <w:tc>
          <w:tcPr>
            <w:tcW w:type="dxa" w:w="432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gather_domain_intelligence(). Queries MX records via dnspython and domain registration age via ICANN RDAP REST endpoints.</w:t>
            </w:r>
          </w:p>
        </w:tc>
      </w:tr>
      <w:tr>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backend/ml/inference.py</w:t>
            </w:r>
          </w:p>
        </w:tc>
        <w:tc>
          <w:tcPr>
            <w:tcW w:type="dxa" w:w="259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Hybrid ML Orchestrator</w:t>
            </w:r>
          </w:p>
        </w:tc>
        <w:tc>
          <w:tcPr>
            <w:tcW w:type="dxa" w:w="432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classify(), _BaselineModel (Stage A CPU singleton), _TransformerModel (Stage B GPU singleton). Automatic 5ms graceful fallback from CUDA to CPU.</w:t>
            </w:r>
          </w:p>
        </w:tc>
      </w:tr>
      <w:tr>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backend/ml/train_baseline.py</w:t>
            </w:r>
          </w:p>
        </w:tc>
        <w:tc>
          <w:tcPr>
            <w:tcW w:type="dxa" w:w="2592"/>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CPU Baseline Trainer</w:t>
            </w:r>
          </w:p>
        </w:tc>
        <w:tc>
          <w:tcPr>
            <w:tcW w:type="dxa" w:w="432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train(). Trains scikit-learn TfidfVectorizer (unigrams/bigrams) and LogisticRegression on labeled phishing corpora, exported as joblib bundle.</w:t>
            </w:r>
          </w:p>
        </w:tc>
      </w:tr>
      <w:tr>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backend/ml/train_transformer.py</w:t>
            </w:r>
          </w:p>
        </w:tc>
        <w:tc>
          <w:tcPr>
            <w:tcW w:type="dxa" w:w="259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GPU Transformer Trainer</w:t>
            </w:r>
          </w:p>
        </w:tc>
        <w:tc>
          <w:tcPr>
            <w:tcW w:type="dxa" w:w="432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Fine-tunes HuggingFace DistilBERT/MiniLM on PyTorch CUDA with FP16 mixed precision, early stopping, and automated training_manifest.json export.</w:t>
            </w:r>
          </w:p>
        </w:tc>
      </w:tr>
      <w:tr>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backend/scoring/engine.py</w:t>
            </w:r>
          </w:p>
        </w:tc>
        <w:tc>
          <w:tcPr>
            <w:tcW w:type="dxa" w:w="2592"/>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Score Fusion Engine</w:t>
            </w:r>
          </w:p>
        </w:tc>
        <w:tc>
          <w:tcPr>
            <w:tcW w:type="dxa" w:w="432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compute_threat_score(). Implements the 5-family weighted fusion formula, penalty point matrices, severity categorization, and limitation logging.</w:t>
            </w:r>
          </w:p>
        </w:tc>
      </w:tr>
      <w:tr>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backend/graph/correlation.py</w:t>
            </w:r>
          </w:p>
        </w:tc>
        <w:tc>
          <w:tcPr>
            <w:tcW w:type="dxa" w:w="259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Incident Graph (NetworkX)</w:t>
            </w:r>
          </w:p>
        </w:tc>
        <w:tc>
          <w:tcPr>
            <w:tcW w:type="dxa" w:w="432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build_case_graph(), find_shared_infrastructure(), graph_to_json(). Builds bipartite multi-entity graphs linking cases by IP, domain, and ASN.</w:t>
            </w:r>
          </w:p>
        </w:tc>
      </w:tr>
      <w:tr>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backend/graph/campaign_clustering.py</w:t>
            </w:r>
          </w:p>
        </w:tc>
        <w:tc>
          <w:tcPr>
            <w:tcW w:type="dxa" w:w="2592"/>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Campaign Clustering</w:t>
            </w:r>
          </w:p>
        </w:tc>
        <w:tc>
          <w:tcPr>
            <w:tcW w:type="dxa" w:w="432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cluster_by_content_similarity(), combine_with_infrastructure_sharing(). TF-IDF cosine similarity clustering with Union-Find disjoint sets.</w:t>
            </w:r>
          </w:p>
        </w:tc>
      </w:tr>
      <w:tr>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backend/security/evidence_vault.py</w:t>
            </w:r>
          </w:p>
        </w:tc>
        <w:tc>
          <w:tcPr>
            <w:tcW w:type="dxa" w:w="259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Encrypted Evidence Vault</w:t>
            </w:r>
          </w:p>
        </w:tc>
        <w:tc>
          <w:tcPr>
            <w:tcW w:type="dxa" w:w="432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encrypt_bytes(), decrypt_bytes(), is_vault_configured(). AES-128-CBC + HMAC-SHA256 Fernet authenticated encryption at rest.</w:t>
            </w:r>
          </w:p>
        </w:tc>
      </w:tr>
      <w:tr>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backend/security/report_signing.py</w:t>
            </w:r>
          </w:p>
        </w:tc>
        <w:tc>
          <w:tcPr>
            <w:tcW w:type="dxa" w:w="2592"/>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Digital Report Signing</w:t>
            </w:r>
          </w:p>
        </w:tc>
        <w:tc>
          <w:tcPr>
            <w:tcW w:type="dxa" w:w="432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sign_report_hmac(), verify_report_hmac(), sign_report_rsa(), verify_report_rsa(). Symmetric HMAC-SHA256 and asymmetric 2048-bit RSA-PSS signing.</w:t>
            </w:r>
          </w:p>
        </w:tc>
      </w:tr>
      <w:tr>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backend/security/rbac.py</w:t>
            </w:r>
          </w:p>
        </w:tc>
        <w:tc>
          <w:tcPr>
            <w:tcW w:type="dxa" w:w="259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Role-Based Access Control</w:t>
            </w:r>
          </w:p>
        </w:tc>
        <w:tc>
          <w:tcPr>
            <w:tcW w:type="dxa" w:w="432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require_role(), rbac_enabled(). Enforces role hierarchy (Analyst &lt; Investigator &lt; Admin) via X-API-Key HTTP header validation.</w:t>
            </w:r>
          </w:p>
        </w:tc>
      </w:tr>
      <w:tr>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backend/security/sanitizer.py</w:t>
            </w:r>
          </w:p>
        </w:tc>
        <w:tc>
          <w:tcPr>
            <w:tcW w:type="dxa" w:w="2592"/>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Upload &amp; File Safety</w:t>
            </w:r>
          </w:p>
        </w:tc>
        <w:tc>
          <w:tcPr>
            <w:tcW w:type="dxa" w:w="432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safe_filename(), check_upload_size(), sanitize_html(). Enforces 25MB limits, path traversal immunity, and XSS neutralization.</w:t>
            </w:r>
          </w:p>
        </w:tc>
      </w:tr>
      <w:tr>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backend/reports/forensic_report.py</w:t>
            </w:r>
          </w:p>
        </w:tc>
        <w:tc>
          <w:tcPr>
            <w:tcW w:type="dxa" w:w="259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Forensic Dossier Export</w:t>
            </w:r>
          </w:p>
        </w:tc>
        <w:tc>
          <w:tcPr>
            <w:tcW w:type="dxa" w:w="432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export_pdf(), export_json(), build_report_payload(). Generates court-admissible vector PDF reports via ReportLab and STIX 2.1 JSON.</w:t>
            </w:r>
          </w:p>
        </w:tc>
      </w:tr>
      <w:tr>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backend/db/models.py</w:t>
            </w:r>
          </w:p>
        </w:tc>
        <w:tc>
          <w:tcPr>
            <w:tcW w:type="dxa" w:w="2592"/>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SQLAlchemy ORM Schema</w:t>
            </w:r>
          </w:p>
        </w:tc>
        <w:tc>
          <w:tcPr>
            <w:tcW w:type="dxa" w:w="432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Declares 10 relational tables: cases, evidence, emails, header_hops, domain_intel, ip_intel, indicators, ml_results, graph_edges, audit_events.</w:t>
            </w:r>
          </w:p>
        </w:tc>
      </w:tr>
      <w:tr>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frontend/index.html</w:t>
            </w:r>
          </w:p>
        </w:tc>
        <w:tc>
          <w:tcPr>
            <w:tcW w:type="dxa" w:w="259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Tactical Cyber HUD</w:t>
            </w:r>
          </w:p>
        </w:tc>
        <w:tc>
          <w:tcPr>
            <w:tcW w:type="dxa" w:w="432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Single-Page Application dashboard featuring dark-mode cyber aesthetic, live GPU health badges, interactive hop tables, and instant report download.</w:t>
            </w:r>
          </w:p>
        </w:tc>
      </w:tr>
      <w:tr>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tests/test_basic.py</w:t>
            </w:r>
          </w:p>
        </w:tc>
        <w:tc>
          <w:tcPr>
            <w:tcW w:type="dxa" w:w="2592"/>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Automated Test Suite</w:t>
            </w:r>
          </w:p>
        </w:tc>
        <w:tc>
          <w:tcPr>
            <w:tcW w:type="dxa" w:w="432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22 automated unit and integration test suites covering forensics, crypto, vault encryption, tamper detection, RBAC, and campaign clustering.</w:t>
            </w:r>
          </w:p>
        </w:tc>
      </w:tr>
    </w:tbl>
    <w:p>
      <w:pPr>
        <w:spacing w:before="0" w:after="80"/>
      </w:pPr>
    </w:p>
    <w:p>
      <w:pPr>
        <w:keepNext/>
        <w:spacing w:before="440" w:after="120"/>
        <w:pBdr>
          <w:bottom w:val="single" w:sz="12" w:space="4" w:color="007791"/>
        </w:pBdr>
      </w:pPr>
      <w:r>
        <w:rPr>
          <w:rFonts w:ascii="Calibri" w:hAnsi="Calibri"/>
          <w:b/>
          <w:color w:val="0A2540"/>
          <w:sz w:val="33"/>
        </w:rPr>
        <w:t>6. Graphical User Interface (HUD) &amp; Live Presentation Playbook</w:t>
      </w:r>
    </w:p>
    <w:p>
      <w:pPr>
        <w:spacing w:before="0" w:after="80" w:line="276" w:lineRule="auto"/>
      </w:pPr>
      <w:r>
        <w:rPr>
          <w:rFonts w:ascii="Calibri" w:hAnsi="Calibri"/>
          <w:b/>
          <w:color w:val="0A2540"/>
          <w:sz w:val="20"/>
        </w:rPr>
        <w:t xml:space="preserve">Live Demonstration Strategy: </w:t>
      </w:r>
      <w:r>
        <w:rPr>
          <w:rFonts w:ascii="Calibri" w:hAnsi="Calibri"/>
          <w:color w:val="2D3748"/>
          <w:sz w:val="20"/>
        </w:rPr>
        <w:t>To deliver a flawless, high-scoring live prototype demonstration during the Smart India Hackathon evaluation, presenters must follow an orchestrated, step-by-step presentation narrative. This section provides an exact, button-by-button presentation playbook synchronized with the visual elements of the Tactical Cyber HUD (The web-based single-page graphical interface served at http://localhost:8000/app/):</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864"/>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Step #</w:t>
            </w:r>
          </w:p>
        </w:tc>
        <w:tc>
          <w:tcPr>
            <w:tcW w:type="dxa" w:w="2880"/>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Action Taken by Presenter</w:t>
            </w:r>
          </w:p>
        </w:tc>
        <w:tc>
          <w:tcPr>
            <w:tcW w:type="dxa" w:w="3168"/>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System Visual Response on Screen</w:t>
            </w:r>
          </w:p>
        </w:tc>
        <w:tc>
          <w:tcPr>
            <w:tcW w:type="dxa" w:w="3168"/>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What the Presenter Must Say (Defense Script)</w:t>
            </w:r>
          </w:p>
        </w:tc>
      </w:tr>
      <w:tr>
        <w:tc>
          <w:tcPr>
            <w:tcW w:type="dxa" w:w="864"/>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Step 1</w:t>
            </w:r>
          </w:p>
        </w:tc>
        <w:tc>
          <w:tcPr>
            <w:tcW w:type="dxa" w:w="288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Open browser to /app and point to top-right header.</w:t>
            </w:r>
          </w:p>
        </w:tc>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Header displays green dot with 'GPU active — NVIDIA GeForce RTX 3050 Laptop GPU' (or CPU mode badge).</w:t>
            </w:r>
          </w:p>
        </w:tc>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'Notice our active hardware badge. The backend dynamically profiled our local environment: our RTX 3050 GPU is ready to accelerate deep NLP inference, while CPU handles deterministic forensics.'</w:t>
            </w:r>
          </w:p>
        </w:tc>
      </w:tr>
      <w:tr>
        <w:tc>
          <w:tcPr>
            <w:tcW w:type="dxa" w:w="864"/>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Step 2</w:t>
            </w:r>
          </w:p>
        </w:tc>
        <w:tc>
          <w:tcPr>
            <w:tcW w:type="dxa" w:w="288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Click button 'Create new case'.</w:t>
            </w:r>
          </w:p>
        </w:tc>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Active Case ID field updates with a unique UUIDv4 string (e.g., 7f3b8c2a-...).</w:t>
            </w:r>
          </w:p>
        </w:tc>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'We initialize an immutable forensic case. This creates an auditable case container in our local database and opens an unbroken chain-of-custody ledger.'</w:t>
            </w:r>
          </w:p>
        </w:tc>
      </w:tr>
      <w:tr>
        <w:tc>
          <w:tcPr>
            <w:tcW w:type="dxa" w:w="864"/>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Step 3</w:t>
            </w:r>
          </w:p>
        </w:tc>
        <w:tc>
          <w:tcPr>
            <w:tcW w:type="dxa" w:w="288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Click 'Choose File' -&gt; select tests/sample_phishing.eml -&gt; Click 'Ingest &amp; hash evidence'.</w:t>
            </w:r>
          </w:p>
        </w:tc>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SHA-256 fingerprint populates instantly (e.g., e3b0c44298fc...). Status confirms: 'Evidence preserved.'</w:t>
            </w:r>
          </w:p>
        </w:tc>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'Notice that before any parsing occurs, we immediately compute the SHA-256 hash on raw bytes and encrypt the file into our AES-128 Fernet vault. The evidence is now legally preserved.'</w:t>
            </w:r>
          </w:p>
        </w:tc>
      </w:tr>
      <w:tr>
        <w:tc>
          <w:tcPr>
            <w:tcW w:type="dxa" w:w="864"/>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Step 4</w:t>
            </w:r>
          </w:p>
        </w:tc>
        <w:tc>
          <w:tcPr>
            <w:tcW w:type="dxa" w:w="288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Click 'Run full analysis'.</w:t>
            </w:r>
          </w:p>
        </w:tc>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Threat Score Hero displays score 88.5 / PHISHING OR FRAUD with red gauge. 5-family contributions expand below.</w:t>
            </w:r>
          </w:p>
        </w:tc>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'In under 2 seconds, our engine executed both deterministic and machine learning stages. Notice our score is NOT an unexplained black box: every point is mathematically itemized across 5 families.'</w:t>
            </w:r>
          </w:p>
        </w:tc>
      </w:tr>
      <w:tr>
        <w:tc>
          <w:tcPr>
            <w:tcW w:type="dxa" w:w="864"/>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Step 5</w:t>
            </w:r>
          </w:p>
        </w:tc>
        <w:tc>
          <w:tcPr>
            <w:tcW w:type="dxa" w:w="288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Scroll to 'Authentication (SPF / DKIM / DMARC)' table.</w:t>
            </w:r>
          </w:p>
        </w:tc>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Table displays SPF = FAIL, DKIM = FAIL, DMARC = FAIL with sources labeled 'header' and 'crypto'.</w:t>
            </w:r>
          </w:p>
        </w:tc>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'Here is our first deterministic finding: the email fails all three fundamental RFC email standards. Our dkimpy engine proved the cryptographic signature does not match DNS keys.'</w:t>
            </w:r>
          </w:p>
        </w:tc>
      </w:tr>
      <w:tr>
        <w:tc>
          <w:tcPr>
            <w:tcW w:type="dxa" w:w="864"/>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Step 6</w:t>
            </w:r>
          </w:p>
        </w:tc>
        <w:tc>
          <w:tcPr>
            <w:tcW w:type="dxa" w:w="288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Scroll to 'Received-chain relay path' table.</w:t>
            </w:r>
          </w:p>
        </w:tc>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Table lists chronologically inverted hops. Earliest hops are tagged with RED 'untrusted' badge; gateway is ORANGE 'boundary'.</w:t>
            </w:r>
          </w:p>
        </w:tc>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'Traditional filters assume all Received headers are authentic. We apply a Trust Boundary: hops below our corporate gateway are untrusted because attackers can easily forge them.'</w:t>
            </w:r>
          </w:p>
        </w:tc>
      </w:tr>
      <w:tr>
        <w:tc>
          <w:tcPr>
            <w:tcW w:type="dxa" w:w="864"/>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Step 7</w:t>
            </w:r>
          </w:p>
        </w:tc>
        <w:tc>
          <w:tcPr>
            <w:tcW w:type="dxa" w:w="288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Point to 'Earliest reliable candidate origin IP' and Geolocation card.</w:t>
            </w:r>
          </w:p>
        </w:tc>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Origin IP 198.51.100.23 is mapped to country, city, and ASN with explicit legal disclaimer.</w:t>
            </w:r>
          </w:p>
        </w:tc>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'Notice our explicit legal caveat: this identifies infrastructure location, not perpetrator physical residence, preventing legal misattribution in court.'</w:t>
            </w:r>
          </w:p>
        </w:tc>
      </w:tr>
      <w:tr>
        <w:tc>
          <w:tcPr>
            <w:tcW w:type="dxa" w:w="864"/>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Step 8</w:t>
            </w:r>
          </w:p>
        </w:tc>
        <w:tc>
          <w:tcPr>
            <w:tcW w:type="dxa" w:w="288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Scroll to 'URL &amp; content indicators' panel.</w:t>
            </w:r>
          </w:p>
        </w:tc>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Table flags IP-literal URL and lookalike domain (e.g., 'paypa1.com' with edit distance 1).</w:t>
            </w:r>
          </w:p>
        </w:tc>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'Our Levenshtein algorithm flagged a typo-squatting lookalike domain. Notice we normalized these URLs safely without visiting them, preventing web beacon tracking pixels from alerting attackers.'</w:t>
            </w:r>
          </w:p>
        </w:tc>
      </w:tr>
      <w:tr>
        <w:tc>
          <w:tcPr>
            <w:tcW w:type="dxa" w:w="864"/>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Step 9</w:t>
            </w:r>
          </w:p>
        </w:tc>
        <w:tc>
          <w:tcPr>
            <w:tcW w:type="dxa" w:w="288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Open Windows Task Manager -&gt; Performance -&gt; GPU alongside browser while re-analyzing.</w:t>
            </w:r>
          </w:p>
        </w:tc>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Task Manager shows a sharp spike in GPU 3D/Compute utilization graph during inference.</w:t>
            </w:r>
          </w:p>
        </w:tc>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'Watch Task Manager: when we hit Analyze, our RTX 3050 GPU accelerates the Transformer attention matrix, completing contextual sequence classification in under 40 milliseconds.'</w:t>
            </w:r>
          </w:p>
        </w:tc>
      </w:tr>
      <w:tr>
        <w:tc>
          <w:tcPr>
            <w:tcW w:type="dxa" w:w="864"/>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Step 10</w:t>
            </w:r>
          </w:p>
        </w:tc>
        <w:tc>
          <w:tcPr>
            <w:tcW w:type="dxa" w:w="288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Click 'Generate PDF/JSON report' -&gt; Click 'Download PDF'.</w:t>
            </w:r>
          </w:p>
        </w:tc>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Vector PDF report opens in new tab displaying case summary, evidence hash, hop table, and digital signature.</w:t>
            </w:r>
          </w:p>
        </w:tc>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'Our platform exports a courtroom-admissible forensic dossier. Notice the digital signature block at the bottom: the entire report is signed with HMAC-SHA256 and RSA-PSS.'</w:t>
            </w:r>
          </w:p>
        </w:tc>
      </w:tr>
      <w:tr>
        <w:tc>
          <w:tcPr>
            <w:tcW w:type="dxa" w:w="864"/>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Step 11</w:t>
            </w:r>
          </w:p>
        </w:tc>
        <w:tc>
          <w:tcPr>
            <w:tcW w:type="dxa" w:w="288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Demonstrate Cryptographic Tamper Detection via API docs (/docs).</w:t>
            </w:r>
          </w:p>
        </w:tc>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Submit report JSON to /api/reports/verify. Result: valid: true. Modify one character in body. Result: valid: false.</w:t>
            </w:r>
          </w:p>
        </w:tc>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'If an investigator or malicious insider alters a single character or threat score in the report, our cryptographic signature verification rejects it immediately with valid: false.'</w:t>
            </w:r>
          </w:p>
        </w:tc>
      </w:tr>
      <w:tr>
        <w:tc>
          <w:tcPr>
            <w:tcW w:type="dxa" w:w="864"/>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Step 12</w:t>
            </w:r>
          </w:p>
        </w:tc>
        <w:tc>
          <w:tcPr>
            <w:tcW w:type="dxa" w:w="288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Uncheck 'Enable network lookups' checkbox -&gt; Click 'Run full analysis'.</w:t>
            </w:r>
          </w:p>
        </w:tc>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Analysis completes instantly (&lt;50ms) using offline MaxMind and cached authentication results.</w:t>
            </w:r>
          </w:p>
        </w:tc>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'Finally, we simulate an air-gapped forensic lab with no internet. The entire analysis runs offline without crashing, confirming zero mandatory external dependencies.'</w:t>
            </w:r>
          </w:p>
        </w:tc>
      </w:tr>
    </w:tbl>
    <w:p>
      <w:pPr>
        <w:spacing w:before="0" w:after="80"/>
      </w:pPr>
    </w:p>
    <w:p>
      <w:pPr>
        <w:keepNext/>
        <w:spacing w:before="440" w:after="120"/>
        <w:pBdr>
          <w:bottom w:val="single" w:sz="12" w:space="4" w:color="007791"/>
        </w:pBdr>
      </w:pPr>
      <w:r>
        <w:rPr>
          <w:rFonts w:ascii="Calibri" w:hAnsi="Calibri"/>
          <w:b/>
          <w:color w:val="0A2540"/>
          <w:sz w:val="33"/>
        </w:rPr>
        <w:t>7. Legal Admissibility, Compliance &amp; RFC Standards</w:t>
      </w:r>
    </w:p>
    <w:p>
      <w:pPr>
        <w:spacing w:before="0" w:after="80" w:line="276" w:lineRule="auto"/>
      </w:pPr>
      <w:r>
        <w:rPr>
          <w:rFonts w:ascii="Calibri" w:hAnsi="Calibri"/>
          <w:b/>
          <w:color w:val="0A2540"/>
          <w:sz w:val="20"/>
        </w:rPr>
        <w:t xml:space="preserve">Judicial Admissibility Grounding: </w:t>
      </w:r>
      <w:r>
        <w:rPr>
          <w:rFonts w:ascii="Calibri" w:hAnsi="Calibri"/>
          <w:color w:val="2D3748"/>
          <w:sz w:val="20"/>
        </w:rPr>
        <w:t>In cybercrime litigation and corporate dispute resolution, technical evidence is worthless if it cannot satisfy statutory legal admissibility criteria. JAALBHEDI was designed from inception to fulfill strict evidentiary requirements:</w:t>
      </w:r>
    </w:p>
    <w:p>
      <w:pPr>
        <w:pStyle w:val="ListBullet"/>
        <w:spacing w:before="20" w:after="60" w:line="276" w:lineRule="auto"/>
      </w:pPr>
      <w:r>
        <w:rPr>
          <w:rFonts w:ascii="Calibri" w:hAnsi="Calibri"/>
          <w:b/>
          <w:color w:val="0A2540"/>
          <w:sz w:val="20"/>
        </w:rPr>
        <w:t xml:space="preserve">1. Section 65B Indian Evidence Act &amp; BSA 2023 Compliance: </w:t>
      </w:r>
      <w:r>
        <w:rPr>
          <w:rFonts w:ascii="Calibri" w:hAnsi="Calibri"/>
          <w:color w:val="2D3748"/>
          <w:sz w:val="20"/>
        </w:rPr>
        <w:t>Section 65B of the Indian Evidence Act 1872 / Section 63 of Bharatiya Sakshya Adhiniyam 2023 (BSA). Indian criminal procedure mandates that computer output is admissible only if accompanied by a technical certificate proving that the computer producing the record was operating properly and that the data has not been modified. JAALBHEDI fulfills this through its deterministic SHA-256 evidence ingestion hash, its AES-128 encrypted evidence vault, its append-only audit ledger (audit_events), and its RSA-PSS digitally signed export reports.</w:t>
      </w:r>
    </w:p>
    <w:p>
      <w:pPr>
        <w:pStyle w:val="ListBullet"/>
        <w:spacing w:before="20" w:after="60" w:line="276" w:lineRule="auto"/>
      </w:pPr>
      <w:r>
        <w:rPr>
          <w:rFonts w:ascii="Calibri" w:hAnsi="Calibri"/>
          <w:b/>
          <w:color w:val="0A2540"/>
          <w:sz w:val="20"/>
        </w:rPr>
        <w:t xml:space="preserve">2. NIST SP 800-86 Forensic Lifecycle Adherence: </w:t>
      </w:r>
      <w:r>
        <w:rPr>
          <w:rFonts w:ascii="Calibri" w:hAnsi="Calibri"/>
          <w:color w:val="2D3748"/>
          <w:sz w:val="20"/>
        </w:rPr>
        <w:t>JAALBHEDI maintains the standard 4-phase digital forensic lifecycle defined by the National Institute of Standards and Technology (NIST SP 800-86): Phase 1: Collection (safe upload ceiling, raw byte capture); Phase 2: Examination (RFC 5322 parsing, header inversion, URL normalization); Phase 3: Analysis (5-family score fusion, hybrid ML, graph correlation); Phase 4: Reporting (digitally signed vector PDF and STIX 2.1 intelligence dossiers).</w:t>
      </w:r>
    </w:p>
    <w:p>
      <w:pPr>
        <w:keepNext/>
        <w:spacing w:before="280" w:after="80"/>
      </w:pPr>
      <w:r>
        <w:rPr>
          <w:rFonts w:ascii="Calibri" w:hAnsi="Calibri"/>
          <w:b/>
          <w:color w:val="1E3A8A"/>
          <w:sz w:val="26"/>
        </w:rPr>
        <w:t>7.1 IETF Internet Engineering Standards Compliance Matrix</w:t>
      </w:r>
    </w:p>
    <w:tbl>
      <w:tblPr>
        <w:tblW w:type="auto" w:w="0"/>
        <w:jc w:val="center"/>
        <w:tblLayout w:type="fixed"/>
        <w:tblLook w:firstColumn="1" w:firstRow="1" w:lastColumn="0" w:lastRow="0" w:noHBand="0" w:noVBand="1" w:val="04A0"/>
      </w:tblPr>
      <w:tblGrid>
        <w:gridCol w:w="3360"/>
        <w:gridCol w:w="3360"/>
        <w:gridCol w:w="3360"/>
      </w:tblGrid>
      <w:tr>
        <w:tc>
          <w:tcPr>
            <w:tcW w:type="dxa" w:w="2016"/>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IETF Standard</w:t>
            </w:r>
          </w:p>
        </w:tc>
        <w:tc>
          <w:tcPr>
            <w:tcW w:type="dxa" w:w="3168"/>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Official RFC Title</w:t>
            </w:r>
          </w:p>
        </w:tc>
        <w:tc>
          <w:tcPr>
            <w:tcW w:type="dxa" w:w="4896"/>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Specific Architectural Implementation in JAALBHEDI</w:t>
            </w:r>
          </w:p>
        </w:tc>
      </w:tr>
      <w:tr>
        <w:tc>
          <w:tcPr>
            <w:tcW w:type="dxa" w:w="2016"/>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RFC 5322</w:t>
            </w:r>
          </w:p>
        </w:tc>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Internet Message Format</w:t>
            </w:r>
          </w:p>
        </w:tc>
        <w:tc>
          <w:tcPr>
            <w:tcW w:type="dxa" w:w="4896"/>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Strict parsing of email envelope headers, multi-line folding, date syntax, and address grammar in backend/parsers/email_parser.py.</w:t>
            </w:r>
          </w:p>
        </w:tc>
      </w:tr>
      <w:tr>
        <w:tc>
          <w:tcPr>
            <w:tcW w:type="dxa" w:w="2016"/>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RFC 5321</w:t>
            </w:r>
          </w:p>
        </w:tc>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Simple Mail Transfer Protocol</w:t>
            </w:r>
          </w:p>
        </w:tc>
        <w:tc>
          <w:tcPr>
            <w:tcW w:type="dxa" w:w="4896"/>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Reconstruction of Received header transmission chains and parsing of SMTP relay hostnames and transport protocol tokens.</w:t>
            </w:r>
          </w:p>
        </w:tc>
      </w:tr>
      <w:tr>
        <w:tc>
          <w:tcPr>
            <w:tcW w:type="dxa" w:w="2016"/>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RFC 7208</w:t>
            </w:r>
          </w:p>
        </w:tc>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Sender Policy Framework (SPF)</w:t>
            </w:r>
          </w:p>
        </w:tc>
        <w:tc>
          <w:tcPr>
            <w:tcW w:type="dxa" w:w="4896"/>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DNS TXT record parsing, authorization evaluation of sending MTA IP addresses, and handling of PASS, FAIL, and SOFTFAIL results.</w:t>
            </w:r>
          </w:p>
        </w:tc>
      </w:tr>
      <w:tr>
        <w:tc>
          <w:tcPr>
            <w:tcW w:type="dxa" w:w="2016"/>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RFC 6376</w:t>
            </w:r>
          </w:p>
        </w:tc>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DomainKeys Identified Mail (DKIM)</w:t>
            </w:r>
          </w:p>
        </w:tc>
        <w:tc>
          <w:tcPr>
            <w:tcW w:type="dxa" w:w="4896"/>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Cryptographic verification of email body and header hashes against selector public keys retrieved from DNS using dkimpy.</w:t>
            </w:r>
          </w:p>
        </w:tc>
      </w:tr>
      <w:tr>
        <w:tc>
          <w:tcPr>
            <w:tcW w:type="dxa" w:w="2016"/>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RFC 7489</w:t>
            </w:r>
          </w:p>
        </w:tc>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DMARC Policy Enforcement</w:t>
            </w:r>
          </w:p>
        </w:tc>
        <w:tc>
          <w:tcPr>
            <w:tcW w:type="dxa" w:w="4896"/>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Verification of From-header domain alignment with SPF and DKIM authenticated domains, and evaluation of p=none, quarantine, and reject policies.</w:t>
            </w:r>
          </w:p>
        </w:tc>
      </w:tr>
      <w:tr>
        <w:tc>
          <w:tcPr>
            <w:tcW w:type="dxa" w:w="2016"/>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RFC 8617</w:t>
            </w:r>
          </w:p>
        </w:tc>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Authenticated Received Chain (ARC)</w:t>
            </w:r>
          </w:p>
        </w:tc>
        <w:tc>
          <w:tcPr>
            <w:tcW w:type="dxa" w:w="4896"/>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Evaluation of intermediate forwarding trust headers stamped by mailing lists and intermediate forwarding mail transfer agents.</w:t>
            </w:r>
          </w:p>
        </w:tc>
      </w:tr>
      <w:tr>
        <w:tc>
          <w:tcPr>
            <w:tcW w:type="dxa" w:w="2016"/>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RFC 1918</w:t>
            </w:r>
          </w:p>
        </w:tc>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Address Allocation for Private Internets</w:t>
            </w:r>
          </w:p>
        </w:tc>
        <w:tc>
          <w:tcPr>
            <w:tcW w:type="dxa" w:w="4896"/>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Automatic filtering of non-routable subnets (10.0.0.0/8, 172.16.0.0/12, 192.168.0.0/16, 127.0.0.0/8) from candidate origin IP selection.</w:t>
            </w:r>
          </w:p>
        </w:tc>
      </w:tr>
      <w:tr>
        <w:tc>
          <w:tcPr>
            <w:tcW w:type="dxa" w:w="2016"/>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RFC 3492</w:t>
            </w:r>
          </w:p>
        </w:tc>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Punycode Bootstring Encoding</w:t>
            </w:r>
          </w:p>
        </w:tc>
        <w:tc>
          <w:tcPr>
            <w:tcW w:type="dxa" w:w="4896"/>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Detection of Internationalized Domain Names (IDN) prefixed with 'xn--' to uncover visual homograph domain masquerading attacks.</w:t>
            </w:r>
          </w:p>
        </w:tc>
      </w:tr>
    </w:tbl>
    <w:p>
      <w:pPr>
        <w:spacing w:before="0" w:after="80"/>
      </w:pPr>
    </w:p>
    <w:p>
      <w:pPr>
        <w:keepNext/>
        <w:spacing w:before="280" w:after="80"/>
      </w:pPr>
      <w:r>
        <w:rPr>
          <w:rFonts w:ascii="Calibri" w:hAnsi="Calibri"/>
          <w:b/>
          <w:color w:val="1E3A8A"/>
          <w:sz w:val="26"/>
        </w:rPr>
        <w:t>7.2 MITRE ATT&amp;CK Enterprise Matrix Mapping</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MITRE ATT&amp;CK ID</w:t>
            </w:r>
          </w:p>
        </w:tc>
        <w:tc>
          <w:tcPr>
            <w:tcW w:type="dxa" w:w="3168"/>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Technique Name</w:t>
            </w:r>
          </w:p>
        </w:tc>
        <w:tc>
          <w:tcPr>
            <w:tcW w:type="dxa" w:w="4320"/>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JAALBHEDI Detection &amp; Mitigation Mechanism</w:t>
            </w:r>
          </w:p>
        </w:tc>
      </w:tr>
      <w:tr>
        <w:tc>
          <w:tcPr>
            <w:tcW w:type="dxa" w:w="259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T1566.001</w:t>
            </w:r>
          </w:p>
        </w:tc>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Phishing: Spearphishing Attachment</w:t>
            </w:r>
          </w:p>
        </w:tc>
        <w:tc>
          <w:tcPr>
            <w:tcW w:type="dxa" w:w="432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MIME boundary unpacking, attachment filename extraction, dangerous extension tagging (.exe, .scr, .vbs, .iso), and SHA-256 file hashing.</w:t>
            </w:r>
          </w:p>
        </w:tc>
      </w:tr>
      <w:tr>
        <w:tc>
          <w:tcPr>
            <w:tcW w:type="dxa" w:w="2592"/>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T1566.002</w:t>
            </w:r>
          </w:p>
        </w:tc>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Phishing: Spearphishing Link</w:t>
            </w:r>
          </w:p>
        </w:tc>
        <w:tc>
          <w:tcPr>
            <w:tcW w:type="dxa" w:w="432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Passive regex URL extraction, IP-literal flagging, Punycode decoding, non-standard port analysis, and Levenshtein typo-squatting distance.</w:t>
            </w:r>
          </w:p>
        </w:tc>
      </w:tr>
      <w:tr>
        <w:tc>
          <w:tcPr>
            <w:tcW w:type="dxa" w:w="259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T1071.003</w:t>
            </w:r>
          </w:p>
        </w:tc>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Application Layer Protocol: Mail</w:t>
            </w:r>
          </w:p>
        </w:tc>
        <w:tc>
          <w:tcPr>
            <w:tcW w:type="dxa" w:w="432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Relay chain hop inversion, trust-boundary hop pruning, and earliest candidate origin IP identification.</w:t>
            </w:r>
          </w:p>
        </w:tc>
      </w:tr>
      <w:tr>
        <w:tc>
          <w:tcPr>
            <w:tcW w:type="dxa" w:w="2592"/>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T1204.002</w:t>
            </w:r>
          </w:p>
        </w:tc>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User Execution: Malicious File</w:t>
            </w:r>
          </w:p>
        </w:tc>
        <w:tc>
          <w:tcPr>
            <w:tcW w:type="dxa" w:w="432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HTML sanitization via Bleach to neutralize embedded JavaScript and prevent drive-by execution inside the forensic HUD.</w:t>
            </w:r>
          </w:p>
        </w:tc>
      </w:tr>
    </w:tbl>
    <w:p>
      <w:pPr>
        <w:spacing w:before="0" w:after="80"/>
      </w:pPr>
    </w:p>
    <w:p>
      <w:pPr>
        <w:keepNext/>
        <w:spacing w:before="440" w:after="120"/>
        <w:pBdr>
          <w:bottom w:val="single" w:sz="12" w:space="4" w:color="007791"/>
        </w:pBdr>
      </w:pPr>
      <w:r>
        <w:rPr>
          <w:rFonts w:ascii="Calibri" w:hAnsi="Calibri"/>
          <w:b/>
          <w:color w:val="0A2540"/>
          <w:sz w:val="33"/>
        </w:rPr>
        <w:t>8. Exhaustive Evaluator &amp; Professor Viva Defense Q&amp;A</w:t>
      </w:r>
    </w:p>
    <w:p>
      <w:pPr>
        <w:spacing w:before="0" w:after="80" w:line="276" w:lineRule="auto"/>
      </w:pPr>
      <w:r>
        <w:rPr>
          <w:rFonts w:ascii="Calibri" w:hAnsi="Calibri"/>
          <w:b/>
          <w:color w:val="0A2540"/>
          <w:sz w:val="20"/>
        </w:rPr>
        <w:t xml:space="preserve">Viva Defense Preparation: </w:t>
      </w:r>
      <w:r>
        <w:rPr>
          <w:rFonts w:ascii="Calibri" w:hAnsi="Calibri"/>
          <w:color w:val="2D3748"/>
          <w:sz w:val="20"/>
        </w:rPr>
        <w:t>During hackathon evaluations and project defense examinations, technical professors and industry judges interrogate candidates on edge cases, vulnerabilities, and design rationale. Below are fifteen advanced technical questions with authoritative, mathematically grounded model answers:</w:t>
      </w: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1E3A8A" w:sz="24"/>
              <w:bottom w:val="none"/>
              <w:right w:val="none"/>
            </w:tcBorders>
          </w:tcPr>
          <w:p>
            <w:pPr>
              <w:spacing w:before="40" w:after="40" w:line="276" w:lineRule="auto"/>
            </w:pPr>
            <w:r>
              <w:rPr>
                <w:rFonts w:ascii="Calibri" w:hAnsi="Calibri"/>
                <w:b/>
                <w:color w:val="0A2540"/>
                <w:sz w:val="21"/>
              </w:rPr>
              <w:t>■ EXAMINER VIVA DEFENSE SCENARIO</w:t>
              <w:br/>
            </w:r>
            <w:r>
              <w:rPr>
                <w:rFonts w:ascii="Calibri" w:hAnsi="Calibri"/>
                <w:b/>
                <w:color w:val="0A2540"/>
                <w:sz w:val="20"/>
              </w:rPr>
              <w:t xml:space="preserve">Q1: Can't an attacker simply forge the Received headers to inject a fake origin IP? </w:t>
            </w:r>
            <w:r>
              <w:rPr>
                <w:rFonts w:ascii="Calibri" w:hAnsi="Calibri"/>
                <w:color w:val="2D3748"/>
                <w:sz w:val="19"/>
              </w:rPr>
              <w:t>Model Answer: 'Yes, an attacker can forge any header added by mail transfer agents they control prior to message dispatch. However, an attacker CANNOT forge headers stamped by legitimate intermediate or receiving mail servers along the delivery route. JAALBHEDI solves this through our Trust Boundary algorithm: We anchor our analysis at our known corporate mail gateway (the top of the chain) and work downward. The earliest reliable candidate IP is selected from the first hop immediately beyond our trusted boundary. All headers below that boundary are recorded for structural analysis but are explicitly flagged as 'untrusted' and are never accepted as ground truth.'</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1E3A8A" w:sz="24"/>
              <w:bottom w:val="none"/>
              <w:right w:val="none"/>
            </w:tcBorders>
          </w:tcPr>
          <w:p>
            <w:pPr>
              <w:spacing w:before="40" w:after="40" w:line="276" w:lineRule="auto"/>
            </w:pPr>
            <w:r>
              <w:rPr>
                <w:rFonts w:ascii="Calibri" w:hAnsi="Calibri"/>
                <w:b/>
                <w:color w:val="0A2540"/>
                <w:sz w:val="21"/>
              </w:rPr>
              <w:t>■ EXAMINER VIVA DEFENSE SCENARIO</w:t>
              <w:br/>
            </w:r>
            <w:r>
              <w:rPr>
                <w:rFonts w:ascii="Calibri" w:hAnsi="Calibri"/>
                <w:b/>
                <w:color w:val="0A2540"/>
                <w:sz w:val="20"/>
              </w:rPr>
              <w:t xml:space="preserve">Q2: Why did you combine rule-based heuristics and machine learning instead of using an LLM like GPT-4? </w:t>
            </w:r>
            <w:r>
              <w:rPr>
                <w:rFonts w:ascii="Calibri" w:hAnsi="Calibri"/>
                <w:color w:val="2D3748"/>
                <w:sz w:val="19"/>
              </w:rPr>
              <w:t>Model Answer: 'In forensic investigations and judicial proceedings, black-box LLMs are legally inadmissible because they cannot explain the deterministic mathematical mechanisms behind their findings. Furthermore, LLMs suffer from probabilistic hallucinations and high inference latency (several seconds per email). Most importantly, transmitting confidential corporate or governmental emails to third-party cloud LLM APIs violates data sovereignty and privacy regulations, including the Indian DPDP Act 2023. JAALBHEDI executes entirely on-premise, using deterministic protocol checks for 75% of the score weight and a localized, audited Transformer model for contextual semantics.'</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1E3A8A" w:sz="24"/>
              <w:bottom w:val="none"/>
              <w:right w:val="none"/>
            </w:tcBorders>
          </w:tcPr>
          <w:p>
            <w:pPr>
              <w:spacing w:before="40" w:after="40" w:line="276" w:lineRule="auto"/>
            </w:pPr>
            <w:r>
              <w:rPr>
                <w:rFonts w:ascii="Calibri" w:hAnsi="Calibri"/>
                <w:b/>
                <w:color w:val="0A2540"/>
                <w:sz w:val="21"/>
              </w:rPr>
              <w:t>■ EXAMINER VIVA DEFENSE SCENARIO</w:t>
              <w:br/>
            </w:r>
            <w:r>
              <w:rPr>
                <w:rFonts w:ascii="Calibri" w:hAnsi="Calibri"/>
                <w:b/>
                <w:color w:val="0A2540"/>
                <w:sz w:val="20"/>
              </w:rPr>
              <w:t xml:space="preserve">Q3: How does the system handle an air-gapped forensic environment with zero internet access? </w:t>
            </w:r>
            <w:r>
              <w:rPr>
                <w:rFonts w:ascii="Calibri" w:hAnsi="Calibri"/>
                <w:color w:val="2D3748"/>
                <w:sz w:val="19"/>
              </w:rPr>
              <w:t>Model Answer: 'JAALBHEDI is natively engineered with an offline execution mode. When network lookups are disabled, the system bypasses live DNS queries and parses the immutable Authentication-Results headers stamped into the message by the receiving MTA. Geolocation is resolved using a local, memory-mapped MaxMind GeoLite2 binary database on disk, and ML classification runs on local CPU/GPU weights. All 22 automated test suites pass with 100% success with network access disabled, proving zero mandatory internet dependencies.'</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1E3A8A" w:sz="24"/>
              <w:bottom w:val="none"/>
              <w:right w:val="none"/>
            </w:tcBorders>
          </w:tcPr>
          <w:p>
            <w:pPr>
              <w:spacing w:before="40" w:after="40" w:line="276" w:lineRule="auto"/>
            </w:pPr>
            <w:r>
              <w:rPr>
                <w:rFonts w:ascii="Calibri" w:hAnsi="Calibri"/>
                <w:b/>
                <w:color w:val="0A2540"/>
                <w:sz w:val="21"/>
              </w:rPr>
              <w:t>■ EXAMINER VIVA DEFENSE SCENARIO</w:t>
              <w:br/>
            </w:r>
            <w:r>
              <w:rPr>
                <w:rFonts w:ascii="Calibri" w:hAnsi="Calibri"/>
                <w:b/>
                <w:color w:val="0A2540"/>
                <w:sz w:val="20"/>
              </w:rPr>
              <w:t xml:space="preserve">Q4: How do you prevent an investigator or malicious insider from tampering with the stored evidence or reports? </w:t>
            </w:r>
            <w:r>
              <w:rPr>
                <w:rFonts w:ascii="Calibri" w:hAnsi="Calibri"/>
                <w:color w:val="2D3748"/>
                <w:sz w:val="19"/>
              </w:rPr>
              <w:t>Model Answer: 'We implement dual-layer cryptographic protection. First, at intake, raw evidence bytes are hashed with SHA-256 and encrypted at rest using Fernet (AES-128-CBC with PKCS7 padding and HMAC-SHA256 authenticated integrity). Any byte alteration on disk corrupts the HMAC tag and raises an InvalidToken exception upon decryption. Second, at export, generated reports are canonicalized and digitally signed with HMAC-SHA256 or 2048-bit RSA-PSS. If an investigator alters a single score or IP inside the report, the /api/reports/verify endpoint immediately rejects the report as invalid.'</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1E3A8A" w:sz="24"/>
              <w:bottom w:val="none"/>
              <w:right w:val="none"/>
            </w:tcBorders>
          </w:tcPr>
          <w:p>
            <w:pPr>
              <w:spacing w:before="40" w:after="40" w:line="276" w:lineRule="auto"/>
            </w:pPr>
            <w:r>
              <w:rPr>
                <w:rFonts w:ascii="Calibri" w:hAnsi="Calibri"/>
                <w:b/>
                <w:color w:val="0A2540"/>
                <w:sz w:val="21"/>
              </w:rPr>
              <w:t>■ EXAMINER VIVA DEFENSE SCENARIO</w:t>
              <w:br/>
            </w:r>
            <w:r>
              <w:rPr>
                <w:rFonts w:ascii="Calibri" w:hAnsi="Calibri"/>
                <w:b/>
                <w:color w:val="0A2540"/>
                <w:sz w:val="20"/>
              </w:rPr>
              <w:t xml:space="preserve">Q5: What specifically makes your architecture 'Hybrid Edge CPU/GPU'? </w:t>
            </w:r>
            <w:r>
              <w:rPr>
                <w:rFonts w:ascii="Calibri" w:hAnsi="Calibri"/>
                <w:color w:val="2D3748"/>
                <w:sz w:val="19"/>
              </w:rPr>
              <w:t>Model Answer: 'Conventional platforms either demand expensive enterprise cloud GPUs or rely strictly on primitive CPU regex. JAALBHEDI dynamically profiles the host machine: All sequential, deterministic forensic operations—MIME parsing, SHA-256 hashing, SPF/DKIM verification, and Levenshtein calculations—run on the Intel Core i5 CPU. The NVIDIA RTX 3050 GPU is strictly allocated to accelerate the heavy multi-head attention matrix operations of our Transformer NLP classifier using PyTorch CUDA FP16. If CUDA is absent or VRAM is exhausted, our inference dispatcher automatically falls back to our CPU TF-IDF baseline within 5 milliseconds with zero service disruption.'</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1E3A8A" w:sz="24"/>
              <w:bottom w:val="none"/>
              <w:right w:val="none"/>
            </w:tcBorders>
          </w:tcPr>
          <w:p>
            <w:pPr>
              <w:spacing w:before="40" w:after="40" w:line="276" w:lineRule="auto"/>
            </w:pPr>
            <w:r>
              <w:rPr>
                <w:rFonts w:ascii="Calibri" w:hAnsi="Calibri"/>
                <w:b/>
                <w:color w:val="0A2540"/>
                <w:sz w:val="21"/>
              </w:rPr>
              <w:t>■ EXAMINER VIVA DEFENSE SCENARIO</w:t>
              <w:br/>
            </w:r>
            <w:r>
              <w:rPr>
                <w:rFonts w:ascii="Calibri" w:hAnsi="Calibri"/>
                <w:b/>
                <w:color w:val="0A2540"/>
                <w:sz w:val="20"/>
              </w:rPr>
              <w:t xml:space="preserve">Q6: How does JAALBHEDI detect a Business Email Compromise (BEC) attack that contains no malicious links or attachments? </w:t>
            </w:r>
            <w:r>
              <w:rPr>
                <w:rFonts w:ascii="Calibri" w:hAnsi="Calibri"/>
                <w:color w:val="2D3748"/>
                <w:sz w:val="19"/>
              </w:rPr>
              <w:t>Model Answer: 'BEC attacks rely on pure social engineering, such as executive impersonation demanding urgent wire transfers. JAALBHEDI detects BEC through three synchronized layers: First, our header analyzer detects Display-Name vs Domain Mismatches and Reply-To Mismatches (where responses redirect to an external drop-box). Second, our indicator engine matches behavioral content cues targeting financial urgency ('wire transfer', 'routing number', 'immediate invoice'). Third, our NLP classifier is trained specifically on BEC linguistic structures, ensuring the email is flagged even in the complete absence of URLs or attachments.'</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1E3A8A" w:sz="24"/>
              <w:bottom w:val="none"/>
              <w:right w:val="none"/>
            </w:tcBorders>
          </w:tcPr>
          <w:p>
            <w:pPr>
              <w:spacing w:before="40" w:after="40" w:line="276" w:lineRule="auto"/>
            </w:pPr>
            <w:r>
              <w:rPr>
                <w:rFonts w:ascii="Calibri" w:hAnsi="Calibri"/>
                <w:b/>
                <w:color w:val="0A2540"/>
                <w:sz w:val="21"/>
              </w:rPr>
              <w:t>■ EXAMINER VIVA DEFENSE SCENARIO</w:t>
              <w:br/>
            </w:r>
            <w:r>
              <w:rPr>
                <w:rFonts w:ascii="Calibri" w:hAnsi="Calibri"/>
                <w:b/>
                <w:color w:val="0A2540"/>
                <w:sz w:val="20"/>
              </w:rPr>
              <w:t xml:space="preserve">Q7: What happens if an attacker sends an email from a compromised legitimate Gmail or Microsoft 365 account? </w:t>
            </w:r>
            <w:r>
              <w:rPr>
                <w:rFonts w:ascii="Calibri" w:hAnsi="Calibri"/>
                <w:color w:val="2D3748"/>
                <w:sz w:val="19"/>
              </w:rPr>
              <w:t>Model Answer: 'If a legitimate account is compromised, SPF and DKIM will pass because the email was sent from the authorized provider's servers. This is precisely why single-signal defenses fail. JAALBHEDI's 5-family score fusion prevents an email from being cleared solely on authentication. While Family 1 (Auth) scores 0, Family 3 (Indicators) flags urgency cues, Family 4 (ML Classifier) identifies fraudulent semantics, and Family 2 evaluates Reply-To redirections. The combined threat score pushes the email into the Suspicious or Impersonated category, preventing compromise.'</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1E3A8A" w:sz="24"/>
              <w:bottom w:val="none"/>
              <w:right w:val="none"/>
            </w:tcBorders>
          </w:tcPr>
          <w:p>
            <w:pPr>
              <w:spacing w:before="40" w:after="40" w:line="276" w:lineRule="auto"/>
            </w:pPr>
            <w:r>
              <w:rPr>
                <w:rFonts w:ascii="Calibri" w:hAnsi="Calibri"/>
                <w:b/>
                <w:color w:val="0A2540"/>
                <w:sz w:val="21"/>
              </w:rPr>
              <w:t>■ EXAMINER VIVA DEFENSE SCENARIO</w:t>
              <w:br/>
            </w:r>
            <w:r>
              <w:rPr>
                <w:rFonts w:ascii="Calibri" w:hAnsi="Calibri"/>
                <w:b/>
                <w:color w:val="0A2540"/>
                <w:sz w:val="20"/>
              </w:rPr>
              <w:t xml:space="preserve">Q8: How does JAALBHEDI prevent Cross-Site Scripting (XSS) when displaying untrusted email HTML in the dashboard? </w:t>
            </w:r>
            <w:r>
              <w:rPr>
                <w:rFonts w:ascii="Calibri" w:hAnsi="Calibri"/>
                <w:color w:val="2D3748"/>
                <w:sz w:val="19"/>
              </w:rPr>
              <w:t>Model Answer: 'Rendering raw email HTML directly in a web interface is a severe security vulnerability that allows attackers to execute malicious JavaScript in the investigator's browser. JAALBHEDI sanitizes all incoming HTML bodies using Python's Bleach library, which parses the HTML markup into an abstract syntax tree and strips out all script tags, event handlers (such as onerror and onload), object tags, and unauthorized styles before writing to the database or rendering on the dashboard.'</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1E3A8A" w:sz="24"/>
              <w:bottom w:val="none"/>
              <w:right w:val="none"/>
            </w:tcBorders>
          </w:tcPr>
          <w:p>
            <w:pPr>
              <w:spacing w:before="40" w:after="40" w:line="276" w:lineRule="auto"/>
            </w:pPr>
            <w:r>
              <w:rPr>
                <w:rFonts w:ascii="Calibri" w:hAnsi="Calibri"/>
                <w:b/>
                <w:color w:val="0A2540"/>
                <w:sz w:val="21"/>
              </w:rPr>
              <w:t>■ EXAMINER VIVA DEFENSE SCENARIO</w:t>
              <w:br/>
            </w:r>
            <w:r>
              <w:rPr>
                <w:rFonts w:ascii="Calibri" w:hAnsi="Calibri"/>
                <w:b/>
                <w:color w:val="0A2540"/>
                <w:sz w:val="20"/>
              </w:rPr>
              <w:t xml:space="preserve">Q9: What is the computational latency and throughput of the prototype? </w:t>
            </w:r>
            <w:r>
              <w:rPr>
                <w:rFonts w:ascii="Calibri" w:hAnsi="Calibri"/>
                <w:color w:val="2D3748"/>
                <w:sz w:val="19"/>
              </w:rPr>
              <w:t>Model Answer: 'On our Acer i5-13420H / RTX 3050 hardware, deterministic parsing, hashing, and header forensics execute in under 15 milliseconds. GPU-accelerated Transformer classification completes in approximately 35 to 45 milliseconds. Total end-to-end analysis latency per email is under 200 milliseconds (including database writes), providing an operational throughput of over 5 emails per second on a single edge laptop.'</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1E3A8A" w:sz="24"/>
              <w:bottom w:val="none"/>
              <w:right w:val="none"/>
            </w:tcBorders>
          </w:tcPr>
          <w:p>
            <w:pPr>
              <w:spacing w:before="40" w:after="40" w:line="276" w:lineRule="auto"/>
            </w:pPr>
            <w:r>
              <w:rPr>
                <w:rFonts w:ascii="Calibri" w:hAnsi="Calibri"/>
                <w:b/>
                <w:color w:val="0A2540"/>
                <w:sz w:val="21"/>
              </w:rPr>
              <w:t>■ EXAMINER VIVA DEFENSE SCENARIO</w:t>
              <w:br/>
            </w:r>
            <w:r>
              <w:rPr>
                <w:rFonts w:ascii="Calibri" w:hAnsi="Calibri"/>
                <w:b/>
                <w:color w:val="0A2540"/>
                <w:sz w:val="20"/>
              </w:rPr>
              <w:t xml:space="preserve">Q10: Why did you choose Levenshtein Distance over simple substring matching for lookalike domain detection? </w:t>
            </w:r>
            <w:r>
              <w:rPr>
                <w:rFonts w:ascii="Calibri" w:hAnsi="Calibri"/>
                <w:color w:val="2D3748"/>
                <w:sz w:val="19"/>
              </w:rPr>
              <w:t>Model Answer: 'Attackers craft typo-squatting domains using character substitutions, insertions, or deletions (such as 'paypa1.com' or 'amaz0n-security.com') that completely evade simple substring matching. Levenshtein Distance calculates the exact minimal edit operations required to transform one string into another. By enforcing an edit distance threshold of 1 or 2 against our protected institutional domains, we catch sophisticated lookalikes regardless of where the permutation occurs.'</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1E3A8A" w:sz="24"/>
              <w:bottom w:val="none"/>
              <w:right w:val="none"/>
            </w:tcBorders>
          </w:tcPr>
          <w:p>
            <w:pPr>
              <w:spacing w:before="40" w:after="40" w:line="276" w:lineRule="auto"/>
            </w:pPr>
            <w:r>
              <w:rPr>
                <w:rFonts w:ascii="Calibri" w:hAnsi="Calibri"/>
                <w:b/>
                <w:color w:val="0A2540"/>
                <w:sz w:val="21"/>
              </w:rPr>
              <w:t>■ EXAMINER VIVA DEFENSE SCENARIO</w:t>
              <w:br/>
            </w:r>
            <w:r>
              <w:rPr>
                <w:rFonts w:ascii="Calibri" w:hAnsi="Calibri"/>
                <w:b/>
                <w:color w:val="0A2540"/>
                <w:sz w:val="20"/>
              </w:rPr>
              <w:t xml:space="preserve">Q11: How does the system handle Internationalized Domain Name (IDN) homograph attacks? </w:t>
            </w:r>
            <w:r>
              <w:rPr>
                <w:rFonts w:ascii="Calibri" w:hAnsi="Calibri"/>
                <w:color w:val="2D3748"/>
                <w:sz w:val="19"/>
              </w:rPr>
              <w:t>Model Answer: 'In an IDN homograph attack, an attacker registers a domain using Cyrillic or Greek characters that look visually identical to Latin characters (e.g., Cyrillic 'а' vs Latin 'a'). Standard web browsers and mail systems translate these domains into ASCII using Punycode, prefixed with 'xn--'. JAALBHEDI's URL parser explicitly inspects domain strings; if a hostname starts with 'xn--' or contains '.xn--', it is immediately flagged as a high-severity Punycode indicator, exposing the visual deception.'</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1E3A8A" w:sz="24"/>
              <w:bottom w:val="none"/>
              <w:right w:val="none"/>
            </w:tcBorders>
          </w:tcPr>
          <w:p>
            <w:pPr>
              <w:spacing w:before="40" w:after="40" w:line="276" w:lineRule="auto"/>
            </w:pPr>
            <w:r>
              <w:rPr>
                <w:rFonts w:ascii="Calibri" w:hAnsi="Calibri"/>
                <w:b/>
                <w:color w:val="0A2540"/>
                <w:sz w:val="21"/>
              </w:rPr>
              <w:t>■ EXAMINER VIVA DEFENSE SCENARIO</w:t>
              <w:br/>
            </w:r>
            <w:r>
              <w:rPr>
                <w:rFonts w:ascii="Calibri" w:hAnsi="Calibri"/>
                <w:b/>
                <w:color w:val="0A2540"/>
                <w:sz w:val="20"/>
              </w:rPr>
              <w:t xml:space="preserve">Q12: What is the purpose of campaign clustering across multiple emails in a case? </w:t>
            </w:r>
            <w:r>
              <w:rPr>
                <w:rFonts w:ascii="Calibri" w:hAnsi="Calibri"/>
                <w:color w:val="2D3748"/>
                <w:sz w:val="19"/>
              </w:rPr>
              <w:t>Model Answer: 'Advanced persistent threats and phishing syndicates do not send isolated emails; they launch distributed phishing waves targeting multiple employees simultaneously using identical phishing kits with slight link permutations. Implemented in backend/graph/campaign_clustering.py, our clustering module combines TF-IDF pairwise cosine similarity with NetworkX infrastructure sharing. It groups disparate incident reports into unified attack campaigns, enabling SOC analysts to neutralize an entire phishing wave in a single operational response.'</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1E3A8A" w:sz="24"/>
              <w:bottom w:val="none"/>
              <w:right w:val="none"/>
            </w:tcBorders>
          </w:tcPr>
          <w:p>
            <w:pPr>
              <w:spacing w:before="40" w:after="40" w:line="276" w:lineRule="auto"/>
            </w:pPr>
            <w:r>
              <w:rPr>
                <w:rFonts w:ascii="Calibri" w:hAnsi="Calibri"/>
                <w:b/>
                <w:color w:val="0A2540"/>
                <w:sz w:val="21"/>
              </w:rPr>
              <w:t>■ EXAMINER VIVA DEFENSE SCENARIO</w:t>
              <w:br/>
            </w:r>
            <w:r>
              <w:rPr>
                <w:rFonts w:ascii="Calibri" w:hAnsi="Calibri"/>
                <w:b/>
                <w:color w:val="0A2540"/>
                <w:sz w:val="20"/>
              </w:rPr>
              <w:t xml:space="preserve">Q13: How does the platform maintain privacy compliance under the Indian DPDP Act 2023? </w:t>
            </w:r>
            <w:r>
              <w:rPr>
                <w:rFonts w:ascii="Calibri" w:hAnsi="Calibri"/>
                <w:color w:val="2D3748"/>
                <w:sz w:val="19"/>
              </w:rPr>
              <w:t>Model Answer: 'Under Section 8 of the Digital Personal Data Protection Act 2023, data fiduciaries must implement technical safeguards to prevent unauthorized data access and limit personal data processing. JAALBHEDI operates 100% locally on-premise without transmitting email payloads to foreign cloud providers, encrypts all stored evidence at rest using AES-128 Fernet encryption, and restricts forensic evidence access using Role-Based Access Control.'</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1E3A8A" w:sz="24"/>
              <w:bottom w:val="none"/>
              <w:right w:val="none"/>
            </w:tcBorders>
          </w:tcPr>
          <w:p>
            <w:pPr>
              <w:spacing w:before="40" w:after="40" w:line="276" w:lineRule="auto"/>
            </w:pPr>
            <w:r>
              <w:rPr>
                <w:rFonts w:ascii="Calibri" w:hAnsi="Calibri"/>
                <w:b/>
                <w:color w:val="0A2540"/>
                <w:sz w:val="21"/>
              </w:rPr>
              <w:t>■ EXAMINER VIVA DEFENSE SCENARIO</w:t>
              <w:br/>
            </w:r>
            <w:r>
              <w:rPr>
                <w:rFonts w:ascii="Calibri" w:hAnsi="Calibri"/>
                <w:b/>
                <w:color w:val="0A2540"/>
                <w:sz w:val="20"/>
              </w:rPr>
              <w:t xml:space="preserve">Q14: How does JAALBHEDI prevent web beacons from alerting attackers that an email is being investigated? </w:t>
            </w:r>
            <w:r>
              <w:rPr>
                <w:rFonts w:ascii="Calibri" w:hAnsi="Calibri"/>
                <w:color w:val="2D3748"/>
                <w:sz w:val="19"/>
              </w:rPr>
              <w:t>Model Answer: 'Attackers embed transparent 1x1 tracking pixels (web beacons) in phishing emails to receive an automated HTTP ping when an email is opened, confirming that the target address is active. In strict accordance with PRD Section 8.4, JAALBHEDI extracts and normalizes URLs strictly using passive regex parsing. The backend never performs HTTP GET, HEAD, or POST requests to extracted links, and external images are stripped from HTML rendering, completely neutralizing web beacons.'</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1E3A8A" w:sz="24"/>
              <w:bottom w:val="none"/>
              <w:right w:val="none"/>
            </w:tcBorders>
          </w:tcPr>
          <w:p>
            <w:pPr>
              <w:spacing w:before="40" w:after="40" w:line="276" w:lineRule="auto"/>
            </w:pPr>
            <w:r>
              <w:rPr>
                <w:rFonts w:ascii="Calibri" w:hAnsi="Calibri"/>
                <w:b/>
                <w:color w:val="0A2540"/>
                <w:sz w:val="21"/>
              </w:rPr>
              <w:t>■ EXAMINER VIVA DEFENSE SCENARIO</w:t>
              <w:br/>
            </w:r>
            <w:r>
              <w:rPr>
                <w:rFonts w:ascii="Calibri" w:hAnsi="Calibri"/>
                <w:b/>
                <w:color w:val="0A2540"/>
                <w:sz w:val="20"/>
              </w:rPr>
              <w:t xml:space="preserve">Q15: How were the 22 automated tests constructed, and what do they verify? </w:t>
            </w:r>
            <w:r>
              <w:rPr>
                <w:rFonts w:ascii="Calibri" w:hAnsi="Calibri"/>
                <w:color w:val="2D3748"/>
                <w:sz w:val="19"/>
              </w:rPr>
              <w:t>Model Answer: 'Our automated test suite in tests/test_basic.py covers every layer of the architecture: deterministic hashing consistency, RFC MIME parsing, Received-chain hop inversion, trust-boundary classification, SPF/DKIM/DMARC evaluation, Levenshtein edit distance, HTML sanitization, 5-family score fusion, AES-128 vault encryption round-trip and tamper exceptions, HMAC and RSA-PSS report signing and verification, RBAC role hierarchy enforcement, and campaign clustering. All 22 tests pass cleanly with zero warnings.'</w:t>
            </w:r>
          </w:p>
        </w:tc>
      </w:tr>
    </w:tbl>
    <w:p>
      <w:pPr>
        <w:spacing w:before="0" w:after="80"/>
      </w:pPr>
    </w:p>
    <w:p>
      <w:pPr>
        <w:keepNext/>
        <w:spacing w:before="440" w:after="120"/>
        <w:pBdr>
          <w:bottom w:val="single" w:sz="12" w:space="4" w:color="007791"/>
        </w:pBdr>
      </w:pPr>
      <w:r>
        <w:rPr>
          <w:rFonts w:ascii="Calibri" w:hAnsi="Calibri"/>
          <w:b/>
          <w:color w:val="0A2540"/>
          <w:sz w:val="33"/>
        </w:rPr>
        <w:t>9. Master Glossary of Forensic &amp; Cybersecurity Terminology</w:t>
      </w:r>
    </w:p>
    <w:p>
      <w:pPr>
        <w:spacing w:before="0" w:after="80" w:line="276" w:lineRule="auto"/>
      </w:pPr>
      <w:r>
        <w:rPr>
          <w:rFonts w:ascii="Calibri" w:hAnsi="Calibri"/>
          <w:b/>
          <w:color w:val="0A2540"/>
          <w:sz w:val="20"/>
        </w:rPr>
        <w:t xml:space="preserve">Comprehensive Reference Glossary: </w:t>
      </w:r>
      <w:r>
        <w:rPr>
          <w:rFonts w:ascii="Calibri" w:hAnsi="Calibri"/>
          <w:color w:val="2D3748"/>
          <w:sz w:val="20"/>
        </w:rPr>
        <w:t>In compliance with project requirements, this master glossary provides an exhaustive, alphabetical reference of all specialized terminology utilized within the JAALBHEDI platform, complete with its formal definition enclosed in brackets:</w:t>
      </w:r>
    </w:p>
    <w:p>
      <w:pPr>
        <w:pStyle w:val="ListBullet"/>
        <w:spacing w:before="20" w:after="60" w:line="276" w:lineRule="auto"/>
      </w:pPr>
      <w:r>
        <w:rPr>
          <w:rFonts w:ascii="Calibri" w:hAnsi="Calibri"/>
          <w:color w:val="2D3748"/>
          <w:sz w:val="20"/>
        </w:rPr>
        <w:t>AES-128 (Advanced Encryption Standard with 128-bit key — A symmetric block cipher standardized by NIST that encrypts data in 128-bit blocks using cryptographic keys of 128 bits, utilized in JAALBHEDI's Fernet vault for evidence preservation).</w:t>
      </w:r>
    </w:p>
    <w:p>
      <w:pPr>
        <w:pStyle w:val="ListBullet"/>
        <w:spacing w:before="20" w:after="60" w:line="276" w:lineRule="auto"/>
      </w:pPr>
      <w:r>
        <w:rPr>
          <w:rFonts w:ascii="Calibri" w:hAnsi="Calibri"/>
          <w:color w:val="2D3748"/>
          <w:sz w:val="20"/>
        </w:rPr>
        <w:t>ARC (Authenticated Received Chain — An email authentication protocol defined in RFC 8617 that preserves email authentication status across intermediate forwarding servers and mailing lists).</w:t>
      </w:r>
    </w:p>
    <w:p>
      <w:pPr>
        <w:pStyle w:val="ListBullet"/>
        <w:spacing w:before="20" w:after="60" w:line="276" w:lineRule="auto"/>
      </w:pPr>
      <w:r>
        <w:rPr>
          <w:rFonts w:ascii="Calibri" w:hAnsi="Calibri"/>
          <w:color w:val="2D3748"/>
          <w:sz w:val="20"/>
        </w:rPr>
        <w:t>ASN (Autonomous System Number — A globally unique identifier assigned to an autonomous collection of connected IP routing prefixes controlled by one or more network operators under a common routing policy).</w:t>
      </w:r>
    </w:p>
    <w:p>
      <w:pPr>
        <w:pStyle w:val="ListBullet"/>
        <w:spacing w:before="20" w:after="60" w:line="276" w:lineRule="auto"/>
      </w:pPr>
      <w:r>
        <w:rPr>
          <w:rFonts w:ascii="Calibri" w:hAnsi="Calibri"/>
          <w:color w:val="2D3748"/>
          <w:sz w:val="20"/>
        </w:rPr>
        <w:t>Base64 (A binary-to-text encoding scheme defined in RFC 4648 that represents binary data in an ASCII string format by translating it into a radix-64 representation, commonly used for email attachments).</w:t>
      </w:r>
    </w:p>
    <w:p>
      <w:pPr>
        <w:pStyle w:val="ListBullet"/>
        <w:spacing w:before="20" w:after="60" w:line="276" w:lineRule="auto"/>
      </w:pPr>
      <w:r>
        <w:rPr>
          <w:rFonts w:ascii="Calibri" w:hAnsi="Calibri"/>
          <w:color w:val="2D3748"/>
          <w:sz w:val="20"/>
        </w:rPr>
        <w:t>BEC (Business Email Compromise — A sophisticated financial cyber attack targeting organizations to trick employees into redirecting payments or disclosing sensitive proprietary information).</w:t>
      </w:r>
    </w:p>
    <w:p>
      <w:pPr>
        <w:pStyle w:val="ListBullet"/>
        <w:spacing w:before="20" w:after="60" w:line="276" w:lineRule="auto"/>
      </w:pPr>
      <w:r>
        <w:rPr>
          <w:rFonts w:ascii="Calibri" w:hAnsi="Calibri"/>
          <w:color w:val="2D3748"/>
          <w:sz w:val="20"/>
        </w:rPr>
        <w:t>Bleach (A whitelist-based Python HTML sanitization library that parses and cleans untrusted HTML markup by stripping disallowed tags, scripts, and attributes to prevent Cross-Site Scripting vulnerabilities).</w:t>
      </w:r>
    </w:p>
    <w:p>
      <w:pPr>
        <w:pStyle w:val="ListBullet"/>
        <w:spacing w:before="20" w:after="60" w:line="276" w:lineRule="auto"/>
      </w:pPr>
      <w:r>
        <w:rPr>
          <w:rFonts w:ascii="Calibri" w:hAnsi="Calibri"/>
          <w:color w:val="2D3748"/>
          <w:sz w:val="20"/>
        </w:rPr>
        <w:t>Candidate Origin IP (The earliest non-private, routable public IP address discovered chronologically in an email's Received header chain, representing the earliest reliable point of network injection).</w:t>
      </w:r>
    </w:p>
    <w:p>
      <w:pPr>
        <w:pStyle w:val="ListBullet"/>
        <w:spacing w:before="20" w:after="60" w:line="276" w:lineRule="auto"/>
      </w:pPr>
      <w:r>
        <w:rPr>
          <w:rFonts w:ascii="Calibri" w:hAnsi="Calibri"/>
          <w:color w:val="2D3748"/>
          <w:sz w:val="20"/>
        </w:rPr>
        <w:t>Chain of Custody (A documented, chronological trail demonstrating the unbroken custody, control, transfer, analysis, and physical disposition of electronic evidence to ensure legal admissibility in court).</w:t>
      </w:r>
    </w:p>
    <w:p>
      <w:pPr>
        <w:pStyle w:val="ListBullet"/>
        <w:spacing w:before="20" w:after="60" w:line="276" w:lineRule="auto"/>
      </w:pPr>
      <w:r>
        <w:rPr>
          <w:rFonts w:ascii="Calibri" w:hAnsi="Calibri"/>
          <w:color w:val="2D3748"/>
          <w:sz w:val="20"/>
        </w:rPr>
        <w:t>Cosine Similarity (A mathematical metric measuring the cosine of the angle between two non-zero vectors in an inner product space, measuring topical and structural similarity regardless of document length).</w:t>
      </w:r>
    </w:p>
    <w:p>
      <w:pPr>
        <w:pStyle w:val="ListBullet"/>
        <w:spacing w:before="20" w:after="60" w:line="276" w:lineRule="auto"/>
      </w:pPr>
      <w:r>
        <w:rPr>
          <w:rFonts w:ascii="Calibri" w:hAnsi="Calibri"/>
          <w:color w:val="2D3748"/>
          <w:sz w:val="20"/>
        </w:rPr>
        <w:t>CUDA (Compute Unified Device Architecture — A proprietary parallel computing platform and application programming interface model developed by NVIDIA allowing developers to use GPUs for general-purpose mathematical acceleration).</w:t>
      </w:r>
    </w:p>
    <w:p>
      <w:pPr>
        <w:pStyle w:val="ListBullet"/>
        <w:spacing w:before="20" w:after="60" w:line="276" w:lineRule="auto"/>
      </w:pPr>
      <w:r>
        <w:rPr>
          <w:rFonts w:ascii="Calibri" w:hAnsi="Calibri"/>
          <w:color w:val="2D3748"/>
          <w:sz w:val="20"/>
        </w:rPr>
        <w:t>DKIM (DomainKeys Identified Mail — An email authentication protocol defined in RFC 6376 that uses public-key cryptography to verify that an email message originated from an authorized domain and that its headers and body were not modified in transit).</w:t>
      </w:r>
    </w:p>
    <w:p>
      <w:pPr>
        <w:pStyle w:val="ListBullet"/>
        <w:spacing w:before="20" w:after="60" w:line="276" w:lineRule="auto"/>
      </w:pPr>
      <w:r>
        <w:rPr>
          <w:rFonts w:ascii="Calibri" w:hAnsi="Calibri"/>
          <w:color w:val="2D3748"/>
          <w:sz w:val="20"/>
        </w:rPr>
        <w:t>DMARC (Domain-based Message Authentication, Reporting, and Conformance — An email authentication policy framework defined in RFC 7489 that leverages SPF and DKIM to enforce domain alignment and specify handling instructions for unauthenticated messages).</w:t>
      </w:r>
    </w:p>
    <w:p>
      <w:pPr>
        <w:pStyle w:val="ListBullet"/>
        <w:spacing w:before="20" w:after="60" w:line="276" w:lineRule="auto"/>
      </w:pPr>
      <w:r>
        <w:rPr>
          <w:rFonts w:ascii="Calibri" w:hAnsi="Calibri"/>
          <w:color w:val="2D3748"/>
          <w:sz w:val="20"/>
        </w:rPr>
        <w:t>DPDP Act 2023 (Digital Personal Data Protection Act 2023 — Statutory Indian legislation regulating the processing, storage, consent management, and cross-border transfer of personal digital data).</w:t>
      </w:r>
    </w:p>
    <w:p>
      <w:pPr>
        <w:pStyle w:val="ListBullet"/>
        <w:spacing w:before="20" w:after="60" w:line="276" w:lineRule="auto"/>
      </w:pPr>
      <w:r>
        <w:rPr>
          <w:rFonts w:ascii="Calibri" w:hAnsi="Calibri"/>
          <w:color w:val="2D3748"/>
          <w:sz w:val="20"/>
        </w:rPr>
        <w:t>Fernet (A high-level cryptographic specification implemented in Python's cryptography library that combines AES-128 in CBC mode with PKCS7 padding and an HMAC-SHA256 authentication tag to guarantee confidentiality and authenticity).</w:t>
      </w:r>
    </w:p>
    <w:p>
      <w:pPr>
        <w:pStyle w:val="ListBullet"/>
        <w:spacing w:before="20" w:after="60" w:line="276" w:lineRule="auto"/>
      </w:pPr>
      <w:r>
        <w:rPr>
          <w:rFonts w:ascii="Calibri" w:hAnsi="Calibri"/>
          <w:color w:val="2D3748"/>
          <w:sz w:val="20"/>
        </w:rPr>
        <w:t>FP16 (Half-Precision 16-Bit Floating Point Format — A computer numerical data format occupying 16 bits in memory, doubling computational throughput and halving memory footprint on modern Tensor Cores).</w:t>
      </w:r>
    </w:p>
    <w:p>
      <w:pPr>
        <w:pStyle w:val="ListBullet"/>
        <w:spacing w:before="20" w:after="60" w:line="276" w:lineRule="auto"/>
      </w:pPr>
      <w:r>
        <w:rPr>
          <w:rFonts w:ascii="Calibri" w:hAnsi="Calibri"/>
          <w:color w:val="2D3748"/>
          <w:sz w:val="20"/>
        </w:rPr>
        <w:t>HMAC-SHA256 (Hash-based Message Authentication Code with SHA-256 — A cryptographic authentication algorithm that verifies both data integrity and message authenticity using a shared secret cryptographic key).</w:t>
      </w:r>
    </w:p>
    <w:p>
      <w:pPr>
        <w:pStyle w:val="ListBullet"/>
        <w:spacing w:before="20" w:after="60" w:line="276" w:lineRule="auto"/>
      </w:pPr>
      <w:r>
        <w:rPr>
          <w:rFonts w:ascii="Calibri" w:hAnsi="Calibri"/>
          <w:color w:val="2D3748"/>
          <w:sz w:val="20"/>
        </w:rPr>
        <w:t>IOC (Indicator of Compromise — A forensic artifact observed on a network or operating system that with high confidence indicates an unauthorized intrusion or malicious cyber activity).</w:t>
      </w:r>
    </w:p>
    <w:p>
      <w:pPr>
        <w:pStyle w:val="ListBullet"/>
        <w:spacing w:before="20" w:after="60" w:line="276" w:lineRule="auto"/>
      </w:pPr>
      <w:r>
        <w:rPr>
          <w:rFonts w:ascii="Calibri" w:hAnsi="Calibri"/>
          <w:color w:val="2D3748"/>
          <w:sz w:val="20"/>
        </w:rPr>
        <w:t>IP-Literal URL (A URL where the host portion is an explicit numerical IP address rather than a registered domain name, heavily used by attackers to bypass domain reputation blacklists).</w:t>
      </w:r>
    </w:p>
    <w:p>
      <w:pPr>
        <w:pStyle w:val="ListBullet"/>
        <w:spacing w:before="20" w:after="60" w:line="276" w:lineRule="auto"/>
      </w:pPr>
      <w:r>
        <w:rPr>
          <w:rFonts w:ascii="Calibri" w:hAnsi="Calibri"/>
          <w:color w:val="2D3748"/>
          <w:sz w:val="20"/>
        </w:rPr>
        <w:t>Levenshtein Distance (A dynamic programming string metric calculating the minimal edit operations—insertions, deletions, substitutions—required to transform one string into another, used to detect lookalike typo-squatting domains).</w:t>
      </w:r>
    </w:p>
    <w:p>
      <w:pPr>
        <w:pStyle w:val="ListBullet"/>
        <w:spacing w:before="20" w:after="60" w:line="276" w:lineRule="auto"/>
      </w:pPr>
      <w:r>
        <w:rPr>
          <w:rFonts w:ascii="Calibri" w:hAnsi="Calibri"/>
          <w:color w:val="2D3748"/>
          <w:sz w:val="20"/>
        </w:rPr>
        <w:t>MIME (Multipurpose Internet Mail Extensions — A series of IETF standards defined in RFC 2045 through RFC 2049 that extend the basic email format to support non-ASCII text, multi-part bodies, and multimedia attachments).</w:t>
      </w:r>
    </w:p>
    <w:p>
      <w:pPr>
        <w:pStyle w:val="ListBullet"/>
        <w:spacing w:before="20" w:after="60" w:line="276" w:lineRule="auto"/>
      </w:pPr>
      <w:r>
        <w:rPr>
          <w:rFonts w:ascii="Calibri" w:hAnsi="Calibri"/>
          <w:color w:val="2D3748"/>
          <w:sz w:val="20"/>
        </w:rPr>
        <w:t>MITRE ATT&amp;CK (A globally accessible, curated knowledge base of cyber adversary tactics, techniques, and common procedures grounded in real-world security observations).</w:t>
      </w:r>
    </w:p>
    <w:p>
      <w:pPr>
        <w:pStyle w:val="ListBullet"/>
        <w:spacing w:before="20" w:after="60" w:line="276" w:lineRule="auto"/>
      </w:pPr>
      <w:r>
        <w:rPr>
          <w:rFonts w:ascii="Calibri" w:hAnsi="Calibri"/>
          <w:color w:val="2D3748"/>
          <w:sz w:val="20"/>
        </w:rPr>
        <w:t>MTA (Mail Transfer Agent — Software such as Postfix, Sendmail, or Microsoft Exchange that routes and transfers email messages between computers across the internet using SMTP).</w:t>
      </w:r>
    </w:p>
    <w:p>
      <w:pPr>
        <w:pStyle w:val="ListBullet"/>
        <w:spacing w:before="20" w:after="60" w:line="276" w:lineRule="auto"/>
      </w:pPr>
      <w:r>
        <w:rPr>
          <w:rFonts w:ascii="Calibri" w:hAnsi="Calibri"/>
          <w:color w:val="2D3748"/>
          <w:sz w:val="20"/>
        </w:rPr>
        <w:t>NetworkX (A comprehensive Python software library designed for the creation, manipulation, topological analysis, and visualization of complex relational networks and multi-entity graphs).</w:t>
      </w:r>
    </w:p>
    <w:p>
      <w:pPr>
        <w:pStyle w:val="ListBullet"/>
        <w:spacing w:before="20" w:after="60" w:line="276" w:lineRule="auto"/>
      </w:pPr>
      <w:r>
        <w:rPr>
          <w:rFonts w:ascii="Calibri" w:hAnsi="Calibri"/>
          <w:color w:val="2D3748"/>
          <w:sz w:val="20"/>
        </w:rPr>
        <w:t>Punycode (A standardized character encoding syntax defined in RFC 3492 used to translate internationalized domain names containing non-ASCII Unicode characters into ASCII-compatible strings prefixed with 'xn--').</w:t>
      </w:r>
    </w:p>
    <w:p>
      <w:pPr>
        <w:pStyle w:val="ListBullet"/>
        <w:spacing w:before="20" w:after="60" w:line="276" w:lineRule="auto"/>
      </w:pPr>
      <w:r>
        <w:rPr>
          <w:rFonts w:ascii="Calibri" w:hAnsi="Calibri"/>
          <w:color w:val="2D3748"/>
          <w:sz w:val="20"/>
        </w:rPr>
        <w:t>Quoted-Printable (An encoding system defined in RFC 2045 that represents arbitrary 8-bit data using printable US-ASCII characters, denoted by '=XX' hexadecimal escape sequences).</w:t>
      </w:r>
    </w:p>
    <w:p>
      <w:pPr>
        <w:pStyle w:val="ListBullet"/>
        <w:spacing w:before="20" w:after="60" w:line="276" w:lineRule="auto"/>
      </w:pPr>
      <w:r>
        <w:rPr>
          <w:rFonts w:ascii="Calibri" w:hAnsi="Calibri"/>
          <w:color w:val="2D3748"/>
          <w:sz w:val="20"/>
        </w:rPr>
        <w:t>RBAC (Role-Based Access Control — A security authorization framework that restricts system operations and resource access according to defined user roles such as Analyst, Investigator, or Administrator).</w:t>
      </w:r>
    </w:p>
    <w:p>
      <w:pPr>
        <w:pStyle w:val="ListBullet"/>
        <w:spacing w:before="20" w:after="60" w:line="276" w:lineRule="auto"/>
      </w:pPr>
      <w:r>
        <w:rPr>
          <w:rFonts w:ascii="Calibri" w:hAnsi="Calibri"/>
          <w:color w:val="2D3748"/>
          <w:sz w:val="20"/>
        </w:rPr>
        <w:t>RDAP (Registration Data Access Protocol — A standardized RESTful query protocol defined by ICANN that delivers structured, machine-readable domain registration and ownership records, succeeding legacy WHOIS).</w:t>
      </w:r>
    </w:p>
    <w:p>
      <w:pPr>
        <w:pStyle w:val="ListBullet"/>
        <w:spacing w:before="20" w:after="60" w:line="276" w:lineRule="auto"/>
      </w:pPr>
      <w:r>
        <w:rPr>
          <w:rFonts w:ascii="Calibri" w:hAnsi="Calibri"/>
          <w:color w:val="2D3748"/>
          <w:sz w:val="20"/>
        </w:rPr>
        <w:t>RFC 1918 (Address Allocation for Private Internets — The IETF standard defining private IPv4 address spaces reserved for local internal networks, specifically 10.0.0.0/8, 172.16.0.0/12, and 192.168.0.0/16).</w:t>
      </w:r>
    </w:p>
    <w:p>
      <w:pPr>
        <w:pStyle w:val="ListBullet"/>
        <w:spacing w:before="20" w:after="60" w:line="276" w:lineRule="auto"/>
      </w:pPr>
      <w:r>
        <w:rPr>
          <w:rFonts w:ascii="Calibri" w:hAnsi="Calibri"/>
          <w:color w:val="2D3748"/>
          <w:sz w:val="20"/>
        </w:rPr>
        <w:t>RFC 5322 (Internet Message Format — The authoritative standard published by the IETF specifying the formal syntax, grammar, and structural rules for email message headers and bodies).</w:t>
      </w:r>
    </w:p>
    <w:p>
      <w:pPr>
        <w:pStyle w:val="ListBullet"/>
        <w:spacing w:before="20" w:after="60" w:line="276" w:lineRule="auto"/>
      </w:pPr>
      <w:r>
        <w:rPr>
          <w:rFonts w:ascii="Calibri" w:hAnsi="Calibri"/>
          <w:color w:val="2D3748"/>
          <w:sz w:val="20"/>
        </w:rPr>
        <w:t>RSA-PSS (Rivest-Shamir-Adleman Probabilistic Signature Scheme — An asymmetric public-key digital signature algorithm incorporating randomized salt padding to deliver provable mathematical security against existential forgery).</w:t>
      </w:r>
    </w:p>
    <w:p>
      <w:pPr>
        <w:pStyle w:val="ListBullet"/>
        <w:spacing w:before="20" w:after="60" w:line="276" w:lineRule="auto"/>
      </w:pPr>
      <w:r>
        <w:rPr>
          <w:rFonts w:ascii="Calibri" w:hAnsi="Calibri"/>
          <w:color w:val="2D3748"/>
          <w:sz w:val="20"/>
        </w:rPr>
        <w:t>Section 65B Indian Evidence Act (A statutory legal provision under Indian law governing the admissibility of electronic records in judicial proceedings, mandating proof of device integrity and unaltered record production).</w:t>
      </w:r>
    </w:p>
    <w:p>
      <w:pPr>
        <w:pStyle w:val="ListBullet"/>
        <w:spacing w:before="20" w:after="60" w:line="276" w:lineRule="auto"/>
      </w:pPr>
      <w:r>
        <w:rPr>
          <w:rFonts w:ascii="Calibri" w:hAnsi="Calibri"/>
          <w:color w:val="2D3748"/>
          <w:sz w:val="20"/>
        </w:rPr>
        <w:t>SHA-256 (Secure Hash Algorithm 256-bit — A cryptographic hash function published by NIST that converts input data of arbitrary size into an immutable 64-character hexadecimal digest, ensuring data integrity).</w:t>
      </w:r>
    </w:p>
    <w:p>
      <w:pPr>
        <w:pStyle w:val="ListBullet"/>
        <w:spacing w:before="20" w:after="60" w:line="276" w:lineRule="auto"/>
      </w:pPr>
      <w:r>
        <w:rPr>
          <w:rFonts w:ascii="Calibri" w:hAnsi="Calibri"/>
          <w:color w:val="2D3748"/>
          <w:sz w:val="20"/>
        </w:rPr>
        <w:t>Spear-Phishing (A highly customized email attack that utilizes pre-collected intelligence regarding specific individual targets to increase the probability of successful exploitation).</w:t>
      </w:r>
    </w:p>
    <w:p>
      <w:pPr>
        <w:pStyle w:val="ListBullet"/>
        <w:spacing w:before="20" w:after="60" w:line="276" w:lineRule="auto"/>
      </w:pPr>
      <w:r>
        <w:rPr>
          <w:rFonts w:ascii="Calibri" w:hAnsi="Calibri"/>
          <w:color w:val="2D3748"/>
          <w:sz w:val="20"/>
        </w:rPr>
        <w:t>SPF (Sender Policy Framework — An email validation protocol defined in RFC 7208 that enables domain owners to publish DNS records specifying authorized mail transfer agents permitted to send emails on their behalf).</w:t>
      </w:r>
    </w:p>
    <w:p>
      <w:pPr>
        <w:pStyle w:val="ListBullet"/>
        <w:spacing w:before="20" w:after="60" w:line="276" w:lineRule="auto"/>
      </w:pPr>
      <w:r>
        <w:rPr>
          <w:rFonts w:ascii="Calibri" w:hAnsi="Calibri"/>
          <w:color w:val="2D3748"/>
          <w:sz w:val="20"/>
        </w:rPr>
        <w:t>STIX 2.1 (Structured Threat Information Expression version 2.1 — A standardized, JSON-based serialization language developed by OASIS for communicating, storing, and sharing structured cyber threat intelligence).</w:t>
      </w:r>
    </w:p>
    <w:p>
      <w:pPr>
        <w:pStyle w:val="ListBullet"/>
        <w:spacing w:before="20" w:after="60" w:line="276" w:lineRule="auto"/>
      </w:pPr>
      <w:r>
        <w:rPr>
          <w:rFonts w:ascii="Calibri" w:hAnsi="Calibri"/>
          <w:color w:val="2D3748"/>
          <w:sz w:val="20"/>
        </w:rPr>
        <w:t>TF-IDF (Term Frequency-Inverse Document Frequency — A numerical statistical metric in natural language processing that reflects the relative importance of a word within a specific document relative to an entire text corpus).</w:t>
      </w:r>
    </w:p>
    <w:p>
      <w:pPr>
        <w:pStyle w:val="ListBullet"/>
        <w:spacing w:before="20" w:after="60" w:line="276" w:lineRule="auto"/>
      </w:pPr>
      <w:r>
        <w:rPr>
          <w:rFonts w:ascii="Calibri" w:hAnsi="Calibri"/>
          <w:color w:val="2D3748"/>
          <w:sz w:val="20"/>
        </w:rPr>
        <w:t>Trust Boundary (A forensic demarcation algorithm in JAALBHEDI that partitions Received headers into trusted internal hops, the perimeter gateway boundary hop, and untrusted upstream sender hops).</w:t>
      </w:r>
    </w:p>
    <w:p>
      <w:pPr>
        <w:pStyle w:val="ListBullet"/>
        <w:spacing w:before="20" w:after="60" w:line="276" w:lineRule="auto"/>
      </w:pPr>
      <w:r>
        <w:rPr>
          <w:rFonts w:ascii="Calibri" w:hAnsi="Calibri"/>
          <w:color w:val="2D3748"/>
          <w:sz w:val="20"/>
        </w:rPr>
        <w:t>Union-Find (A disjoint-set data structure that tracks elements partitioned into non-overlapping subsets and provides near-constant time operations for clustering related attack campaigns).</w:t>
      </w:r>
    </w:p>
    <w:p>
      <w:pPr>
        <w:pStyle w:val="ListBullet"/>
        <w:spacing w:before="20" w:after="60" w:line="276" w:lineRule="auto"/>
      </w:pPr>
      <w:r>
        <w:rPr>
          <w:rFonts w:ascii="Calibri" w:hAnsi="Calibri"/>
          <w:color w:val="2D3748"/>
          <w:sz w:val="20"/>
        </w:rPr>
        <w:t>VRAM (Video Random-Access Memory — Dedicated ultra-high-speed memory installed on dedicated graphics cards used to store neural network parameters, model weights, and intermediate tensor activation states).</w:t>
      </w:r>
    </w:p>
    <w:p>
      <w:pPr>
        <w:pStyle w:val="ListBullet"/>
        <w:spacing w:before="20" w:after="60" w:line="276" w:lineRule="auto"/>
      </w:pPr>
      <w:r>
        <w:rPr>
          <w:rFonts w:ascii="Calibri" w:hAnsi="Calibri"/>
          <w:color w:val="2D3748"/>
          <w:sz w:val="20"/>
        </w:rPr>
        <w:t>Web Beacon (A miniature 1x1 pixel image or unique link embedded within an email body designed to silently transmit an HTTP request to an attacker's server when rendered, confirming message opening and victim IP address).</w:t>
      </w:r>
    </w:p>
    <w:p>
      <w:pPr>
        <w:pStyle w:val="ListBullet"/>
        <w:spacing w:before="20" w:after="60" w:line="276" w:lineRule="auto"/>
      </w:pPr>
      <w:r>
        <w:rPr>
          <w:rFonts w:ascii="Calibri" w:hAnsi="Calibri"/>
          <w:color w:val="2D3748"/>
          <w:sz w:val="20"/>
        </w:rPr>
        <w:t>XAI (Explainable Artificial Intelligence — Machine learning methodologies and architectures designed so that their internal decision logic, feature attributions, and outputs can be transparently audited and understood by human analysts).</w:t>
      </w:r>
    </w:p>
    <w:p>
      <w:pPr>
        <w:pStyle w:val="ListBullet"/>
        <w:spacing w:before="20" w:after="60" w:line="276" w:lineRule="auto"/>
      </w:pPr>
      <w:r>
        <w:rPr>
          <w:rFonts w:ascii="Calibri" w:hAnsi="Calibri"/>
          <w:color w:val="2D3748"/>
          <w:sz w:val="20"/>
        </w:rPr>
        <w:t>XSS (Cross-Site Scripting — A web application security vulnerability wherein malicious scripts are injected into trusted web interfaces, mitigated in JAALBHEDI via Bleach HTML sanitization).</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B93A1"/>
        <w:sz w:val="17"/>
      </w:rPr>
      <w:t>Smart India Hackathon 2026 — Master Prototype Specification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B93A1"/>
        <w:sz w:val="17"/>
      </w:rPr>
      <w:t>JAALBHEDI (SIH26106) — Prototype Technical &amp; Forensic Master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