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1579B"/>
        </w:rPr>
        <w:t>Presentation Speaker Guide v2</w:t>
      </w:r>
    </w:p>
    <w:p>
      <w:r>
        <w:rPr>
          <w:b/>
          <w:i w:val="0"/>
          <w:sz w:val="26"/>
        </w:rPr>
        <w:t>SIH26106 -- Forensic Intelligence Workbench (JAALBHEDI)</w:t>
      </w:r>
    </w:p>
    <w:p>
      <w:r>
        <w:rPr>
          <w:b w:val="0"/>
          <w:i/>
          <w:color w:val="5A5A5A"/>
          <w:sz w:val="20"/>
        </w:rPr>
        <w:t>Aligned to the current model build (Sep 2026) and the 6-slide JAALBHEDI_SIH_Submission.pptx. SAY THIS blocks (green) are ready to speak aloud. JUDGE MAY ASK blocks (orange) prepare you for Q&amp;A. Every technical term is explained the first time it appears.</w:t>
      </w:r>
    </w:p>
    <w:p>
      <w:pPr>
        <w:spacing w:before="80" w:after="80"/>
        <w:pBdr>
          <w:bottom w:val="single" w:sz="4" w:space="1" w:color="BDBDBD"/>
        </w:pBdr>
      </w:pPr>
    </w:p>
    <w:p>
      <w:pPr>
        <w:pStyle w:val="Heading1"/>
        <w:jc w:val="left"/>
      </w:pPr>
      <w:r>
        <w:rPr>
          <w:color w:val="01579B"/>
        </w:rPr>
        <w:t>Before You Start: The 3-Sentence Version</w:t>
      </w:r>
    </w:p>
    <w:p>
      <w:r>
        <w:rPr>
          <w:b w:val="0"/>
          <w:i/>
          <w:sz w:val="21"/>
        </w:rPr>
        <w:t>If a judge stops you early or asks for a one-line summary, say this:</w:t>
      </w:r>
    </w:p>
    <w:p>
      <w:pPr>
        <w:spacing w:before="80" w:after="80"/>
        <w:ind w:left="432" w:right="432"/>
        <w:shd w:val="clear" w:color="auto" w:fill="E8F5E9"/>
      </w:pPr>
      <w:r>
        <w:rPr>
          <w:b/>
          <w:color w:val="1B5E20"/>
          <w:sz w:val="21"/>
        </w:rPr>
        <w:t xml:space="preserve">SAY THIS:  </w:t>
      </w:r>
      <w:r>
        <w:rPr>
          <w:i/>
          <w:color w:val="1B5E20"/>
          <w:sz w:val="21"/>
        </w:rPr>
        <w:t>"Fraudulent emails now defeat traditional filters because attackers forge delivery records and mimic trusted brands. We built a platform called JAALBHEDI that takes any suspicious email, reconstructs where it physically came from, validates whether the sender's identity is legitimate, and produces a scored, evidence-backed forensic dossier -- all running on a standard laptop with no cloud dependency. It is fully coded, 22 out of 22 automated tests pass, and we can demonstrate the live workflow right now."</w:t>
      </w:r>
    </w:p>
    <w:p/>
    <w:p>
      <w:pPr>
        <w:spacing w:before="80" w:after="80"/>
        <w:pBdr>
          <w:bottom w:val="single" w:sz="4" w:space="1" w:color="BDBDBD"/>
        </w:pBdr>
      </w:pPr>
    </w:p>
    <w:p>
      <w:pPr>
        <w:pStyle w:val="Heading1"/>
        <w:jc w:val="left"/>
      </w:pPr>
      <w:r>
        <w:rPr>
          <w:color w:val="01579B"/>
        </w:rPr>
        <w:t>Slide 1 -- Title Page</w:t>
      </w:r>
    </w:p>
    <w:p>
      <w:r>
        <w:rPr>
          <w:b/>
          <w:i w:val="0"/>
          <w:sz w:val="21"/>
        </w:rPr>
        <w:t>What the slide shows:</w:t>
      </w:r>
    </w:p>
    <w:p>
      <w:r>
        <w:rPr>
          <w:b w:val="0"/>
          <w:i w:val="0"/>
          <w:sz w:val="21"/>
        </w:rPr>
        <w:t>Problem Statement ID SIH26106, full title, theme (Blockchain &amp; Cybersecurity), category (Software), Team ID, and team name JAALBHEDI / Sentinels.</w:t>
      </w:r>
    </w:p>
    <w:p/>
    <w:p>
      <w:r>
        <w:rPr>
          <w:b/>
          <w:i w:val="0"/>
          <w:sz w:val="21"/>
        </w:rPr>
        <w:t>Your job before presenting:</w:t>
      </w:r>
    </w:p>
    <w:p>
      <w:pPr>
        <w:pStyle w:val="ListBullet"/>
        <w:ind w:left="432"/>
      </w:pPr>
      <w:r>
        <w:rPr>
          <w:sz w:val="21"/>
        </w:rPr>
        <w:t>Confirm the team name exactly matches your SIH portal registration.</w:t>
      </w:r>
    </w:p>
    <w:p>
      <w:pPr>
        <w:pStyle w:val="ListBullet"/>
        <w:ind w:left="432"/>
      </w:pPr>
      <w:r>
        <w:rPr>
          <w:sz w:val="21"/>
        </w:rPr>
        <w:t>Fill in the Team ID field if it is still blank on the slide.</w:t>
      </w:r>
    </w:p>
    <w:p>
      <w:pPr>
        <w:pStyle w:val="ListBullet"/>
        <w:ind w:left="432"/>
      </w:pPr>
      <w:r>
        <w:rPr>
          <w:sz w:val="21"/>
        </w:rPr>
        <w:t>Slide 1 requires minimal speech -- open confidently and move quickly.</w:t>
      </w:r>
    </w:p>
    <w:p/>
    <w:p>
      <w:pPr>
        <w:spacing w:before="80" w:after="80"/>
        <w:ind w:left="432" w:right="432"/>
        <w:shd w:val="clear" w:color="auto" w:fill="E8F5E9"/>
      </w:pPr>
      <w:r>
        <w:rPr>
          <w:b/>
          <w:color w:val="1B5E20"/>
          <w:sz w:val="21"/>
        </w:rPr>
        <w:t xml:space="preserve">SAY THIS:  </w:t>
      </w:r>
      <w:r>
        <w:rPr>
          <w:i/>
          <w:color w:val="1B5E20"/>
          <w:sz w:val="21"/>
        </w:rPr>
        <w:t>"Good morning. We are Team Sentinels, presenting JAALBHEDI -- our answer to SIH Problem Statement 26106: AI-powered email threat detection, geolocation and forensic intelligence. Let me show you how it works."</w:t>
      </w:r>
    </w:p>
    <w:p>
      <w:pPr>
        <w:spacing w:before="80" w:after="80"/>
        <w:pBdr>
          <w:bottom w:val="single" w:sz="4" w:space="1" w:color="BDBDBD"/>
        </w:pBdr>
      </w:pPr>
    </w:p>
    <w:p>
      <w:pPr>
        <w:pStyle w:val="Heading1"/>
        <w:jc w:val="left"/>
      </w:pPr>
      <w:r>
        <w:rPr>
          <w:color w:val="01579B"/>
        </w:rPr>
        <w:t>Slide 2 -- Problem Areas and Proposed Solution</w:t>
      </w:r>
    </w:p>
    <w:p>
      <w:r>
        <w:rPr>
          <w:b/>
          <w:i w:val="0"/>
          <w:sz w:val="21"/>
        </w:rPr>
        <w:t>What the slide shows:</w:t>
      </w:r>
    </w:p>
    <w:p>
      <w:r>
        <w:rPr>
          <w:b w:val="0"/>
          <w:i w:val="0"/>
          <w:sz w:val="21"/>
        </w:rPr>
        <w:t>Four problem areas (left), core solution statement (centre), four numbered solution pillars (right). Walk left-to-right.</w:t>
      </w:r>
    </w:p>
    <w:p/>
    <w:p>
      <w:r>
        <w:rPr>
          <w:b/>
          <w:i w:val="0"/>
          <w:sz w:val="21"/>
        </w:rPr>
        <w:t>Four problem areas -- speak each one:</w:t>
      </w:r>
    </w:p>
    <w:p>
      <w:pPr>
        <w:pStyle w:val="ListBullet"/>
        <w:ind w:left="432"/>
      </w:pPr>
      <w:r>
        <w:rPr>
          <w:sz w:val="21"/>
        </w:rPr>
        <w:t>Email Threat &amp; Fraud Detection -- Phishing, Business Email Compromise (BEC: attackers impersonate a CEO or supplier to request fraudulent wire transfers), impersonation, malicious URLs and attachments.</w:t>
      </w:r>
    </w:p>
    <w:p>
      <w:pPr>
        <w:pStyle w:val="ListBullet"/>
        <w:ind w:left="432"/>
      </w:pPr>
      <w:r>
        <w:rPr>
          <w:sz w:val="21"/>
        </w:rPr>
        <w:t>Sender &amp; Identity Security -- Attackers spoof (fake) the sending domain, register visually similar lookalike domains (e.g. paypa1.com vs paypal.com), or use a compromised legitimate account.</w:t>
      </w:r>
    </w:p>
    <w:p>
      <w:pPr>
        <w:pStyle w:val="ListBullet"/>
        <w:ind w:left="432"/>
      </w:pPr>
      <w:r>
        <w:rPr>
          <w:sz w:val="21"/>
        </w:rPr>
        <w:t>Threat Intelligence, Correlation &amp; Attribution -- IP, ASN (Autonomous System Number: identifier of the organisation that owns a block of IP addresses), DNS and geolocation signals can be scattered, contradictory or deliberately misleading.</w:t>
      </w:r>
    </w:p>
    <w:p>
      <w:pPr>
        <w:pStyle w:val="ListBullet"/>
        <w:ind w:left="432"/>
      </w:pPr>
      <w:r>
        <w:rPr>
          <w:sz w:val="21"/>
        </w:rPr>
        <w:t>Investigation, Response &amp; Compliance -- Analysts need preserved evidence with a verifiable chain of custody, real-time alerts, structured reports and role-based access control.</w:t>
      </w:r>
    </w:p>
    <w:p/>
    <w:p>
      <w:pPr>
        <w:spacing w:before="80" w:after="80"/>
        <w:ind w:left="432" w:right="432"/>
        <w:shd w:val="clear" w:color="auto" w:fill="E8F5E9"/>
      </w:pPr>
      <w:r>
        <w:rPr>
          <w:b/>
          <w:color w:val="1B5E20"/>
          <w:sz w:val="21"/>
        </w:rPr>
        <w:t xml:space="preserve">SAY THIS:  </w:t>
      </w:r>
      <w:r>
        <w:rPr>
          <w:i/>
          <w:color w:val="1B5E20"/>
          <w:sz w:val="21"/>
        </w:rPr>
        <w:t>"Every security team faces the same four-part problem: they can see that an email looks suspicious, but they cannot quickly answer where it really came from, whether the sender identity is forged, how the attack connects to other emails, and how to produce court-ready evidence. JAALBHEDI solves all four in one workflow."</w:t>
      </w:r>
    </w:p>
    <w:p/>
    <w:p>
      <w:r>
        <w:rPr>
          <w:b/>
          <w:i w:val="0"/>
          <w:sz w:val="21"/>
        </w:rPr>
        <w:t>Four solution pillars -- speak right column:</w:t>
      </w:r>
    </w:p>
    <w:p>
      <w:pPr>
        <w:pStyle w:val="ListBullet"/>
        <w:ind w:left="432"/>
      </w:pPr>
      <w:r>
        <w:rPr>
          <w:sz w:val="21"/>
        </w:rPr>
        <w:t>I. Email Threat &amp; Fraud Detection -- NLP (Natural Language Processing: AI that reads and understands text) and ML (Machine Learning) analyse the email body and URLs; flag phishing language, BEC patterns and malicious links; return a scored verdict with reasons.</w:t>
      </w:r>
    </w:p>
    <w:p>
      <w:pPr>
        <w:pStyle w:val="ListBullet"/>
        <w:ind w:left="432"/>
      </w:pPr>
      <w:r>
        <w:rPr>
          <w:sz w:val="21"/>
        </w:rPr>
        <w:t>II. Sender &amp; Identity Security -- Validates SPF, DKIM, DMARC (the three internet standards that prove whether an email was legitimately sent from the claimed domain); reconstructs the relay chain; detects lookalike domains using edit-distance scoring.</w:t>
      </w:r>
    </w:p>
    <w:p>
      <w:pPr>
        <w:pStyle w:val="ListBullet"/>
        <w:ind w:left="432"/>
      </w:pPr>
      <w:r>
        <w:rPr>
          <w:sz w:val="21"/>
        </w:rPr>
        <w:t>III. Threat Intelligence, Correlation &amp; Attribution -- Maps every IP to country, city and ASN via a local GeoIP database (no cloud call required); queries WHOIS/RDAP for domain registration intelligence; flags VPN, TOR and proxy infrastructure; notes confidence limitations explicitly.</w:t>
      </w:r>
    </w:p>
    <w:p>
      <w:pPr>
        <w:pStyle w:val="ListBullet"/>
        <w:ind w:left="432"/>
      </w:pPr>
      <w:r>
        <w:rPr>
          <w:sz w:val="21"/>
        </w:rPr>
        <w:t>IV. Investigation, Response &amp; Compliance -- Evidence file is Fernet-encrypted (symmetric encryption, tamper-evident); reports are HMAC/RSA-PSS signed (digital signing proves a report has not been altered); RBAC (Role-Based Access Control) restricts who can see what.</w:t>
      </w:r>
    </w:p>
    <w:p/>
    <w:p>
      <w:pPr>
        <w:spacing w:before="80" w:after="80"/>
        <w:ind w:left="432" w:right="432"/>
        <w:shd w:val="clear" w:color="auto" w:fill="FFF3E0"/>
      </w:pPr>
      <w:r>
        <w:rPr>
          <w:b/>
          <w:color w:val="7B1F00"/>
          <w:sz w:val="20"/>
        </w:rPr>
        <w:t xml:space="preserve">JUDGE MAY ASK: </w:t>
      </w:r>
      <w:r>
        <w:rPr>
          <w:i/>
          <w:color w:val="7B1F00"/>
          <w:sz w:val="20"/>
        </w:rPr>
        <w:t>What does 'explainable' actually mean here -- give an example?</w:t>
        <w:br/>
      </w:r>
      <w:r>
        <w:rPr>
          <w:b/>
          <w:color w:val="0D47A1"/>
          <w:sz w:val="20"/>
        </w:rPr>
        <w:t xml:space="preserve">YOUR ANSWER: </w:t>
      </w:r>
      <w:r>
        <w:rPr>
          <w:color w:val="0D47A1"/>
          <w:sz w:val="20"/>
        </w:rPr>
        <w:t>If an email scores 85/100, the report shows exactly why: 'SPF FAIL: +18 pts', 'Reply-To domain differs from From domain: +14 pts', 'lookalike domain detected: +12 pts'. An analyst can check every claim. There is no black-box number without a reason.</w:t>
      </w:r>
    </w:p>
    <w:p>
      <w:pPr>
        <w:spacing w:before="80" w:after="80"/>
        <w:pBdr>
          <w:bottom w:val="single" w:sz="4" w:space="1" w:color="BDBDBD"/>
        </w:pBdr>
      </w:pPr>
    </w:p>
    <w:p>
      <w:pPr>
        <w:pStyle w:val="Heading1"/>
        <w:jc w:val="left"/>
      </w:pPr>
      <w:r>
        <w:rPr>
          <w:color w:val="01579B"/>
        </w:rPr>
        <w:t>Slide 3 -- Technical Approach (5-Stage Data Flow)</w:t>
      </w:r>
    </w:p>
    <w:p>
      <w:r>
        <w:rPr>
          <w:b/>
          <w:i w:val="0"/>
          <w:sz w:val="21"/>
        </w:rPr>
        <w:t>What the slide shows:</w:t>
      </w:r>
    </w:p>
    <w:p>
      <w:r>
        <w:rPr>
          <w:b w:val="0"/>
          <w:i w:val="0"/>
          <w:sz w:val="21"/>
        </w:rPr>
        <w:t>A pipeline diagram. Caption: Ingestion -&gt; Normalization -&gt; AI &amp; Forensic Analysis -&gt; Risk Fusion &amp; Decision -&gt; Forensic Intelligence Outputs. This is the actual code architecture.</w:t>
      </w:r>
    </w:p>
    <w:p/>
    <w:p>
      <w:r>
        <w:rPr>
          <w:b/>
          <w:i w:val="0"/>
          <w:sz w:val="21"/>
        </w:rPr>
        <w:t>Speak through each stage (these match actual code files):</w:t>
      </w:r>
    </w:p>
    <w:p>
      <w:pPr>
        <w:pStyle w:val="ListBullet"/>
        <w:ind w:left="432"/>
      </w:pPr>
      <w:r>
        <w:rPr>
          <w:sz w:val="21"/>
        </w:rPr>
        <w:t>Stage 1 -- Ingestion: Analyst uploads a .eml file or pastes raw MIME source. backend/parsers/email_parser.py immediately computes SHA-256 and MD5 hashes -- mathematical fingerprints proving the file has not changed since first touched.</w:t>
      </w:r>
    </w:p>
    <w:p>
      <w:pPr>
        <w:pStyle w:val="ListBullet"/>
        <w:ind w:left="432"/>
      </w:pPr>
      <w:r>
        <w:rPr>
          <w:sz w:val="21"/>
        </w:rPr>
        <w:t>Stage 2 -- Normalization / Evidence Preservation: Raw bytes are Fernet-encrypted (backend/security/evidence_vault.py) and stored read-only. Upload is size-checked and filename-sanitised (backend/security/sanitizer.py). Audit-log entry written to SQLite.</w:t>
      </w:r>
    </w:p>
    <w:p>
      <w:pPr>
        <w:pStyle w:val="ListBullet"/>
        <w:ind w:left="432"/>
      </w:pPr>
      <w:r>
        <w:rPr>
          <w:sz w:val="21"/>
        </w:rPr>
        <w:t>Stage 3 -- AI &amp; Forensic Analysis (four engines):</w:t>
        <w:br/>
        <w:t xml:space="preserve">  a) Header Forensics -- parse_received_chain() reconstructs every SMTP hop, applies RFC-1918 private-address filtering, identifies earliest public-IP candidate (backend/forensics/header_analyzer.py).</w:t>
        <w:br/>
        <w:t xml:space="preserve">  b) Authentication -- SPF, DKIM, DMARC read from Authentication-Results headers; optional live DNS checks when network mode is enabled (backend/auth/spf_dkim_dmarc.py).</w:t>
        <w:br/>
        <w:t xml:space="preserve">  c) IOC Extraction -- URLs checked for punycode (technique to encode non-ASCII into domain names, sometimes abused to fake trusted brands), IP-literal addresses, suspicious ports, urgency language (backend/indicators/ioc_extractor.py).</w:t>
        <w:br/>
        <w:t xml:space="preserve">  d) ML Inference -- GPU transformer (PyTorch/CUDA) attempted first; falls back automatically to CPU TF-IDF classifier with zero change in API output (backend/ml/inference.py).</w:t>
      </w:r>
    </w:p>
    <w:p>
      <w:pPr>
        <w:pStyle w:val="ListBullet"/>
        <w:ind w:left="432"/>
      </w:pPr>
      <w:r>
        <w:rPr>
          <w:sz w:val="21"/>
        </w:rPr>
        <w:t>Stage 4 -- Risk Fusion &amp; Decision: compute_threat_score() in backend/scoring/engine.py combines five signal families with published fixed weights into a single 0-100 score. Each family's weighted contribution is returned separately.</w:t>
      </w:r>
    </w:p>
    <w:p>
      <w:pPr>
        <w:pStyle w:val="ListBullet"/>
        <w:ind w:left="432"/>
      </w:pPr>
      <w:r>
        <w:rPr>
          <w:sz w:val="21"/>
        </w:rPr>
        <w:t>Stage 5 -- Forensic Intelligence Outputs: Dashboard renders score, relay path, geo map, URL table and limitations. Analyst generates a PDF dossier (ReportLab) and JSON report, both HMAC-signed. Campaign clustering uses TF-IDF vector similarity and NetworkX graph analysis (backend/graph/).</w:t>
      </w:r>
    </w:p>
    <w:p/>
    <w:p>
      <w:pPr>
        <w:spacing w:before="80" w:after="80"/>
        <w:ind w:left="432" w:right="432"/>
        <w:shd w:val="clear" w:color="auto" w:fill="E8F5E9"/>
      </w:pPr>
      <w:r>
        <w:rPr>
          <w:b/>
          <w:color w:val="1B5E20"/>
          <w:sz w:val="21"/>
        </w:rPr>
        <w:t xml:space="preserve">SAY THIS:  </w:t>
      </w:r>
      <w:r>
        <w:rPr>
          <w:i/>
          <w:color w:val="1B5E20"/>
          <w:sz w:val="21"/>
        </w:rPr>
        <w:t>"What you see is not a design -- it is the actual code running on this laptop. An email enters at Stage 1, its identity is locked with a cryptographic hash, four independent analysis engines examine it, and Stage 5 produces a signed, court-ready report. The whole round-trip completes in under 3 seconds on CPU."</w:t>
      </w:r>
    </w:p>
    <w:p/>
    <w:p>
      <w:pPr>
        <w:spacing w:before="80" w:after="80"/>
        <w:ind w:left="432" w:right="432"/>
        <w:shd w:val="clear" w:color="auto" w:fill="FFF3E0"/>
      </w:pPr>
      <w:r>
        <w:rPr>
          <w:b/>
          <w:color w:val="7B1F00"/>
          <w:sz w:val="20"/>
        </w:rPr>
        <w:t xml:space="preserve">JUDGE MAY ASK: </w:t>
      </w:r>
      <w:r>
        <w:rPr>
          <w:i/>
          <w:color w:val="7B1F00"/>
          <w:sz w:val="20"/>
        </w:rPr>
        <w:t>Is the GPU path actually implemented or just planned?</w:t>
        <w:br/>
      </w:r>
      <w:r>
        <w:rPr>
          <w:b/>
          <w:color w:val="0D47A1"/>
          <w:sz w:val="20"/>
        </w:rPr>
        <w:t xml:space="preserve">YOUR ANSWER: </w:t>
      </w:r>
      <w:r>
        <w:rPr>
          <w:color w:val="0D47A1"/>
          <w:sz w:val="20"/>
        </w:rPr>
        <w:t>It is implemented. backend/ml/inference.py calls torch.cuda.is_available() at startup. If CUDA is present it loads a transformer model; if not, it falls back to the TF-IDF baseline. The /api/health endpoint returns cuda_available and gpu_name live -- you can verify on screen right now.</w:t>
      </w:r>
    </w:p>
    <w:p>
      <w:pPr>
        <w:spacing w:before="80" w:after="80"/>
        <w:ind w:left="432" w:right="432"/>
        <w:shd w:val="clear" w:color="auto" w:fill="FFF3E0"/>
      </w:pPr>
      <w:r>
        <w:rPr>
          <w:b/>
          <w:color w:val="7B1F00"/>
          <w:sz w:val="20"/>
        </w:rPr>
        <w:t xml:space="preserve">JUDGE MAY ASK: </w:t>
      </w:r>
      <w:r>
        <w:rPr>
          <w:i/>
          <w:color w:val="7B1F00"/>
          <w:sz w:val="20"/>
        </w:rPr>
        <w:t>What technology is the dashboard built on?</w:t>
        <w:br/>
      </w:r>
      <w:r>
        <w:rPr>
          <w:b/>
          <w:color w:val="0D47A1"/>
          <w:sz w:val="20"/>
        </w:rPr>
        <w:t xml:space="preserve">YOUR ANSWER: </w:t>
      </w:r>
      <w:r>
        <w:rPr>
          <w:color w:val="0D47A1"/>
          <w:sz w:val="20"/>
        </w:rPr>
        <w:t>The live dashboard is a single self-contained index.html served by FastAPI StaticFiles -- plain JavaScript, no build step required. The React source in frontend-react/ is a separate development artefact for future production builds; it is not required to run the demo.</w:t>
      </w:r>
    </w:p>
    <w:p>
      <w:pPr>
        <w:spacing w:before="80" w:after="80"/>
        <w:pBdr>
          <w:bottom w:val="single" w:sz="4" w:space="1" w:color="BDBDBD"/>
        </w:pBdr>
      </w:pPr>
    </w:p>
    <w:p>
      <w:pPr>
        <w:pStyle w:val="Heading1"/>
        <w:jc w:val="left"/>
      </w:pPr>
      <w:r>
        <w:rPr>
          <w:color w:val="01579B"/>
        </w:rPr>
        <w:t>Slide 4 -- Critical Vulnerabilities and Mitigations</w:t>
      </w:r>
    </w:p>
    <w:p>
      <w:r>
        <w:rPr>
          <w:b/>
          <w:i w:val="0"/>
          <w:sz w:val="21"/>
        </w:rPr>
        <w:t>What the slide shows:</w:t>
      </w:r>
    </w:p>
    <w:p>
      <w:r>
        <w:rPr>
          <w:b w:val="0"/>
          <w:i w:val="0"/>
          <w:sz w:val="21"/>
        </w:rPr>
        <w:t>A risk-mitigation table. Caption: 'Mitigations preserve attribution confidence, analysis resilience, evidence integrity and overall system feasibility and viability.'</w:t>
      </w:r>
    </w:p>
    <w:p/>
    <w:p>
      <w:pPr>
        <w:spacing w:before="80" w:after="80"/>
        <w:ind w:left="432" w:right="432"/>
        <w:shd w:val="clear" w:color="auto" w:fill="E8F5E9"/>
      </w:pPr>
      <w:r>
        <w:rPr>
          <w:b/>
          <w:color w:val="1B5E20"/>
          <w:sz w:val="21"/>
        </w:rPr>
        <w:t xml:space="preserve">SAY THIS:  </w:t>
      </w:r>
      <w:r>
        <w:rPr>
          <w:i/>
          <w:color w:val="1B5E20"/>
          <w:sz w:val="21"/>
        </w:rPr>
        <w:t>"This project does not assume perfect conditions. We identified the four hardest technical risks and built specific mitigations into the code. Let me walk through each one."</w:t>
      </w:r>
    </w:p>
    <w:p/>
    <w:p>
      <w:r>
        <w:rPr>
          <w:b/>
          <w:i w:val="0"/>
          <w:sz w:val="21"/>
        </w:rPr>
        <w:t>Speak through each risk-mitigation pair:</w:t>
      </w:r>
    </w:p>
    <w:p>
      <w:pPr>
        <w:pStyle w:val="ListBullet"/>
        <w:ind w:left="432"/>
      </w:pPr>
      <w:r>
        <w:rPr>
          <w:sz w:val="21"/>
        </w:rPr>
        <w:t>TOR / VPN / Proxy Evasion: The platform never claims to identify the physical attacker. It identifies SMTP infrastructure location. The dashboard and PDF report contain an explicit disclaimer: 'Geolocation shows infrastructure location, not confirmed attacker location.' This protects the evidence from legal challenge.</w:t>
      </w:r>
    </w:p>
    <w:p>
      <w:pPr>
        <w:pStyle w:val="ListBullet"/>
        <w:ind w:left="432"/>
      </w:pPr>
      <w:r>
        <w:rPr>
          <w:sz w:val="21"/>
        </w:rPr>
        <w:t>Air-gapped / Offline Environments: The enable_network checkbox defaults to OFF. All core analysis -- header forensics, auth parsing, IOC extraction, ML classification -- runs with zero internet dependency. GeoIP uses a local MaxMind GeoLite2 database file, not a cloud API call.</w:t>
      </w:r>
    </w:p>
    <w:p>
      <w:pPr>
        <w:pStyle w:val="ListBullet"/>
        <w:ind w:left="432"/>
      </w:pPr>
      <w:r>
        <w:rPr>
          <w:sz w:val="21"/>
        </w:rPr>
        <w:t>Forged Received Headers: Header Forensics applies a trust-boundary algorithm. Hops claiming private RFC-1918 IP addresses are marked untrusted. Hops injected by the sender's own infrastructure are flagged with a lower trust score. The system never blindly trusts the oldest hop.</w:t>
      </w:r>
    </w:p>
    <w:p>
      <w:pPr>
        <w:pStyle w:val="ListBullet"/>
        <w:ind w:left="432"/>
      </w:pPr>
      <w:r>
        <w:rPr>
          <w:sz w:val="21"/>
        </w:rPr>
        <w:t>NLP Evasion: The threat score fuses five independent signal families. Even if an attacker crafts language that defeats the ML model, authentication failures (SPF/DKIM/DMARC), suspicious URLs and relay anomalies still contribute. No single signal can be zeroed out to defeat the system.</w:t>
      </w:r>
    </w:p>
    <w:p/>
    <w:p>
      <w:pPr>
        <w:spacing w:before="80" w:after="80"/>
        <w:ind w:left="432" w:right="432"/>
        <w:shd w:val="clear" w:color="auto" w:fill="E8F5E9"/>
      </w:pPr>
      <w:r>
        <w:rPr>
          <w:b/>
          <w:color w:val="1B5E20"/>
          <w:sz w:val="21"/>
        </w:rPr>
        <w:t xml:space="preserve">SAY THIS:  </w:t>
      </w:r>
      <w:r>
        <w:rPr>
          <w:i/>
          <w:color w:val="1B5E20"/>
          <w:sz w:val="21"/>
        </w:rPr>
        <w:t>"22 out of 22 automated tests pass. These cover hashing determinism, email parsing, hop extraction, authentication parsing, URL detection, scoring stability, evidence encryption, report signing, RBAC enforcement and campaign clustering. Every one is a repeatable automated check -- not manual verification."</w:t>
      </w:r>
    </w:p>
    <w:p/>
    <w:p>
      <w:r>
        <w:rPr>
          <w:b/>
          <w:i w:val="0"/>
          <w:sz w:val="21"/>
        </w:rPr>
        <w:t>Hardware feasibility:</w:t>
      </w:r>
    </w:p>
    <w:p>
      <w:pPr>
        <w:pStyle w:val="ListBullet"/>
        <w:ind w:left="432"/>
      </w:pPr>
      <w:r>
        <w:rPr>
          <w:sz w:val="21"/>
        </w:rPr>
        <w:t>All analysis runs on any mid-range laptop (tested: Intel i5-13420H, 16 GB RAM).</w:t>
      </w:r>
    </w:p>
    <w:p>
      <w:pPr>
        <w:pStyle w:val="ListBullet"/>
        <w:ind w:left="432"/>
      </w:pPr>
      <w:r>
        <w:rPr>
          <w:sz w:val="21"/>
        </w:rPr>
        <w:t>GPU (NVIDIA RTX 3050) is optional and only accelerates the transformer ML stage. Loss of GPU means zero loss of forensic functionality.</w:t>
      </w:r>
    </w:p>
    <w:p>
      <w:pPr>
        <w:pStyle w:val="ListBullet"/>
        <w:ind w:left="432"/>
      </w:pPr>
      <w:r>
        <w:rPr>
          <w:sz w:val="21"/>
        </w:rPr>
        <w:t>Modular architecture: each backend module (parsers/, forensics/, auth/, scoring/, reports/) can be upgraded independently without touching the others.</w:t>
      </w:r>
    </w:p>
    <w:p/>
    <w:p>
      <w:pPr>
        <w:spacing w:before="80" w:after="80"/>
        <w:ind w:left="432" w:right="432"/>
        <w:shd w:val="clear" w:color="auto" w:fill="FFF3E0"/>
      </w:pPr>
      <w:r>
        <w:rPr>
          <w:b/>
          <w:color w:val="7B1F00"/>
          <w:sz w:val="20"/>
        </w:rPr>
        <w:t xml:space="preserve">JUDGE MAY ASK: </w:t>
      </w:r>
      <w:r>
        <w:rPr>
          <w:i/>
          <w:color w:val="7B1F00"/>
          <w:sz w:val="20"/>
        </w:rPr>
        <w:t>How do you know the 22 tests cover the acceptance criteria?</w:t>
        <w:br/>
      </w:r>
      <w:r>
        <w:rPr>
          <w:b/>
          <w:color w:val="0D47A1"/>
          <w:sz w:val="20"/>
        </w:rPr>
        <w:t xml:space="preserve">YOUR ANSWER: </w:t>
      </w:r>
      <w:r>
        <w:rPr>
          <w:color w:val="0D47A1"/>
          <w:sz w:val="20"/>
        </w:rPr>
        <w:t>The test file (tests/test_basic.py) has a docstring mapping each test to PRD Section 21 acceptance criteria. Tests cover: SHA-256 determinism, malformed-email resilience, received-chain hop extraction, private-IP filtering, display/Reply-To mismatch detection, SPF/DKIM/DMARC parsing, URL IOC extraction, threat score stability, evidence encryption round-trip, HMAC report signing and verification, RBAC role enforcement and campaign clustering.</w:t>
      </w:r>
    </w:p>
    <w:p>
      <w:pPr>
        <w:spacing w:before="80" w:after="80"/>
        <w:pBdr>
          <w:bottom w:val="single" w:sz="4" w:space="1" w:color="BDBDBD"/>
        </w:pBdr>
      </w:pPr>
    </w:p>
    <w:p>
      <w:pPr>
        <w:pStyle w:val="Heading1"/>
        <w:jc w:val="left"/>
      </w:pPr>
      <w:r>
        <w:rPr>
          <w:color w:val="01579B"/>
        </w:rPr>
        <w:t>Slide 5 -- Impact, Value Proposition and Beneficiaries</w:t>
      </w:r>
    </w:p>
    <w:p>
      <w:r>
        <w:rPr>
          <w:b/>
          <w:i w:val="0"/>
          <w:sz w:val="21"/>
        </w:rPr>
        <w:t>What the slide shows:</w:t>
      </w:r>
    </w:p>
    <w:p>
      <w:r>
        <w:rPr>
          <w:b w:val="0"/>
          <w:i w:val="0"/>
          <w:sz w:val="21"/>
        </w:rPr>
        <w:t>Three columns: Impact, Value Proposition, Beneficiaries. Caption: 'JAALBHEDI focuses on defensible findings and operationally useful evidence.'</w:t>
      </w:r>
    </w:p>
    <w:p/>
    <w:p>
      <w:pPr>
        <w:spacing w:before="80" w:after="80"/>
        <w:ind w:left="432" w:right="432"/>
        <w:shd w:val="clear" w:color="auto" w:fill="E8F5E9"/>
      </w:pPr>
      <w:r>
        <w:rPr>
          <w:b/>
          <w:color w:val="1B5E20"/>
          <w:sz w:val="21"/>
        </w:rPr>
        <w:t xml:space="preserve">SAY THIS:  </w:t>
      </w:r>
      <w:r>
        <w:rPr>
          <w:i/>
          <w:color w:val="1B5E20"/>
          <w:sz w:val="21"/>
        </w:rPr>
        <w:t>"Manual email triage today takes an analyst 20 to 30 minutes per suspicious message. Our automated pipeline completes the same analysis -- relay reconstruction, authentication validation, IOC extraction and ML scoring -- in under 3 seconds. For a SOC handling 200 suspicious emails per day, that difference is the gap between staying ahead of attackers and being overwhelmed by them."</w:t>
      </w:r>
    </w:p>
    <w:p/>
    <w:p>
      <w:r>
        <w:rPr>
          <w:b/>
          <w:i w:val="0"/>
          <w:sz w:val="21"/>
        </w:rPr>
        <w:t>Walk through each column:</w:t>
      </w:r>
    </w:p>
    <w:p>
      <w:pPr>
        <w:pStyle w:val="ListBullet"/>
        <w:ind w:left="432"/>
      </w:pPr>
      <w:r>
        <w:rPr>
          <w:sz w:val="21"/>
        </w:rPr>
        <w:t>IMPACT:</w:t>
      </w:r>
    </w:p>
    <w:p>
      <w:pPr>
        <w:pStyle w:val="ListBullet"/>
        <w:ind w:left="749"/>
      </w:pPr>
      <w:r>
        <w:rPr>
          <w:sz w:val="21"/>
        </w:rPr>
        <w:t>Earlier identification -- explainable score and per-family contributions let tier-1 analysts triage confidently without waiting for a senior expert.</w:t>
      </w:r>
    </w:p>
    <w:p>
      <w:pPr>
        <w:pStyle w:val="ListBullet"/>
        <w:ind w:left="749"/>
      </w:pPr>
      <w:r>
        <w:rPr>
          <w:sz w:val="21"/>
        </w:rPr>
        <w:t>Faster triage -- automated pipeline covers header forensics, authentication, IOC and ML in one submission instead of four separate tool queries.</w:t>
      </w:r>
    </w:p>
    <w:p>
      <w:pPr>
        <w:pStyle w:val="ListBullet"/>
        <w:ind w:left="749"/>
      </w:pPr>
      <w:r>
        <w:rPr>
          <w:sz w:val="21"/>
        </w:rPr>
        <w:t>Stronger evidence integrity -- SHA-256 hashing at ingestion, Fernet encryption at rest, and HMAC/RSA-PSS signed reports create a complete chain of custody.</w:t>
      </w:r>
    </w:p>
    <w:p>
      <w:pPr>
        <w:pStyle w:val="ListBullet"/>
        <w:ind w:left="432"/>
      </w:pPr>
      <w:r>
        <w:rPr>
          <w:sz w:val="21"/>
        </w:rPr>
        <w:t>VALUE PROPOSITION:</w:t>
      </w:r>
    </w:p>
    <w:p>
      <w:pPr>
        <w:pStyle w:val="ListBullet"/>
        <w:ind w:left="749"/>
      </w:pPr>
      <w:r>
        <w:rPr>
          <w:sz w:val="21"/>
        </w:rPr>
        <w:t>One workflow replaces four fragmented steps: content scanner + header analyser + geolocation lookup + report writer.</w:t>
      </w:r>
    </w:p>
    <w:p>
      <w:pPr>
        <w:pStyle w:val="ListBullet"/>
        <w:ind w:left="749"/>
      </w:pPr>
      <w:r>
        <w:rPr>
          <w:sz w:val="21"/>
        </w:rPr>
        <w:t>'Probable source infrastructure with confidence' -- we state clearly what we know (this IP is in Romania, registered to a VPS provider) and what we do not know (whether the attacker is physically there). This is forensic discipline, not a weakness.</w:t>
      </w:r>
    </w:p>
    <w:p>
      <w:pPr>
        <w:pStyle w:val="ListBullet"/>
        <w:ind w:left="749"/>
      </w:pPr>
      <w:r>
        <w:rPr>
          <w:sz w:val="21"/>
        </w:rPr>
        <w:t>RBAC and audit logs make the platform deployable in regulated environments where access control and evidence provenance are mandatory.</w:t>
      </w:r>
    </w:p>
    <w:p>
      <w:pPr>
        <w:pStyle w:val="ListBullet"/>
        <w:ind w:left="432"/>
      </w:pPr>
      <w:r>
        <w:rPr>
          <w:sz w:val="21"/>
        </w:rPr>
        <w:t>BENEFICIARIES:</w:t>
      </w:r>
    </w:p>
    <w:p>
      <w:pPr>
        <w:pStyle w:val="ListBullet"/>
        <w:ind w:left="749"/>
      </w:pPr>
      <w:r>
        <w:rPr>
          <w:sz w:val="21"/>
        </w:rPr>
        <w:t>Security Operations Centres -- reduced mean-time-to-triage, reduced alert fatigue (the desensitisation from manually reviewing too many low-quality alerts).</w:t>
      </w:r>
    </w:p>
    <w:p>
      <w:pPr>
        <w:pStyle w:val="ListBullet"/>
        <w:ind w:left="749"/>
      </w:pPr>
      <w:r>
        <w:rPr>
          <w:sz w:val="21"/>
        </w:rPr>
        <w:t>Government, enterprises, banks, public-sector -- organisations with high email volumes and formal incident-response obligations.</w:t>
      </w:r>
    </w:p>
    <w:p>
      <w:pPr>
        <w:pStyle w:val="ListBullet"/>
        <w:ind w:left="749"/>
      </w:pPr>
      <w:r>
        <w:rPr>
          <w:sz w:val="21"/>
        </w:rPr>
        <w:t>Forensic investigators and compliance teams -- court-ready signed PDF dossiers and HMAC-verified JSON records.</w:t>
      </w:r>
    </w:p>
    <w:p/>
    <w:p>
      <w:pPr>
        <w:spacing w:before="80" w:after="80"/>
        <w:ind w:left="432" w:right="432"/>
        <w:shd w:val="clear" w:color="auto" w:fill="FFF3E0"/>
      </w:pPr>
      <w:r>
        <w:rPr>
          <w:b/>
          <w:color w:val="7B1F00"/>
          <w:sz w:val="20"/>
        </w:rPr>
        <w:t xml:space="preserve">JUDGE MAY ASK: </w:t>
      </w:r>
      <w:r>
        <w:rPr>
          <w:i/>
          <w:color w:val="7B1F00"/>
          <w:sz w:val="20"/>
        </w:rPr>
        <w:t>You said 'under 3 seconds' -- can you prove that?</w:t>
        <w:br/>
      </w:r>
      <w:r>
        <w:rPr>
          <w:b/>
          <w:color w:val="0D47A1"/>
          <w:sz w:val="20"/>
        </w:rPr>
        <w:t xml:space="preserve">YOUR ANSWER: </w:t>
      </w:r>
      <w:r>
        <w:rPr>
          <w:color w:val="0D47A1"/>
          <w:sz w:val="20"/>
        </w:rPr>
        <w:t>On our target machine (Intel i5-13420H, no GPU), a full analysis round-trip -- upload, hash, parse, auth check, IOC extraction, CPU TF-IDF classification, score fusion -- completes in approximately 1.5 to 2.5 seconds for a typical phishing email. We can demonstrate and time it live right now if you wish.</w:t>
      </w:r>
    </w:p>
    <w:p>
      <w:pPr>
        <w:spacing w:before="80" w:after="80"/>
        <w:ind w:left="432" w:right="432"/>
        <w:shd w:val="clear" w:color="auto" w:fill="FFF3E0"/>
      </w:pPr>
      <w:r>
        <w:rPr>
          <w:b/>
          <w:color w:val="7B1F00"/>
          <w:sz w:val="20"/>
        </w:rPr>
        <w:t xml:space="preserve">JUDGE MAY ASK: </w:t>
      </w:r>
      <w:r>
        <w:rPr>
          <w:i/>
          <w:color w:val="7B1F00"/>
          <w:sz w:val="20"/>
        </w:rPr>
        <w:t>This problem statement is from AICTE. How does it apply to colleges?</w:t>
        <w:br/>
      </w:r>
      <w:r>
        <w:rPr>
          <w:b/>
          <w:color w:val="0D47A1"/>
          <w:sz w:val="20"/>
        </w:rPr>
        <w:t xml:space="preserve">YOUR ANSWER: </w:t>
      </w:r>
      <w:r>
        <w:rPr>
          <w:color w:val="0D47A1"/>
          <w:sz w:val="20"/>
        </w:rPr>
        <w:t>Colleges are a primary target of BEC and phishing: fee fraud, fake scholarship links, impersonation of registrars and principals. Our platform deploys on-premises with no cloud dependency, no SaaS subscription cost, and no student data leaving the institution. The RBAC system lets the IT administrator grant read-only access to compliance staff without exposing raw evidence.</w:t>
      </w:r>
    </w:p>
    <w:p>
      <w:pPr>
        <w:spacing w:before="80" w:after="80"/>
        <w:pBdr>
          <w:bottom w:val="single" w:sz="4" w:space="1" w:color="BDBDBD"/>
        </w:pBdr>
      </w:pPr>
    </w:p>
    <w:p>
      <w:pPr>
        <w:pStyle w:val="Heading1"/>
        <w:jc w:val="left"/>
      </w:pPr>
      <w:r>
        <w:rPr>
          <w:color w:val="01579B"/>
        </w:rPr>
        <w:t>Slide 6 -- Research Grounding and Market Comparison</w:t>
      </w:r>
    </w:p>
    <w:p>
      <w:r>
        <w:rPr>
          <w:b/>
          <w:i w:val="0"/>
          <w:sz w:val="21"/>
        </w:rPr>
        <w:t>What the slide shows:</w:t>
      </w:r>
    </w:p>
    <w:p>
      <w:r>
        <w:rPr>
          <w:b w:val="0"/>
          <w:i w:val="0"/>
          <w:sz w:val="21"/>
        </w:rPr>
        <w:t>Research and standards references (left), market comparison table (right), differentiation statement at bottom.</w:t>
      </w:r>
    </w:p>
    <w:p/>
    <w:p>
      <w:pPr>
        <w:spacing w:before="80" w:after="80"/>
        <w:ind w:left="432" w:right="432"/>
        <w:shd w:val="clear" w:color="auto" w:fill="E8F5E9"/>
      </w:pPr>
      <w:r>
        <w:rPr>
          <w:b/>
          <w:color w:val="1B5E20"/>
          <w:sz w:val="21"/>
        </w:rPr>
        <w:t xml:space="preserve">SAY THIS:  </w:t>
      </w:r>
      <w:r>
        <w:rPr>
          <w:i/>
          <w:color w:val="1B5E20"/>
          <w:sz w:val="21"/>
        </w:rPr>
        <w:t>"Every design decision in JAALBHEDI traces back to a published, industry-recognised standard. We did not invent our own scoring criteria in isolation -- we grounded the platform in the same standards used by real-world SOCs, governments and forensic labs globally."</w:t>
      </w:r>
    </w:p>
    <w:p/>
    <w:p>
      <w:r>
        <w:rPr>
          <w:b/>
          <w:i w:val="0"/>
          <w:sz w:val="21"/>
        </w:rPr>
        <w:t>Walk through the references:</w:t>
      </w:r>
    </w:p>
    <w:p>
      <w:pPr>
        <w:pStyle w:val="ListBullet"/>
        <w:ind w:left="432"/>
      </w:pPr>
      <w:r>
        <w:rPr>
          <w:sz w:val="21"/>
        </w:rPr>
        <w:t>NIST SP 800-177 Rev. 1 -- Trustworthy Email: the US government's authoritative guide to email authentication (SPF, DKIM, DMARC). Source of our authentication-results parsing logic.</w:t>
      </w:r>
    </w:p>
    <w:p>
      <w:pPr>
        <w:pStyle w:val="ListBullet"/>
        <w:ind w:left="432"/>
      </w:pPr>
      <w:r>
        <w:rPr>
          <w:sz w:val="21"/>
        </w:rPr>
        <w:t>NIST SP 800-86 -- Integrating Forensic Techniques into Incident Response: defines chain-of-custody and evidence-preservation requirements our evidence vault and audit log fulfil.</w:t>
      </w:r>
    </w:p>
    <w:p>
      <w:pPr>
        <w:pStyle w:val="ListBullet"/>
        <w:ind w:left="432"/>
      </w:pPr>
      <w:r>
        <w:rPr>
          <w:sz w:val="21"/>
        </w:rPr>
        <w:t>RFC 7489 (DMARC) and RFC 6376 (DKIM): official IETF specifications. Our parser interprets Authentication-Results headers exactly according to these RFCs.</w:t>
      </w:r>
    </w:p>
    <w:p>
      <w:pPr>
        <w:pStyle w:val="ListBullet"/>
        <w:ind w:left="432"/>
      </w:pPr>
      <w:r>
        <w:rPr>
          <w:sz w:val="21"/>
        </w:rPr>
        <w:t>MITRE ATT&amp;CK T1566 (Phishing) and T1566.001 (Spearphishing Attachment): industry-standard adversary technique catalogue. IOC and scoring logic is aligned so output is directly actionable in a MITRE-aware SOC.</w:t>
      </w:r>
    </w:p>
    <w:p/>
    <w:p>
      <w:r>
        <w:rPr>
          <w:b/>
          <w:i w:val="0"/>
          <w:sz w:val="21"/>
        </w:rPr>
        <w:t>Market comparison -- key talking points:</w:t>
      </w:r>
    </w:p>
    <w:p>
      <w:pPr>
        <w:pStyle w:val="ListBullet"/>
        <w:ind w:left="432"/>
      </w:pPr>
      <w:r>
        <w:rPr>
          <w:sz w:val="21"/>
        </w:rPr>
        <w:t>Commercial tools (Proofpoint, Mimecast, Microsoft Defender) focus on mail-gateway filtering -- block or quarantine -- but do not produce an open, explainable, signed forensic dossier that an analyst or investigator can examine and legally challenge.</w:t>
      </w:r>
    </w:p>
    <w:p>
      <w:pPr>
        <w:pStyle w:val="ListBullet"/>
        <w:ind w:left="432"/>
      </w:pPr>
      <w:r>
        <w:rPr>
          <w:sz w:val="21"/>
        </w:rPr>
        <w:t>JAALBHEDI joins detection, infrastructure correlation and evidence-preserving investigation in one open workflow -- no cloud subscription, no proprietary API key.</w:t>
      </w:r>
    </w:p>
    <w:p>
      <w:pPr>
        <w:pStyle w:val="ListBullet"/>
        <w:ind w:left="432"/>
      </w:pPr>
      <w:r>
        <w:rPr>
          <w:sz w:val="21"/>
        </w:rPr>
        <w:t>The slide caption is precise: 'not claims of feature parity with every commercial product.' Do not over-claim. Judges will probe any comparison you make.</w:t>
      </w:r>
    </w:p>
    <w:p/>
    <w:p>
      <w:pPr>
        <w:spacing w:before="80" w:after="80"/>
        <w:ind w:left="432" w:right="432"/>
        <w:shd w:val="clear" w:color="auto" w:fill="FFF3E0"/>
      </w:pPr>
      <w:r>
        <w:rPr>
          <w:b/>
          <w:color w:val="7B1F00"/>
          <w:sz w:val="20"/>
        </w:rPr>
        <w:t xml:space="preserve">JUDGE MAY ASK: </w:t>
      </w:r>
      <w:r>
        <w:rPr>
          <w:i/>
          <w:color w:val="7B1F00"/>
          <w:sz w:val="20"/>
        </w:rPr>
        <w:t>Why should we trust your standards references?</w:t>
        <w:br/>
      </w:r>
      <w:r>
        <w:rPr>
          <w:b/>
          <w:color w:val="0D47A1"/>
          <w:sz w:val="20"/>
        </w:rPr>
        <w:t xml:space="preserve">YOUR ANSWER: </w:t>
      </w:r>
      <w:r>
        <w:rPr>
          <w:color w:val="0D47A1"/>
          <w:sz w:val="20"/>
        </w:rPr>
        <w:t>Every reference is publicly available. RFCs are free at rfc-editor.org. NIST SPs are free at csrc.nist.gov. MITRE ATT&amp;CK is maintained by a non-profit and used by CISA and major commercial SIEMs. None of these are invented by us.</w:t>
      </w:r>
    </w:p>
    <w:p>
      <w:pPr>
        <w:spacing w:before="80" w:after="80"/>
        <w:ind w:left="432" w:right="432"/>
        <w:shd w:val="clear" w:color="auto" w:fill="FFF3E0"/>
      </w:pPr>
      <w:r>
        <w:rPr>
          <w:b/>
          <w:color w:val="7B1F00"/>
          <w:sz w:val="20"/>
        </w:rPr>
        <w:t xml:space="preserve">JUDGE MAY ASK: </w:t>
      </w:r>
      <w:r>
        <w:rPr>
          <w:i/>
          <w:color w:val="7B1F00"/>
          <w:sz w:val="20"/>
        </w:rPr>
        <w:t>STIX 2.1 export -- is that actually working?</w:t>
        <w:br/>
      </w:r>
      <w:r>
        <w:rPr>
          <w:b/>
          <w:color w:val="0D47A1"/>
          <w:sz w:val="20"/>
        </w:rPr>
        <w:t xml:space="preserve">YOUR ANSWER: </w:t>
      </w:r>
      <w:r>
        <w:rPr>
          <w:color w:val="0D47A1"/>
          <w:sz w:val="20"/>
        </w:rPr>
        <w:t>The JSON forensic report output by forensic_report.py follows the STIX 2.1 object model for Indicator and ObservedData types. Full STIX Bundle serialisation with TAXII endpoint push is on the technical roadmap for Phase 2. We are honest about what is built today versus what is planned.</w:t>
      </w:r>
    </w:p>
    <w:p>
      <w:pPr>
        <w:spacing w:before="80" w:after="80"/>
        <w:pBdr>
          <w:bottom w:val="single" w:sz="4" w:space="1" w:color="BDBDBD"/>
        </w:pBdr>
      </w:pPr>
    </w:p>
    <w:p>
      <w:pPr>
        <w:pStyle w:val="Heading1"/>
        <w:jc w:val="left"/>
      </w:pPr>
      <w:r>
        <w:rPr>
          <w:color w:val="01579B"/>
        </w:rPr>
        <w:t>Live Demo Script (if permitted)</w:t>
      </w:r>
    </w:p>
    <w:p>
      <w:r>
        <w:rPr>
          <w:b w:val="0"/>
          <w:i/>
          <w:sz w:val="21"/>
        </w:rPr>
        <w:t>Use this step-by-step script if judges allow a demo. Pre-start: run.bat should already be running and the browser should be open at http://localhost:8000/app/.</w:t>
      </w:r>
    </w:p>
    <w:p/>
    <w:p>
      <w:r>
        <w:rPr>
          <w:b/>
          <w:color w:val="01579B"/>
          <w:sz w:val="21"/>
        </w:rPr>
        <w:t xml:space="preserve">Step 1: </w:t>
      </w:r>
      <w:r>
        <w:rPr>
          <w:sz w:val="21"/>
        </w:rPr>
        <w:t>Point to /api/health in a second tab. Show cuda_available and baseline_model_trained. Say: 'This confirms our backend is live and the ML model is loaded.'</w:t>
      </w:r>
    </w:p>
    <w:p>
      <w:r>
        <w:rPr>
          <w:b/>
          <w:color w:val="01579B"/>
          <w:sz w:val="21"/>
        </w:rPr>
        <w:t xml:space="preserve">Step 2: </w:t>
      </w:r>
      <w:r>
        <w:rPr>
          <w:sz w:val="21"/>
        </w:rPr>
        <w:t>Click Create new case. Show the UUID that appears. Say: 'Every investigation starts with a case ID -- this is the root of the chain of custody.'</w:t>
      </w:r>
    </w:p>
    <w:p>
      <w:r>
        <w:rPr>
          <w:b/>
          <w:color w:val="01579B"/>
          <w:sz w:val="21"/>
        </w:rPr>
        <w:t xml:space="preserve">Step 3: </w:t>
      </w:r>
      <w:r>
        <w:rPr>
          <w:sz w:val="21"/>
        </w:rPr>
        <w:t>Click Choose File and select tests/sample_phishing.eml. Click Ingest &amp; hash evidence. Wait for SHA-256 to appear. Say: 'The file is immediately fingerprinted. Any change to a single byte produces a completely different hash.'</w:t>
      </w:r>
    </w:p>
    <w:p>
      <w:r>
        <w:rPr>
          <w:b/>
          <w:color w:val="01579B"/>
          <w:sz w:val="21"/>
        </w:rPr>
        <w:t xml:space="preserve">Step 4: </w:t>
      </w:r>
      <w:r>
        <w:rPr>
          <w:sz w:val="21"/>
        </w:rPr>
        <w:t>Click Run full analysis. Wait ~2 seconds. Point to the threat score. Say: '88 out of 100. Let me show you exactly why.'</w:t>
      </w:r>
    </w:p>
    <w:p>
      <w:r>
        <w:rPr>
          <w:b/>
          <w:color w:val="01579B"/>
          <w:sz w:val="21"/>
        </w:rPr>
        <w:t xml:space="preserve">Step 5: </w:t>
      </w:r>
      <w:r>
        <w:rPr>
          <w:sz w:val="21"/>
        </w:rPr>
        <w:t>Scroll to contributions. Read 2-3 specific reasons aloud. Say: 'Every point has a reason. Nothing is hidden.'</w:t>
      </w:r>
    </w:p>
    <w:p>
      <w:r>
        <w:rPr>
          <w:b/>
          <w:color w:val="01579B"/>
          <w:sz w:val="21"/>
        </w:rPr>
        <w:t xml:space="preserve">Step 6: </w:t>
      </w:r>
      <w:r>
        <w:rPr>
          <w:sz w:val="21"/>
        </w:rPr>
        <w:t>Scroll to Relay Path. Point to IP 185.220.101.45. Say: 'This is the earliest public IP we can reliably identify -- before our trust boundary.'</w:t>
      </w:r>
    </w:p>
    <w:p>
      <w:r>
        <w:rPr>
          <w:b/>
          <w:color w:val="01579B"/>
          <w:sz w:val="21"/>
        </w:rPr>
        <w:t xml:space="preserve">Step 7: </w:t>
      </w:r>
      <w:r>
        <w:rPr>
          <w:sz w:val="21"/>
        </w:rPr>
        <w:t>Scroll to Geolocation. Show country and ASN. Say: 'Infrastructure geolocated to Romania, ASN belonging to a VPS provider known to host exit nodes.'</w:t>
      </w:r>
    </w:p>
    <w:p>
      <w:r>
        <w:rPr>
          <w:b/>
          <w:color w:val="01579B"/>
          <w:sz w:val="21"/>
        </w:rPr>
        <w:t xml:space="preserve">Step 8: </w:t>
      </w:r>
      <w:r>
        <w:rPr>
          <w:sz w:val="21"/>
        </w:rPr>
        <w:t>Click Generate Forensic Report. Show PDF download link. Say: 'This report is HMAC-signed. It is a complete, tamper-evident case file.'</w:t>
      </w:r>
    </w:p>
    <w:p>
      <w:pPr>
        <w:spacing w:before="80" w:after="80"/>
        <w:pBdr>
          <w:bottom w:val="single" w:sz="4" w:space="1" w:color="BDBDBD"/>
        </w:pBdr>
      </w:pPr>
    </w:p>
    <w:p>
      <w:pPr>
        <w:pStyle w:val="Heading1"/>
        <w:jc w:val="left"/>
      </w:pPr>
      <w:r>
        <w:rPr>
          <w:color w:val="01579B"/>
        </w:rPr>
        <w:t>General Presentation Tips</w:t>
      </w:r>
    </w:p>
    <w:p>
      <w:pPr>
        <w:pStyle w:val="ListBullet"/>
        <w:ind w:left="432"/>
      </w:pPr>
      <w:r>
        <w:rPr>
          <w:sz w:val="21"/>
        </w:rPr>
        <w:t>Do not read the slides. Glance to stay oriented, then talk to the judges.</w:t>
      </w:r>
    </w:p>
    <w:p>
      <w:pPr>
        <w:pStyle w:val="ListBullet"/>
        <w:ind w:left="432"/>
      </w:pPr>
      <w:r>
        <w:rPr>
          <w:sz w:val="21"/>
        </w:rPr>
        <w:t>If asked about something uncertain: 'That is on our technical roadmap -- I can provide the exact implementation detail after the session.' Judges respect honesty over bluffing.</w:t>
      </w:r>
    </w:p>
    <w:p>
      <w:pPr>
        <w:pStyle w:val="ListBullet"/>
        <w:ind w:left="432"/>
      </w:pPr>
      <w:r>
        <w:rPr>
          <w:sz w:val="21"/>
        </w:rPr>
        <w:t>Core message to repeat: real evidence, explainable score, works offline on a laptop, 22/22 tests pass.</w:t>
      </w:r>
    </w:p>
    <w:p>
      <w:pPr>
        <w:pStyle w:val="ListBullet"/>
        <w:ind w:left="432"/>
      </w:pPr>
      <w:r>
        <w:rPr>
          <w:sz w:val="21"/>
        </w:rPr>
        <w:t>If a judge goes deep on STIX/TAXII: acknowledge Phase 2 scope honestly. If they go deep on GPU performance: offer to run the health endpoint live.</w:t>
      </w:r>
    </w:p>
    <w:p>
      <w:pPr>
        <w:pStyle w:val="ListBullet"/>
        <w:ind w:left="432"/>
      </w:pPr>
      <w:r>
        <w:rPr>
          <w:sz w:val="21"/>
        </w:rPr>
        <w:t>Suggested time budget: Slide 1: 30s | Slide 2: 2 min | Slide 3: 2.5 min | Slide 4: 1.5 min | Slide 5: 1.5 min | Slide 6: 1 min | Q&amp;A: 2 min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