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32"/>
          <w:szCs w:val="32"/>
        </w:rPr>
        <w:t xml:space="preserve">Bridging India's EV Charging Infrastructure Gap</w:t>
      </w:r>
    </w:p>
    <w:p>
      <w:pPr>
        <w:spacing w:after="180"/>
      </w:pPr>
      <w:r>
        <w:rPr>
          <w:i/>
          <w:iCs/>
          <w:color w:val="6B7280"/>
          <w:sz w:val="19"/>
          <w:szCs w:val="19"/>
        </w:rPr>
        <w:t xml:space="preserve">A data-driven investment-priority model using SQL, Python, and public/official datasets</w:t>
      </w:r>
    </w:p>
    <w:p>
      <w:pPr>
        <w:pStyle w:val="Heading2"/>
        <w:spacing w:after="60" w:before="160"/>
      </w:pPr>
      <w:r>
        <w:rPr>
          <w:b/>
          <w:bCs/>
          <w:color w:val="C0392B"/>
          <w:sz w:val="22"/>
          <w:szCs w:val="22"/>
        </w:rPr>
        <w:t xml:space="preserve">The Problem</w:t>
      </w:r>
    </w:p>
    <w:p>
      <w:pPr>
        <w:spacing w:after="100"/>
      </w:pPr>
      <w:r>
        <w:rPr>
          <w:color w:val="1F2937"/>
          <w:sz w:val="20"/>
          <w:szCs w:val="20"/>
        </w:rPr>
        <w:t xml:space="preserve">India's EV adoption is accelerating fast, but charging infrastructure investment hasn't tracked adoption evenly across states. States with large, fast-growing EV markets can still be left with too few charging stations, creating range anxiety that slows the transition further. This project identifies exactly where that gap is widest, so infrastructure investment (public or private) can be prioritized where it matters most.</w:t>
      </w:r>
    </w:p>
    <w:p>
      <w:pPr>
        <w:pStyle w:val="Heading2"/>
        <w:spacing w:after="60" w:before="160"/>
      </w:pPr>
      <w:r>
        <w:rPr>
          <w:b/>
          <w:bCs/>
          <w:color w:val="C0392B"/>
          <w:sz w:val="22"/>
          <w:szCs w:val="22"/>
        </w:rPr>
        <w:t xml:space="preserve">Data Sources</w:t>
      </w:r>
    </w:p>
    <w:p>
      <w:pPr>
        <w:pStyle w:val="ListParagraph"/>
        <w:numPr>
          <w:ilvl w:val="0"/>
          <w:numId w:val="1"/>
        </w:numPr>
        <w:spacing w:after="60"/>
      </w:pPr>
      <w:r>
        <w:rPr>
          <w:b/>
          <w:bCs/>
          <w:color w:val="1F2937"/>
          <w:sz w:val="19"/>
          <w:szCs w:val="19"/>
        </w:rPr>
        <w:t xml:space="preserve">Vahan Dashboard: </w:t>
      </w:r>
      <w:r>
        <w:rPr>
          <w:color w:val="1F2937"/>
          <w:sz w:val="19"/>
          <w:szCs w:val="19"/>
        </w:rPr>
        <w:t xml:space="preserve"> Vehicle Registration &amp; Licensing (Vahan), Ministry of Road Transport — EV registrations by state, 2019–2024, office-level granularity</w:t>
      </w:r>
    </w:p>
    <w:p>
      <w:pPr>
        <w:pStyle w:val="ListParagraph"/>
        <w:numPr>
          <w:ilvl w:val="0"/>
          <w:numId w:val="1"/>
        </w:numPr>
        <w:spacing w:after="60"/>
      </w:pPr>
      <w:r>
        <w:rPr>
          <w:b/>
          <w:bCs/>
          <w:color w:val="1F2937"/>
          <w:sz w:val="19"/>
          <w:szCs w:val="19"/>
        </w:rPr>
        <w:t xml:space="preserve">OpenChargeMap (OCM): </w:t>
      </w:r>
      <w:r>
        <w:rPr>
          <w:color w:val="1F2937"/>
          <w:sz w:val="19"/>
          <w:szCs w:val="19"/>
        </w:rPr>
        <w:t xml:space="preserve"> crowd-sourced charging station locations, used for map-level detail (operator, connector type)</w:t>
      </w:r>
    </w:p>
    <w:p>
      <w:pPr>
        <w:pStyle w:val="ListParagraph"/>
        <w:numPr>
          <w:ilvl w:val="0"/>
          <w:numId w:val="1"/>
        </w:numPr>
        <w:spacing w:after="60"/>
      </w:pPr>
      <w:r>
        <w:rPr>
          <w:b/>
          <w:bCs/>
          <w:color w:val="1F2937"/>
          <w:sz w:val="19"/>
          <w:szCs w:val="19"/>
        </w:rPr>
        <w:t xml:space="preserve">Government EVCS data: </w:t>
      </w:r>
      <w:r>
        <w:rPr>
          <w:color w:val="1F2937"/>
          <w:sz w:val="19"/>
          <w:szCs w:val="19"/>
        </w:rPr>
        <w:t xml:space="preserve"> Ministry of Heavy Industries / PIB — official state-wise charging station counts, used as ground truth for the core analysis</w:t>
      </w:r>
    </w:p>
    <w:p>
      <w:pPr>
        <w:pStyle w:val="Heading2"/>
        <w:spacing w:after="60" w:before="160"/>
      </w:pPr>
      <w:r>
        <w:rPr>
          <w:b/>
          <w:bCs/>
          <w:color w:val="C0392B"/>
          <w:sz w:val="22"/>
          <w:szCs w:val="22"/>
        </w:rPr>
        <w:t xml:space="preserve">Data Quality Challenges Solved</w:t>
      </w:r>
    </w:p>
    <w:p>
      <w:pPr>
        <w:pStyle w:val="ListParagraph"/>
        <w:numPr>
          <w:ilvl w:val="0"/>
          <w:numId w:val="1"/>
        </w:numPr>
        <w:spacing w:after="60"/>
      </w:pPr>
      <w:r>
        <w:rPr>
          <w:b/>
          <w:bCs/>
          <w:color w:val="1F2937"/>
          <w:sz w:val="19"/>
          <w:szCs w:val="19"/>
        </w:rPr>
        <w:t xml:space="preserve">Crowd-sourced data bias: </w:t>
      </w:r>
      <w:r>
        <w:rPr>
          <w:color w:val="1F2937"/>
          <w:sz w:val="19"/>
          <w:szCs w:val="19"/>
        </w:rPr>
        <w:t xml:space="preserve"> cross-checked OCM against official government figures and found OCM captures only ~7% of India's real charging stations nationally, with coverage ranging from 0% to 64% by state — too biased to use directly, so official data became the primary source.</w:t>
      </w:r>
    </w:p>
    <w:p>
      <w:pPr>
        <w:pStyle w:val="ListParagraph"/>
        <w:numPr>
          <w:ilvl w:val="0"/>
          <w:numId w:val="1"/>
        </w:numPr>
        <w:spacing w:after="60"/>
      </w:pPr>
      <w:r>
        <w:rPr>
          <w:b/>
          <w:bCs/>
          <w:color w:val="1F2937"/>
          <w:sz w:val="19"/>
          <w:szCs w:val="19"/>
        </w:rPr>
        <w:t xml:space="preserve">Corrupted source rows: </w:t>
      </w:r>
      <w:r>
        <w:rPr>
          <w:color w:val="1F2937"/>
          <w:sz w:val="19"/>
          <w:szCs w:val="19"/>
        </w:rPr>
        <w:t xml:space="preserve"> found individual rows where a single local RTO office reported 200,000+ EV registrations in one month — in one case, this inflated a state's entire annual total by 87%. Root-caused to a scraping error and filtered out using a defensible, distribution-based threshold.</w:t>
      </w:r>
    </w:p>
    <w:p>
      <w:pPr>
        <w:pStyle w:val="ListParagraph"/>
        <w:numPr>
          <w:ilvl w:val="0"/>
          <w:numId w:val="1"/>
        </w:numPr>
        <w:spacing w:after="60"/>
      </w:pPr>
      <w:r>
        <w:rPr>
          <w:b/>
          <w:bCs/>
          <w:color w:val="1F2937"/>
          <w:sz w:val="19"/>
          <w:szCs w:val="19"/>
        </w:rPr>
        <w:t xml:space="preserve">Partial-year distortion: </w:t>
      </w:r>
      <w:r>
        <w:rPr>
          <w:color w:val="1F2937"/>
          <w:sz w:val="19"/>
          <w:szCs w:val="19"/>
        </w:rPr>
        <w:t xml:space="preserve"> 2024 data only covered 5 months, which made every state look like it was declining year-over-year. Corrected by comparing the last two complete years (2022→2023) instead.</w:t>
      </w:r>
    </w:p>
    <w:p>
      <w:pPr>
        <w:pStyle w:val="ListParagraph"/>
        <w:numPr>
          <w:ilvl w:val="0"/>
          <w:numId w:val="1"/>
        </w:numPr>
        <w:spacing w:after="60"/>
      </w:pPr>
      <w:r>
        <w:rPr>
          <w:b/>
          <w:bCs/>
          <w:color w:val="1F2937"/>
          <w:sz w:val="19"/>
          <w:szCs w:val="19"/>
        </w:rPr>
        <w:t xml:space="preserve">Inconsistent state names: </w:t>
      </w:r>
      <w:r>
        <w:rPr>
          <w:color w:val="1F2937"/>
          <w:sz w:val="19"/>
          <w:szCs w:val="19"/>
        </w:rPr>
        <w:t xml:space="preserve"> resolved typos, abbreviations, and inconsistent naming (e.g. “GJ”, “Mahrashtra”, “TAMILNADU”) across all three datasets before joining.</w:t>
      </w:r>
    </w:p>
    <w:p>
      <w:pPr>
        <w:pStyle w:val="Heading2"/>
        <w:spacing w:after="60" w:before="160"/>
      </w:pPr>
      <w:r>
        <w:rPr>
          <w:b/>
          <w:bCs/>
          <w:color w:val="C0392B"/>
          <w:sz w:val="22"/>
          <w:szCs w:val="22"/>
        </w:rPr>
        <w:t xml:space="preserve">Key Metric: State Priority Score</w:t>
      </w:r>
    </w:p>
    <w:p>
      <w:pPr>
        <w:spacing w:after="100"/>
      </w:pPr>
      <w:r>
        <w:rPr>
          <w:color w:val="1F2937"/>
          <w:sz w:val="20"/>
          <w:szCs w:val="20"/>
        </w:rPr>
        <w:t xml:space="preserve">A weighted, normalized score combining three signals into a single ranked list:</w:t>
      </w:r>
    </w:p>
    <w:p>
      <w:pPr>
        <w:pStyle w:val="ListParagraph"/>
        <w:numPr>
          <w:ilvl w:val="0"/>
          <w:numId w:val="1"/>
        </w:numPr>
        <w:spacing w:after="60"/>
      </w:pPr>
      <w:r>
        <w:rPr>
          <w:b/>
          <w:bCs/>
          <w:color w:val="1F2937"/>
          <w:sz w:val="19"/>
          <w:szCs w:val="19"/>
        </w:rPr>
        <w:t xml:space="preserve">Infrastructure Gap </w:t>
      </w:r>
      <w:r>
        <w:rPr>
          <w:color w:val="1F2937"/>
          <w:sz w:val="19"/>
          <w:szCs w:val="19"/>
        </w:rPr>
        <w:t xml:space="preserve"> (50%) — charging stations per 1,000 registered EVs, inverted so a bigger gap scores higher</w:t>
      </w:r>
    </w:p>
    <w:p>
      <w:pPr>
        <w:pStyle w:val="ListParagraph"/>
        <w:numPr>
          <w:ilvl w:val="0"/>
          <w:numId w:val="1"/>
        </w:numPr>
        <w:spacing w:after="60"/>
      </w:pPr>
      <w:r>
        <w:rPr>
          <w:b/>
          <w:bCs/>
          <w:color w:val="1F2937"/>
          <w:sz w:val="19"/>
          <w:szCs w:val="19"/>
        </w:rPr>
        <w:t xml:space="preserve">Market Scale </w:t>
      </w:r>
      <w:r>
        <w:rPr>
          <w:color w:val="1F2937"/>
          <w:sz w:val="19"/>
          <w:szCs w:val="19"/>
        </w:rPr>
        <w:t xml:space="preserve"> (30%) — total EV registrations, so recommendations focus on markets big enough to matter</w:t>
      </w:r>
    </w:p>
    <w:p>
      <w:pPr>
        <w:pStyle w:val="ListParagraph"/>
        <w:numPr>
          <w:ilvl w:val="0"/>
          <w:numId w:val="1"/>
        </w:numPr>
        <w:spacing w:after="60"/>
      </w:pPr>
      <w:r>
        <w:rPr>
          <w:b/>
          <w:bCs/>
          <w:color w:val="1F2937"/>
          <w:sz w:val="19"/>
          <w:szCs w:val="19"/>
        </w:rPr>
        <w:t xml:space="preserve">Adoption Momentum </w:t>
      </w:r>
      <w:r>
        <w:rPr>
          <w:color w:val="1F2937"/>
          <w:sz w:val="19"/>
          <w:szCs w:val="19"/>
        </w:rPr>
        <w:t xml:space="preserve"> (20%) — year-over-year EV growth, so fast-emerging markets aren't overlooked</w:t>
      </w:r>
    </w:p>
    <w:p>
      <w:pPr>
        <w:pStyle w:val="Heading2"/>
        <w:spacing w:after="60" w:before="160"/>
      </w:pPr>
      <w:r>
        <w:rPr>
          <w:b/>
          <w:bCs/>
          <w:color w:val="C0392B"/>
          <w:sz w:val="22"/>
          <w:szCs w:val="22"/>
        </w:rPr>
        <w:t xml:space="preserve">Headline Recommendation — Top 5 Priority States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100"/>
        <w:gridCol w:w="1600"/>
        <w:gridCol w:w="1600"/>
      </w:tblGrid>
      <w:tr>
        <w:tc>
          <w:tcPr>
            <w:tcW w:type="dxa" w:w="2600"/>
            <w:shd w:fill="FBE9E7" w:val="clear"/>
            <w:tcMar>
              <w:top w:type="dxa" w:w="60"/>
              <w:left w:type="dxa" w:w="100"/>
              <w:bottom w:type="dxa" w:w="60"/>
              <w:right w:type="dxa" w:w="100"/>
            </w:tcMar>
          </w:tcPr>
          <w:p>
            <w:pPr>
              <w:jc w:val="left"/>
            </w:pPr>
            <w:r>
              <w:rPr>
                <w:b/>
                <w:bCs/>
                <w:color w:val="C0392B"/>
                <w:sz w:val="18"/>
                <w:szCs w:val="18"/>
              </w:rPr>
              <w:t xml:space="preserve">State</w:t>
            </w:r>
          </w:p>
        </w:tc>
        <w:tc>
          <w:tcPr>
            <w:tcW w:type="dxa" w:w="1900"/>
            <w:shd w:fill="FBE9E7" w:val="clear"/>
            <w:tcMar>
              <w:top w:type="dxa" w:w="60"/>
              <w:left w:type="dxa" w:w="100"/>
              <w:bottom w:type="dxa" w:w="60"/>
              <w:right w:type="dxa" w:w="100"/>
            </w:tcMar>
          </w:tcPr>
          <w:p>
            <w:pPr>
              <w:jc w:val="center"/>
            </w:pPr>
            <w:r>
              <w:rPr>
                <w:b/>
                <w:bCs/>
                <w:color w:val="C0392B"/>
                <w:sz w:val="18"/>
                <w:szCs w:val="18"/>
              </w:rPr>
              <w:t xml:space="preserve">EVs Registered</w:t>
            </w:r>
          </w:p>
        </w:tc>
        <w:tc>
          <w:tcPr>
            <w:tcW w:type="dxa" w:w="2100"/>
            <w:shd w:fill="FBE9E7" w:val="clear"/>
            <w:tcMar>
              <w:top w:type="dxa" w:w="60"/>
              <w:left w:type="dxa" w:w="100"/>
              <w:bottom w:type="dxa" w:w="60"/>
              <w:right w:type="dxa" w:w="100"/>
            </w:tcMar>
          </w:tcPr>
          <w:p>
            <w:pPr>
              <w:jc w:val="center"/>
            </w:pPr>
            <w:r>
              <w:rPr>
                <w:b/>
                <w:bCs/>
                <w:color w:val="C0392B"/>
                <w:sz w:val="18"/>
                <w:szCs w:val="18"/>
              </w:rPr>
              <w:t xml:space="preserve">Stations / 1000 EV</w:t>
            </w:r>
          </w:p>
        </w:tc>
        <w:tc>
          <w:tcPr>
            <w:tcW w:type="dxa" w:w="1600"/>
            <w:shd w:fill="FBE9E7" w:val="clear"/>
            <w:tcMar>
              <w:top w:type="dxa" w:w="60"/>
              <w:left w:type="dxa" w:w="100"/>
              <w:bottom w:type="dxa" w:w="60"/>
              <w:right w:type="dxa" w:w="100"/>
            </w:tcMar>
          </w:tcPr>
          <w:p>
            <w:pPr>
              <w:jc w:val="center"/>
            </w:pPr>
            <w:r>
              <w:rPr>
                <w:b/>
                <w:bCs/>
                <w:color w:val="C0392B"/>
                <w:sz w:val="18"/>
                <w:szCs w:val="18"/>
              </w:rPr>
              <w:t xml:space="preserve">YoY Growth</w:t>
            </w:r>
          </w:p>
        </w:tc>
        <w:tc>
          <w:tcPr>
            <w:tcW w:type="dxa" w:w="1600"/>
            <w:shd w:fill="FBE9E7" w:val="clear"/>
            <w:tcMar>
              <w:top w:type="dxa" w:w="60"/>
              <w:left w:type="dxa" w:w="100"/>
              <w:bottom w:type="dxa" w:w="60"/>
              <w:right w:type="dxa" w:w="100"/>
            </w:tcMar>
          </w:tcPr>
          <w:p>
            <w:pPr>
              <w:jc w:val="center"/>
            </w:pPr>
            <w:r>
              <w:rPr>
                <w:b/>
                <w:bCs/>
                <w:color w:val="C0392B"/>
                <w:sz w:val="18"/>
                <w:szCs w:val="18"/>
              </w:rPr>
              <w:t xml:space="preserve">Priority Score</w:t>
            </w:r>
          </w:p>
        </w:tc>
      </w:tr>
      <w:tr>
        <w:tc>
          <w:tcPr>
            <w:tcW w:type="dxa" w:w="2600"/>
            <w:tcMar>
              <w:top w:type="dxa" w:w="60"/>
              <w:left w:type="dxa" w:w="100"/>
              <w:bottom w:type="dxa" w:w="60"/>
              <w:right w:type="dxa" w:w="100"/>
            </w:tcMar>
          </w:tcPr>
          <w:p>
            <w:pPr>
              <w:jc w:val="left"/>
            </w:pPr>
            <w:r>
              <w:rPr>
                <w:b w:val="false"/>
                <w:bCs w:val="false"/>
                <w:color w:val="1F2937"/>
                <w:sz w:val="18"/>
                <w:szCs w:val="18"/>
              </w:rPr>
              <w:t xml:space="preserve">Uttar Pradesh</w:t>
            </w:r>
          </w:p>
        </w:tc>
        <w:tc>
          <w:tcPr>
            <w:tcW w:type="dxa" w:w="1900"/>
            <w:tcMar>
              <w:top w:type="dxa" w:w="60"/>
              <w:left w:type="dxa" w:w="100"/>
              <w:bottom w:type="dxa" w:w="60"/>
              <w:right w:type="dxa" w:w="100"/>
            </w:tcMar>
          </w:tcPr>
          <w:p>
            <w:pPr>
              <w:jc w:val="center"/>
            </w:pPr>
            <w:r>
              <w:rPr>
                <w:b w:val="false"/>
                <w:bCs w:val="false"/>
                <w:color w:val="1F2937"/>
                <w:sz w:val="18"/>
                <w:szCs w:val="18"/>
              </w:rPr>
              <w:t xml:space="preserve">133,924</w:t>
            </w:r>
          </w:p>
        </w:tc>
        <w:tc>
          <w:tcPr>
            <w:tcW w:type="dxa" w:w="2100"/>
            <w:tcMar>
              <w:top w:type="dxa" w:w="60"/>
              <w:left w:type="dxa" w:w="100"/>
              <w:bottom w:type="dxa" w:w="60"/>
              <w:right w:type="dxa" w:w="100"/>
            </w:tcMar>
          </w:tcPr>
          <w:p>
            <w:pPr>
              <w:jc w:val="center"/>
            </w:pPr>
            <w:r>
              <w:rPr>
                <w:b w:val="false"/>
                <w:bCs w:val="false"/>
                <w:color w:val="1F2937"/>
                <w:sz w:val="18"/>
                <w:szCs w:val="18"/>
              </w:rPr>
              <w:t xml:space="preserve">17.29</w:t>
            </w:r>
          </w:p>
        </w:tc>
        <w:tc>
          <w:tcPr>
            <w:tcW w:type="dxa" w:w="1600"/>
            <w:tcMar>
              <w:top w:type="dxa" w:w="60"/>
              <w:left w:type="dxa" w:w="100"/>
              <w:bottom w:type="dxa" w:w="60"/>
              <w:right w:type="dxa" w:w="100"/>
            </w:tcMar>
          </w:tcPr>
          <w:p>
            <w:pPr>
              <w:jc w:val="center"/>
            </w:pPr>
            <w:r>
              <w:rPr>
                <w:b w:val="false"/>
                <w:bCs w:val="false"/>
                <w:color w:val="1F2937"/>
                <w:sz w:val="18"/>
                <w:szCs w:val="18"/>
              </w:rPr>
              <w:t xml:space="preserve">70.9%</w:t>
            </w:r>
          </w:p>
        </w:tc>
        <w:tc>
          <w:tcPr>
            <w:tcW w:type="dxa" w:w="1600"/>
            <w:tcMar>
              <w:top w:type="dxa" w:w="60"/>
              <w:left w:type="dxa" w:w="100"/>
              <w:bottom w:type="dxa" w:w="60"/>
              <w:right w:type="dxa" w:w="100"/>
            </w:tcMar>
          </w:tcPr>
          <w:p>
            <w:pPr>
              <w:jc w:val="center"/>
            </w:pPr>
            <w:r>
              <w:rPr>
                <w:b w:val="false"/>
                <w:bCs w:val="false"/>
                <w:color w:val="1F2937"/>
                <w:sz w:val="18"/>
                <w:szCs w:val="18"/>
              </w:rPr>
              <w:t xml:space="preserve">0.819</w:t>
            </w:r>
          </w:p>
        </w:tc>
      </w:tr>
      <w:tr>
        <w:tc>
          <w:tcPr>
            <w:tcW w:type="dxa" w:w="2600"/>
            <w:tcMar>
              <w:top w:type="dxa" w:w="60"/>
              <w:left w:type="dxa" w:w="100"/>
              <w:bottom w:type="dxa" w:w="60"/>
              <w:right w:type="dxa" w:w="100"/>
            </w:tcMar>
          </w:tcPr>
          <w:p>
            <w:pPr>
              <w:jc w:val="left"/>
            </w:pPr>
            <w:r>
              <w:rPr>
                <w:b w:val="false"/>
                <w:bCs w:val="false"/>
                <w:color w:val="1F2937"/>
                <w:sz w:val="18"/>
                <w:szCs w:val="18"/>
              </w:rPr>
              <w:t xml:space="preserve">Chandigarh</w:t>
            </w:r>
          </w:p>
        </w:tc>
        <w:tc>
          <w:tcPr>
            <w:tcW w:type="dxa" w:w="1900"/>
            <w:tcMar>
              <w:top w:type="dxa" w:w="60"/>
              <w:left w:type="dxa" w:w="100"/>
              <w:bottom w:type="dxa" w:w="60"/>
              <w:right w:type="dxa" w:w="100"/>
            </w:tcMar>
          </w:tcPr>
          <w:p>
            <w:pPr>
              <w:jc w:val="center"/>
            </w:pPr>
            <w:r>
              <w:rPr>
                <w:b w:val="false"/>
                <w:bCs w:val="false"/>
                <w:color w:val="1F2937"/>
                <w:sz w:val="18"/>
                <w:szCs w:val="18"/>
              </w:rPr>
              <w:t xml:space="preserve">2,476</w:t>
            </w:r>
          </w:p>
        </w:tc>
        <w:tc>
          <w:tcPr>
            <w:tcW w:type="dxa" w:w="2100"/>
            <w:tcMar>
              <w:top w:type="dxa" w:w="60"/>
              <w:left w:type="dxa" w:w="100"/>
              <w:bottom w:type="dxa" w:w="60"/>
              <w:right w:type="dxa" w:w="100"/>
            </w:tcMar>
          </w:tcPr>
          <w:p>
            <w:pPr>
              <w:jc w:val="center"/>
            </w:pPr>
            <w:r>
              <w:rPr>
                <w:b w:val="false"/>
                <w:bCs w:val="false"/>
                <w:color w:val="1F2937"/>
                <w:sz w:val="18"/>
                <w:szCs w:val="18"/>
              </w:rPr>
              <w:t xml:space="preserve">5.25</w:t>
            </w:r>
          </w:p>
        </w:tc>
        <w:tc>
          <w:tcPr>
            <w:tcW w:type="dxa" w:w="1600"/>
            <w:tcMar>
              <w:top w:type="dxa" w:w="60"/>
              <w:left w:type="dxa" w:w="100"/>
              <w:bottom w:type="dxa" w:w="60"/>
              <w:right w:type="dxa" w:w="100"/>
            </w:tcMar>
          </w:tcPr>
          <w:p>
            <w:pPr>
              <w:jc w:val="center"/>
            </w:pPr>
            <w:r>
              <w:rPr>
                <w:b w:val="false"/>
                <w:bCs w:val="false"/>
                <w:color w:val="1F2937"/>
                <w:sz w:val="18"/>
                <w:szCs w:val="18"/>
              </w:rPr>
              <w:t xml:space="preserve">135.6%</w:t>
            </w:r>
          </w:p>
        </w:tc>
        <w:tc>
          <w:tcPr>
            <w:tcW w:type="dxa" w:w="1600"/>
            <w:tcMar>
              <w:top w:type="dxa" w:w="60"/>
              <w:left w:type="dxa" w:w="100"/>
              <w:bottom w:type="dxa" w:w="60"/>
              <w:right w:type="dxa" w:w="100"/>
            </w:tcMar>
          </w:tcPr>
          <w:p>
            <w:pPr>
              <w:jc w:val="center"/>
            </w:pPr>
            <w:r>
              <w:rPr>
                <w:b w:val="false"/>
                <w:bCs w:val="false"/>
                <w:color w:val="1F2937"/>
                <w:sz w:val="18"/>
                <w:szCs w:val="18"/>
              </w:rPr>
              <w:t xml:space="preserve">0.701</w:t>
            </w:r>
          </w:p>
        </w:tc>
      </w:tr>
      <w:tr>
        <w:tc>
          <w:tcPr>
            <w:tcW w:type="dxa" w:w="2600"/>
            <w:tcMar>
              <w:top w:type="dxa" w:w="60"/>
              <w:left w:type="dxa" w:w="100"/>
              <w:bottom w:type="dxa" w:w="60"/>
              <w:right w:type="dxa" w:w="100"/>
            </w:tcMar>
          </w:tcPr>
          <w:p>
            <w:pPr>
              <w:jc w:val="left"/>
            </w:pPr>
            <w:r>
              <w:rPr>
                <w:b w:val="false"/>
                <w:bCs w:val="false"/>
                <w:color w:val="1F2937"/>
                <w:sz w:val="18"/>
                <w:szCs w:val="18"/>
              </w:rPr>
              <w:t xml:space="preserve">Bihar</w:t>
            </w:r>
          </w:p>
        </w:tc>
        <w:tc>
          <w:tcPr>
            <w:tcW w:type="dxa" w:w="1900"/>
            <w:tcMar>
              <w:top w:type="dxa" w:w="60"/>
              <w:left w:type="dxa" w:w="100"/>
              <w:bottom w:type="dxa" w:w="60"/>
              <w:right w:type="dxa" w:w="100"/>
            </w:tcMar>
          </w:tcPr>
          <w:p>
            <w:pPr>
              <w:jc w:val="center"/>
            </w:pPr>
            <w:r>
              <w:rPr>
                <w:b w:val="false"/>
                <w:bCs w:val="false"/>
                <w:color w:val="1F2937"/>
                <w:sz w:val="18"/>
                <w:szCs w:val="18"/>
              </w:rPr>
              <w:t xml:space="preserve">41,680</w:t>
            </w:r>
          </w:p>
        </w:tc>
        <w:tc>
          <w:tcPr>
            <w:tcW w:type="dxa" w:w="2100"/>
            <w:tcMar>
              <w:top w:type="dxa" w:w="60"/>
              <w:left w:type="dxa" w:w="100"/>
              <w:bottom w:type="dxa" w:w="60"/>
              <w:right w:type="dxa" w:w="100"/>
            </w:tcMar>
          </w:tcPr>
          <w:p>
            <w:pPr>
              <w:jc w:val="center"/>
            </w:pPr>
            <w:r>
              <w:rPr>
                <w:b w:val="false"/>
                <w:bCs w:val="false"/>
                <w:color w:val="1F2937"/>
                <w:sz w:val="18"/>
                <w:szCs w:val="18"/>
              </w:rPr>
              <w:t xml:space="preserve">12.43</w:t>
            </w:r>
          </w:p>
        </w:tc>
        <w:tc>
          <w:tcPr>
            <w:tcW w:type="dxa" w:w="1600"/>
            <w:tcMar>
              <w:top w:type="dxa" w:w="60"/>
              <w:left w:type="dxa" w:w="100"/>
              <w:bottom w:type="dxa" w:w="60"/>
              <w:right w:type="dxa" w:w="100"/>
            </w:tcMar>
          </w:tcPr>
          <w:p>
            <w:pPr>
              <w:jc w:val="center"/>
            </w:pPr>
            <w:r>
              <w:rPr>
                <w:b w:val="false"/>
                <w:bCs w:val="false"/>
                <w:color w:val="1F2937"/>
                <w:sz w:val="18"/>
                <w:szCs w:val="18"/>
              </w:rPr>
              <w:t xml:space="preserve">58.2%</w:t>
            </w:r>
          </w:p>
        </w:tc>
        <w:tc>
          <w:tcPr>
            <w:tcW w:type="dxa" w:w="1600"/>
            <w:tcMar>
              <w:top w:type="dxa" w:w="60"/>
              <w:left w:type="dxa" w:w="100"/>
              <w:bottom w:type="dxa" w:w="60"/>
              <w:right w:type="dxa" w:w="100"/>
            </w:tcMar>
          </w:tcPr>
          <w:p>
            <w:pPr>
              <w:jc w:val="center"/>
            </w:pPr>
            <w:r>
              <w:rPr>
                <w:b w:val="false"/>
                <w:bCs w:val="false"/>
                <w:color w:val="1F2937"/>
                <w:sz w:val="18"/>
                <w:szCs w:val="18"/>
              </w:rPr>
              <w:t xml:space="preserve">0.622</w:t>
            </w:r>
          </w:p>
        </w:tc>
      </w:tr>
      <w:tr>
        <w:tc>
          <w:tcPr>
            <w:tcW w:type="dxa" w:w="2600"/>
            <w:tcMar>
              <w:top w:type="dxa" w:w="60"/>
              <w:left w:type="dxa" w:w="100"/>
              <w:bottom w:type="dxa" w:w="60"/>
              <w:right w:type="dxa" w:w="100"/>
            </w:tcMar>
          </w:tcPr>
          <w:p>
            <w:pPr>
              <w:jc w:val="left"/>
            </w:pPr>
            <w:r>
              <w:rPr>
                <w:b w:val="false"/>
                <w:bCs w:val="false"/>
                <w:color w:val="1F2937"/>
                <w:sz w:val="18"/>
                <w:szCs w:val="18"/>
              </w:rPr>
              <w:t xml:space="preserve">Rajasthan</w:t>
            </w:r>
          </w:p>
        </w:tc>
        <w:tc>
          <w:tcPr>
            <w:tcW w:type="dxa" w:w="1900"/>
            <w:tcMar>
              <w:top w:type="dxa" w:w="60"/>
              <w:left w:type="dxa" w:w="100"/>
              <w:bottom w:type="dxa" w:w="60"/>
              <w:right w:type="dxa" w:w="100"/>
            </w:tcMar>
          </w:tcPr>
          <w:p>
            <w:pPr>
              <w:jc w:val="center"/>
            </w:pPr>
            <w:r>
              <w:rPr>
                <w:b w:val="false"/>
                <w:bCs w:val="false"/>
                <w:color w:val="1F2937"/>
                <w:sz w:val="18"/>
                <w:szCs w:val="18"/>
              </w:rPr>
              <w:t xml:space="preserve">78,204</w:t>
            </w:r>
          </w:p>
        </w:tc>
        <w:tc>
          <w:tcPr>
            <w:tcW w:type="dxa" w:w="2100"/>
            <w:tcMar>
              <w:top w:type="dxa" w:w="60"/>
              <w:left w:type="dxa" w:w="100"/>
              <w:bottom w:type="dxa" w:w="60"/>
              <w:right w:type="dxa" w:w="100"/>
            </w:tcMar>
          </w:tcPr>
          <w:p>
            <w:pPr>
              <w:jc w:val="center"/>
            </w:pPr>
            <w:r>
              <w:rPr>
                <w:b w:val="false"/>
                <w:bCs w:val="false"/>
                <w:color w:val="1F2937"/>
                <w:sz w:val="18"/>
                <w:szCs w:val="18"/>
              </w:rPr>
              <w:t xml:space="preserve">19.37</w:t>
            </w:r>
          </w:p>
        </w:tc>
        <w:tc>
          <w:tcPr>
            <w:tcW w:type="dxa" w:w="1600"/>
            <w:tcMar>
              <w:top w:type="dxa" w:w="60"/>
              <w:left w:type="dxa" w:w="100"/>
              <w:bottom w:type="dxa" w:w="60"/>
              <w:right w:type="dxa" w:w="100"/>
            </w:tcMar>
          </w:tcPr>
          <w:p>
            <w:pPr>
              <w:jc w:val="center"/>
            </w:pPr>
            <w:r>
              <w:rPr>
                <w:b w:val="false"/>
                <w:bCs w:val="false"/>
                <w:color w:val="1F2937"/>
                <w:sz w:val="18"/>
                <w:szCs w:val="18"/>
              </w:rPr>
              <w:t xml:space="preserve">31.0%</w:t>
            </w:r>
          </w:p>
        </w:tc>
        <w:tc>
          <w:tcPr>
            <w:tcW w:type="dxa" w:w="1600"/>
            <w:tcMar>
              <w:top w:type="dxa" w:w="60"/>
              <w:left w:type="dxa" w:w="100"/>
              <w:bottom w:type="dxa" w:w="60"/>
              <w:right w:type="dxa" w:w="100"/>
            </w:tcMar>
          </w:tcPr>
          <w:p>
            <w:pPr>
              <w:jc w:val="center"/>
            </w:pPr>
            <w:r>
              <w:rPr>
                <w:b w:val="false"/>
                <w:bCs w:val="false"/>
                <w:color w:val="1F2937"/>
                <w:sz w:val="18"/>
                <w:szCs w:val="18"/>
              </w:rPr>
              <w:t xml:space="preserve">0.617</w:t>
            </w:r>
          </w:p>
        </w:tc>
      </w:tr>
      <w:tr>
        <w:tc>
          <w:tcPr>
            <w:tcW w:type="dxa" w:w="2600"/>
            <w:tcMar>
              <w:top w:type="dxa" w:w="60"/>
              <w:left w:type="dxa" w:w="100"/>
              <w:bottom w:type="dxa" w:w="60"/>
              <w:right w:type="dxa" w:w="100"/>
            </w:tcMar>
          </w:tcPr>
          <w:p>
            <w:pPr>
              <w:jc w:val="left"/>
            </w:pPr>
            <w:r>
              <w:rPr>
                <w:b w:val="false"/>
                <w:bCs w:val="false"/>
                <w:color w:val="1F2937"/>
                <w:sz w:val="18"/>
                <w:szCs w:val="18"/>
              </w:rPr>
              <w:t xml:space="preserve">Assam</w:t>
            </w:r>
          </w:p>
        </w:tc>
        <w:tc>
          <w:tcPr>
            <w:tcW w:type="dxa" w:w="1900"/>
            <w:tcMar>
              <w:top w:type="dxa" w:w="60"/>
              <w:left w:type="dxa" w:w="100"/>
              <w:bottom w:type="dxa" w:w="60"/>
              <w:right w:type="dxa" w:w="100"/>
            </w:tcMar>
          </w:tcPr>
          <w:p>
            <w:pPr>
              <w:jc w:val="center"/>
            </w:pPr>
            <w:r>
              <w:rPr>
                <w:b w:val="false"/>
                <w:bCs w:val="false"/>
                <w:color w:val="1F2937"/>
                <w:sz w:val="18"/>
                <w:szCs w:val="18"/>
              </w:rPr>
              <w:t xml:space="preserve">25,879</w:t>
            </w:r>
          </w:p>
        </w:tc>
        <w:tc>
          <w:tcPr>
            <w:tcW w:type="dxa" w:w="2100"/>
            <w:tcMar>
              <w:top w:type="dxa" w:w="60"/>
              <w:left w:type="dxa" w:w="100"/>
              <w:bottom w:type="dxa" w:w="60"/>
              <w:right w:type="dxa" w:w="100"/>
            </w:tcMar>
          </w:tcPr>
          <w:p>
            <w:pPr>
              <w:jc w:val="center"/>
            </w:pPr>
            <w:r>
              <w:rPr>
                <w:b w:val="false"/>
                <w:bCs w:val="false"/>
                <w:color w:val="1F2937"/>
                <w:sz w:val="18"/>
                <w:szCs w:val="18"/>
              </w:rPr>
              <w:t xml:space="preserve">13.33</w:t>
            </w:r>
          </w:p>
        </w:tc>
        <w:tc>
          <w:tcPr>
            <w:tcW w:type="dxa" w:w="1600"/>
            <w:tcMar>
              <w:top w:type="dxa" w:w="60"/>
              <w:left w:type="dxa" w:w="100"/>
              <w:bottom w:type="dxa" w:w="60"/>
              <w:right w:type="dxa" w:w="100"/>
            </w:tcMar>
          </w:tcPr>
          <w:p>
            <w:pPr>
              <w:jc w:val="center"/>
            </w:pPr>
            <w:r>
              <w:rPr>
                <w:b w:val="false"/>
                <w:bCs w:val="false"/>
                <w:color w:val="1F2937"/>
                <w:sz w:val="18"/>
                <w:szCs w:val="18"/>
              </w:rPr>
              <w:t xml:space="preserve">41.7%</w:t>
            </w:r>
          </w:p>
        </w:tc>
        <w:tc>
          <w:tcPr>
            <w:tcW w:type="dxa" w:w="1600"/>
            <w:tcMar>
              <w:top w:type="dxa" w:w="60"/>
              <w:left w:type="dxa" w:w="100"/>
              <w:bottom w:type="dxa" w:w="60"/>
              <w:right w:type="dxa" w:w="100"/>
            </w:tcMar>
          </w:tcPr>
          <w:p>
            <w:pPr>
              <w:jc w:val="center"/>
            </w:pPr>
            <w:r>
              <w:rPr>
                <w:b w:val="false"/>
                <w:bCs w:val="false"/>
                <w:color w:val="1F2937"/>
                <w:sz w:val="18"/>
                <w:szCs w:val="18"/>
              </w:rPr>
              <w:t xml:space="preserve">0.554</w:t>
            </w:r>
          </w:p>
        </w:tc>
      </w:tr>
    </w:tbl>
    <w:p>
      <w:pPr>
        <w:pStyle w:val="Heading2"/>
        <w:spacing w:after="60" w:before="160"/>
      </w:pPr>
      <w:r>
        <w:rPr>
          <w:b/>
          <w:bCs/>
          <w:color w:val="C0392B"/>
          <w:sz w:val="22"/>
          <w:szCs w:val="22"/>
        </w:rPr>
        <w:t xml:space="preserve">Business Impact</w:t>
      </w:r>
    </w:p>
    <w:p>
      <w:pPr>
        <w:spacing w:after="100"/>
      </w:pPr>
      <w:r>
        <w:rPr>
          <w:color w:val="1F2937"/>
          <w:sz w:val="20"/>
          <w:szCs w:val="20"/>
        </w:rPr>
        <w:t xml:space="preserve">Uttar Pradesh emerges as the single highest-priority state: it is already India's largest EV market by registrations, growing at over 70% year-over-year, yet has only 17 charging stations per 1,000 EVs. Directing infrastructure investment here first would address the largest real-world gap between adoption and access — reducing range anxiety for the greatest number of existing EV owners and removing a key barrier to continued adoption growth.</w:t>
      </w:r>
    </w:p>
    <w:sectPr>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2026-07-28T21:02:07.705Z</dcterms:created>
  <dcterms:modified xsi:type="dcterms:W3CDTF">2026-07-28T21:02:07.722Z</dcterms:modified>
</cp:coreProperties>
</file>

<file path=docProps/custom.xml><?xml version="1.0" encoding="utf-8"?>
<Properties xmlns="http://schemas.openxmlformats.org/officeDocument/2006/custom-properties" xmlns:vt="http://schemas.openxmlformats.org/officeDocument/2006/docPropsVTypes"/>
</file>