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Leave Management (ELM)</w:t>
      </w:r>
    </w:p>
    <w:p>
      <w:pPr>
        <w:jc w:val="center"/>
      </w:pPr>
      <w:r>
        <w:rPr>
          <w:b/>
          <w:color w:val="1F1F1F"/>
          <w:sz w:val="22"/>
        </w:rPr>
        <w:t>Controlled Domain Context — common to all RS1 conditions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90" w:type="dxa"/>
              <w:bottom w:w="80" w:type="dxa"/>
              <w:end w:w="90" w:type="dxa"/>
            </w:tcMar>
          </w:tcPr>
          <w:p>
            <w:r>
              <w:rPr>
                <w:b/>
              </w:rPr>
              <w:t>Study</w:t>
            </w:r>
          </w:p>
        </w:tc>
        <w:tc>
          <w:tcPr>
            <w:tcW w:type="dxa" w:w="5112"/>
            <w:tcMar>
              <w:top w:w="80" w:type="dxa"/>
              <w:start w:w="90" w:type="dxa"/>
              <w:bottom w:w="80" w:type="dxa"/>
              <w:end w:w="90" w:type="dxa"/>
            </w:tcMar>
          </w:tcPr>
          <w:p>
            <w:r>
              <w:t>RS1 — Requirements Comprehension</w:t>
            </w:r>
          </w:p>
        </w:tc>
      </w:tr>
      <w:tr>
        <w:tc>
          <w:tcPr>
            <w:tcW w:type="dxa" w:w="5112"/>
            <w:shd w:fill="D9EAF7"/>
            <w:tcMar>
              <w:top w:w="80" w:type="dxa"/>
              <w:start w:w="90" w:type="dxa"/>
              <w:bottom w:w="80" w:type="dxa"/>
              <w:end w:w="90" w:type="dxa"/>
            </w:tcMar>
          </w:tcPr>
          <w:p>
            <w:r>
              <w:rPr>
                <w:b/>
              </w:rPr>
              <w:t>Participant package</w:t>
            </w:r>
          </w:p>
        </w:tc>
        <w:tc>
          <w:tcPr>
            <w:tcW w:type="dxa" w:w="5112"/>
            <w:tcMar>
              <w:top w:w="80" w:type="dxa"/>
              <w:start w:w="90" w:type="dxa"/>
              <w:bottom w:w="80" w:type="dxa"/>
              <w:end w:w="90" w:type="dxa"/>
            </w:tcMar>
          </w:tcPr>
          <w:p>
            <w:r>
              <w:t>Common material</w:t>
            </w:r>
          </w:p>
        </w:tc>
      </w:tr>
    </w:tbl>
    <w:p/>
    <w:tbl>
      <w:tblPr>
        <w:tblStyle w:val="TableGrid"/>
        <w:tblW w:type="auto" w:w="0"/>
        <w:jc w:val="center"/>
        <w:tblLook w:firstColumn="1" w:firstRow="1" w:lastColumn="0" w:lastRow="0" w:noHBand="0" w:noVBand="1" w:val="04A0"/>
      </w:tblPr>
      <w:tblGrid>
        <w:gridCol w:w="10224"/>
      </w:tblGrid>
      <w:tr>
        <w:tc>
          <w:tcPr>
            <w:tcW w:type="dxa" w:w="10224"/>
            <w:shd w:fill="EEF5FA"/>
            <w:tcMar>
              <w:top w:w="100" w:type="dxa"/>
              <w:start w:w="120" w:type="dxa"/>
              <w:bottom w:w="100" w:type="dxa"/>
              <w:end w:w="120" w:type="dxa"/>
            </w:tcMar>
          </w:tcPr>
          <w:p>
            <w:r>
              <w:rPr>
                <w:b/>
              </w:rPr>
              <w:t xml:space="preserve">Reading note: </w:t>
            </w:r>
            <w:r>
              <w:t>This document intentionally contains only the domain vocabulary and role context shared by every experimental condition. It does not state leave entitlements, validation rules, approval paths, lifecycle rules, or workflow sequences; those are supplied only through the assigned requirements representation.</w:t>
            </w:r>
          </w:p>
        </w:tc>
      </w:tr>
    </w:tbl>
    <w:p>
      <w:pPr>
        <w:pStyle w:val="Heading1"/>
      </w:pPr>
      <w:r>
        <w:t>1. Domain context</w:t>
      </w:r>
    </w:p>
    <w:p>
      <w:r>
        <w:t>Fusion is the institute ERP used to provide administrative, academic, student and related services. The Employee Leave Management (ELM) module supports leave-related activities for institute employees. Employees are Faculty or Staff and are associated with a designation and an organizational unit such as a Department, Section or Office. Users may hold one or more organizational roles, and ELM access is role controlled.</w:t>
      </w:r>
    </w:p>
    <w:p>
      <w:pPr>
        <w:pStyle w:val="Heading1"/>
      </w:pPr>
      <w:r>
        <w:t>2. Experimental scope</w:t>
      </w:r>
    </w:p>
    <w:p>
      <w:r>
        <w:t>The study scope concerns ELM support for CL, RH, SCL, EL, COL, VL and Station Leave-related information. Other leave categories and low-level design or implementation details are outside the experimental baseline.</w:t>
      </w:r>
    </w:p>
    <w:p>
      <w:pPr>
        <w:pStyle w:val="Heading1"/>
      </w:pPr>
      <w:r>
        <w:t>3. Actor and role registry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80" w:type="dxa"/>
              <w:start w:w="90" w:type="dxa"/>
              <w:bottom w:w="80" w:type="dxa"/>
              <w:end w:w="90" w:type="dxa"/>
            </w:tcMar>
          </w:tcPr>
          <w:p>
            <w:r>
              <w:rPr>
                <w:b/>
                <w:color w:val="FFFFFF"/>
                <w:sz w:val="18"/>
              </w:rPr>
              <w:t>Role</w:t>
            </w:r>
          </w:p>
        </w:tc>
        <w:tc>
          <w:tcPr>
            <w:tcW w:type="dxa" w:w="5112"/>
            <w:shd w:fill="1F4E79"/>
            <w:vAlign w:val="center"/>
            <w:tcMar>
              <w:top w:w="80" w:type="dxa"/>
              <w:start w:w="90" w:type="dxa"/>
              <w:bottom w:w="80" w:type="dxa"/>
              <w:end w:w="90" w:type="dxa"/>
            </w:tcMar>
          </w:tcPr>
          <w:p>
            <w:r>
              <w:rPr>
                <w:b/>
                <w:color w:val="FFFFFF"/>
                <w:sz w:val="18"/>
              </w:rPr>
              <w:t>Neutral description</w:t>
            </w:r>
          </w:p>
        </w:tc>
      </w:tr>
      <w:tr>
        <w:trPr>
          <w:cantSplit w:val="true"/>
        </w:trPr>
        <w:tc>
          <w:tcPr>
            <w:tcW w:type="dxa" w:w="5112"/>
            <w:vAlign w:val="top"/>
            <w:tcMar>
              <w:top w:w="80" w:type="dxa"/>
              <w:start w:w="90" w:type="dxa"/>
              <w:bottom w:w="80" w:type="dxa"/>
              <w:end w:w="90" w:type="dxa"/>
            </w:tcMar>
          </w:tcPr>
          <w:p>
            <w:r>
              <w:rPr>
                <w:sz w:val="18"/>
              </w:rPr>
              <w:t>Employee</w:t>
            </w:r>
          </w:p>
        </w:tc>
        <w:tc>
          <w:tcPr>
            <w:tcW w:type="dxa" w:w="5112"/>
            <w:vAlign w:val="top"/>
            <w:tcMar>
              <w:top w:w="80" w:type="dxa"/>
              <w:start w:w="90" w:type="dxa"/>
              <w:bottom w:w="80" w:type="dxa"/>
              <w:end w:w="90" w:type="dxa"/>
            </w:tcMar>
          </w:tcPr>
          <w:p>
            <w:r>
              <w:rPr>
                <w:sz w:val="18"/>
              </w:rPr>
              <w:t>A Faculty or Staff member who uses ELM for leave related to their own employment record.</w:t>
            </w:r>
          </w:p>
        </w:tc>
      </w:tr>
      <w:tr>
        <w:trPr>
          <w:cantSplit w:val="true"/>
        </w:trPr>
        <w:tc>
          <w:tcPr>
            <w:tcW w:type="dxa" w:w="5112"/>
            <w:vAlign w:val="top"/>
            <w:tcMar>
              <w:top w:w="80" w:type="dxa"/>
              <w:start w:w="90" w:type="dxa"/>
              <w:bottom w:w="80" w:type="dxa"/>
              <w:end w:w="90" w:type="dxa"/>
            </w:tcMar>
          </w:tcPr>
          <w:p>
            <w:r>
              <w:rPr>
                <w:sz w:val="18"/>
              </w:rPr>
              <w:t>Substitute / Responsibility Holder</w:t>
            </w:r>
          </w:p>
        </w:tc>
        <w:tc>
          <w:tcPr>
            <w:tcW w:type="dxa" w:w="5112"/>
            <w:vAlign w:val="top"/>
            <w:tcMar>
              <w:top w:w="80" w:type="dxa"/>
              <w:start w:w="90" w:type="dxa"/>
              <w:bottom w:w="80" w:type="dxa"/>
              <w:end w:w="90" w:type="dxa"/>
            </w:tcMar>
          </w:tcPr>
          <w:p>
            <w:r>
              <w:rPr>
                <w:sz w:val="18"/>
              </w:rPr>
              <w:t>An employee who may be nominated to provide responsibility coverage during another employee’s absence.</w:t>
            </w:r>
          </w:p>
        </w:tc>
      </w:tr>
      <w:tr>
        <w:trPr>
          <w:cantSplit w:val="true"/>
        </w:trPr>
        <w:tc>
          <w:tcPr>
            <w:tcW w:type="dxa" w:w="5112"/>
            <w:vAlign w:val="top"/>
            <w:tcMar>
              <w:top w:w="80" w:type="dxa"/>
              <w:start w:w="90" w:type="dxa"/>
              <w:bottom w:w="80" w:type="dxa"/>
              <w:end w:w="90" w:type="dxa"/>
            </w:tcMar>
          </w:tcPr>
          <w:p>
            <w:r>
              <w:rPr>
                <w:sz w:val="18"/>
              </w:rPr>
              <w:t>Unit Head</w:t>
            </w:r>
          </w:p>
        </w:tc>
        <w:tc>
          <w:tcPr>
            <w:tcW w:type="dxa" w:w="5112"/>
            <w:vAlign w:val="top"/>
            <w:tcMar>
              <w:top w:w="80" w:type="dxa"/>
              <w:start w:w="90" w:type="dxa"/>
              <w:bottom w:w="80" w:type="dxa"/>
              <w:end w:w="90" w:type="dxa"/>
            </w:tcMar>
          </w:tcPr>
          <w:p>
            <w:r>
              <w:rPr>
                <w:sz w:val="18"/>
              </w:rPr>
              <w:t>The head of the applicant’s Department, Section, or Office.</w:t>
            </w:r>
          </w:p>
        </w:tc>
      </w:tr>
      <w:tr>
        <w:trPr>
          <w:cantSplit w:val="true"/>
        </w:trPr>
        <w:tc>
          <w:tcPr>
            <w:tcW w:type="dxa" w:w="5112"/>
            <w:vAlign w:val="top"/>
            <w:tcMar>
              <w:top w:w="80" w:type="dxa"/>
              <w:start w:w="90" w:type="dxa"/>
              <w:bottom w:w="80" w:type="dxa"/>
              <w:end w:w="90" w:type="dxa"/>
            </w:tcMar>
          </w:tcPr>
          <w:p>
            <w:r>
              <w:rPr>
                <w:sz w:val="18"/>
              </w:rPr>
              <w:t>Deputy Registrar (Estt.) / Establishment Processing Role</w:t>
            </w:r>
          </w:p>
        </w:tc>
        <w:tc>
          <w:tcPr>
            <w:tcW w:type="dxa" w:w="5112"/>
            <w:vAlign w:val="top"/>
            <w:tcMar>
              <w:top w:w="80" w:type="dxa"/>
              <w:start w:w="90" w:type="dxa"/>
              <w:bottom w:w="80" w:type="dxa"/>
              <w:end w:w="90" w:type="dxa"/>
            </w:tcMar>
          </w:tcPr>
          <w:p>
            <w:r>
              <w:rPr>
                <w:sz w:val="18"/>
              </w:rPr>
              <w:t>An institutional processing role that may occur in the configured leave-processing hierarchy.</w:t>
            </w:r>
          </w:p>
        </w:tc>
      </w:tr>
      <w:tr>
        <w:trPr>
          <w:cantSplit w:val="true"/>
        </w:trPr>
        <w:tc>
          <w:tcPr>
            <w:tcW w:type="dxa" w:w="5112"/>
            <w:vAlign w:val="top"/>
            <w:tcMar>
              <w:top w:w="80" w:type="dxa"/>
              <w:start w:w="90" w:type="dxa"/>
              <w:bottom w:w="80" w:type="dxa"/>
              <w:end w:w="90" w:type="dxa"/>
            </w:tcMar>
          </w:tcPr>
          <w:p>
            <w:r>
              <w:rPr>
                <w:sz w:val="18"/>
              </w:rPr>
              <w:t>Dean</w:t>
            </w:r>
          </w:p>
        </w:tc>
        <w:tc>
          <w:tcPr>
            <w:tcW w:type="dxa" w:w="5112"/>
            <w:vAlign w:val="top"/>
            <w:tcMar>
              <w:top w:w="80" w:type="dxa"/>
              <w:start w:w="90" w:type="dxa"/>
              <w:bottom w:w="80" w:type="dxa"/>
              <w:end w:w="90" w:type="dxa"/>
            </w:tcMar>
          </w:tcPr>
          <w:p>
            <w:r>
              <w:rPr>
                <w:sz w:val="18"/>
              </w:rPr>
              <w:t>An institutional authority role that may occur in the configured hierarchy.</w:t>
            </w:r>
          </w:p>
        </w:tc>
      </w:tr>
      <w:tr>
        <w:trPr>
          <w:cantSplit w:val="true"/>
        </w:trPr>
        <w:tc>
          <w:tcPr>
            <w:tcW w:type="dxa" w:w="5112"/>
            <w:vAlign w:val="top"/>
            <w:tcMar>
              <w:top w:w="80" w:type="dxa"/>
              <w:start w:w="90" w:type="dxa"/>
              <w:bottom w:w="80" w:type="dxa"/>
              <w:end w:w="90" w:type="dxa"/>
            </w:tcMar>
          </w:tcPr>
          <w:p>
            <w:r>
              <w:rPr>
                <w:sz w:val="18"/>
              </w:rPr>
              <w:t>Registrar</w:t>
            </w:r>
          </w:p>
        </w:tc>
        <w:tc>
          <w:tcPr>
            <w:tcW w:type="dxa" w:w="5112"/>
            <w:vAlign w:val="top"/>
            <w:tcMar>
              <w:top w:w="80" w:type="dxa"/>
              <w:start w:w="90" w:type="dxa"/>
              <w:bottom w:w="80" w:type="dxa"/>
              <w:end w:w="90" w:type="dxa"/>
            </w:tcMar>
          </w:tcPr>
          <w:p>
            <w:r>
              <w:rPr>
                <w:sz w:val="18"/>
              </w:rPr>
              <w:t>An institutional authority role that may occur in the configured hierarchy.</w:t>
            </w:r>
          </w:p>
        </w:tc>
      </w:tr>
      <w:tr>
        <w:trPr>
          <w:cantSplit w:val="true"/>
        </w:trPr>
        <w:tc>
          <w:tcPr>
            <w:tcW w:type="dxa" w:w="5112"/>
            <w:vAlign w:val="top"/>
            <w:tcMar>
              <w:top w:w="80" w:type="dxa"/>
              <w:start w:w="90" w:type="dxa"/>
              <w:bottom w:w="80" w:type="dxa"/>
              <w:end w:w="90" w:type="dxa"/>
            </w:tcMar>
          </w:tcPr>
          <w:p>
            <w:r>
              <w:rPr>
                <w:sz w:val="18"/>
              </w:rPr>
              <w:t>Director</w:t>
            </w:r>
          </w:p>
        </w:tc>
        <w:tc>
          <w:tcPr>
            <w:tcW w:type="dxa" w:w="5112"/>
            <w:vAlign w:val="top"/>
            <w:tcMar>
              <w:top w:w="80" w:type="dxa"/>
              <w:start w:w="90" w:type="dxa"/>
              <w:bottom w:w="80" w:type="dxa"/>
              <w:end w:w="90" w:type="dxa"/>
            </w:tcMar>
          </w:tcPr>
          <w:p>
            <w:r>
              <w:rPr>
                <w:sz w:val="18"/>
              </w:rPr>
              <w:t>The highest institutional authority role in this ELM context.</w:t>
            </w:r>
          </w:p>
        </w:tc>
      </w:tr>
      <w:tr>
        <w:trPr>
          <w:cantSplit w:val="true"/>
        </w:trPr>
        <w:tc>
          <w:tcPr>
            <w:tcW w:type="dxa" w:w="5112"/>
            <w:vAlign w:val="top"/>
            <w:tcMar>
              <w:top w:w="80" w:type="dxa"/>
              <w:start w:w="90" w:type="dxa"/>
              <w:bottom w:w="80" w:type="dxa"/>
              <w:end w:w="90" w:type="dxa"/>
            </w:tcMar>
          </w:tcPr>
          <w:p>
            <w:r>
              <w:rPr>
                <w:sz w:val="18"/>
              </w:rPr>
              <w:t>Leave Administrator</w:t>
            </w:r>
          </w:p>
        </w:tc>
        <w:tc>
          <w:tcPr>
            <w:tcW w:type="dxa" w:w="5112"/>
            <w:vAlign w:val="top"/>
            <w:tcMar>
              <w:top w:w="80" w:type="dxa"/>
              <w:start w:w="90" w:type="dxa"/>
              <w:bottom w:w="80" w:type="dxa"/>
              <w:end w:w="90" w:type="dxa"/>
            </w:tcMar>
          </w:tcPr>
          <w:p>
            <w:r>
              <w:rPr>
                <w:sz w:val="18"/>
              </w:rPr>
              <w:t>An authorized administrative user of ELM.</w:t>
            </w:r>
          </w:p>
        </w:tc>
      </w:tr>
      <w:tr>
        <w:trPr>
          <w:cantSplit w:val="true"/>
        </w:trPr>
        <w:tc>
          <w:tcPr>
            <w:tcW w:type="dxa" w:w="5112"/>
            <w:vAlign w:val="top"/>
            <w:tcMar>
              <w:top w:w="80" w:type="dxa"/>
              <w:start w:w="90" w:type="dxa"/>
              <w:bottom w:w="80" w:type="dxa"/>
              <w:end w:w="90" w:type="dxa"/>
            </w:tcMar>
          </w:tcPr>
          <w:p>
            <w:r>
              <w:rPr>
                <w:sz w:val="18"/>
              </w:rPr>
              <w:t>System Scheduler / Time Event</w:t>
            </w:r>
          </w:p>
        </w:tc>
        <w:tc>
          <w:tcPr>
            <w:tcW w:type="dxa" w:w="5112"/>
            <w:vAlign w:val="top"/>
            <w:tcMar>
              <w:top w:w="80" w:type="dxa"/>
              <w:start w:w="90" w:type="dxa"/>
              <w:bottom w:w="80" w:type="dxa"/>
              <w:end w:w="90" w:type="dxa"/>
            </w:tcMar>
          </w:tcPr>
          <w:p>
            <w:r>
              <w:rPr>
                <w:sz w:val="18"/>
              </w:rPr>
              <w:t>A system/time actor that initiates configured scheduled processing.</w:t>
            </w:r>
          </w:p>
        </w:tc>
      </w:tr>
    </w:tbl>
    <w:p>
      <w:pPr>
        <w:pStyle w:val="Heading1"/>
      </w:pPr>
      <w:r>
        <w:t>4. Controlled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80" w:type="dxa"/>
              <w:start w:w="90" w:type="dxa"/>
              <w:bottom w:w="80" w:type="dxa"/>
              <w:end w:w="90" w:type="dxa"/>
            </w:tcMar>
          </w:tcPr>
          <w:p>
            <w:r>
              <w:rPr>
                <w:b/>
                <w:color w:val="FFFFFF"/>
                <w:sz w:val="18"/>
              </w:rPr>
              <w:t>Term</w:t>
            </w:r>
          </w:p>
        </w:tc>
        <w:tc>
          <w:tcPr>
            <w:tcW w:type="dxa" w:w="5112"/>
            <w:shd w:fill="1F4E79"/>
            <w:vAlign w:val="center"/>
            <w:tcMar>
              <w:top w:w="80" w:type="dxa"/>
              <w:start w:w="90" w:type="dxa"/>
              <w:bottom w:w="80" w:type="dxa"/>
              <w:end w:w="90" w:type="dxa"/>
            </w:tcMar>
          </w:tcPr>
          <w:p>
            <w:r>
              <w:rPr>
                <w:b/>
                <w:color w:val="FFFFFF"/>
                <w:sz w:val="18"/>
              </w:rPr>
              <w:t>Meaning</w:t>
            </w:r>
          </w:p>
        </w:tc>
      </w:tr>
      <w:tr>
        <w:trPr>
          <w:cantSplit w:val="true"/>
        </w:trPr>
        <w:tc>
          <w:tcPr>
            <w:tcW w:type="dxa" w:w="5112"/>
            <w:vAlign w:val="top"/>
            <w:tcMar>
              <w:top w:w="80" w:type="dxa"/>
              <w:start w:w="90" w:type="dxa"/>
              <w:bottom w:w="80" w:type="dxa"/>
              <w:end w:w="90" w:type="dxa"/>
            </w:tcMar>
          </w:tcPr>
          <w:p>
            <w:r>
              <w:rPr>
                <w:sz w:val="18"/>
              </w:rPr>
              <w:t>CL</w:t>
            </w:r>
          </w:p>
        </w:tc>
        <w:tc>
          <w:tcPr>
            <w:tcW w:type="dxa" w:w="5112"/>
            <w:vAlign w:val="top"/>
            <w:tcMar>
              <w:top w:w="80" w:type="dxa"/>
              <w:start w:w="90" w:type="dxa"/>
              <w:bottom w:w="80" w:type="dxa"/>
              <w:end w:w="90" w:type="dxa"/>
            </w:tcMar>
          </w:tcPr>
          <w:p>
            <w:r>
              <w:rPr>
                <w:sz w:val="18"/>
              </w:rPr>
              <w:t>Casual Leave</w:t>
            </w:r>
          </w:p>
        </w:tc>
      </w:tr>
      <w:tr>
        <w:trPr>
          <w:cantSplit w:val="true"/>
        </w:trPr>
        <w:tc>
          <w:tcPr>
            <w:tcW w:type="dxa" w:w="5112"/>
            <w:vAlign w:val="top"/>
            <w:tcMar>
              <w:top w:w="80" w:type="dxa"/>
              <w:start w:w="90" w:type="dxa"/>
              <w:bottom w:w="80" w:type="dxa"/>
              <w:end w:w="90" w:type="dxa"/>
            </w:tcMar>
          </w:tcPr>
          <w:p>
            <w:r>
              <w:rPr>
                <w:sz w:val="18"/>
              </w:rPr>
              <w:t>RH</w:t>
            </w:r>
          </w:p>
        </w:tc>
        <w:tc>
          <w:tcPr>
            <w:tcW w:type="dxa" w:w="5112"/>
            <w:vAlign w:val="top"/>
            <w:tcMar>
              <w:top w:w="80" w:type="dxa"/>
              <w:start w:w="90" w:type="dxa"/>
              <w:bottom w:w="80" w:type="dxa"/>
              <w:end w:w="90" w:type="dxa"/>
            </w:tcMar>
          </w:tcPr>
          <w:p>
            <w:r>
              <w:rPr>
                <w:sz w:val="18"/>
              </w:rPr>
              <w:t>Restricted Holiday</w:t>
            </w:r>
          </w:p>
        </w:tc>
      </w:tr>
      <w:tr>
        <w:trPr>
          <w:cantSplit w:val="true"/>
        </w:trPr>
        <w:tc>
          <w:tcPr>
            <w:tcW w:type="dxa" w:w="5112"/>
            <w:vAlign w:val="top"/>
            <w:tcMar>
              <w:top w:w="80" w:type="dxa"/>
              <w:start w:w="90" w:type="dxa"/>
              <w:bottom w:w="80" w:type="dxa"/>
              <w:end w:w="90" w:type="dxa"/>
            </w:tcMar>
          </w:tcPr>
          <w:p>
            <w:r>
              <w:rPr>
                <w:sz w:val="18"/>
              </w:rPr>
              <w:t>SCL</w:t>
            </w:r>
          </w:p>
        </w:tc>
        <w:tc>
          <w:tcPr>
            <w:tcW w:type="dxa" w:w="5112"/>
            <w:vAlign w:val="top"/>
            <w:tcMar>
              <w:top w:w="80" w:type="dxa"/>
              <w:start w:w="90" w:type="dxa"/>
              <w:bottom w:w="80" w:type="dxa"/>
              <w:end w:w="90" w:type="dxa"/>
            </w:tcMar>
          </w:tcPr>
          <w:p>
            <w:r>
              <w:rPr>
                <w:sz w:val="18"/>
              </w:rPr>
              <w:t>Special Casual Leave</w:t>
            </w:r>
          </w:p>
        </w:tc>
      </w:tr>
      <w:tr>
        <w:trPr>
          <w:cantSplit w:val="true"/>
        </w:trPr>
        <w:tc>
          <w:tcPr>
            <w:tcW w:type="dxa" w:w="5112"/>
            <w:vAlign w:val="top"/>
            <w:tcMar>
              <w:top w:w="80" w:type="dxa"/>
              <w:start w:w="90" w:type="dxa"/>
              <w:bottom w:w="80" w:type="dxa"/>
              <w:end w:w="90" w:type="dxa"/>
            </w:tcMar>
          </w:tcPr>
          <w:p>
            <w:r>
              <w:rPr>
                <w:sz w:val="18"/>
              </w:rPr>
              <w:t>EL</w:t>
            </w:r>
          </w:p>
        </w:tc>
        <w:tc>
          <w:tcPr>
            <w:tcW w:type="dxa" w:w="5112"/>
            <w:vAlign w:val="top"/>
            <w:tcMar>
              <w:top w:w="80" w:type="dxa"/>
              <w:start w:w="90" w:type="dxa"/>
              <w:bottom w:w="80" w:type="dxa"/>
              <w:end w:w="90" w:type="dxa"/>
            </w:tcMar>
          </w:tcPr>
          <w:p>
            <w:r>
              <w:rPr>
                <w:sz w:val="18"/>
              </w:rPr>
              <w:t>Earned Leave</w:t>
            </w:r>
          </w:p>
        </w:tc>
      </w:tr>
      <w:tr>
        <w:trPr>
          <w:cantSplit w:val="true"/>
        </w:trPr>
        <w:tc>
          <w:tcPr>
            <w:tcW w:type="dxa" w:w="5112"/>
            <w:vAlign w:val="top"/>
            <w:tcMar>
              <w:top w:w="80" w:type="dxa"/>
              <w:start w:w="90" w:type="dxa"/>
              <w:bottom w:w="80" w:type="dxa"/>
              <w:end w:w="90" w:type="dxa"/>
            </w:tcMar>
          </w:tcPr>
          <w:p>
            <w:r>
              <w:rPr>
                <w:sz w:val="18"/>
              </w:rPr>
              <w:t>COL</w:t>
            </w:r>
          </w:p>
        </w:tc>
        <w:tc>
          <w:tcPr>
            <w:tcW w:type="dxa" w:w="5112"/>
            <w:vAlign w:val="top"/>
            <w:tcMar>
              <w:top w:w="80" w:type="dxa"/>
              <w:start w:w="90" w:type="dxa"/>
              <w:bottom w:w="80" w:type="dxa"/>
              <w:end w:w="90" w:type="dxa"/>
            </w:tcMar>
          </w:tcPr>
          <w:p>
            <w:r>
              <w:rPr>
                <w:sz w:val="18"/>
              </w:rPr>
              <w:t>Commuted Leave</w:t>
            </w:r>
          </w:p>
        </w:tc>
      </w:tr>
      <w:tr>
        <w:trPr>
          <w:cantSplit w:val="true"/>
        </w:trPr>
        <w:tc>
          <w:tcPr>
            <w:tcW w:type="dxa" w:w="5112"/>
            <w:vAlign w:val="top"/>
            <w:tcMar>
              <w:top w:w="80" w:type="dxa"/>
              <w:start w:w="90" w:type="dxa"/>
              <w:bottom w:w="80" w:type="dxa"/>
              <w:end w:w="90" w:type="dxa"/>
            </w:tcMar>
          </w:tcPr>
          <w:p>
            <w:r>
              <w:rPr>
                <w:sz w:val="18"/>
              </w:rPr>
              <w:t>VL</w:t>
            </w:r>
          </w:p>
        </w:tc>
        <w:tc>
          <w:tcPr>
            <w:tcW w:type="dxa" w:w="5112"/>
            <w:vAlign w:val="top"/>
            <w:tcMar>
              <w:top w:w="80" w:type="dxa"/>
              <w:start w:w="90" w:type="dxa"/>
              <w:bottom w:w="80" w:type="dxa"/>
              <w:end w:w="90" w:type="dxa"/>
            </w:tcMar>
          </w:tcPr>
          <w:p>
            <w:r>
              <w:rPr>
                <w:sz w:val="18"/>
              </w:rPr>
              <w:t>Vacation Leave</w:t>
            </w:r>
          </w:p>
        </w:tc>
      </w:tr>
      <w:tr>
        <w:trPr>
          <w:cantSplit w:val="true"/>
        </w:trPr>
        <w:tc>
          <w:tcPr>
            <w:tcW w:type="dxa" w:w="5112"/>
            <w:vAlign w:val="top"/>
            <w:tcMar>
              <w:top w:w="80" w:type="dxa"/>
              <w:start w:w="90" w:type="dxa"/>
              <w:bottom w:w="80" w:type="dxa"/>
              <w:end w:w="90" w:type="dxa"/>
            </w:tcMar>
          </w:tcPr>
          <w:p>
            <w:r>
              <w:rPr>
                <w:sz w:val="18"/>
              </w:rPr>
              <w:t>Station Leave</w:t>
            </w:r>
          </w:p>
        </w:tc>
        <w:tc>
          <w:tcPr>
            <w:tcW w:type="dxa" w:w="5112"/>
            <w:vAlign w:val="top"/>
            <w:tcMar>
              <w:top w:w="80" w:type="dxa"/>
              <w:start w:w="90" w:type="dxa"/>
              <w:bottom w:w="80" w:type="dxa"/>
              <w:end w:w="90" w:type="dxa"/>
            </w:tcMar>
          </w:tcPr>
          <w:p>
            <w:r>
              <w:rPr>
                <w:sz w:val="18"/>
              </w:rPr>
              <w:t>Permission/details concerning an employee being outside Jabalpur during a leave-related absence.</w:t>
            </w:r>
          </w:p>
        </w:tc>
      </w:tr>
      <w:tr>
        <w:trPr>
          <w:cantSplit w:val="true"/>
        </w:trPr>
        <w:tc>
          <w:tcPr>
            <w:tcW w:type="dxa" w:w="5112"/>
            <w:vAlign w:val="top"/>
            <w:tcMar>
              <w:top w:w="80" w:type="dxa"/>
              <w:start w:w="90" w:type="dxa"/>
              <w:bottom w:w="80" w:type="dxa"/>
              <w:end w:w="90" w:type="dxa"/>
            </w:tcMar>
          </w:tcPr>
          <w:p>
            <w:r>
              <w:rPr>
                <w:sz w:val="18"/>
              </w:rPr>
              <w:t>Pending request</w:t>
            </w:r>
          </w:p>
        </w:tc>
        <w:tc>
          <w:tcPr>
            <w:tcW w:type="dxa" w:w="5112"/>
            <w:vAlign w:val="top"/>
            <w:tcMar>
              <w:top w:w="80" w:type="dxa"/>
              <w:start w:w="90" w:type="dxa"/>
              <w:bottom w:w="80" w:type="dxa"/>
              <w:end w:w="90" w:type="dxa"/>
            </w:tcMar>
          </w:tcPr>
          <w:p>
            <w:r>
              <w:rPr>
                <w:sz w:val="18"/>
              </w:rPr>
              <w:t>A leave request that has not yet reached final approval/rejection.</w:t>
            </w:r>
          </w:p>
        </w:tc>
      </w:tr>
      <w:tr>
        <w:trPr>
          <w:cantSplit w:val="true"/>
        </w:trPr>
        <w:tc>
          <w:tcPr>
            <w:tcW w:type="dxa" w:w="5112"/>
            <w:vAlign w:val="top"/>
            <w:tcMar>
              <w:top w:w="80" w:type="dxa"/>
              <w:start w:w="90" w:type="dxa"/>
              <w:bottom w:w="80" w:type="dxa"/>
              <w:end w:w="90" w:type="dxa"/>
            </w:tcMar>
          </w:tcPr>
          <w:p>
            <w:r>
              <w:rPr>
                <w:sz w:val="18"/>
              </w:rPr>
              <w:t>Approved leave</w:t>
            </w:r>
          </w:p>
        </w:tc>
        <w:tc>
          <w:tcPr>
            <w:tcW w:type="dxa" w:w="5112"/>
            <w:vAlign w:val="top"/>
            <w:tcMar>
              <w:top w:w="80" w:type="dxa"/>
              <w:start w:w="90" w:type="dxa"/>
              <w:bottom w:w="80" w:type="dxa"/>
              <w:end w:w="90" w:type="dxa"/>
            </w:tcMar>
          </w:tcPr>
          <w:p>
            <w:r>
              <w:rPr>
                <w:sz w:val="18"/>
              </w:rPr>
              <w:t>A leave request for which final approval has been recorded.</w:t>
            </w:r>
          </w:p>
        </w:tc>
      </w:tr>
      <w:tr>
        <w:trPr>
          <w:cantSplit w:val="true"/>
        </w:trPr>
        <w:tc>
          <w:tcPr>
            <w:tcW w:type="dxa" w:w="5112"/>
            <w:vAlign w:val="top"/>
            <w:tcMar>
              <w:top w:w="80" w:type="dxa"/>
              <w:start w:w="90" w:type="dxa"/>
              <w:bottom w:w="80" w:type="dxa"/>
              <w:end w:w="90" w:type="dxa"/>
            </w:tcMar>
          </w:tcPr>
          <w:p>
            <w:r>
              <w:rPr>
                <w:sz w:val="18"/>
              </w:rPr>
              <w:t>Sanctioning Authority</w:t>
            </w:r>
          </w:p>
        </w:tc>
        <w:tc>
          <w:tcPr>
            <w:tcW w:type="dxa" w:w="5112"/>
            <w:vAlign w:val="top"/>
            <w:tcMar>
              <w:top w:w="80" w:type="dxa"/>
              <w:start w:w="90" w:type="dxa"/>
              <w:bottom w:w="80" w:type="dxa"/>
              <w:end w:w="90" w:type="dxa"/>
            </w:tcMar>
          </w:tcPr>
          <w:p>
            <w:r>
              <w:rPr>
                <w:sz w:val="18"/>
              </w:rPr>
              <w:t>The competent authority with final approval/rejection power for a routed request.</w:t>
            </w:r>
          </w:p>
        </w:tc>
      </w:tr>
      <w:tr>
        <w:trPr>
          <w:cantSplit w:val="true"/>
        </w:trPr>
        <w:tc>
          <w:tcPr>
            <w:tcW w:type="dxa" w:w="5112"/>
            <w:vAlign w:val="top"/>
            <w:tcMar>
              <w:top w:w="80" w:type="dxa"/>
              <w:start w:w="90" w:type="dxa"/>
              <w:bottom w:w="80" w:type="dxa"/>
              <w:end w:w="90" w:type="dxa"/>
            </w:tcMar>
          </w:tcPr>
          <w:p>
            <w:r>
              <w:rPr>
                <w:sz w:val="18"/>
              </w:rPr>
              <w:t>SLA</w:t>
            </w:r>
          </w:p>
        </w:tc>
        <w:tc>
          <w:tcPr>
            <w:tcW w:type="dxa" w:w="5112"/>
            <w:vAlign w:val="top"/>
            <w:tcMar>
              <w:top w:w="80" w:type="dxa"/>
              <w:start w:w="90" w:type="dxa"/>
              <w:bottom w:w="80" w:type="dxa"/>
              <w:end w:w="90" w:type="dxa"/>
            </w:tcMar>
          </w:tcPr>
          <w:p>
            <w:r>
              <w:rPr>
                <w:sz w:val="18"/>
              </w:rPr>
              <w:t>A configured response-time expectation for an actionable workflow task.</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Controlled study material — do not combine with other representation packages during the experiment.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RS1 ELM Study Material  |  COMMON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