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ELM Use Case Specifications</w:t>
      </w:r>
    </w:p>
    <w:p>
      <w:pPr>
        <w:jc w:val="center"/>
      </w:pPr>
      <w:r>
        <w:rPr>
          <w:b/>
          <w:color w:val="1F1F1F"/>
          <w:sz w:val="22"/>
        </w:rPr>
        <w:t>Use Case specifications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90" w:type="dxa"/>
              <w:bottom w:w="80" w:type="dxa"/>
              <w:end w:w="90" w:type="dxa"/>
            </w:tcMar>
          </w:tcPr>
          <w:p>
            <w:r>
              <w:rPr>
                <w:b/>
              </w:rPr>
              <w:t>Study</w:t>
            </w:r>
          </w:p>
        </w:tc>
        <w:tc>
          <w:tcPr>
            <w:tcW w:type="dxa" w:w="5112"/>
            <w:tcMar>
              <w:top w:w="80" w:type="dxa"/>
              <w:start w:w="90" w:type="dxa"/>
              <w:bottom w:w="80" w:type="dxa"/>
              <w:end w:w="90" w:type="dxa"/>
            </w:tcMar>
          </w:tcPr>
          <w:p>
            <w:r>
              <w:t>RS1 — Requirements Comprehension</w:t>
            </w:r>
          </w:p>
        </w:tc>
      </w:tr>
      <w:tr>
        <w:tc>
          <w:tcPr>
            <w:tcW w:type="dxa" w:w="5112"/>
            <w:shd w:fill="D9EAF7"/>
            <w:tcMar>
              <w:top w:w="80" w:type="dxa"/>
              <w:start w:w="90" w:type="dxa"/>
              <w:bottom w:w="80" w:type="dxa"/>
              <w:end w:w="90" w:type="dxa"/>
            </w:tcMar>
          </w:tcPr>
          <w:p>
            <w:r>
              <w:rPr>
                <w:b/>
              </w:rPr>
              <w:t>Participant package</w:t>
            </w:r>
          </w:p>
        </w:tc>
        <w:tc>
          <w:tcPr>
            <w:tcW w:type="dxa" w:w="5112"/>
            <w:tcMar>
              <w:top w:w="80" w:type="dxa"/>
              <w:start w:w="90" w:type="dxa"/>
              <w:bottom w:w="80" w:type="dxa"/>
              <w:end w:w="90" w:type="dxa"/>
            </w:tcMar>
          </w:tcPr>
          <w:p>
            <w:r>
              <w:t>PACKAGE B</w:t>
            </w:r>
          </w:p>
        </w:tc>
      </w:tr>
    </w:tbl>
    <w:p/>
    <w:tbl>
      <w:tblPr>
        <w:tblStyle w:val="TableGrid"/>
        <w:tblW w:type="auto" w:w="0"/>
        <w:jc w:val="center"/>
        <w:tblLook w:firstColumn="1" w:firstRow="1" w:lastColumn="0" w:lastRow="0" w:noHBand="0" w:noVBand="1" w:val="04A0"/>
      </w:tblPr>
      <w:tblGrid>
        <w:gridCol w:w="10224"/>
      </w:tblGrid>
      <w:tr>
        <w:tc>
          <w:tcPr>
            <w:tcW w:type="dxa" w:w="10224"/>
            <w:shd w:fill="EEF5FA"/>
            <w:tcMar>
              <w:top w:w="100" w:type="dxa"/>
              <w:start w:w="120" w:type="dxa"/>
              <w:bottom w:w="100" w:type="dxa"/>
              <w:end w:w="120" w:type="dxa"/>
            </w:tcMar>
          </w:tcPr>
          <w:p>
            <w:r>
              <w:rPr>
                <w:b/>
              </w:rPr>
              <w:t xml:space="preserve">Reading note: </w:t>
            </w:r>
            <w:r>
              <w:t>Use the actor, goal, scenario, alternative/exception, postcondition, and Conditions and Constraints fields when answering the assigned tasks. Scheduled functions are listed in Section 3.</w:t>
            </w:r>
          </w:p>
        </w:tc>
      </w:tr>
    </w:tbl>
    <w:p>
      <w:pPr>
        <w:pStyle w:val="Heading1"/>
      </w:pPr>
      <w:r>
        <w:t>1. Use Case 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ID</w:t>
            </w:r>
          </w:p>
        </w:tc>
        <w:tc>
          <w:tcPr>
            <w:tcW w:type="dxa" w:w="3408"/>
            <w:shd w:fill="1F4E79"/>
            <w:vAlign w:val="center"/>
            <w:tcMar>
              <w:top w:w="80" w:type="dxa"/>
              <w:start w:w="90" w:type="dxa"/>
              <w:bottom w:w="80" w:type="dxa"/>
              <w:end w:w="90" w:type="dxa"/>
            </w:tcMar>
          </w:tcPr>
          <w:p>
            <w:r>
              <w:rPr>
                <w:b/>
                <w:color w:val="FFFFFF"/>
                <w:sz w:val="18"/>
              </w:rPr>
              <w:t>Use Case</w:t>
            </w:r>
          </w:p>
        </w:tc>
        <w:tc>
          <w:tcPr>
            <w:tcW w:type="dxa" w:w="3408"/>
            <w:shd w:fill="1F4E79"/>
            <w:vAlign w:val="center"/>
            <w:tcMar>
              <w:top w:w="80" w:type="dxa"/>
              <w:start w:w="90" w:type="dxa"/>
              <w:bottom w:w="80" w:type="dxa"/>
              <w:end w:w="90" w:type="dxa"/>
            </w:tcMar>
          </w:tcPr>
          <w:p>
            <w:r>
              <w:rPr>
                <w:b/>
                <w:color w:val="FFFFFF"/>
                <w:sz w:val="18"/>
              </w:rPr>
              <w:t>Primary actor</w:t>
            </w:r>
          </w:p>
        </w:tc>
      </w:tr>
      <w:tr>
        <w:trPr>
          <w:cantSplit w:val="true"/>
        </w:trPr>
        <w:tc>
          <w:tcPr>
            <w:tcW w:type="dxa" w:w="3408"/>
            <w:vAlign w:val="top"/>
            <w:tcMar>
              <w:top w:w="80" w:type="dxa"/>
              <w:start w:w="90" w:type="dxa"/>
              <w:bottom w:w="80" w:type="dxa"/>
              <w:end w:w="90" w:type="dxa"/>
            </w:tcMar>
          </w:tcPr>
          <w:p>
            <w:r>
              <w:rPr>
                <w:sz w:val="18"/>
              </w:rPr>
              <w:t>EL-UC-001</w:t>
            </w:r>
          </w:p>
        </w:tc>
        <w:tc>
          <w:tcPr>
            <w:tcW w:type="dxa" w:w="3408"/>
            <w:vAlign w:val="top"/>
            <w:tcMar>
              <w:top w:w="80" w:type="dxa"/>
              <w:start w:w="90" w:type="dxa"/>
              <w:bottom w:w="80" w:type="dxa"/>
              <w:end w:w="90" w:type="dxa"/>
            </w:tcMar>
          </w:tcPr>
          <w:p>
            <w:r>
              <w:rPr>
                <w:sz w:val="18"/>
              </w:rPr>
              <w:t>Apply for Leave</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EL-UC-002</w:t>
            </w:r>
          </w:p>
        </w:tc>
        <w:tc>
          <w:tcPr>
            <w:tcW w:type="dxa" w:w="3408"/>
            <w:vAlign w:val="top"/>
            <w:tcMar>
              <w:top w:w="80" w:type="dxa"/>
              <w:start w:w="90" w:type="dxa"/>
              <w:bottom w:w="80" w:type="dxa"/>
              <w:end w:w="90" w:type="dxa"/>
            </w:tcMar>
          </w:tcPr>
          <w:p>
            <w:r>
              <w:rPr>
                <w:sz w:val="18"/>
              </w:rPr>
              <w:t>Respond to Substitute Request</w:t>
            </w:r>
          </w:p>
        </w:tc>
        <w:tc>
          <w:tcPr>
            <w:tcW w:type="dxa" w:w="3408"/>
            <w:vAlign w:val="top"/>
            <w:tcMar>
              <w:top w:w="80" w:type="dxa"/>
              <w:start w:w="90" w:type="dxa"/>
              <w:bottom w:w="80" w:type="dxa"/>
              <w:end w:w="90" w:type="dxa"/>
            </w:tcMar>
          </w:tcPr>
          <w:p>
            <w:r>
              <w:rPr>
                <w:sz w:val="18"/>
              </w:rPr>
              <w:t>Substitute / Responsibility Holder</w:t>
            </w:r>
          </w:p>
        </w:tc>
      </w:tr>
      <w:tr>
        <w:trPr>
          <w:cantSplit w:val="true"/>
        </w:trPr>
        <w:tc>
          <w:tcPr>
            <w:tcW w:type="dxa" w:w="3408"/>
            <w:vAlign w:val="top"/>
            <w:tcMar>
              <w:top w:w="80" w:type="dxa"/>
              <w:start w:w="90" w:type="dxa"/>
              <w:bottom w:w="80" w:type="dxa"/>
              <w:end w:w="90" w:type="dxa"/>
            </w:tcMar>
          </w:tcPr>
          <w:p>
            <w:r>
              <w:rPr>
                <w:sz w:val="18"/>
              </w:rPr>
              <w:t>EL-UC-003</w:t>
            </w:r>
          </w:p>
        </w:tc>
        <w:tc>
          <w:tcPr>
            <w:tcW w:type="dxa" w:w="3408"/>
            <w:vAlign w:val="top"/>
            <w:tcMar>
              <w:top w:w="80" w:type="dxa"/>
              <w:start w:w="90" w:type="dxa"/>
              <w:bottom w:w="80" w:type="dxa"/>
              <w:end w:w="90" w:type="dxa"/>
            </w:tcMar>
          </w:tcPr>
          <w:p>
            <w:r>
              <w:rPr>
                <w:sz w:val="18"/>
              </w:rPr>
              <w:t>Unit Head Review</w:t>
            </w:r>
          </w:p>
        </w:tc>
        <w:tc>
          <w:tcPr>
            <w:tcW w:type="dxa" w:w="3408"/>
            <w:vAlign w:val="top"/>
            <w:tcMar>
              <w:top w:w="80" w:type="dxa"/>
              <w:start w:w="90" w:type="dxa"/>
              <w:bottom w:w="80" w:type="dxa"/>
              <w:end w:w="90" w:type="dxa"/>
            </w:tcMar>
          </w:tcPr>
          <w:p>
            <w:r>
              <w:rPr>
                <w:sz w:val="18"/>
              </w:rPr>
              <w:t>Unit Head</w:t>
            </w:r>
          </w:p>
        </w:tc>
      </w:tr>
      <w:tr>
        <w:trPr>
          <w:cantSplit w:val="true"/>
        </w:trPr>
        <w:tc>
          <w:tcPr>
            <w:tcW w:type="dxa" w:w="3408"/>
            <w:vAlign w:val="top"/>
            <w:tcMar>
              <w:top w:w="80" w:type="dxa"/>
              <w:start w:w="90" w:type="dxa"/>
              <w:bottom w:w="80" w:type="dxa"/>
              <w:end w:w="90" w:type="dxa"/>
            </w:tcMar>
          </w:tcPr>
          <w:p>
            <w:r>
              <w:rPr>
                <w:sz w:val="18"/>
              </w:rPr>
              <w:t>EL-UC-004</w:t>
            </w:r>
          </w:p>
        </w:tc>
        <w:tc>
          <w:tcPr>
            <w:tcW w:type="dxa" w:w="3408"/>
            <w:vAlign w:val="top"/>
            <w:tcMar>
              <w:top w:w="80" w:type="dxa"/>
              <w:start w:w="90" w:type="dxa"/>
              <w:bottom w:w="80" w:type="dxa"/>
              <w:end w:w="90" w:type="dxa"/>
            </w:tcMar>
          </w:tcPr>
          <w:p>
            <w:r>
              <w:rPr>
                <w:sz w:val="18"/>
              </w:rPr>
              <w:t>Establishment Review / Routing</w:t>
            </w:r>
          </w:p>
        </w:tc>
        <w:tc>
          <w:tcPr>
            <w:tcW w:type="dxa" w:w="3408"/>
            <w:vAlign w:val="top"/>
            <w:tcMar>
              <w:top w:w="80" w:type="dxa"/>
              <w:start w:w="90" w:type="dxa"/>
              <w:bottom w:w="80" w:type="dxa"/>
              <w:end w:w="90" w:type="dxa"/>
            </w:tcMar>
          </w:tcPr>
          <w:p>
            <w:r>
              <w:rPr>
                <w:sz w:val="18"/>
              </w:rPr>
              <w:t>Deputy Registrar (Estt.) / configured Establishment role</w:t>
            </w:r>
          </w:p>
        </w:tc>
      </w:tr>
      <w:tr>
        <w:trPr>
          <w:cantSplit w:val="true"/>
        </w:trPr>
        <w:tc>
          <w:tcPr>
            <w:tcW w:type="dxa" w:w="3408"/>
            <w:vAlign w:val="top"/>
            <w:tcMar>
              <w:top w:w="80" w:type="dxa"/>
              <w:start w:w="90" w:type="dxa"/>
              <w:bottom w:w="80" w:type="dxa"/>
              <w:end w:w="90" w:type="dxa"/>
            </w:tcMar>
          </w:tcPr>
          <w:p>
            <w:r>
              <w:rPr>
                <w:sz w:val="18"/>
              </w:rPr>
              <w:t>EL-UC-005</w:t>
            </w:r>
          </w:p>
        </w:tc>
        <w:tc>
          <w:tcPr>
            <w:tcW w:type="dxa" w:w="3408"/>
            <w:vAlign w:val="top"/>
            <w:tcMar>
              <w:top w:w="80" w:type="dxa"/>
              <w:start w:w="90" w:type="dxa"/>
              <w:bottom w:w="80" w:type="dxa"/>
              <w:end w:w="90" w:type="dxa"/>
            </w:tcMar>
          </w:tcPr>
          <w:p>
            <w:r>
              <w:rPr>
                <w:sz w:val="18"/>
              </w:rPr>
              <w:t>Final Sanctioning Decision</w:t>
            </w:r>
          </w:p>
        </w:tc>
        <w:tc>
          <w:tcPr>
            <w:tcW w:type="dxa" w:w="3408"/>
            <w:vAlign w:val="top"/>
            <w:tcMar>
              <w:top w:w="80" w:type="dxa"/>
              <w:start w:w="90" w:type="dxa"/>
              <w:bottom w:w="80" w:type="dxa"/>
              <w:end w:w="90" w:type="dxa"/>
            </w:tcMar>
          </w:tcPr>
          <w:p>
            <w:r>
              <w:rPr>
                <w:sz w:val="18"/>
              </w:rPr>
              <w:t>Dean / Registrar / Director / other configured competent authority</w:t>
            </w:r>
          </w:p>
        </w:tc>
      </w:tr>
      <w:tr>
        <w:trPr>
          <w:cantSplit w:val="true"/>
        </w:trPr>
        <w:tc>
          <w:tcPr>
            <w:tcW w:type="dxa" w:w="3408"/>
            <w:vAlign w:val="top"/>
            <w:tcMar>
              <w:top w:w="80" w:type="dxa"/>
              <w:start w:w="90" w:type="dxa"/>
              <w:bottom w:w="80" w:type="dxa"/>
              <w:end w:w="90" w:type="dxa"/>
            </w:tcMar>
          </w:tcPr>
          <w:p>
            <w:r>
              <w:rPr>
                <w:sz w:val="18"/>
              </w:rPr>
              <w:t>EL-UC-006</w:t>
            </w:r>
          </w:p>
        </w:tc>
        <w:tc>
          <w:tcPr>
            <w:tcW w:type="dxa" w:w="3408"/>
            <w:vAlign w:val="top"/>
            <w:tcMar>
              <w:top w:w="80" w:type="dxa"/>
              <w:start w:w="90" w:type="dxa"/>
              <w:bottom w:w="80" w:type="dxa"/>
              <w:end w:w="90" w:type="dxa"/>
            </w:tcMar>
          </w:tcPr>
          <w:p>
            <w:r>
              <w:rPr>
                <w:sz w:val="18"/>
              </w:rPr>
              <w:t>Modify Pending Request</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EL-UC-007</w:t>
            </w:r>
          </w:p>
        </w:tc>
        <w:tc>
          <w:tcPr>
            <w:tcW w:type="dxa" w:w="3408"/>
            <w:vAlign w:val="top"/>
            <w:tcMar>
              <w:top w:w="80" w:type="dxa"/>
              <w:start w:w="90" w:type="dxa"/>
              <w:bottom w:w="80" w:type="dxa"/>
              <w:end w:w="90" w:type="dxa"/>
            </w:tcMar>
          </w:tcPr>
          <w:p>
            <w:r>
              <w:rPr>
                <w:sz w:val="18"/>
              </w:rPr>
              <w:t>Withdraw Pending Request</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EL-UC-008</w:t>
            </w:r>
          </w:p>
        </w:tc>
        <w:tc>
          <w:tcPr>
            <w:tcW w:type="dxa" w:w="3408"/>
            <w:vAlign w:val="top"/>
            <w:tcMar>
              <w:top w:w="80" w:type="dxa"/>
              <w:start w:w="90" w:type="dxa"/>
              <w:bottom w:w="80" w:type="dxa"/>
              <w:end w:w="90" w:type="dxa"/>
            </w:tcMar>
          </w:tcPr>
          <w:p>
            <w:r>
              <w:rPr>
                <w:sz w:val="18"/>
              </w:rPr>
              <w:t>Request Cancellation of Approved Leave</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EL-UC-009</w:t>
            </w:r>
          </w:p>
        </w:tc>
        <w:tc>
          <w:tcPr>
            <w:tcW w:type="dxa" w:w="3408"/>
            <w:vAlign w:val="top"/>
            <w:tcMar>
              <w:top w:w="80" w:type="dxa"/>
              <w:start w:w="90" w:type="dxa"/>
              <w:bottom w:w="80" w:type="dxa"/>
              <w:end w:w="90" w:type="dxa"/>
            </w:tcMar>
          </w:tcPr>
          <w:p>
            <w:r>
              <w:rPr>
                <w:sz w:val="18"/>
              </w:rPr>
              <w:t>Submit Leave Extension</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EL-UC-010</w:t>
            </w:r>
          </w:p>
        </w:tc>
        <w:tc>
          <w:tcPr>
            <w:tcW w:type="dxa" w:w="3408"/>
            <w:vAlign w:val="top"/>
            <w:tcMar>
              <w:top w:w="80" w:type="dxa"/>
              <w:start w:w="90" w:type="dxa"/>
              <w:bottom w:w="80" w:type="dxa"/>
              <w:end w:w="90" w:type="dxa"/>
            </w:tcMar>
          </w:tcPr>
          <w:p>
            <w:r>
              <w:rPr>
                <w:sz w:val="18"/>
              </w:rPr>
              <w:t>Submit Resumption of Duty</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EL-UC-011</w:t>
            </w:r>
          </w:p>
        </w:tc>
        <w:tc>
          <w:tcPr>
            <w:tcW w:type="dxa" w:w="3408"/>
            <w:vAlign w:val="top"/>
            <w:tcMar>
              <w:top w:w="80" w:type="dxa"/>
              <w:start w:w="90" w:type="dxa"/>
              <w:bottom w:w="80" w:type="dxa"/>
              <w:end w:w="90" w:type="dxa"/>
            </w:tcMar>
          </w:tcPr>
          <w:p>
            <w:r>
              <w:rPr>
                <w:sz w:val="18"/>
              </w:rPr>
              <w:t>Verify Resumption</w:t>
            </w:r>
          </w:p>
        </w:tc>
        <w:tc>
          <w:tcPr>
            <w:tcW w:type="dxa" w:w="3408"/>
            <w:vAlign w:val="top"/>
            <w:tcMar>
              <w:top w:w="80" w:type="dxa"/>
              <w:start w:w="90" w:type="dxa"/>
              <w:bottom w:w="80" w:type="dxa"/>
              <w:end w:w="90" w:type="dxa"/>
            </w:tcMar>
          </w:tcPr>
          <w:p>
            <w:r>
              <w:rPr>
                <w:sz w:val="18"/>
              </w:rPr>
              <w:t>Unit Head / authorized Establishment role according to hierarchy</w:t>
            </w:r>
          </w:p>
        </w:tc>
      </w:tr>
      <w:tr>
        <w:trPr>
          <w:cantSplit w:val="true"/>
        </w:trPr>
        <w:tc>
          <w:tcPr>
            <w:tcW w:type="dxa" w:w="3408"/>
            <w:vAlign w:val="top"/>
            <w:tcMar>
              <w:top w:w="80" w:type="dxa"/>
              <w:start w:w="90" w:type="dxa"/>
              <w:bottom w:w="80" w:type="dxa"/>
              <w:end w:w="90" w:type="dxa"/>
            </w:tcMar>
          </w:tcPr>
          <w:p>
            <w:r>
              <w:rPr>
                <w:sz w:val="18"/>
              </w:rPr>
              <w:t>EL-UC-012</w:t>
            </w:r>
          </w:p>
        </w:tc>
        <w:tc>
          <w:tcPr>
            <w:tcW w:type="dxa" w:w="3408"/>
            <w:vAlign w:val="top"/>
            <w:tcMar>
              <w:top w:w="80" w:type="dxa"/>
              <w:start w:w="90" w:type="dxa"/>
              <w:bottom w:w="80" w:type="dxa"/>
              <w:end w:w="90" w:type="dxa"/>
            </w:tcMar>
          </w:tcPr>
          <w:p>
            <w:r>
              <w:rPr>
                <w:sz w:val="18"/>
              </w:rPr>
              <w:t>View Leave Balance and History</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EL-UC-013</w:t>
            </w:r>
          </w:p>
        </w:tc>
        <w:tc>
          <w:tcPr>
            <w:tcW w:type="dxa" w:w="3408"/>
            <w:vAlign w:val="top"/>
            <w:tcMar>
              <w:top w:w="80" w:type="dxa"/>
              <w:start w:w="90" w:type="dxa"/>
              <w:bottom w:w="80" w:type="dxa"/>
              <w:end w:w="90" w:type="dxa"/>
            </w:tcMar>
          </w:tcPr>
          <w:p>
            <w:r>
              <w:rPr>
                <w:sz w:val="18"/>
              </w:rPr>
              <w:t>Obtain Printable Leave Application</w:t>
            </w:r>
          </w:p>
        </w:tc>
        <w:tc>
          <w:tcPr>
            <w:tcW w:type="dxa" w:w="3408"/>
            <w:vAlign w:val="top"/>
            <w:tcMar>
              <w:top w:w="80" w:type="dxa"/>
              <w:start w:w="90" w:type="dxa"/>
              <w:bottom w:w="80" w:type="dxa"/>
              <w:end w:w="90" w:type="dxa"/>
            </w:tcMar>
          </w:tcPr>
          <w:p>
            <w:r>
              <w:rPr>
                <w:sz w:val="18"/>
              </w:rPr>
              <w:t>Employee</w:t>
            </w:r>
          </w:p>
        </w:tc>
      </w:tr>
      <w:tr>
        <w:trPr>
          <w:cantSplit w:val="true"/>
        </w:trPr>
        <w:tc>
          <w:tcPr>
            <w:tcW w:type="dxa" w:w="3408"/>
            <w:vAlign w:val="top"/>
            <w:tcMar>
              <w:top w:w="80" w:type="dxa"/>
              <w:start w:w="90" w:type="dxa"/>
              <w:bottom w:w="80" w:type="dxa"/>
              <w:end w:w="90" w:type="dxa"/>
            </w:tcMar>
          </w:tcPr>
          <w:p>
            <w:r>
              <w:rPr>
                <w:sz w:val="18"/>
              </w:rPr>
              <w:t>EL-UC-014</w:t>
            </w:r>
          </w:p>
        </w:tc>
        <w:tc>
          <w:tcPr>
            <w:tcW w:type="dxa" w:w="3408"/>
            <w:vAlign w:val="top"/>
            <w:tcMar>
              <w:top w:w="80" w:type="dxa"/>
              <w:start w:w="90" w:type="dxa"/>
              <w:bottom w:w="80" w:type="dxa"/>
              <w:end w:w="90" w:type="dxa"/>
            </w:tcMar>
          </w:tcPr>
          <w:p>
            <w:r>
              <w:rPr>
                <w:sz w:val="18"/>
              </w:rPr>
              <w:t>Maintain Leave Policy Parameters</w:t>
            </w:r>
          </w:p>
        </w:tc>
        <w:tc>
          <w:tcPr>
            <w:tcW w:type="dxa" w:w="3408"/>
            <w:vAlign w:val="top"/>
            <w:tcMar>
              <w:top w:w="80" w:type="dxa"/>
              <w:start w:w="90" w:type="dxa"/>
              <w:bottom w:w="80" w:type="dxa"/>
              <w:end w:w="90" w:type="dxa"/>
            </w:tcMar>
          </w:tcPr>
          <w:p>
            <w:r>
              <w:rPr>
                <w:sz w:val="18"/>
              </w:rPr>
              <w:t>Leave Administrator</w:t>
            </w:r>
          </w:p>
        </w:tc>
      </w:tr>
      <w:tr>
        <w:trPr>
          <w:cantSplit w:val="true"/>
        </w:trPr>
        <w:tc>
          <w:tcPr>
            <w:tcW w:type="dxa" w:w="3408"/>
            <w:vAlign w:val="top"/>
            <w:tcMar>
              <w:top w:w="80" w:type="dxa"/>
              <w:start w:w="90" w:type="dxa"/>
              <w:bottom w:w="80" w:type="dxa"/>
              <w:end w:w="90" w:type="dxa"/>
            </w:tcMar>
          </w:tcPr>
          <w:p>
            <w:r>
              <w:rPr>
                <w:sz w:val="18"/>
              </w:rPr>
              <w:t>EL-UC-015</w:t>
            </w:r>
          </w:p>
        </w:tc>
        <w:tc>
          <w:tcPr>
            <w:tcW w:type="dxa" w:w="3408"/>
            <w:vAlign w:val="top"/>
            <w:tcMar>
              <w:top w:w="80" w:type="dxa"/>
              <w:start w:w="90" w:type="dxa"/>
              <w:bottom w:w="80" w:type="dxa"/>
              <w:end w:w="90" w:type="dxa"/>
            </w:tcMar>
          </w:tcPr>
          <w:p>
            <w:r>
              <w:rPr>
                <w:sz w:val="18"/>
              </w:rPr>
              <w:t>Maintain Holiday and RH Calendar</w:t>
            </w:r>
          </w:p>
        </w:tc>
        <w:tc>
          <w:tcPr>
            <w:tcW w:type="dxa" w:w="3408"/>
            <w:vAlign w:val="top"/>
            <w:tcMar>
              <w:top w:w="80" w:type="dxa"/>
              <w:start w:w="90" w:type="dxa"/>
              <w:bottom w:w="80" w:type="dxa"/>
              <w:end w:w="90" w:type="dxa"/>
            </w:tcMar>
          </w:tcPr>
          <w:p>
            <w:r>
              <w:rPr>
                <w:sz w:val="18"/>
              </w:rPr>
              <w:t>Leave Administrator</w:t>
            </w:r>
          </w:p>
        </w:tc>
      </w:tr>
      <w:tr>
        <w:trPr>
          <w:cantSplit w:val="true"/>
        </w:trPr>
        <w:tc>
          <w:tcPr>
            <w:tcW w:type="dxa" w:w="3408"/>
            <w:vAlign w:val="top"/>
            <w:tcMar>
              <w:top w:w="80" w:type="dxa"/>
              <w:start w:w="90" w:type="dxa"/>
              <w:bottom w:w="80" w:type="dxa"/>
              <w:end w:w="90" w:type="dxa"/>
            </w:tcMar>
          </w:tcPr>
          <w:p>
            <w:r>
              <w:rPr>
                <w:sz w:val="18"/>
              </w:rPr>
              <w:t>EL-UC-016</w:t>
            </w:r>
          </w:p>
        </w:tc>
        <w:tc>
          <w:tcPr>
            <w:tcW w:type="dxa" w:w="3408"/>
            <w:vAlign w:val="top"/>
            <w:tcMar>
              <w:top w:w="80" w:type="dxa"/>
              <w:start w:w="90" w:type="dxa"/>
              <w:bottom w:w="80" w:type="dxa"/>
              <w:end w:w="90" w:type="dxa"/>
            </w:tcMar>
          </w:tcPr>
          <w:p>
            <w:r>
              <w:rPr>
                <w:sz w:val="18"/>
              </w:rPr>
              <w:t>Record Offline-Sanctioned Leave</w:t>
            </w:r>
          </w:p>
        </w:tc>
        <w:tc>
          <w:tcPr>
            <w:tcW w:type="dxa" w:w="3408"/>
            <w:vAlign w:val="top"/>
            <w:tcMar>
              <w:top w:w="80" w:type="dxa"/>
              <w:start w:w="90" w:type="dxa"/>
              <w:bottom w:w="80" w:type="dxa"/>
              <w:end w:w="90" w:type="dxa"/>
            </w:tcMar>
          </w:tcPr>
          <w:p>
            <w:r>
              <w:rPr>
                <w:sz w:val="18"/>
              </w:rPr>
              <w:t>Leave Administrator</w:t>
            </w:r>
          </w:p>
        </w:tc>
      </w:tr>
    </w:tbl>
    <w:p>
      <w:pPr>
        <w:pStyle w:val="Heading1"/>
      </w:pPr>
      <w:r>
        <w:t>2. Use Case specifications</w:t>
      </w:r>
    </w:p>
    <w:p>
      <w:pPr>
        <w:pStyle w:val="Heading1"/>
      </w:pPr>
      <w:r>
        <w:t>EL-UC-001 — Apply for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Substitute / Responsibility Holder (when required);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Initiate and submit a valid leave request for an eligible leave category.</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needs to request leave.</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Employee is authenticated and eligible to use ELM; the effective policy and calendar are available.</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Starts a leave application.</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Selects leave category and enters requested period, purpose/reason and required details.</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Provides Station Leave details when applicable.</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Validates category eligibility, entitlement/balance, leave-day counting, overlap and applicable calendar conditions.</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Nominates one substitute when responsibility coverage is required.</w:t>
            </w:r>
          </w:p>
        </w:tc>
      </w:tr>
      <w:tr>
        <w:trPr>
          <w:cantSplit w:val="true"/>
        </w:trPr>
        <w:tc>
          <w:tcPr>
            <w:tcW w:type="dxa" w:w="3408"/>
            <w:vAlign w:val="top"/>
            <w:tcMar>
              <w:top w:w="80" w:type="dxa"/>
              <w:start w:w="90" w:type="dxa"/>
              <w:bottom w:w="80" w:type="dxa"/>
              <w:end w:w="90" w:type="dxa"/>
            </w:tcMar>
          </w:tcPr>
          <w:p>
            <w:r>
              <w:rPr>
                <w:sz w:val="18"/>
              </w:rPr>
              <w:t>6</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Validates the nominee and creates the substitute-response task when required.</w:t>
            </w:r>
          </w:p>
        </w:tc>
      </w:tr>
      <w:tr>
        <w:trPr>
          <w:cantSplit w:val="true"/>
        </w:trPr>
        <w:tc>
          <w:tcPr>
            <w:tcW w:type="dxa" w:w="3408"/>
            <w:vAlign w:val="top"/>
            <w:tcMar>
              <w:top w:w="80" w:type="dxa"/>
              <w:start w:w="90" w:type="dxa"/>
              <w:bottom w:w="80" w:type="dxa"/>
              <w:end w:w="90" w:type="dxa"/>
            </w:tcMar>
          </w:tcPr>
          <w:p>
            <w:r>
              <w:rPr>
                <w:sz w:val="18"/>
              </w:rPr>
              <w:t>7</w:t>
            </w:r>
          </w:p>
        </w:tc>
        <w:tc>
          <w:tcPr>
            <w:tcW w:type="dxa" w:w="3408"/>
            <w:vAlign w:val="top"/>
            <w:tcMar>
              <w:top w:w="80" w:type="dxa"/>
              <w:start w:w="90" w:type="dxa"/>
              <w:bottom w:w="80" w:type="dxa"/>
              <w:end w:w="90" w:type="dxa"/>
            </w:tcMar>
          </w:tcPr>
          <w:p>
            <w:r>
              <w:rPr>
                <w:sz w:val="18"/>
              </w:rPr>
              <w:t>Employee / ELM</w:t>
            </w:r>
          </w:p>
        </w:tc>
        <w:tc>
          <w:tcPr>
            <w:tcW w:type="dxa" w:w="3408"/>
            <w:vAlign w:val="top"/>
            <w:tcMar>
              <w:top w:w="80" w:type="dxa"/>
              <w:start w:w="90" w:type="dxa"/>
              <w:bottom w:w="80" w:type="dxa"/>
              <w:end w:w="90" w:type="dxa"/>
            </w:tcMar>
          </w:tcPr>
          <w:p>
            <w:r>
              <w:rPr>
                <w:sz w:val="18"/>
              </w:rPr>
              <w:t>Initiates submission; approval routing remains blocked until required substitute consent is accepted.</w:t>
            </w:r>
          </w:p>
        </w:tc>
      </w:tr>
      <w:tr>
        <w:trPr>
          <w:cantSplit w:val="true"/>
        </w:trPr>
        <w:tc>
          <w:tcPr>
            <w:tcW w:type="dxa" w:w="3408"/>
            <w:vAlign w:val="top"/>
            <w:tcMar>
              <w:top w:w="80" w:type="dxa"/>
              <w:start w:w="90" w:type="dxa"/>
              <w:bottom w:w="80" w:type="dxa"/>
              <w:end w:w="90" w:type="dxa"/>
            </w:tcMar>
          </w:tcPr>
          <w:p>
            <w:r>
              <w:rPr>
                <w:sz w:val="18"/>
              </w:rPr>
              <w:t>8</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Routes the request into the applicable sanctioning path once all routing gates are satisfied.</w:t>
            </w:r>
          </w:p>
        </w:tc>
      </w:tr>
    </w:tbl>
    <w:p>
      <w:pPr>
        <w:pStyle w:val="Heading2"/>
      </w:pPr>
      <w:r>
        <w:t>Alternative and Exception Behavior</w:t>
      </w:r>
    </w:p>
    <w:p>
      <w:pPr>
        <w:pStyle w:val="ListBullet"/>
      </w:pPr>
      <w:r>
        <w:t>Validation failure prevents progression until corrected.</w:t>
      </w:r>
    </w:p>
    <w:p>
      <w:pPr>
        <w:pStyle w:val="ListBullet"/>
      </w:pPr>
      <w:r>
        <w:t>If substitute assignment is required and the nominee declines, the applicant may nominate another eligible substitute or withdraw.</w:t>
      </w:r>
    </w:p>
    <w:p>
      <w:pPr>
        <w:pStyle w:val="ListBullet"/>
      </w:pPr>
      <w:r>
        <w:t>The Director-as-applicant case follows the Director-specific self-sanction rule rather than the normal Unit Head path.</w:t>
      </w:r>
    </w:p>
    <w:p>
      <w:pPr>
        <w:pStyle w:val="Heading2"/>
      </w:pPr>
      <w:r>
        <w:t>Postcondition</w:t>
      </w:r>
    </w:p>
    <w:p>
      <w:r>
        <w:t>A valid request is recorded; it is either awaiting required substitute consent or has entered the applicable sanctioning path.</w:t>
      </w:r>
    </w:p>
    <w:p>
      <w:pPr>
        <w:pStyle w:val="Heading2"/>
      </w:pPr>
      <w:r>
        <w:t>Conditions and Constraints Embedded in this Use Case</w:t>
      </w:r>
    </w:p>
    <w:p>
      <w:pPr>
        <w:pStyle w:val="ListBullet"/>
      </w:pPr>
      <w:r>
        <w:t>Employees may request only leave categories for which they are eligible under the effective ELM policy.</w:t>
      </w:r>
    </w:p>
    <w:p>
      <w:pPr>
        <w:pStyle w:val="ListBullet"/>
      </w:pPr>
      <w:r>
        <w:t>Each employee receives 8 CL per calendar year. Unused CL lapses at year end.</w:t>
      </w:r>
    </w:p>
    <w:p>
      <w:pPr>
        <w:pStyle w:val="ListBullet"/>
      </w:pPr>
      <w:r>
        <w:t>Each employee receives 2 RH per calendar year. Unused RH lapses at year end. RH must correspond to an applicable published Restricted Holiday.</w:t>
      </w:r>
    </w:p>
    <w:p>
      <w:pPr>
        <w:pStyle w:val="ListBullet"/>
      </w:pPr>
      <w:r>
        <w:t>Each employee may receive up to 15 SCL days per calendar year for an admissible special purpose. Unused SCL does not carry forward. Admissibility is decided by the competent authority.</w:t>
      </w:r>
    </w:p>
    <w:p>
      <w:pPr>
        <w:pStyle w:val="ListBullet"/>
      </w:pPr>
      <w:r>
        <w:t>Each non-faculty employee receives 30 EL per year. Unused EL carries forward.</w:t>
      </w:r>
    </w:p>
    <w:p>
      <w:pPr>
        <w:pStyle w:val="ListBullet"/>
      </w:pPr>
      <w:r>
        <w:t>Each faculty member receives 60 VL associated with published vacation periods in the academic calendar. VL may be availed only during an applicable vacation period.</w:t>
      </w:r>
    </w:p>
    <w:p>
      <w:pPr>
        <w:pStyle w:val="ListBullet"/>
      </w:pPr>
      <w:r>
        <w:t>At year end, all unused faculty VL is converted to EL at 2 VL : 1 EL. Fractional conversion is permitted. VL does not carry forward after conversion.</w:t>
      </w:r>
    </w:p>
    <w:p>
      <w:pPr>
        <w:pStyle w:val="ListBullet"/>
      </w:pPr>
      <w:r>
        <w:t>EL generated through VL conversion is credited to the faculty member's EL balance, carries forward, and may subsequently be availed.</w:t>
      </w:r>
    </w:p>
    <w:p>
      <w:pPr>
        <w:pStyle w:val="ListBullet"/>
      </w:pPr>
      <w:r>
        <w:t>Each eligible employee receives 20 COL days per year in the canonical case. Unused COL carries forward. COL is treated as medical/balance-controlled leave and may require supporting medical evidence.</w:t>
      </w:r>
    </w:p>
    <w:p>
      <w:pPr>
        <w:pStyle w:val="ListBullet"/>
      </w:pPr>
      <w:r>
        <w:t>CL may be taken for the first or second half of a day. A half-day CL consumes 0.5 CL day.</w:t>
      </w:r>
    </w:p>
    <w:p>
      <w:pPr>
        <w:pStyle w:val="ListBullet"/>
      </w:pPr>
      <w:r>
        <w:t>For EL, COL and VL, intervening weekends and closed holidays inside a continuous approved leave interval count as leave days. This rule does not apply to CL, SCL or RH.</w:t>
      </w:r>
    </w:p>
    <w:p>
      <w:pPr>
        <w:pStyle w:val="ListBullet"/>
      </w:pPr>
      <w:r>
        <w:t>A new or modified leave request must not overlap impermissibly with another active pending or approved leave for the same employee. Two half-day CL requests on the same date do not overlap if they occupy different halves.</w:t>
      </w:r>
    </w:p>
    <w:p>
      <w:pPr>
        <w:pStyle w:val="ListBullet"/>
      </w:pPr>
      <w:r>
        <w:t>Station Leave is captured within the same leave application whenever the employee will be outside Jabalpur. It is not a separate leave-request workflow.</w:t>
      </w:r>
    </w:p>
    <w:p>
      <w:pPr>
        <w:pStyle w:val="ListBullet"/>
      </w:pPr>
      <w:r>
        <w:t>A substitute must be an employee other than the applicant and must not have an overlapping pending or approved leave during the responsibility period.</w:t>
      </w:r>
    </w:p>
    <w:p>
      <w:pPr>
        <w:pStyle w:val="ListBullet"/>
      </w:pPr>
      <w:r>
        <w:t>Where substitute assignment is required, the request must not proceed to approval routing until the nominated substitute accepts.</w:t>
      </w:r>
    </w:p>
    <w:p>
      <w:pPr>
        <w:pStyle w:val="ListBullet"/>
      </w:pPr>
      <w:r>
        <w:t>Validation and routing use the currently effective published policy and hierarchy parameters.</w:t>
      </w:r>
    </w:p>
    <w:p>
      <w:pPr>
        <w:pStyle w:val="ListBullet"/>
      </w:pPr>
      <w:r>
        <w:t>Date and RH validations use the currently effective published holiday/RH calendar.</w:t>
      </w:r>
    </w:p>
    <w:p/>
    <w:p>
      <w:pPr>
        <w:pStyle w:val="Heading1"/>
      </w:pPr>
      <w:r>
        <w:t>EL-UC-002 — Respond to Substitute Request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Substitute / Responsibility Holder</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Employee;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Accept or decline nominated responsibility during the applicant’s absence.</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The actor is nominated as substitute for a leave request requiring coverage.</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A leave request requires substitute consent and the nominee has passed the available eligibility checks.</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Substitute</w:t>
            </w:r>
          </w:p>
        </w:tc>
        <w:tc>
          <w:tcPr>
            <w:tcW w:type="dxa" w:w="3408"/>
            <w:vAlign w:val="top"/>
            <w:tcMar>
              <w:top w:w="80" w:type="dxa"/>
              <w:start w:w="90" w:type="dxa"/>
              <w:bottom w:w="80" w:type="dxa"/>
              <w:end w:w="90" w:type="dxa"/>
            </w:tcMar>
          </w:tcPr>
          <w:p>
            <w:r>
              <w:rPr>
                <w:sz w:val="18"/>
              </w:rPr>
              <w:t>Reviews the applicant, responsibility period and nominated responsibility.</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Substitute</w:t>
            </w:r>
          </w:p>
        </w:tc>
        <w:tc>
          <w:tcPr>
            <w:tcW w:type="dxa" w:w="3408"/>
            <w:vAlign w:val="top"/>
            <w:tcMar>
              <w:top w:w="80" w:type="dxa"/>
              <w:start w:w="90" w:type="dxa"/>
              <w:bottom w:w="80" w:type="dxa"/>
              <w:end w:w="90" w:type="dxa"/>
            </w:tcMar>
          </w:tcPr>
          <w:p>
            <w:r>
              <w:rPr>
                <w:sz w:val="18"/>
              </w:rPr>
              <w:t>Accepts or declines the assignment.</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Records the response.</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If accepted, releases the substitute-consent routing gate.</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If declined, informs the applicant; approval routing remains blocked.</w:t>
            </w:r>
          </w:p>
        </w:tc>
      </w:tr>
    </w:tbl>
    <w:p>
      <w:pPr>
        <w:pStyle w:val="Heading2"/>
      </w:pPr>
      <w:r>
        <w:t>Alternative and Exception Behavior</w:t>
      </w:r>
    </w:p>
    <w:p>
      <w:pPr>
        <w:pStyle w:val="ListBullet"/>
      </w:pPr>
      <w:r>
        <w:t>Decline allows the applicant to nominate another eligible substitute or withdraw.</w:t>
      </w:r>
    </w:p>
    <w:p>
      <w:pPr>
        <w:pStyle w:val="ListBullet"/>
      </w:pPr>
      <w:r>
        <w:t>A nominee who no longer satisfies substitute eligibility cannot release the routing gate.</w:t>
      </w:r>
    </w:p>
    <w:p>
      <w:pPr>
        <w:pStyle w:val="Heading2"/>
      </w:pPr>
      <w:r>
        <w:t>Postcondition</w:t>
      </w:r>
    </w:p>
    <w:p>
      <w:r>
        <w:t>The substitute response is recorded; accepted consent permits the leave request to proceed through its approval path.</w:t>
      </w:r>
    </w:p>
    <w:p>
      <w:pPr>
        <w:pStyle w:val="Heading2"/>
      </w:pPr>
      <w:r>
        <w:t>Conditions and Constraints Embedded in this Use Case</w:t>
      </w:r>
    </w:p>
    <w:p>
      <w:pPr>
        <w:pStyle w:val="ListBullet"/>
      </w:pPr>
      <w:r>
        <w:t>A substitute must be an employee other than the applicant and must not have an overlapping pending or approved leave during the responsibility period.</w:t>
      </w:r>
    </w:p>
    <w:p>
      <w:pPr>
        <w:pStyle w:val="ListBullet"/>
      </w:pPr>
      <w:r>
        <w:t>Where substitute assignment is required, the request must not proceed to approval routing until the nominated substitute accepts.</w:t>
      </w:r>
    </w:p>
    <w:p/>
    <w:p>
      <w:pPr>
        <w:pStyle w:val="Heading1"/>
      </w:pPr>
      <w:r>
        <w:t>EL-UC-003 — Unit Head Review</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Unit Head</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Employee;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Review a request requiring Unit Head action and record the decision permitted by leave category.</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 request requiring Unit Head review reaches the applicant’s Unit Head.</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request has satisfied the routing gates that precede Unit Head review.</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Unit Head</w:t>
            </w:r>
          </w:p>
        </w:tc>
        <w:tc>
          <w:tcPr>
            <w:tcW w:type="dxa" w:w="3408"/>
            <w:vAlign w:val="top"/>
            <w:tcMar>
              <w:top w:w="80" w:type="dxa"/>
              <w:start w:w="90" w:type="dxa"/>
              <w:bottom w:w="80" w:type="dxa"/>
              <w:end w:w="90" w:type="dxa"/>
            </w:tcMar>
          </w:tcPr>
          <w:p>
            <w:r>
              <w:rPr>
                <w:sz w:val="18"/>
              </w:rPr>
              <w:t>Reviews the routed request.</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Unit Head / ELM</w:t>
            </w:r>
          </w:p>
        </w:tc>
        <w:tc>
          <w:tcPr>
            <w:tcW w:type="dxa" w:w="3408"/>
            <w:vAlign w:val="top"/>
            <w:tcMar>
              <w:top w:w="80" w:type="dxa"/>
              <w:start w:w="90" w:type="dxa"/>
              <w:bottom w:w="80" w:type="dxa"/>
              <w:end w:w="90" w:type="dxa"/>
            </w:tcMar>
          </w:tcPr>
          <w:p>
            <w:r>
              <w:rPr>
                <w:sz w:val="18"/>
              </w:rPr>
              <w:t>For CL/RH, records Approve or Reject.</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Unit Head / ELM</w:t>
            </w:r>
          </w:p>
        </w:tc>
        <w:tc>
          <w:tcPr>
            <w:tcW w:type="dxa" w:w="3408"/>
            <w:vAlign w:val="top"/>
            <w:tcMar>
              <w:top w:w="80" w:type="dxa"/>
              <w:start w:w="90" w:type="dxa"/>
              <w:bottom w:w="80" w:type="dxa"/>
              <w:end w:w="90" w:type="dxa"/>
            </w:tcMar>
          </w:tcPr>
          <w:p>
            <w:r>
              <w:rPr>
                <w:sz w:val="18"/>
              </w:rPr>
              <w:t>For SCL/EL/COL/VL, records Recommended or Not Recommended.</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For higher-sanction leave, continues through the configured hierarchy.</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For finally approved CL/RH, records the approved leave effect and notifies concerned participants.</w:t>
            </w:r>
          </w:p>
        </w:tc>
      </w:tr>
    </w:tbl>
    <w:p>
      <w:pPr>
        <w:pStyle w:val="Heading2"/>
      </w:pPr>
      <w:r>
        <w:t>Alternative and Exception Behavior</w:t>
      </w:r>
    </w:p>
    <w:p>
      <w:pPr>
        <w:pStyle w:val="ListBullet"/>
      </w:pPr>
      <w:r>
        <w:t>CL/RH terminate at the Unit Head final decision.</w:t>
      </w:r>
    </w:p>
    <w:p>
      <w:pPr>
        <w:pStyle w:val="ListBullet"/>
      </w:pPr>
      <w:r>
        <w:t>SCL/EL/COL/VL continue after either Recommended or Not Recommended; Unit Head does not make the final rejection decision for those categories.</w:t>
      </w:r>
    </w:p>
    <w:p>
      <w:pPr>
        <w:pStyle w:val="Heading2"/>
      </w:pPr>
      <w:r>
        <w:t>Postcondition</w:t>
      </w:r>
    </w:p>
    <w:p>
      <w:r>
        <w:t>CL/RH has a final Unit Head decision, or higher-sanction leave carries the Unit Head recommendation status into the next configured routing stage.</w:t>
      </w:r>
    </w:p>
    <w:p>
      <w:pPr>
        <w:pStyle w:val="Heading2"/>
      </w:pPr>
      <w:r>
        <w:t>Conditions and Constraints Embedded in this Use Case</w:t>
      </w:r>
    </w:p>
    <w:p>
      <w:pPr>
        <w:pStyle w:val="ListBullet"/>
      </w:pPr>
      <w:r>
        <w:t>For CL and RH, including associated Station Leave, the Unit Head is the final sanctioning authority in the canonical case.</w:t>
      </w:r>
    </w:p>
    <w:p>
      <w:pPr>
        <w:pStyle w:val="ListBullet"/>
      </w:pPr>
      <w:r>
        <w:t>For SCL, EL, COL and VL, the Unit Head reviews the request and records Recommended or Not Recommended. The Unit Head does not make the final rejection decision for these leave categories.</w:t>
      </w:r>
    </w:p>
    <w:p>
      <w:pPr>
        <w:pStyle w:val="ListBullet"/>
      </w:pPr>
      <w:r>
        <w:t>SCL, EL, COL and VL proceed after Unit Head review through the configured hierarchy to the appropriate final Sanctioning Authority.</w:t>
      </w:r>
    </w:p>
    <w:p>
      <w:pPr>
        <w:pStyle w:val="ListBullet"/>
      </w:pPr>
      <w:r>
        <w:t>The system resolves the processing/sanctioning path from applicant, organizational unit, designation/role, leave category and the currently effective hierarchy configuration. Named roles may include Deputy Registrar (Estt.), Dean, Registrar and Director; an Establishment processing step occurs where configured.</w:t>
      </w:r>
    </w:p>
    <w:p>
      <w:pPr>
        <w:pStyle w:val="ListBullet"/>
      </w:pPr>
      <w:r>
        <w:t>When the Director is the applicant, the Director-specific self-sanction rule governs the sanctioning path.</w:t>
      </w:r>
    </w:p>
    <w:p>
      <w:pPr>
        <w:pStyle w:val="ListBullet"/>
      </w:pPr>
      <w:r>
        <w:t>Validation and routing use the currently effective published policy and hierarchy parameters.</w:t>
      </w:r>
    </w:p>
    <w:p/>
    <w:p>
      <w:pPr>
        <w:pStyle w:val="Heading1"/>
      </w:pPr>
      <w:r>
        <w:t>EL-UC-004 — Establishment Review / Routing</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Deputy Registrar (Estt.) / configured Establishment role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Unit Head; Sanctioning Authority;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Where configured, verify routing context and forward higher-sanction leave to the competent authority.</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 higher-sanction request enters a configured Establishment-processing step after Unit Head review.</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configured hierarchy requires Establishment processing and a Unit Head recommendation status has been recorded.</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Establishment role</w:t>
            </w:r>
          </w:p>
        </w:tc>
        <w:tc>
          <w:tcPr>
            <w:tcW w:type="dxa" w:w="3408"/>
            <w:vAlign w:val="top"/>
            <w:tcMar>
              <w:top w:w="80" w:type="dxa"/>
              <w:start w:w="90" w:type="dxa"/>
              <w:bottom w:w="80" w:type="dxa"/>
              <w:end w:w="90" w:type="dxa"/>
            </w:tcMar>
          </w:tcPr>
          <w:p>
            <w:r>
              <w:rPr>
                <w:sz w:val="18"/>
              </w:rPr>
              <w:t>Reviews request, employee record and applicable policy context.</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Establishment role / ELM</w:t>
            </w:r>
          </w:p>
        </w:tc>
        <w:tc>
          <w:tcPr>
            <w:tcW w:type="dxa" w:w="3408"/>
            <w:vAlign w:val="top"/>
            <w:tcMar>
              <w:top w:w="80" w:type="dxa"/>
              <w:start w:w="90" w:type="dxa"/>
              <w:bottom w:w="80" w:type="dxa"/>
              <w:end w:w="90" w:type="dxa"/>
            </w:tcMar>
          </w:tcPr>
          <w:p>
            <w:r>
              <w:rPr>
                <w:sz w:val="18"/>
              </w:rPr>
              <w:t>Resolves or verifies the competent authority under the effective hierarchy.</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Routes the request to the resolved competent authority.</w:t>
            </w:r>
          </w:p>
        </w:tc>
      </w:tr>
    </w:tbl>
    <w:p>
      <w:pPr>
        <w:pStyle w:val="Heading2"/>
      </w:pPr>
      <w:r>
        <w:t>Alternative and Exception Behavior</w:t>
      </w:r>
    </w:p>
    <w:p>
      <w:pPr>
        <w:pStyle w:val="ListBullet"/>
      </w:pPr>
      <w:r>
        <w:t>The authority path varies by applicant, unit, designation/role, leave category and effective configuration.</w:t>
      </w:r>
    </w:p>
    <w:p>
      <w:pPr>
        <w:pStyle w:val="ListBullet"/>
      </w:pPr>
      <w:r>
        <w:t>If the configured path does not require Establishment processing, the request proceeds to the next configured authority without this use case.</w:t>
      </w:r>
    </w:p>
    <w:p>
      <w:pPr>
        <w:pStyle w:val="Heading2"/>
      </w:pPr>
      <w:r>
        <w:t>Postcondition</w:t>
      </w:r>
    </w:p>
    <w:p>
      <w:r>
        <w:t>The request is routed to the resolved competent authority.</w:t>
      </w:r>
    </w:p>
    <w:p>
      <w:pPr>
        <w:pStyle w:val="Heading2"/>
      </w:pPr>
      <w:r>
        <w:t>Conditions and Constraints Embedded in this Use Case</w:t>
      </w:r>
    </w:p>
    <w:p>
      <w:pPr>
        <w:pStyle w:val="ListBullet"/>
      </w:pPr>
      <w:r>
        <w:t>For SCL, EL, COL and VL, the Unit Head reviews the request and records Recommended or Not Recommended. The Unit Head does not make the final rejection decision for these leave categories.</w:t>
      </w:r>
    </w:p>
    <w:p>
      <w:pPr>
        <w:pStyle w:val="ListBullet"/>
      </w:pPr>
      <w:r>
        <w:t>SCL, EL, COL and VL proceed after Unit Head review through the configured hierarchy to the appropriate final Sanctioning Authority.</w:t>
      </w:r>
    </w:p>
    <w:p>
      <w:pPr>
        <w:pStyle w:val="ListBullet"/>
      </w:pPr>
      <w:r>
        <w:t>The system resolves the processing/sanctioning path from applicant, organizational unit, designation/role, leave category and the currently effective hierarchy configuration. Named roles may include Deputy Registrar (Estt.), Dean, Registrar and Director; an Establishment processing step occurs where configured.</w:t>
      </w:r>
    </w:p>
    <w:p>
      <w:pPr>
        <w:pStyle w:val="ListBullet"/>
      </w:pPr>
      <w:r>
        <w:t>When the Director is the applicant, the Director-specific self-sanction rule governs the sanctioning path.</w:t>
      </w:r>
    </w:p>
    <w:p>
      <w:pPr>
        <w:pStyle w:val="ListBullet"/>
      </w:pPr>
      <w:r>
        <w:t>Validation and routing use the currently effective published policy and hierarchy parameters.</w:t>
      </w:r>
    </w:p>
    <w:p/>
    <w:p>
      <w:pPr>
        <w:pStyle w:val="Heading1"/>
      </w:pPr>
      <w:r>
        <w:t>EL-UC-005 — Final Sanctioning Decision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Dean / Registrar / Director / other configured competent authority</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Unit Head; Establishment role where configured; Employee;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Make the final sanctioning decision for a higher-sanction leave request.</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 higher-sanction request reaches the resolved competent authority, or the Director-specific self-sanction case requires the Director’s own decision.</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applicable preceding review/routing conditions are complete, except as governed by the Director-specific self-sanction rule.</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Sanctioning Authority</w:t>
            </w:r>
          </w:p>
        </w:tc>
        <w:tc>
          <w:tcPr>
            <w:tcW w:type="dxa" w:w="3408"/>
            <w:vAlign w:val="top"/>
            <w:tcMar>
              <w:top w:w="80" w:type="dxa"/>
              <w:start w:w="90" w:type="dxa"/>
              <w:bottom w:w="80" w:type="dxa"/>
              <w:end w:w="90" w:type="dxa"/>
            </w:tcMar>
          </w:tcPr>
          <w:p>
            <w:r>
              <w:rPr>
                <w:sz w:val="18"/>
              </w:rPr>
              <w:t>Reviews the request and available recommendation/routing context.</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Sanctioning Authority</w:t>
            </w:r>
          </w:p>
        </w:tc>
        <w:tc>
          <w:tcPr>
            <w:tcW w:type="dxa" w:w="3408"/>
            <w:vAlign w:val="top"/>
            <w:tcMar>
              <w:top w:w="80" w:type="dxa"/>
              <w:start w:w="90" w:type="dxa"/>
              <w:bottom w:w="80" w:type="dxa"/>
              <w:end w:w="90" w:type="dxa"/>
            </w:tcMar>
          </w:tcPr>
          <w:p>
            <w:r>
              <w:rPr>
                <w:sz w:val="18"/>
              </w:rPr>
              <w:t>Approves or rejects.</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Records the final decision.</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On approval, updates the employee’s leave record/account.</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Notifies the employee and concerned roles of the final decision.</w:t>
            </w:r>
          </w:p>
        </w:tc>
      </w:tr>
    </w:tbl>
    <w:p>
      <w:pPr>
        <w:pStyle w:val="Heading2"/>
      </w:pPr>
      <w:r>
        <w:t>Alternative and Exception Behavior</w:t>
      </w:r>
    </w:p>
    <w:p>
      <w:pPr>
        <w:pStyle w:val="ListBullet"/>
      </w:pPr>
      <w:r>
        <w:t>Approve records the leave effect; Reject ends the request as rejected.</w:t>
      </w:r>
    </w:p>
    <w:p>
      <w:pPr>
        <w:pStyle w:val="ListBullet"/>
      </w:pPr>
      <w:r>
        <w:t>Director-as-applicant follows the Director-specific self-sanction rule.</w:t>
      </w:r>
    </w:p>
    <w:p>
      <w:pPr>
        <w:pStyle w:val="Heading2"/>
      </w:pPr>
      <w:r>
        <w:t>Postcondition</w:t>
      </w:r>
    </w:p>
    <w:p>
      <w:r>
        <w:t>The final decision is recorded; an approved request updates the leave record/account and concerned participants are informed.</w:t>
      </w:r>
    </w:p>
    <w:p>
      <w:pPr>
        <w:pStyle w:val="Heading2"/>
      </w:pPr>
      <w:r>
        <w:t>Conditions and Constraints Embedded in this Use Case</w:t>
      </w:r>
    </w:p>
    <w:p>
      <w:pPr>
        <w:pStyle w:val="ListBullet"/>
      </w:pPr>
      <w:r>
        <w:t>For SCL, EL, COL and VL, the Unit Head reviews the request and records Recommended or Not Recommended. The Unit Head does not make the final rejection decision for these leave categories.</w:t>
      </w:r>
    </w:p>
    <w:p>
      <w:pPr>
        <w:pStyle w:val="ListBullet"/>
      </w:pPr>
      <w:r>
        <w:t>SCL, EL, COL and VL proceed after Unit Head review through the configured hierarchy to the appropriate final Sanctioning Authority.</w:t>
      </w:r>
    </w:p>
    <w:p>
      <w:pPr>
        <w:pStyle w:val="ListBullet"/>
      </w:pPr>
      <w:r>
        <w:t>The system resolves the processing/sanctioning path from applicant, organizational unit, designation/role, leave category and the currently effective hierarchy configuration. Named roles may include Deputy Registrar (Estt.), Dean, Registrar and Director; an Establishment processing step occurs where configured.</w:t>
      </w:r>
    </w:p>
    <w:p>
      <w:pPr>
        <w:pStyle w:val="ListBullet"/>
      </w:pPr>
      <w:r>
        <w:t>When the Director is the applicant, the Director-specific self-sanction rule governs the sanctioning path.</w:t>
      </w:r>
    </w:p>
    <w:p>
      <w:pPr>
        <w:pStyle w:val="ListBullet"/>
      </w:pPr>
      <w:r>
        <w:t>Validation and routing use the currently effective published policy and hierarchy parameters.</w:t>
      </w:r>
    </w:p>
    <w:p/>
    <w:p>
      <w:pPr>
        <w:pStyle w:val="Heading1"/>
      </w:pPr>
      <w:r>
        <w:t>EL-UC-006 — Modify Pending Request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Substitute; approval participants as applicable;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Modify an eligible pending leave request and return the revised request to a valid approval path.</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opens a pending request whose status permits modification.</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request has not received final approval and its current status permits modification.</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Opens a modifiable pending request and changes permitted data.</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Revalidates the revised request.</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Supersedes substitute/review/sanction tasks made obsolete by the modification.</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Obtains fresh substitute consent where required.</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Reroutes the revised request from the appropriate point in the effective approval path.</w:t>
            </w:r>
          </w:p>
        </w:tc>
      </w:tr>
    </w:tbl>
    <w:p>
      <w:pPr>
        <w:pStyle w:val="Heading2"/>
      </w:pPr>
      <w:r>
        <w:t>Alternative and Exception Behavior</w:t>
      </w:r>
    </w:p>
    <w:p>
      <w:pPr>
        <w:pStyle w:val="ListBullet"/>
      </w:pPr>
      <w:r>
        <w:t>If the request is no longer modifiable, modification is refused.</w:t>
      </w:r>
    </w:p>
    <w:p>
      <w:pPr>
        <w:pStyle w:val="ListBullet"/>
      </w:pPr>
      <w:r>
        <w:t>Changes that alter eligibility, calendar, substitute or authority context are re-evaluated under the applicable conditions.</w:t>
      </w:r>
    </w:p>
    <w:p>
      <w:pPr>
        <w:pStyle w:val="Heading2"/>
      </w:pPr>
      <w:r>
        <w:t>Postcondition</w:t>
      </w:r>
    </w:p>
    <w:p>
      <w:r>
        <w:t>The revised request is revalidated and either rejected as invalid or returned to the appropriate pending approval path.</w:t>
      </w:r>
    </w:p>
    <w:p>
      <w:pPr>
        <w:pStyle w:val="Heading2"/>
      </w:pPr>
      <w:r>
        <w:t>Conditions and Constraints Embedded in this Use Case</w:t>
      </w:r>
    </w:p>
    <w:p>
      <w:pPr>
        <w:pStyle w:val="ListBullet"/>
      </w:pPr>
      <w:r>
        <w:t>Employees may request only leave categories for which they are eligible under the effective ELM policy.</w:t>
      </w:r>
    </w:p>
    <w:p>
      <w:pPr>
        <w:pStyle w:val="ListBullet"/>
      </w:pPr>
      <w:r>
        <w:t>Each employee receives 8 CL per calendar year. Unused CL lapses at year end.</w:t>
      </w:r>
    </w:p>
    <w:p>
      <w:pPr>
        <w:pStyle w:val="ListBullet"/>
      </w:pPr>
      <w:r>
        <w:t>Each employee receives 2 RH per calendar year. Unused RH lapses at year end. RH must correspond to an applicable published Restricted Holiday.</w:t>
      </w:r>
    </w:p>
    <w:p>
      <w:pPr>
        <w:pStyle w:val="ListBullet"/>
      </w:pPr>
      <w:r>
        <w:t>Each employee may receive up to 15 SCL days per calendar year for an admissible special purpose. Unused SCL does not carry forward. Admissibility is decided by the competent authority.</w:t>
      </w:r>
    </w:p>
    <w:p>
      <w:pPr>
        <w:pStyle w:val="ListBullet"/>
      </w:pPr>
      <w:r>
        <w:t>Each non-faculty employee receives 30 EL per year. Unused EL carries forward.</w:t>
      </w:r>
    </w:p>
    <w:p>
      <w:pPr>
        <w:pStyle w:val="ListBullet"/>
      </w:pPr>
      <w:r>
        <w:t>Each faculty member receives 60 VL associated with published vacation periods in the academic calendar. VL may be availed only during an applicable vacation period.</w:t>
      </w:r>
    </w:p>
    <w:p>
      <w:pPr>
        <w:pStyle w:val="ListBullet"/>
      </w:pPr>
      <w:r>
        <w:t>At year end, all unused faculty VL is converted to EL at 2 VL : 1 EL. Fractional conversion is permitted. VL does not carry forward after conversion.</w:t>
      </w:r>
    </w:p>
    <w:p>
      <w:pPr>
        <w:pStyle w:val="ListBullet"/>
      </w:pPr>
      <w:r>
        <w:t>EL generated through VL conversion is credited to the faculty member's EL balance, carries forward, and may subsequently be availed.</w:t>
      </w:r>
    </w:p>
    <w:p>
      <w:pPr>
        <w:pStyle w:val="ListBullet"/>
      </w:pPr>
      <w:r>
        <w:t>Each eligible employee receives 20 COL days per year in the canonical case. Unused COL carries forward. COL is treated as medical/balance-controlled leave and may require supporting medical evidence.</w:t>
      </w:r>
    </w:p>
    <w:p>
      <w:pPr>
        <w:pStyle w:val="ListBullet"/>
      </w:pPr>
      <w:r>
        <w:t>CL may be taken for the first or second half of a day. A half-day CL consumes 0.5 CL day.</w:t>
      </w:r>
    </w:p>
    <w:p>
      <w:pPr>
        <w:pStyle w:val="ListBullet"/>
      </w:pPr>
      <w:r>
        <w:t>For EL, COL and VL, intervening weekends and closed holidays inside a continuous approved leave interval count as leave days. This rule does not apply to CL, SCL or RH.</w:t>
      </w:r>
    </w:p>
    <w:p>
      <w:pPr>
        <w:pStyle w:val="ListBullet"/>
      </w:pPr>
      <w:r>
        <w:t>A new or modified leave request must not overlap impermissibly with another active pending or approved leave for the same employee. Two half-day CL requests on the same date do not overlap if they occupy different halves.</w:t>
      </w:r>
    </w:p>
    <w:p>
      <w:pPr>
        <w:pStyle w:val="ListBullet"/>
      </w:pPr>
      <w:r>
        <w:t>Station Leave is captured within the same leave application whenever the employee will be outside Jabalpur. It is not a separate leave-request workflow.</w:t>
      </w:r>
    </w:p>
    <w:p>
      <w:pPr>
        <w:pStyle w:val="ListBullet"/>
      </w:pPr>
      <w:r>
        <w:t>A substitute must be an employee other than the applicant and must not have an overlapping pending or approved leave during the responsibility period.</w:t>
      </w:r>
    </w:p>
    <w:p>
      <w:pPr>
        <w:pStyle w:val="ListBullet"/>
      </w:pPr>
      <w:r>
        <w:t>Where substitute assignment is required, the request must not proceed to approval routing until the nominated substitute accepts.</w:t>
      </w:r>
    </w:p>
    <w:p>
      <w:pPr>
        <w:pStyle w:val="ListBullet"/>
      </w:pPr>
      <w:r>
        <w:t>For CL and RH, including associated Station Leave, the Unit Head is the final sanctioning authority in the canonical case.</w:t>
      </w:r>
    </w:p>
    <w:p>
      <w:pPr>
        <w:pStyle w:val="ListBullet"/>
      </w:pPr>
      <w:r>
        <w:t>For SCL, EL, COL and VL, the Unit Head reviews the request and records Recommended or Not Recommended. The Unit Head does not make the final rejection decision for these leave categories.</w:t>
      </w:r>
    </w:p>
    <w:p>
      <w:pPr>
        <w:pStyle w:val="ListBullet"/>
      </w:pPr>
      <w:r>
        <w:t>SCL, EL, COL and VL proceed after Unit Head review through the configured hierarchy to the appropriate final Sanctioning Authority.</w:t>
      </w:r>
    </w:p>
    <w:p>
      <w:pPr>
        <w:pStyle w:val="ListBullet"/>
      </w:pPr>
      <w:r>
        <w:t>The system resolves the processing/sanctioning path from applicant, organizational unit, designation/role, leave category and the currently effective hierarchy configuration. Named roles may include Deputy Registrar (Estt.), Dean, Registrar and Director; an Establishment processing step occurs where configured.</w:t>
      </w:r>
    </w:p>
    <w:p>
      <w:pPr>
        <w:pStyle w:val="ListBullet"/>
      </w:pPr>
      <w:r>
        <w:t>When the Director is the applicant, the Director-specific self-sanction rule governs the sanctioning path.</w:t>
      </w:r>
    </w:p>
    <w:p>
      <w:pPr>
        <w:pStyle w:val="ListBullet"/>
      </w:pPr>
      <w:r>
        <w:t>A pending request may be modified only before final approval and while its current status permits modification. Modified data must be revalidated and invalidated substitute/approval tasks must be superseded.</w:t>
      </w:r>
    </w:p>
    <w:p>
      <w:pPr>
        <w:pStyle w:val="ListBullet"/>
      </w:pPr>
      <w:r>
        <w:t>Validation and routing use the currently effective published policy and hierarchy parameters.</w:t>
      </w:r>
    </w:p>
    <w:p>
      <w:pPr>
        <w:pStyle w:val="ListBullet"/>
      </w:pPr>
      <w:r>
        <w:t>Date and RH validations use the currently effective published holiday/RH calendar.</w:t>
      </w:r>
    </w:p>
    <w:p/>
    <w:p>
      <w:pPr>
        <w:pStyle w:val="Heading1"/>
      </w:pPr>
      <w:r>
        <w:t>EL-UC-007 — Withdraw Pending Request</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Concerned workflow participants;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Withdraw a pending leave request before final approval.</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selects Withdraw on a pending request.</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request is pending and not finally approved.</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Selects an eligible pending request and requests withdrawal.</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Marks the request Withdrawn immediately.</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Closes/cancels pending workflow tasks.</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Notifies concerned participants.</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Prevents later approval/rejection action on the withdrawn request.</w:t>
            </w:r>
          </w:p>
        </w:tc>
      </w:tr>
    </w:tbl>
    <w:p>
      <w:pPr>
        <w:pStyle w:val="Heading2"/>
      </w:pPr>
      <w:r>
        <w:t>Alternative and Exception Behavior</w:t>
      </w:r>
    </w:p>
    <w:p>
      <w:pPr>
        <w:pStyle w:val="ListBullet"/>
      </w:pPr>
      <w:r>
        <w:t>A finally approved request cannot be withdrawn; approved-leave cancellation applies instead.</w:t>
      </w:r>
    </w:p>
    <w:p>
      <w:pPr>
        <w:pStyle w:val="Heading2"/>
      </w:pPr>
      <w:r>
        <w:t>Postcondition</w:t>
      </w:r>
    </w:p>
    <w:p>
      <w:r>
        <w:t>The request is Withdrawn, pending tasks are closed, and no later approval/rejection action is permitted.</w:t>
      </w:r>
    </w:p>
    <w:p>
      <w:pPr>
        <w:pStyle w:val="Heading2"/>
      </w:pPr>
      <w:r>
        <w:t>Conditions and Constraints Embedded in this Use Case</w:t>
      </w:r>
    </w:p>
    <w:p>
      <w:pPr>
        <w:pStyle w:val="ListBullet"/>
      </w:pPr>
      <w:r>
        <w:t>An employee may withdraw a request at any time before final approval. Withdrawal becomes effective immediately, pending tasks are closed/cancelled, and concerned users/roles are informed.</w:t>
      </w:r>
    </w:p>
    <w:p/>
    <w:p>
      <w:pPr>
        <w:pStyle w:val="Heading1"/>
      </w:pPr>
      <w:r>
        <w:t>EL-UC-008 — Request Cancellation of Approved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Unit Head; Establishment/Sanctioning roles as applicable;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Request cancellation of an approved leave before it begins.</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selects an approved leave that has not started and requests cancellation.</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leave is approved and its approved interval has not begun.</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Requests cancellation of the approved leave.</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Checks cancellation eligibility.</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 / Approvers</w:t>
            </w:r>
          </w:p>
        </w:tc>
        <w:tc>
          <w:tcPr>
            <w:tcW w:type="dxa" w:w="3408"/>
            <w:vAlign w:val="top"/>
            <w:tcMar>
              <w:top w:w="80" w:type="dxa"/>
              <w:start w:w="90" w:type="dxa"/>
              <w:bottom w:w="80" w:type="dxa"/>
              <w:end w:w="90" w:type="dxa"/>
            </w:tcMar>
          </w:tcPr>
          <w:p>
            <w:r>
              <w:rPr>
                <w:sz w:val="18"/>
              </w:rPr>
              <w:t>Processes cancellation through the same hierarchy applicable to the original leave.</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Final authority / ELM</w:t>
            </w:r>
          </w:p>
        </w:tc>
        <w:tc>
          <w:tcPr>
            <w:tcW w:type="dxa" w:w="3408"/>
            <w:vAlign w:val="top"/>
            <w:tcMar>
              <w:top w:w="80" w:type="dxa"/>
              <w:start w:w="90" w:type="dxa"/>
              <w:bottom w:w="80" w:type="dxa"/>
              <w:end w:w="90" w:type="dxa"/>
            </w:tcMar>
          </w:tcPr>
          <w:p>
            <w:r>
              <w:rPr>
                <w:sz w:val="18"/>
              </w:rPr>
              <w:t>Records the final cancellation decision.</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If approved, reverses/adjusts the original approved leave effect and marks the leave cancelled.</w:t>
            </w:r>
          </w:p>
        </w:tc>
      </w:tr>
    </w:tbl>
    <w:p>
      <w:pPr>
        <w:pStyle w:val="Heading2"/>
      </w:pPr>
      <w:r>
        <w:t>Alternative and Exception Behavior</w:t>
      </w:r>
    </w:p>
    <w:p>
      <w:pPr>
        <w:pStyle w:val="ListBullet"/>
      </w:pPr>
      <w:r>
        <w:t>Rejected cancellation leaves the original leave Approved.</w:t>
      </w:r>
    </w:p>
    <w:p>
      <w:pPr>
        <w:pStyle w:val="ListBullet"/>
      </w:pPr>
      <w:r>
        <w:t>Once leave has begun, extension/resumption processes apply instead of pre-start cancellation.</w:t>
      </w:r>
    </w:p>
    <w:p>
      <w:pPr>
        <w:pStyle w:val="ListBullet"/>
      </w:pPr>
      <w:r>
        <w:t>If revised leave is needed after cancellation, a fresh application is submitted; the approved leave is not edited in place.</w:t>
      </w:r>
    </w:p>
    <w:p>
      <w:pPr>
        <w:pStyle w:val="Heading2"/>
      </w:pPr>
      <w:r>
        <w:t>Postcondition</w:t>
      </w:r>
    </w:p>
    <w:p>
      <w:r>
        <w:t>The final cancellation decision is recorded; approved cancellation reverses/adjusts the original leave effect, while rejected cancellation preserves it.</w:t>
      </w:r>
    </w:p>
    <w:p>
      <w:pPr>
        <w:pStyle w:val="Heading2"/>
      </w:pPr>
      <w:r>
        <w:t>Conditions and Constraints Embedded in this Use Case</w:t>
      </w:r>
    </w:p>
    <w:p>
      <w:pPr>
        <w:pStyle w:val="ListBullet"/>
      </w:pPr>
      <w:r>
        <w:t>An approved leave may be cancelled only before the approved leave begins. Cancellation follows the same review/recommendation/sanction hierarchy applicable to the original leave.</w:t>
      </w:r>
    </w:p>
    <w:p>
      <w:pPr>
        <w:pStyle w:val="ListBullet"/>
      </w:pPr>
      <w:r>
        <w:t>If revised leave is required after cancellation of an approved leave, the employee submits a fresh leave application. The approved leave is not edited in place.</w:t>
      </w:r>
    </w:p>
    <w:p/>
    <w:p>
      <w:pPr>
        <w:pStyle w:val="Heading1"/>
      </w:pPr>
      <w:r>
        <w:t>EL-UC-009 — Submit Leave Extension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Substitute when required; Unit Head; Establishment/Sanctioning roles;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Request additional leave time while EL, COL or VL is ongoing.</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on ongoing EL/COL/VL needs additional leave time.</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original leave is ongoing and is EL, COL or VL.</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Opens the ongoing leave and enters the additional period and reason.</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Validates eligibility, balance, date/calendar, overlap and substitute conditions for the extension.</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 / Substitute</w:t>
            </w:r>
          </w:p>
        </w:tc>
        <w:tc>
          <w:tcPr>
            <w:tcW w:type="dxa" w:w="3408"/>
            <w:vAlign w:val="top"/>
            <w:tcMar>
              <w:top w:w="80" w:type="dxa"/>
              <w:start w:w="90" w:type="dxa"/>
              <w:bottom w:w="80" w:type="dxa"/>
              <w:end w:w="90" w:type="dxa"/>
            </w:tcMar>
          </w:tcPr>
          <w:p>
            <w:r>
              <w:rPr>
                <w:sz w:val="18"/>
              </w:rPr>
              <w:t>Obtains required substitute consent before approval routing proceeds.</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Unit Head / ELM</w:t>
            </w:r>
          </w:p>
        </w:tc>
        <w:tc>
          <w:tcPr>
            <w:tcW w:type="dxa" w:w="3408"/>
            <w:vAlign w:val="top"/>
            <w:tcMar>
              <w:top w:w="80" w:type="dxa"/>
              <w:start w:w="90" w:type="dxa"/>
              <w:bottom w:w="80" w:type="dxa"/>
              <w:end w:w="90" w:type="dxa"/>
            </w:tcMar>
          </w:tcPr>
          <w:p>
            <w:r>
              <w:rPr>
                <w:sz w:val="18"/>
              </w:rPr>
              <w:t>Performs applicable Unit Head review/recommendation.</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 / Authorities</w:t>
            </w:r>
          </w:p>
        </w:tc>
        <w:tc>
          <w:tcPr>
            <w:tcW w:type="dxa" w:w="3408"/>
            <w:vAlign w:val="top"/>
            <w:tcMar>
              <w:top w:w="80" w:type="dxa"/>
              <w:start w:w="90" w:type="dxa"/>
              <w:bottom w:w="80" w:type="dxa"/>
              <w:end w:w="90" w:type="dxa"/>
            </w:tcMar>
          </w:tcPr>
          <w:p>
            <w:r>
              <w:rPr>
                <w:sz w:val="18"/>
              </w:rPr>
              <w:t>Routes through the configured higher-sanction path and records the final extension decision.</w:t>
            </w:r>
          </w:p>
        </w:tc>
      </w:tr>
      <w:tr>
        <w:trPr>
          <w:cantSplit w:val="true"/>
        </w:trPr>
        <w:tc>
          <w:tcPr>
            <w:tcW w:type="dxa" w:w="3408"/>
            <w:vAlign w:val="top"/>
            <w:tcMar>
              <w:top w:w="80" w:type="dxa"/>
              <w:start w:w="90" w:type="dxa"/>
              <w:bottom w:w="80" w:type="dxa"/>
              <w:end w:w="90" w:type="dxa"/>
            </w:tcMar>
          </w:tcPr>
          <w:p>
            <w:r>
              <w:rPr>
                <w:sz w:val="18"/>
              </w:rPr>
              <w:t>6</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If approved, posts only the incremental extension.</w:t>
            </w:r>
          </w:p>
        </w:tc>
      </w:tr>
    </w:tbl>
    <w:p>
      <w:pPr>
        <w:pStyle w:val="Heading2"/>
      </w:pPr>
      <w:r>
        <w:t>Alternative and Exception Behavior</w:t>
      </w:r>
    </w:p>
    <w:p>
      <w:pPr>
        <w:pStyle w:val="ListBullet"/>
      </w:pPr>
      <w:r>
        <w:t>Extension is defined only for ongoing EL/COL/VL in this baseline.</w:t>
      </w:r>
    </w:p>
    <w:p>
      <w:pPr>
        <w:pStyle w:val="ListBullet"/>
      </w:pPr>
      <w:r>
        <w:t>Rejected extension leaves the original approved leave unchanged.</w:t>
      </w:r>
    </w:p>
    <w:p>
      <w:pPr>
        <w:pStyle w:val="Heading2"/>
      </w:pPr>
      <w:r>
        <w:t>Postcondition</w:t>
      </w:r>
    </w:p>
    <w:p>
      <w:r>
        <w:t>An approved incremental extension is recorded, or the original leave remains unchanged.</w:t>
      </w:r>
    </w:p>
    <w:p>
      <w:pPr>
        <w:pStyle w:val="Heading2"/>
      </w:pPr>
      <w:r>
        <w:t>Conditions and Constraints Embedded in this Use Case</w:t>
      </w:r>
    </w:p>
    <w:p>
      <w:pPr>
        <w:pStyle w:val="ListBullet"/>
      </w:pPr>
      <w:r>
        <w:t>Employees may request only leave categories for which they are eligible under the effective ELM policy.</w:t>
      </w:r>
    </w:p>
    <w:p>
      <w:pPr>
        <w:pStyle w:val="ListBullet"/>
      </w:pPr>
      <w:r>
        <w:t>Each non-faculty employee receives 30 EL per year. Unused EL carries forward.</w:t>
      </w:r>
    </w:p>
    <w:p>
      <w:pPr>
        <w:pStyle w:val="ListBullet"/>
      </w:pPr>
      <w:r>
        <w:t>Each faculty member receives 60 VL associated with published vacation periods in the academic calendar. VL may be availed only during an applicable vacation period.</w:t>
      </w:r>
    </w:p>
    <w:p>
      <w:pPr>
        <w:pStyle w:val="ListBullet"/>
      </w:pPr>
      <w:r>
        <w:t>At year end, all unused faculty VL is converted to EL at 2 VL : 1 EL. Fractional conversion is permitted. VL does not carry forward after conversion.</w:t>
      </w:r>
    </w:p>
    <w:p>
      <w:pPr>
        <w:pStyle w:val="ListBullet"/>
      </w:pPr>
      <w:r>
        <w:t>EL generated through VL conversion is credited to the faculty member's EL balance, carries forward, and may subsequently be availed.</w:t>
      </w:r>
    </w:p>
    <w:p>
      <w:pPr>
        <w:pStyle w:val="ListBullet"/>
      </w:pPr>
      <w:r>
        <w:t>Each eligible employee receives 20 COL days per year in the canonical case. Unused COL carries forward. COL is treated as medical/balance-controlled leave and may require supporting medical evidence.</w:t>
      </w:r>
    </w:p>
    <w:p>
      <w:pPr>
        <w:pStyle w:val="ListBullet"/>
      </w:pPr>
      <w:r>
        <w:t>CL may be taken for the first or second half of a day. A half-day CL consumes 0.5 CL day.</w:t>
      </w:r>
    </w:p>
    <w:p>
      <w:pPr>
        <w:pStyle w:val="ListBullet"/>
      </w:pPr>
      <w:r>
        <w:t>For EL, COL and VL, intervening weekends and closed holidays inside a continuous approved leave interval count as leave days. This rule does not apply to CL, SCL or RH.</w:t>
      </w:r>
    </w:p>
    <w:p>
      <w:pPr>
        <w:pStyle w:val="ListBullet"/>
      </w:pPr>
      <w:r>
        <w:t>A new or modified leave request must not overlap impermissibly with another active pending or approved leave for the same employee. Two half-day CL requests on the same date do not overlap if they occupy different halves.</w:t>
      </w:r>
    </w:p>
    <w:p>
      <w:pPr>
        <w:pStyle w:val="ListBullet"/>
      </w:pPr>
      <w:r>
        <w:t>Station Leave is captured within the same leave application whenever the employee will be outside Jabalpur. It is not a separate leave-request workflow.</w:t>
      </w:r>
    </w:p>
    <w:p>
      <w:pPr>
        <w:pStyle w:val="ListBullet"/>
      </w:pPr>
      <w:r>
        <w:t>A substitute must be an employee other than the applicant and must not have an overlapping pending or approved leave during the responsibility period.</w:t>
      </w:r>
    </w:p>
    <w:p>
      <w:pPr>
        <w:pStyle w:val="ListBullet"/>
      </w:pPr>
      <w:r>
        <w:t>Where substitute assignment is required, the request must not proceed to approval routing until the nominated substitute accepts.</w:t>
      </w:r>
    </w:p>
    <w:p>
      <w:pPr>
        <w:pStyle w:val="ListBullet"/>
      </w:pPr>
      <w:r>
        <w:t>For SCL, EL, COL and VL, the Unit Head reviews the request and records Recommended or Not Recommended. The Unit Head does not make the final rejection decision for these leave categories.</w:t>
      </w:r>
    </w:p>
    <w:p>
      <w:pPr>
        <w:pStyle w:val="ListBullet"/>
      </w:pPr>
      <w:r>
        <w:t>SCL, EL, COL and VL proceed after Unit Head review through the configured hierarchy to the appropriate final Sanctioning Authority.</w:t>
      </w:r>
    </w:p>
    <w:p>
      <w:pPr>
        <w:pStyle w:val="ListBullet"/>
      </w:pPr>
      <w:r>
        <w:t>The system resolves the processing/sanctioning path from applicant, organizational unit, designation/role, leave category and the currently effective hierarchy configuration. Named roles may include Deputy Registrar (Estt.), Dean, Registrar and Director; an Establishment processing step occurs where configured.</w:t>
      </w:r>
    </w:p>
    <w:p>
      <w:pPr>
        <w:pStyle w:val="ListBullet"/>
      </w:pPr>
      <w:r>
        <w:t>An ongoing EL, COL or VL may be extended through a separate extension request subject to eligibility, balance, substitute and routing rules.</w:t>
      </w:r>
    </w:p>
    <w:p>
      <w:pPr>
        <w:pStyle w:val="ListBullet"/>
      </w:pPr>
      <w:r>
        <w:t>Validation and routing use the currently effective published policy and hierarchy parameters.</w:t>
      </w:r>
    </w:p>
    <w:p>
      <w:pPr>
        <w:pStyle w:val="ListBullet"/>
      </w:pPr>
      <w:r>
        <w:t>Date and RH validations use the currently effective published holiday/RH calendar.</w:t>
      </w:r>
    </w:p>
    <w:p/>
    <w:p>
      <w:pPr>
        <w:pStyle w:val="Heading1"/>
      </w:pPr>
      <w:r>
        <w:t>EL-UC-010 — Submit Resumption of Duty</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Unit Head / authorized Establishment role;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Submit actual resumption information after EL, COL or VL.</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returns to duty after or before the approved end of EL/COL/VL.</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A relevant EL/COL/VL exists for the employee.</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Selects the relevant leave.</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Employee</w:t>
            </w:r>
          </w:p>
        </w:tc>
        <w:tc>
          <w:tcPr>
            <w:tcW w:type="dxa" w:w="3408"/>
            <w:vAlign w:val="top"/>
            <w:tcMar>
              <w:top w:w="80" w:type="dxa"/>
              <w:start w:w="90" w:type="dxa"/>
              <w:bottom w:w="80" w:type="dxa"/>
              <w:end w:w="90" w:type="dxa"/>
            </w:tcMar>
          </w:tcPr>
          <w:p>
            <w:r>
              <w:rPr>
                <w:sz w:val="18"/>
              </w:rPr>
              <w:t>Enters actual resumption date and required details.</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Identifies normal or early resumption.</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Submits the resumption into the configured verification path.</w:t>
            </w:r>
          </w:p>
        </w:tc>
      </w:tr>
    </w:tbl>
    <w:p>
      <w:pPr>
        <w:pStyle w:val="Heading2"/>
      </w:pPr>
      <w:r>
        <w:t>Alternative and Exception Behavior</w:t>
      </w:r>
    </w:p>
    <w:p>
      <w:pPr>
        <w:pStyle w:val="ListBullet"/>
      </w:pPr>
      <w:r>
        <w:t>Normal and early resumption are distinguished by the actual return date.</w:t>
      </w:r>
    </w:p>
    <w:p>
      <w:pPr>
        <w:pStyle w:val="Heading2"/>
      </w:pPr>
      <w:r>
        <w:t>Postcondition</w:t>
      </w:r>
    </w:p>
    <w:p>
      <w:r>
        <w:t>Resumption information enters the configured verification path; no leave restoration/closure occurs before verification.</w:t>
      </w:r>
    </w:p>
    <w:p>
      <w:pPr>
        <w:pStyle w:val="Heading2"/>
      </w:pPr>
      <w:r>
        <w:t>Conditions and Constraints Embedded in this Use Case</w:t>
      </w:r>
    </w:p>
    <w:p>
      <w:pPr>
        <w:pStyle w:val="ListBullet"/>
      </w:pPr>
      <w:r>
        <w:t>After EL, COL or VL, the employee submits resumption of duty through ELM for verification and closure.</w:t>
      </w:r>
    </w:p>
    <w:p>
      <w:pPr>
        <w:pStyle w:val="ListBullet"/>
      </w:pPr>
      <w:r>
        <w:t>An employee on EL, COL or VL may resume before the approved end date. After verification, unused approved leave is restored to the corresponding leave balance and the actual leave period is recorded.</w:t>
      </w:r>
    </w:p>
    <w:p/>
    <w:p>
      <w:pPr>
        <w:pStyle w:val="Heading1"/>
      </w:pPr>
      <w:r>
        <w:t>EL-UC-011 — Verify Resumption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Unit Head / authorized Establishment role according to hierarchy</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Employee;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Verify actual return and close the leave accurately.</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 resumption submission reaches the authorized verifier.</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Employee has submitted resumption for EL/COL/VL.</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Authorized verifier</w:t>
            </w:r>
          </w:p>
        </w:tc>
        <w:tc>
          <w:tcPr>
            <w:tcW w:type="dxa" w:w="3408"/>
            <w:vAlign w:val="top"/>
            <w:tcMar>
              <w:top w:w="80" w:type="dxa"/>
              <w:start w:w="90" w:type="dxa"/>
              <w:bottom w:w="80" w:type="dxa"/>
              <w:end w:w="90" w:type="dxa"/>
            </w:tcMar>
          </w:tcPr>
          <w:p>
            <w:r>
              <w:rPr>
                <w:sz w:val="18"/>
              </w:rPr>
              <w:t>Reviews and verifies actual return.</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Records the actual leave period.</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For verified early return, restores unused approved leave.</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Synchronizes leave and attendance records.</w:t>
            </w:r>
          </w:p>
        </w:tc>
      </w:tr>
      <w:tr>
        <w:trPr>
          <w:cantSplit w:val="true"/>
        </w:trPr>
        <w:tc>
          <w:tcPr>
            <w:tcW w:type="dxa" w:w="3408"/>
            <w:vAlign w:val="top"/>
            <w:tcMar>
              <w:top w:w="80" w:type="dxa"/>
              <w:start w:w="90" w:type="dxa"/>
              <w:bottom w:w="80" w:type="dxa"/>
              <w:end w:w="90" w:type="dxa"/>
            </w:tcMar>
          </w:tcPr>
          <w:p>
            <w:r>
              <w:rPr>
                <w:sz w:val="18"/>
              </w:rPr>
              <w:t>5</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Closes the leave.</w:t>
            </w:r>
          </w:p>
        </w:tc>
      </w:tr>
    </w:tbl>
    <w:p>
      <w:pPr>
        <w:pStyle w:val="Heading2"/>
      </w:pPr>
      <w:r>
        <w:t>Alternative and Exception Behavior</w:t>
      </w:r>
    </w:p>
    <w:p>
      <w:pPr>
        <w:pStyle w:val="ListBullet"/>
      </w:pPr>
      <w:r>
        <w:t>If actual return cannot be verified, closure and early-return leave restoration do not proceed.</w:t>
      </w:r>
    </w:p>
    <w:p>
      <w:pPr>
        <w:pStyle w:val="Heading2"/>
      </w:pPr>
      <w:r>
        <w:t>Postcondition</w:t>
      </w:r>
    </w:p>
    <w:p>
      <w:r>
        <w:t>The actual leave period is recorded and the leave is closed after synchronization; verified early return restores unused approved leave.</w:t>
      </w:r>
    </w:p>
    <w:p>
      <w:pPr>
        <w:pStyle w:val="Heading2"/>
      </w:pPr>
      <w:r>
        <w:t>Conditions and Constraints Embedded in this Use Case</w:t>
      </w:r>
    </w:p>
    <w:p>
      <w:pPr>
        <w:pStyle w:val="ListBullet"/>
      </w:pPr>
      <w:r>
        <w:t>After EL, COL or VL, the employee submits resumption of duty through ELM for verification and closure.</w:t>
      </w:r>
    </w:p>
    <w:p>
      <w:pPr>
        <w:pStyle w:val="ListBullet"/>
      </w:pPr>
      <w:r>
        <w:t>An employee on EL, COL or VL may resume before the approved end date. After verification, unused approved leave is restored to the corresponding leave balance and the actual leave period is recorded.</w:t>
      </w:r>
    </w:p>
    <w:p/>
    <w:p>
      <w:pPr>
        <w:pStyle w:val="Heading1"/>
      </w:pPr>
      <w:r>
        <w:t>EL-UC-012 — View Leave Balance and History</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View current leave balances and leave-account history.</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requests balance/history information.</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Employee is authenticated and authorized to access the relevant leave account.</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 / ELM</w:t>
            </w:r>
          </w:p>
        </w:tc>
        <w:tc>
          <w:tcPr>
            <w:tcW w:type="dxa" w:w="3408"/>
            <w:vAlign w:val="top"/>
            <w:tcMar>
              <w:top w:w="80" w:type="dxa"/>
              <w:start w:w="90" w:type="dxa"/>
              <w:bottom w:w="80" w:type="dxa"/>
              <w:end w:w="90" w:type="dxa"/>
            </w:tcMar>
          </w:tcPr>
          <w:p>
            <w:r>
              <w:rPr>
                <w:sz w:val="18"/>
              </w:rPr>
              <w:t>Requests and views current balances and leave-account history.</w:t>
            </w:r>
          </w:p>
        </w:tc>
      </w:tr>
    </w:tbl>
    <w:p>
      <w:pPr>
        <w:pStyle w:val="Heading2"/>
      </w:pPr>
      <w:r>
        <w:t>Alternative and Exception Behavior</w:t>
      </w:r>
    </w:p>
    <w:p>
      <w:r>
        <w:t>No additional alternative/exception behavior is specified in the study baseline.</w:t>
      </w:r>
    </w:p>
    <w:p>
      <w:pPr>
        <w:pStyle w:val="Heading2"/>
      </w:pPr>
      <w:r>
        <w:t>Postcondition</w:t>
      </w:r>
    </w:p>
    <w:p>
      <w:r>
        <w:t>Current balances and accessible leave-account history are displayed.</w:t>
      </w:r>
    </w:p>
    <w:p>
      <w:pPr>
        <w:pStyle w:val="Heading2"/>
      </w:pPr>
      <w:r>
        <w:t>Conditions and Constraints Embedded in this Use Case</w:t>
      </w:r>
    </w:p>
    <w:p>
      <w:r>
        <w:t>No additional policy constraint is required for this use case in the study baseline.</w:t>
      </w:r>
    </w:p>
    <w:p/>
    <w:p>
      <w:pPr>
        <w:pStyle w:val="Heading1"/>
      </w:pPr>
      <w:r>
        <w:t>EL-UC-013 — Obtain Printable Leave Application</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Employee</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Obtain a printable/exportable representation of an accessible leave application.</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Employee requests printable/exportable output for an accessible leave application.</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leave application exists and is accessible to the employee.</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Employee / ELM</w:t>
            </w:r>
          </w:p>
        </w:tc>
        <w:tc>
          <w:tcPr>
            <w:tcW w:type="dxa" w:w="3408"/>
            <w:vAlign w:val="top"/>
            <w:tcMar>
              <w:top w:w="80" w:type="dxa"/>
              <w:start w:w="90" w:type="dxa"/>
              <w:bottom w:w="80" w:type="dxa"/>
              <w:end w:w="90" w:type="dxa"/>
            </w:tcMar>
          </w:tcPr>
          <w:p>
            <w:r>
              <w:rPr>
                <w:sz w:val="18"/>
              </w:rPr>
              <w:t>Requests and receives a printable/exportable representation of the accessible leave application.</w:t>
            </w:r>
          </w:p>
        </w:tc>
      </w:tr>
    </w:tbl>
    <w:p>
      <w:pPr>
        <w:pStyle w:val="Heading2"/>
      </w:pPr>
      <w:r>
        <w:t>Alternative and Exception Behavior</w:t>
      </w:r>
    </w:p>
    <w:p>
      <w:r>
        <w:t>No additional alternative/exception behavior is specified in the study baseline.</w:t>
      </w:r>
    </w:p>
    <w:p>
      <w:pPr>
        <w:pStyle w:val="Heading2"/>
      </w:pPr>
      <w:r>
        <w:t>Postcondition</w:t>
      </w:r>
    </w:p>
    <w:p>
      <w:r>
        <w:t>The printable/exportable representation is produced.</w:t>
      </w:r>
    </w:p>
    <w:p>
      <w:pPr>
        <w:pStyle w:val="Heading2"/>
      </w:pPr>
      <w:r>
        <w:t>Conditions and Constraints Embedded in this Use Case</w:t>
      </w:r>
    </w:p>
    <w:p>
      <w:r>
        <w:t>No additional policy constraint is required for this use case in the study baseline.</w:t>
      </w:r>
    </w:p>
    <w:p/>
    <w:p>
      <w:pPr>
        <w:pStyle w:val="Heading1"/>
      </w:pPr>
      <w:r>
        <w:t>EL-UC-014 — Maintain Leave Policy Parameters</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Leave Administrator</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Create, revise and publish effective ELM policy parameters.</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Authorized administrator needs to change policy configuration.</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Actor has administrative authorization.</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Leave Administrator</w:t>
            </w:r>
          </w:p>
        </w:tc>
        <w:tc>
          <w:tcPr>
            <w:tcW w:type="dxa" w:w="3408"/>
            <w:vAlign w:val="top"/>
            <w:tcMar>
              <w:top w:w="80" w:type="dxa"/>
              <w:start w:w="90" w:type="dxa"/>
              <w:bottom w:w="80" w:type="dxa"/>
              <w:end w:w="90" w:type="dxa"/>
            </w:tcMar>
          </w:tcPr>
          <w:p>
            <w:r>
              <w:rPr>
                <w:sz w:val="18"/>
              </w:rPr>
              <w:t>Creates or revises policy/hierarchy parameters.</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Leave Administrator / ELM</w:t>
            </w:r>
          </w:p>
        </w:tc>
        <w:tc>
          <w:tcPr>
            <w:tcW w:type="dxa" w:w="3408"/>
            <w:vAlign w:val="top"/>
            <w:tcMar>
              <w:top w:w="80" w:type="dxa"/>
              <w:start w:w="90" w:type="dxa"/>
              <w:bottom w:w="80" w:type="dxa"/>
              <w:end w:w="90" w:type="dxa"/>
            </w:tcMar>
          </w:tcPr>
          <w:p>
            <w:r>
              <w:rPr>
                <w:sz w:val="18"/>
              </w:rPr>
              <w:t>Publishes a valid replacement when it is to become effective.</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Uses the currently effective published policy/hierarchy for validation and routing.</w:t>
            </w:r>
          </w:p>
        </w:tc>
      </w:tr>
    </w:tbl>
    <w:p>
      <w:pPr>
        <w:pStyle w:val="Heading2"/>
      </w:pPr>
      <w:r>
        <w:t>Alternative and Exception Behavior</w:t>
      </w:r>
    </w:p>
    <w:p>
      <w:pPr>
        <w:pStyle w:val="ListBullet"/>
      </w:pPr>
      <w:r>
        <w:t>Unpublished edits do not replace the currently effective published policy.</w:t>
      </w:r>
    </w:p>
    <w:p>
      <w:pPr>
        <w:pStyle w:val="Heading2"/>
      </w:pPr>
      <w:r>
        <w:t>Postcondition</w:t>
      </w:r>
    </w:p>
    <w:p>
      <w:r>
        <w:t>The currently effective published policy/hierarchy is available to ELM validation and routing.</w:t>
      </w:r>
    </w:p>
    <w:p>
      <w:pPr>
        <w:pStyle w:val="Heading2"/>
      </w:pPr>
      <w:r>
        <w:t>Conditions and Constraints Embedded in this Use Case</w:t>
      </w:r>
    </w:p>
    <w:p>
      <w:pPr>
        <w:pStyle w:val="ListBullet"/>
      </w:pPr>
      <w:r>
        <w:t>Validation and routing use the currently effective published policy and hierarchy parameters.</w:t>
      </w:r>
    </w:p>
    <w:p/>
    <w:p>
      <w:pPr>
        <w:pStyle w:val="Heading1"/>
      </w:pPr>
      <w:r>
        <w:t>EL-UC-015 — Maintain Holiday and RH Calendar</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Leave Administrator</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Create, revise and publish the holiday/RH calendar used by ELM.</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Authorized administrator needs to change calendar data.</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Actor has administrative authorization.</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Leave Administrator</w:t>
            </w:r>
          </w:p>
        </w:tc>
        <w:tc>
          <w:tcPr>
            <w:tcW w:type="dxa" w:w="3408"/>
            <w:vAlign w:val="top"/>
            <w:tcMar>
              <w:top w:w="80" w:type="dxa"/>
              <w:start w:w="90" w:type="dxa"/>
              <w:bottom w:w="80" w:type="dxa"/>
              <w:end w:w="90" w:type="dxa"/>
            </w:tcMar>
          </w:tcPr>
          <w:p>
            <w:r>
              <w:rPr>
                <w:sz w:val="18"/>
              </w:rPr>
              <w:t>Creates or revises holiday/RH calendar data.</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Leave Administrator / ELM</w:t>
            </w:r>
          </w:p>
        </w:tc>
        <w:tc>
          <w:tcPr>
            <w:tcW w:type="dxa" w:w="3408"/>
            <w:vAlign w:val="top"/>
            <w:tcMar>
              <w:top w:w="80" w:type="dxa"/>
              <w:start w:w="90" w:type="dxa"/>
              <w:bottom w:w="80" w:type="dxa"/>
              <w:end w:w="90" w:type="dxa"/>
            </w:tcMar>
          </w:tcPr>
          <w:p>
            <w:r>
              <w:rPr>
                <w:sz w:val="18"/>
              </w:rPr>
              <w:t>Publishes the calendar version that is to become effective.</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Uses the currently effective published calendar for date and RH validation.</w:t>
            </w:r>
          </w:p>
        </w:tc>
      </w:tr>
    </w:tbl>
    <w:p>
      <w:pPr>
        <w:pStyle w:val="Heading2"/>
      </w:pPr>
      <w:r>
        <w:t>Alternative and Exception Behavior</w:t>
      </w:r>
    </w:p>
    <w:p>
      <w:pPr>
        <w:pStyle w:val="ListBullet"/>
      </w:pPr>
      <w:r>
        <w:t>Until a replacement is published, the currently effective published calendar remains in use.</w:t>
      </w:r>
    </w:p>
    <w:p>
      <w:pPr>
        <w:pStyle w:val="Heading2"/>
      </w:pPr>
      <w:r>
        <w:t>Postcondition</w:t>
      </w:r>
    </w:p>
    <w:p>
      <w:r>
        <w:t>The effective published holiday/RH calendar is available to ELM validations.</w:t>
      </w:r>
    </w:p>
    <w:p>
      <w:pPr>
        <w:pStyle w:val="Heading2"/>
      </w:pPr>
      <w:r>
        <w:t>Conditions and Constraints Embedded in this Use Case</w:t>
      </w:r>
    </w:p>
    <w:p>
      <w:pPr>
        <w:pStyle w:val="ListBullet"/>
      </w:pPr>
      <w:r>
        <w:t>Date and RH validations use the currently effective published holiday/RH calendar.</w:t>
      </w:r>
    </w:p>
    <w:p/>
    <w:p>
      <w:pPr>
        <w:pStyle w:val="Heading1"/>
      </w:pPr>
      <w:r>
        <w:t>EL-UC-016 — Record Offline-Sanctioned Leave</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Primary Actor</w:t>
            </w:r>
          </w:p>
        </w:tc>
        <w:tc>
          <w:tcPr>
            <w:tcW w:type="dxa" w:w="5112"/>
            <w:vAlign w:val="top"/>
            <w:tcMar>
              <w:top w:w="80" w:type="dxa"/>
              <w:start w:w="90" w:type="dxa"/>
              <w:bottom w:w="80" w:type="dxa"/>
              <w:end w:w="90" w:type="dxa"/>
            </w:tcMar>
          </w:tcPr>
          <w:p>
            <w:r>
              <w:t>Leave Administrator</w:t>
            </w:r>
          </w:p>
        </w:tc>
      </w:tr>
      <w:tr>
        <w:trPr>
          <w:cantSplit w:val="true"/>
        </w:trPr>
        <w:tc>
          <w:tcPr>
            <w:tcW w:type="dxa" w:w="5112"/>
            <w:shd w:fill="D9EAF7"/>
            <w:vAlign w:val="top"/>
            <w:tcMar>
              <w:top w:w="80" w:type="dxa"/>
              <w:start w:w="90" w:type="dxa"/>
              <w:bottom w:w="80" w:type="dxa"/>
              <w:end w:w="90" w:type="dxa"/>
            </w:tcMar>
          </w:tcPr>
          <w:p>
            <w:r>
              <w:rPr>
                <w:b/>
              </w:rPr>
              <w:t>Supporting Actors / Systems</w:t>
            </w:r>
          </w:p>
        </w:tc>
        <w:tc>
          <w:tcPr>
            <w:tcW w:type="dxa" w:w="5112"/>
            <w:vAlign w:val="top"/>
            <w:tcMar>
              <w:top w:w="80" w:type="dxa"/>
              <w:start w:w="90" w:type="dxa"/>
              <w:bottom w:w="80" w:type="dxa"/>
              <w:end w:w="90" w:type="dxa"/>
            </w:tcMar>
          </w:tcPr>
          <w:p>
            <w:r>
              <w:t>Employee record; ELM</w:t>
            </w:r>
          </w:p>
        </w:tc>
      </w:tr>
      <w:tr>
        <w:trPr>
          <w:cantSplit w:val="true"/>
        </w:trPr>
        <w:tc>
          <w:tcPr>
            <w:tcW w:type="dxa" w:w="5112"/>
            <w:shd w:fill="D9EAF7"/>
            <w:vAlign w:val="top"/>
            <w:tcMar>
              <w:top w:w="80" w:type="dxa"/>
              <w:start w:w="90" w:type="dxa"/>
              <w:bottom w:w="80" w:type="dxa"/>
              <w:end w:w="90" w:type="dxa"/>
            </w:tcMar>
          </w:tcPr>
          <w:p>
            <w:r>
              <w:rPr>
                <w:b/>
              </w:rPr>
              <w:t>Goal</w:t>
            </w:r>
          </w:p>
        </w:tc>
        <w:tc>
          <w:tcPr>
            <w:tcW w:type="dxa" w:w="5112"/>
            <w:vAlign w:val="top"/>
            <w:tcMar>
              <w:top w:w="80" w:type="dxa"/>
              <w:start w:w="90" w:type="dxa"/>
              <w:bottom w:w="80" w:type="dxa"/>
              <w:end w:w="90" w:type="dxa"/>
            </w:tcMar>
          </w:tcPr>
          <w:p>
            <w:r>
              <w:t>Synchronize ELM with leave already sanctioned through an authorized offline/paper process.</w:t>
            </w:r>
          </w:p>
        </w:tc>
      </w:tr>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Authorized sanction evidence exists for leave that must be retrospectively entered in ELM.</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Leave was already sanctioned through an authorized offline/paper route and the administrator is authorized to record it.</w:t>
            </w:r>
          </w:p>
        </w:tc>
      </w:tr>
    </w:tbl>
    <w:p>
      <w:pPr>
        <w:pStyle w:val="Heading2"/>
      </w:pPr>
      <w:r>
        <w:t>Main Success Scenario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80" w:type="dxa"/>
              <w:start w:w="90" w:type="dxa"/>
              <w:bottom w:w="80" w:type="dxa"/>
              <w:end w:w="90" w:type="dxa"/>
            </w:tcMar>
          </w:tcPr>
          <w:p>
            <w:r>
              <w:rPr>
                <w:b/>
                <w:color w:val="FFFFFF"/>
                <w:sz w:val="18"/>
              </w:rPr>
              <w:t>Step</w:t>
            </w:r>
          </w:p>
        </w:tc>
        <w:tc>
          <w:tcPr>
            <w:tcW w:type="dxa" w:w="3408"/>
            <w:shd w:fill="1F4E79"/>
            <w:vAlign w:val="center"/>
            <w:tcMar>
              <w:top w:w="80" w:type="dxa"/>
              <w:start w:w="90" w:type="dxa"/>
              <w:bottom w:w="80" w:type="dxa"/>
              <w:end w:w="90" w:type="dxa"/>
            </w:tcMar>
          </w:tcPr>
          <w:p>
            <w:r>
              <w:rPr>
                <w:b/>
                <w:color w:val="FFFFFF"/>
                <w:sz w:val="18"/>
              </w:rPr>
              <w:t>Responsible</w:t>
            </w:r>
          </w:p>
        </w:tc>
        <w:tc>
          <w:tcPr>
            <w:tcW w:type="dxa" w:w="3408"/>
            <w:shd w:fill="1F4E79"/>
            <w:vAlign w:val="center"/>
            <w:tcMar>
              <w:top w:w="80" w:type="dxa"/>
              <w:start w:w="90" w:type="dxa"/>
              <w:bottom w:w="80" w:type="dxa"/>
              <w:end w:w="90" w:type="dxa"/>
            </w:tcMar>
          </w:tcPr>
          <w:p>
            <w:r>
              <w:rPr>
                <w:b/>
                <w:color w:val="FFFFFF"/>
                <w:sz w:val="18"/>
              </w:rPr>
              <w:t>Activity / Outcome</w:t>
            </w:r>
          </w:p>
        </w:tc>
      </w:tr>
      <w:tr>
        <w:trPr>
          <w:cantSplit w:val="true"/>
        </w:trPr>
        <w:tc>
          <w:tcPr>
            <w:tcW w:type="dxa" w:w="3408"/>
            <w:vAlign w:val="top"/>
            <w:tcMar>
              <w:top w:w="80" w:type="dxa"/>
              <w:start w:w="90" w:type="dxa"/>
              <w:bottom w:w="80" w:type="dxa"/>
              <w:end w:w="90" w:type="dxa"/>
            </w:tcMar>
          </w:tcPr>
          <w:p>
            <w:r>
              <w:rPr>
                <w:sz w:val="18"/>
              </w:rPr>
              <w:t>1</w:t>
            </w:r>
          </w:p>
        </w:tc>
        <w:tc>
          <w:tcPr>
            <w:tcW w:type="dxa" w:w="3408"/>
            <w:vAlign w:val="top"/>
            <w:tcMar>
              <w:top w:w="80" w:type="dxa"/>
              <w:start w:w="90" w:type="dxa"/>
              <w:bottom w:w="80" w:type="dxa"/>
              <w:end w:w="90" w:type="dxa"/>
            </w:tcMar>
          </w:tcPr>
          <w:p>
            <w:r>
              <w:rPr>
                <w:sz w:val="18"/>
              </w:rPr>
              <w:t>Leave Administrator</w:t>
            </w:r>
          </w:p>
        </w:tc>
        <w:tc>
          <w:tcPr>
            <w:tcW w:type="dxa" w:w="3408"/>
            <w:vAlign w:val="top"/>
            <w:tcMar>
              <w:top w:w="80" w:type="dxa"/>
              <w:start w:w="90" w:type="dxa"/>
              <w:bottom w:w="80" w:type="dxa"/>
              <w:end w:w="90" w:type="dxa"/>
            </w:tcMar>
          </w:tcPr>
          <w:p>
            <w:r>
              <w:rPr>
                <w:sz w:val="18"/>
              </w:rPr>
              <w:t>Selects the employee and records the already sanctioned leave.</w:t>
            </w:r>
          </w:p>
        </w:tc>
      </w:tr>
      <w:tr>
        <w:trPr>
          <w:cantSplit w:val="true"/>
        </w:trPr>
        <w:tc>
          <w:tcPr>
            <w:tcW w:type="dxa" w:w="3408"/>
            <w:vAlign w:val="top"/>
            <w:tcMar>
              <w:top w:w="80" w:type="dxa"/>
              <w:start w:w="90" w:type="dxa"/>
              <w:bottom w:w="80" w:type="dxa"/>
              <w:end w:w="90" w:type="dxa"/>
            </w:tcMar>
          </w:tcPr>
          <w:p>
            <w:r>
              <w:rPr>
                <w:sz w:val="18"/>
              </w:rPr>
              <w:t>2</w:t>
            </w:r>
          </w:p>
        </w:tc>
        <w:tc>
          <w:tcPr>
            <w:tcW w:type="dxa" w:w="3408"/>
            <w:vAlign w:val="top"/>
            <w:tcMar>
              <w:top w:w="80" w:type="dxa"/>
              <w:start w:w="90" w:type="dxa"/>
              <w:bottom w:w="80" w:type="dxa"/>
              <w:end w:w="90" w:type="dxa"/>
            </w:tcMar>
          </w:tcPr>
          <w:p>
            <w:r>
              <w:rPr>
                <w:sz w:val="18"/>
              </w:rPr>
              <w:t>Leave Administrator</w:t>
            </w:r>
          </w:p>
        </w:tc>
        <w:tc>
          <w:tcPr>
            <w:tcW w:type="dxa" w:w="3408"/>
            <w:vAlign w:val="top"/>
            <w:tcMar>
              <w:top w:w="80" w:type="dxa"/>
              <w:start w:w="90" w:type="dxa"/>
              <w:bottom w:w="80" w:type="dxa"/>
              <w:end w:w="90" w:type="dxa"/>
            </w:tcMar>
          </w:tcPr>
          <w:p>
            <w:r>
              <w:rPr>
                <w:sz w:val="18"/>
              </w:rPr>
              <w:t>Records sanction/reference evidence.</w:t>
            </w:r>
          </w:p>
        </w:tc>
      </w:tr>
      <w:tr>
        <w:trPr>
          <w:cantSplit w:val="true"/>
        </w:trPr>
        <w:tc>
          <w:tcPr>
            <w:tcW w:type="dxa" w:w="3408"/>
            <w:vAlign w:val="top"/>
            <w:tcMar>
              <w:top w:w="80" w:type="dxa"/>
              <w:start w:w="90" w:type="dxa"/>
              <w:bottom w:w="80" w:type="dxa"/>
              <w:end w:w="90" w:type="dxa"/>
            </w:tcMar>
          </w:tcPr>
          <w:p>
            <w:r>
              <w:rPr>
                <w:sz w:val="18"/>
              </w:rPr>
              <w:t>3</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Validates record consistency.</w:t>
            </w:r>
          </w:p>
        </w:tc>
      </w:tr>
      <w:tr>
        <w:trPr>
          <w:cantSplit w:val="true"/>
        </w:trPr>
        <w:tc>
          <w:tcPr>
            <w:tcW w:type="dxa" w:w="3408"/>
            <w:vAlign w:val="top"/>
            <w:tcMar>
              <w:top w:w="80" w:type="dxa"/>
              <w:start w:w="90" w:type="dxa"/>
              <w:bottom w:w="80" w:type="dxa"/>
              <w:end w:w="90" w:type="dxa"/>
            </w:tcMar>
          </w:tcPr>
          <w:p>
            <w:r>
              <w:rPr>
                <w:sz w:val="18"/>
              </w:rPr>
              <w:t>4</w:t>
            </w:r>
          </w:p>
        </w:tc>
        <w:tc>
          <w:tcPr>
            <w:tcW w:type="dxa" w:w="3408"/>
            <w:vAlign w:val="top"/>
            <w:tcMar>
              <w:top w:w="80" w:type="dxa"/>
              <w:start w:w="90" w:type="dxa"/>
              <w:bottom w:w="80" w:type="dxa"/>
              <w:end w:w="90" w:type="dxa"/>
            </w:tcMar>
          </w:tcPr>
          <w:p>
            <w:r>
              <w:rPr>
                <w:sz w:val="18"/>
              </w:rPr>
              <w:t>ELM</w:t>
            </w:r>
          </w:p>
        </w:tc>
        <w:tc>
          <w:tcPr>
            <w:tcW w:type="dxa" w:w="3408"/>
            <w:vAlign w:val="top"/>
            <w:tcMar>
              <w:top w:w="80" w:type="dxa"/>
              <w:start w:w="90" w:type="dxa"/>
              <w:bottom w:w="80" w:type="dxa"/>
              <w:end w:w="90" w:type="dxa"/>
            </w:tcMar>
          </w:tcPr>
          <w:p>
            <w:r>
              <w:rPr>
                <w:sz w:val="18"/>
              </w:rPr>
              <w:t>Updates the relevant leave balance/history and synchronizes the online record.</w:t>
            </w:r>
          </w:p>
        </w:tc>
      </w:tr>
    </w:tbl>
    <w:p>
      <w:pPr>
        <w:pStyle w:val="Heading2"/>
      </w:pPr>
      <w:r>
        <w:t>Alternative and Exception Behavior</w:t>
      </w:r>
    </w:p>
    <w:p>
      <w:pPr>
        <w:pStyle w:val="ListBullet"/>
      </w:pPr>
      <w:r>
        <w:t>The retrospective entry is record synchronization and does not constitute a second approval.</w:t>
      </w:r>
    </w:p>
    <w:p>
      <w:pPr>
        <w:pStyle w:val="Heading2"/>
      </w:pPr>
      <w:r>
        <w:t>Postcondition</w:t>
      </w:r>
    </w:p>
    <w:p>
      <w:r>
        <w:t>ELM reflects the already-sanctioned leave and preserves its sanction/reference evidence.</w:t>
      </w:r>
    </w:p>
    <w:p>
      <w:pPr>
        <w:pStyle w:val="Heading2"/>
      </w:pPr>
      <w:r>
        <w:t>Conditions and Constraints Embedded in this Use Case</w:t>
      </w:r>
    </w:p>
    <w:p>
      <w:pPr>
        <w:pStyle w:val="ListBullet"/>
      </w:pPr>
      <w:r>
        <w:t>A Leave Administrator may retrospectively record leave already sanctioned through an authorized offline/paper process. This keeps ELM records synchronized and does not constitute a second approval.</w:t>
      </w:r>
    </w:p>
    <w:p>
      <w:pPr>
        <w:pStyle w:val="Heading1"/>
      </w:pPr>
      <w:r>
        <w:t>3. Scheduled Functions</w:t>
      </w:r>
    </w:p>
    <w:p>
      <w:pPr>
        <w:pStyle w:val="Heading2"/>
      </w:pPr>
      <w:r>
        <w:t>SF-EL-001 — Scheduled Year-End Leave Processing</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Configured year-end processing event.</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Effective leave policy and leave-account balances are available.</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80" w:type="dxa"/>
              <w:start w:w="90" w:type="dxa"/>
              <w:bottom w:w="80" w:type="dxa"/>
              <w:end w:w="90" w:type="dxa"/>
            </w:tcMar>
          </w:tcPr>
          <w:p>
            <w:r>
              <w:rPr>
                <w:b/>
                <w:color w:val="FFFFFF"/>
                <w:sz w:val="18"/>
              </w:rPr>
              <w:t>Step</w:t>
            </w:r>
          </w:p>
        </w:tc>
        <w:tc>
          <w:tcPr>
            <w:tcW w:type="dxa" w:w="5112"/>
            <w:shd w:fill="1F4E79"/>
            <w:vAlign w:val="center"/>
            <w:tcMar>
              <w:top w:w="80" w:type="dxa"/>
              <w:start w:w="90" w:type="dxa"/>
              <w:bottom w:w="80" w:type="dxa"/>
              <w:end w:w="90" w:type="dxa"/>
            </w:tcMar>
          </w:tcPr>
          <w:p>
            <w:r>
              <w:rPr>
                <w:b/>
                <w:color w:val="FFFFFF"/>
                <w:sz w:val="18"/>
              </w:rPr>
              <w:t>Processing activity</w:t>
            </w:r>
          </w:p>
        </w:tc>
      </w:tr>
      <w:tr>
        <w:trPr>
          <w:cantSplit w:val="true"/>
        </w:trPr>
        <w:tc>
          <w:tcPr>
            <w:tcW w:type="dxa" w:w="5112"/>
            <w:vAlign w:val="top"/>
            <w:tcMar>
              <w:top w:w="80" w:type="dxa"/>
              <w:start w:w="90" w:type="dxa"/>
              <w:bottom w:w="80" w:type="dxa"/>
              <w:end w:w="90" w:type="dxa"/>
            </w:tcMar>
          </w:tcPr>
          <w:p>
            <w:r>
              <w:rPr>
                <w:sz w:val="18"/>
              </w:rPr>
              <w:t>1</w:t>
            </w:r>
          </w:p>
        </w:tc>
        <w:tc>
          <w:tcPr>
            <w:tcW w:type="dxa" w:w="5112"/>
            <w:vAlign w:val="top"/>
            <w:tcMar>
              <w:top w:w="80" w:type="dxa"/>
              <w:start w:w="90" w:type="dxa"/>
              <w:bottom w:w="80" w:type="dxa"/>
              <w:end w:w="90" w:type="dxa"/>
            </w:tcMar>
          </w:tcPr>
          <w:p>
            <w:r>
              <w:rPr>
                <w:sz w:val="18"/>
              </w:rPr>
              <w:t>Lapse unused CL, RH and SCL.</w:t>
            </w:r>
          </w:p>
        </w:tc>
      </w:tr>
      <w:tr>
        <w:trPr>
          <w:cantSplit w:val="true"/>
        </w:trPr>
        <w:tc>
          <w:tcPr>
            <w:tcW w:type="dxa" w:w="5112"/>
            <w:vAlign w:val="top"/>
            <w:tcMar>
              <w:top w:w="80" w:type="dxa"/>
              <w:start w:w="90" w:type="dxa"/>
              <w:bottom w:w="80" w:type="dxa"/>
              <w:end w:w="90" w:type="dxa"/>
            </w:tcMar>
          </w:tcPr>
          <w:p>
            <w:r>
              <w:rPr>
                <w:sz w:val="18"/>
              </w:rPr>
              <w:t>2</w:t>
            </w:r>
          </w:p>
        </w:tc>
        <w:tc>
          <w:tcPr>
            <w:tcW w:type="dxa" w:w="5112"/>
            <w:vAlign w:val="top"/>
            <w:tcMar>
              <w:top w:w="80" w:type="dxa"/>
              <w:start w:w="90" w:type="dxa"/>
              <w:bottom w:w="80" w:type="dxa"/>
              <w:end w:w="90" w:type="dxa"/>
            </w:tcMar>
          </w:tcPr>
          <w:p>
            <w:r>
              <w:rPr>
                <w:sz w:val="18"/>
              </w:rPr>
              <w:t>Convert all unused faculty VL to EL at 2:1, including fractional conversion; VL does not carry forward.</w:t>
            </w:r>
          </w:p>
        </w:tc>
      </w:tr>
      <w:tr>
        <w:trPr>
          <w:cantSplit w:val="true"/>
        </w:trPr>
        <w:tc>
          <w:tcPr>
            <w:tcW w:type="dxa" w:w="5112"/>
            <w:vAlign w:val="top"/>
            <w:tcMar>
              <w:top w:w="80" w:type="dxa"/>
              <w:start w:w="90" w:type="dxa"/>
              <w:bottom w:w="80" w:type="dxa"/>
              <w:end w:w="90" w:type="dxa"/>
            </w:tcMar>
          </w:tcPr>
          <w:p>
            <w:r>
              <w:rPr>
                <w:sz w:val="18"/>
              </w:rPr>
              <w:t>3</w:t>
            </w:r>
          </w:p>
        </w:tc>
        <w:tc>
          <w:tcPr>
            <w:tcW w:type="dxa" w:w="5112"/>
            <w:vAlign w:val="top"/>
            <w:tcMar>
              <w:top w:w="80" w:type="dxa"/>
              <w:start w:w="90" w:type="dxa"/>
              <w:bottom w:w="80" w:type="dxa"/>
              <w:end w:w="90" w:type="dxa"/>
            </w:tcMar>
          </w:tcPr>
          <w:p>
            <w:r>
              <w:rPr>
                <w:sz w:val="18"/>
              </w:rPr>
              <w:t>Carry forward EL, including converted faculty EL, and COL according to policy.</w:t>
            </w:r>
          </w:p>
        </w:tc>
      </w:tr>
      <w:tr>
        <w:trPr>
          <w:cantSplit w:val="true"/>
        </w:trPr>
        <w:tc>
          <w:tcPr>
            <w:tcW w:type="dxa" w:w="5112"/>
            <w:vAlign w:val="top"/>
            <w:tcMar>
              <w:top w:w="80" w:type="dxa"/>
              <w:start w:w="90" w:type="dxa"/>
              <w:bottom w:w="80" w:type="dxa"/>
              <w:end w:w="90" w:type="dxa"/>
            </w:tcMar>
          </w:tcPr>
          <w:p>
            <w:r>
              <w:rPr>
                <w:sz w:val="18"/>
              </w:rPr>
              <w:t>4</w:t>
            </w:r>
          </w:p>
        </w:tc>
        <w:tc>
          <w:tcPr>
            <w:tcW w:type="dxa" w:w="5112"/>
            <w:vAlign w:val="top"/>
            <w:tcMar>
              <w:top w:w="80" w:type="dxa"/>
              <w:start w:w="90" w:type="dxa"/>
              <w:bottom w:w="80" w:type="dxa"/>
              <w:end w:w="90" w:type="dxa"/>
            </w:tcMar>
          </w:tcPr>
          <w:p>
            <w:r>
              <w:rPr>
                <w:sz w:val="18"/>
              </w:rPr>
              <w:t>Record resulting leave-account transactions and report processing exceptions.</w:t>
            </w:r>
          </w:p>
        </w:tc>
      </w:tr>
    </w:tbl>
    <w:p>
      <w:pPr>
        <w:pStyle w:val="Heading3"/>
      </w:pPr>
      <w:r>
        <w:t>Conditions and Constraints Embedded in this Function</w:t>
      </w:r>
    </w:p>
    <w:p>
      <w:pPr>
        <w:pStyle w:val="ListBullet"/>
      </w:pPr>
      <w:r>
        <w:t>Each employee receives 8 CL per calendar year. Unused CL lapses at year end.</w:t>
      </w:r>
    </w:p>
    <w:p>
      <w:pPr>
        <w:pStyle w:val="ListBullet"/>
      </w:pPr>
      <w:r>
        <w:t>Each employee receives 2 RH per calendar year. Unused RH lapses at year end. RH must correspond to an applicable published Restricted Holiday.</w:t>
      </w:r>
    </w:p>
    <w:p>
      <w:pPr>
        <w:pStyle w:val="ListBullet"/>
      </w:pPr>
      <w:r>
        <w:t>Each employee may receive up to 15 SCL days per calendar year for an admissible special purpose. Unused SCL does not carry forward. Admissibility is decided by the competent authority.</w:t>
      </w:r>
    </w:p>
    <w:p>
      <w:pPr>
        <w:pStyle w:val="ListBullet"/>
      </w:pPr>
      <w:r>
        <w:t>Each non-faculty employee receives 30 EL per year. Unused EL carries forward.</w:t>
      </w:r>
    </w:p>
    <w:p>
      <w:pPr>
        <w:pStyle w:val="ListBullet"/>
      </w:pPr>
      <w:r>
        <w:t>Each faculty member receives 60 VL associated with published vacation periods in the academic calendar. VL may be availed only during an applicable vacation period.</w:t>
      </w:r>
    </w:p>
    <w:p>
      <w:pPr>
        <w:pStyle w:val="ListBullet"/>
      </w:pPr>
      <w:r>
        <w:t>At year end, all unused faculty VL is converted to EL at 2 VL : 1 EL. Fractional conversion is permitted. VL does not carry forward after conversion.</w:t>
      </w:r>
    </w:p>
    <w:p>
      <w:pPr>
        <w:pStyle w:val="ListBullet"/>
      </w:pPr>
      <w:r>
        <w:t>EL generated through VL conversion is credited to the faculty member's EL balance, carries forward, and may subsequently be availed.</w:t>
      </w:r>
    </w:p>
    <w:p>
      <w:pPr>
        <w:pStyle w:val="ListBullet"/>
      </w:pPr>
      <w:r>
        <w:t>Each eligible employee receives 20 COL days per year in the canonical case. Unused COL carries forward. COL is treated as medical/balance-controlled leave and may require supporting medical evidence.</w:t>
      </w:r>
    </w:p>
    <w:p>
      <w:pPr>
        <w:pStyle w:val="Heading2"/>
      </w:pPr>
      <w:r>
        <w:t>SF-EL-002 — Scheduled SLA Processing</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5112"/>
            <w:shd w:fill="D9EAF7"/>
            <w:vAlign w:val="top"/>
            <w:tcMar>
              <w:top w:w="80" w:type="dxa"/>
              <w:start w:w="90" w:type="dxa"/>
              <w:bottom w:w="80" w:type="dxa"/>
              <w:end w:w="90" w:type="dxa"/>
            </w:tcMar>
          </w:tcPr>
          <w:p>
            <w:r>
              <w:rPr>
                <w:b/>
              </w:rPr>
              <w:t>Trigger</w:t>
            </w:r>
          </w:p>
        </w:tc>
        <w:tc>
          <w:tcPr>
            <w:tcW w:type="dxa" w:w="5112"/>
            <w:vAlign w:val="top"/>
            <w:tcMar>
              <w:top w:w="80" w:type="dxa"/>
              <w:start w:w="90" w:type="dxa"/>
              <w:bottom w:w="80" w:type="dxa"/>
              <w:end w:w="90" w:type="dxa"/>
            </w:tcMar>
          </w:tcPr>
          <w:p>
            <w:r>
              <w:t>A configured reminder or escalation threshold is reached for an SLA-controlled actionable task.</w:t>
            </w:r>
          </w:p>
        </w:tc>
      </w:tr>
      <w:tr>
        <w:trPr>
          <w:cantSplit w:val="true"/>
        </w:trPr>
        <w:tc>
          <w:tcPr>
            <w:tcW w:type="dxa" w:w="5112"/>
            <w:shd w:fill="D9EAF7"/>
            <w:vAlign w:val="top"/>
            <w:tcMar>
              <w:top w:w="80" w:type="dxa"/>
              <w:start w:w="90" w:type="dxa"/>
              <w:bottom w:w="80" w:type="dxa"/>
              <w:end w:w="90" w:type="dxa"/>
            </w:tcMar>
          </w:tcPr>
          <w:p>
            <w:r>
              <w:rPr>
                <w:b/>
              </w:rPr>
              <w:t>Preconditions</w:t>
            </w:r>
          </w:p>
        </w:tc>
        <w:tc>
          <w:tcPr>
            <w:tcW w:type="dxa" w:w="5112"/>
            <w:vAlign w:val="top"/>
            <w:tcMar>
              <w:top w:w="80" w:type="dxa"/>
              <w:start w:w="90" w:type="dxa"/>
              <w:bottom w:w="80" w:type="dxa"/>
              <w:end w:w="90" w:type="dxa"/>
            </w:tcMar>
          </w:tcPr>
          <w:p>
            <w:r>
              <w:t>The task is SLA-controlled.</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80" w:type="dxa"/>
              <w:start w:w="90" w:type="dxa"/>
              <w:bottom w:w="80" w:type="dxa"/>
              <w:end w:w="90" w:type="dxa"/>
            </w:tcMar>
          </w:tcPr>
          <w:p>
            <w:r>
              <w:rPr>
                <w:b/>
                <w:color w:val="FFFFFF"/>
                <w:sz w:val="18"/>
              </w:rPr>
              <w:t>Step</w:t>
            </w:r>
          </w:p>
        </w:tc>
        <w:tc>
          <w:tcPr>
            <w:tcW w:type="dxa" w:w="5112"/>
            <w:shd w:fill="1F4E79"/>
            <w:vAlign w:val="center"/>
            <w:tcMar>
              <w:top w:w="80" w:type="dxa"/>
              <w:start w:w="90" w:type="dxa"/>
              <w:bottom w:w="80" w:type="dxa"/>
              <w:end w:w="90" w:type="dxa"/>
            </w:tcMar>
          </w:tcPr>
          <w:p>
            <w:r>
              <w:rPr>
                <w:b/>
                <w:color w:val="FFFFFF"/>
                <w:sz w:val="18"/>
              </w:rPr>
              <w:t>Processing activity</w:t>
            </w:r>
          </w:p>
        </w:tc>
      </w:tr>
      <w:tr>
        <w:trPr>
          <w:cantSplit w:val="true"/>
        </w:trPr>
        <w:tc>
          <w:tcPr>
            <w:tcW w:type="dxa" w:w="5112"/>
            <w:vAlign w:val="top"/>
            <w:tcMar>
              <w:top w:w="80" w:type="dxa"/>
              <w:start w:w="90" w:type="dxa"/>
              <w:bottom w:w="80" w:type="dxa"/>
              <w:end w:w="90" w:type="dxa"/>
            </w:tcMar>
          </w:tcPr>
          <w:p>
            <w:r>
              <w:rPr>
                <w:sz w:val="18"/>
              </w:rPr>
              <w:t>1</w:t>
            </w:r>
          </w:p>
        </w:tc>
        <w:tc>
          <w:tcPr>
            <w:tcW w:type="dxa" w:w="5112"/>
            <w:vAlign w:val="top"/>
            <w:tcMar>
              <w:top w:w="80" w:type="dxa"/>
              <w:start w:w="90" w:type="dxa"/>
              <w:bottom w:w="80" w:type="dxa"/>
              <w:end w:w="90" w:type="dxa"/>
            </w:tcMar>
          </w:tcPr>
          <w:p>
            <w:r>
              <w:rPr>
                <w:sz w:val="18"/>
              </w:rPr>
              <w:t>Evaluate whether the task remains pending.</w:t>
            </w:r>
          </w:p>
        </w:tc>
      </w:tr>
      <w:tr>
        <w:trPr>
          <w:cantSplit w:val="true"/>
        </w:trPr>
        <w:tc>
          <w:tcPr>
            <w:tcW w:type="dxa" w:w="5112"/>
            <w:vAlign w:val="top"/>
            <w:tcMar>
              <w:top w:w="80" w:type="dxa"/>
              <w:start w:w="90" w:type="dxa"/>
              <w:bottom w:w="80" w:type="dxa"/>
              <w:end w:w="90" w:type="dxa"/>
            </w:tcMar>
          </w:tcPr>
          <w:p>
            <w:r>
              <w:rPr>
                <w:sz w:val="18"/>
              </w:rPr>
              <w:t>2</w:t>
            </w:r>
          </w:p>
        </w:tc>
        <w:tc>
          <w:tcPr>
            <w:tcW w:type="dxa" w:w="5112"/>
            <w:vAlign w:val="top"/>
            <w:tcMar>
              <w:top w:w="80" w:type="dxa"/>
              <w:start w:w="90" w:type="dxa"/>
              <w:bottom w:w="80" w:type="dxa"/>
              <w:end w:w="90" w:type="dxa"/>
            </w:tcMar>
          </w:tcPr>
          <w:p>
            <w:r>
              <w:rPr>
                <w:sz w:val="18"/>
              </w:rPr>
              <w:t>If pending at the reminder threshold, remind the responsible user.</w:t>
            </w:r>
          </w:p>
        </w:tc>
      </w:tr>
      <w:tr>
        <w:trPr>
          <w:cantSplit w:val="true"/>
        </w:trPr>
        <w:tc>
          <w:tcPr>
            <w:tcW w:type="dxa" w:w="5112"/>
            <w:vAlign w:val="top"/>
            <w:tcMar>
              <w:top w:w="80" w:type="dxa"/>
              <w:start w:w="90" w:type="dxa"/>
              <w:bottom w:w="80" w:type="dxa"/>
              <w:end w:w="90" w:type="dxa"/>
            </w:tcMar>
          </w:tcPr>
          <w:p>
            <w:r>
              <w:rPr>
                <w:sz w:val="18"/>
              </w:rPr>
              <w:t>3</w:t>
            </w:r>
          </w:p>
        </w:tc>
        <w:tc>
          <w:tcPr>
            <w:tcW w:type="dxa" w:w="5112"/>
            <w:vAlign w:val="top"/>
            <w:tcMar>
              <w:top w:w="80" w:type="dxa"/>
              <w:start w:w="90" w:type="dxa"/>
              <w:bottom w:w="80" w:type="dxa"/>
              <w:end w:w="90" w:type="dxa"/>
            </w:tcMar>
          </w:tcPr>
          <w:p>
            <w:r>
              <w:rPr>
                <w:sz w:val="18"/>
              </w:rPr>
              <w:t>If pending at the escalation threshold, notify/escalate according to configured hierarchy/policy.</w:t>
            </w:r>
          </w:p>
        </w:tc>
      </w:tr>
      <w:tr>
        <w:trPr>
          <w:cantSplit w:val="true"/>
        </w:trPr>
        <w:tc>
          <w:tcPr>
            <w:tcW w:type="dxa" w:w="5112"/>
            <w:vAlign w:val="top"/>
            <w:tcMar>
              <w:top w:w="80" w:type="dxa"/>
              <w:start w:w="90" w:type="dxa"/>
              <w:bottom w:w="80" w:type="dxa"/>
              <w:end w:w="90" w:type="dxa"/>
            </w:tcMar>
          </w:tcPr>
          <w:p>
            <w:r>
              <w:rPr>
                <w:sz w:val="18"/>
              </w:rPr>
              <w:t>4</w:t>
            </w:r>
          </w:p>
        </w:tc>
        <w:tc>
          <w:tcPr>
            <w:tcW w:type="dxa" w:w="5112"/>
            <w:vAlign w:val="top"/>
            <w:tcMar>
              <w:top w:w="80" w:type="dxa"/>
              <w:start w:w="90" w:type="dxa"/>
              <w:bottom w:w="80" w:type="dxa"/>
              <w:end w:w="90" w:type="dxa"/>
            </w:tcMar>
          </w:tcPr>
          <w:p>
            <w:r>
              <w:rPr>
                <w:sz w:val="18"/>
              </w:rPr>
              <w:t>Log each reminder/escalation action.</w:t>
            </w:r>
          </w:p>
        </w:tc>
      </w:tr>
      <w:tr>
        <w:trPr>
          <w:cantSplit w:val="true"/>
        </w:trPr>
        <w:tc>
          <w:tcPr>
            <w:tcW w:type="dxa" w:w="5112"/>
            <w:vAlign w:val="top"/>
            <w:tcMar>
              <w:top w:w="80" w:type="dxa"/>
              <w:start w:w="90" w:type="dxa"/>
              <w:bottom w:w="80" w:type="dxa"/>
              <w:end w:w="90" w:type="dxa"/>
            </w:tcMar>
          </w:tcPr>
          <w:p>
            <w:r>
              <w:rPr>
                <w:sz w:val="18"/>
              </w:rPr>
              <w:t>5</w:t>
            </w:r>
          </w:p>
        </w:tc>
        <w:tc>
          <w:tcPr>
            <w:tcW w:type="dxa" w:w="5112"/>
            <w:vAlign w:val="top"/>
            <w:tcMar>
              <w:top w:w="80" w:type="dxa"/>
              <w:start w:w="90" w:type="dxa"/>
              <w:bottom w:w="80" w:type="dxa"/>
              <w:end w:w="90" w:type="dxa"/>
            </w:tcMar>
          </w:tcPr>
          <w:p>
            <w:r>
              <w:rPr>
                <w:sz w:val="18"/>
              </w:rPr>
              <w:t>If the task is no longer pending at a threshold, no corresponding reminder/escalation is issued.</w:t>
            </w:r>
          </w:p>
        </w:tc>
      </w:tr>
    </w:tbl>
    <w:p>
      <w:pPr>
        <w:pStyle w:val="Heading3"/>
      </w:pPr>
      <w:r>
        <w:t>Conditions and Constraints Embedded in this Function</w:t>
      </w:r>
    </w:p>
    <w:p>
      <w:pPr>
        <w:pStyle w:val="ListBullet"/>
      </w:pPr>
      <w:r>
        <w:t>Each SLA-controlled actionable task has a configurable reminder threshold. If still pending at that threshold, the responsible user is reminded.</w:t>
      </w:r>
    </w:p>
    <w:p>
      <w:pPr>
        <w:pStyle w:val="ListBullet"/>
      </w:pPr>
      <w:r>
        <w:t>Each SLA-controlled actionable task has a configurable escalation threshold. If still pending at that threshold, the configured higher/responsible authority is notified or the task is escalated according to policy. The action is logged.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Controlled study material — do not combine with other representation packages during the experiment.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RS1 ELM Study Material  |  PACKAGE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