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Shubham</w:t>
      </w:r>
    </w:p>
    <w:p>
      <w:pPr>
        <w:pStyle w:val="Date"/>
      </w:pPr>
      <w:r>
        <w:t xml:space="preserve">3/5/2021</w:t>
      </w:r>
    </w:p>
    <w:p>
      <w:pPr>
        <w:pStyle w:val="FirstParagraph"/>
      </w:pPr>
      <w:r>
        <w:t xml:space="preserve">Task 1</w:t>
      </w:r>
    </w:p>
    <w:p>
      <w:pPr>
        <w:pStyle w:val="BodyText"/>
      </w:pPr>
      <w:r>
        <w:t xml:space="preserve">A study was done to compare soil mapping units on the basis of their lateral</w:t>
      </w:r>
      <w:r>
        <w:t xml:space="preserve"> </w:t>
      </w:r>
      <w:r>
        <w:t xml:space="preserve">variability’s for a single property, silt content. The study area consisted of a</w:t>
      </w:r>
      <w:r>
        <w:t xml:space="preserve"> </w:t>
      </w:r>
      <w:r>
        <w:t xml:space="preserve">sequence of eight contiguous sites extending over the crest and flank of a low rise</w:t>
      </w:r>
      <w:r>
        <w:t xml:space="preserve"> </w:t>
      </w:r>
      <w:r>
        <w:t xml:space="preserve">in a valley plain underlain by marl near Albudeite in the province of Murcia,</w:t>
      </w:r>
      <w:r>
        <w:t xml:space="preserve"> </w:t>
      </w:r>
      <w:r>
        <w:t xml:space="preserve">Spain. The geomorphological sites were the primary mapping units adopted and</w:t>
      </w:r>
      <w:r>
        <w:t xml:space="preserve"> </w:t>
      </w:r>
      <w:r>
        <w:t xml:space="preserve">were small areas of ground surface of uniform shape. Following the delimination</w:t>
      </w:r>
      <w:r>
        <w:t xml:space="preserve"> </w:t>
      </w:r>
      <w:r>
        <w:t xml:space="preserve">of the sites, soil samples were obtained in each site at 11 random points within a</w:t>
      </w:r>
      <w:r>
        <w:t xml:space="preserve"> </w:t>
      </w:r>
      <w:r>
        <w:t xml:space="preserve">10mx10m area centered on the midpoint of the site. All samples were taken from</w:t>
      </w:r>
      <w:r>
        <w:t xml:space="preserve"> </w:t>
      </w:r>
      <w:r>
        <w:t xml:space="preserve">the same depth. The soil property considered was the silt content, expressed</w:t>
      </w:r>
      <w:r>
        <w:t xml:space="preserve"> </w:t>
      </w:r>
      <w:r>
        <w:t xml:space="preserve">as percentages of the total silt, clay and, sand content. The data are given in</w:t>
      </w:r>
      <w:r>
        <w:t xml:space="preserve"> </w:t>
      </w:r>
      <w:r>
        <w:t xml:space="preserve">SiltDataset.csv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'D:/Statistical Methods/Assignments/Assignment 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"SiltDataset.csv"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#Factor</w:t>
      </w:r>
      <w:r>
        <w:br/>
      </w:r>
      <w:r>
        <w:rPr>
          <w:rStyle w:val="NormalTok"/>
        </w:rPr>
        <w:t xml:space="preserve">siteFactor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(siltData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(siltData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siteFactor)</w:t>
      </w:r>
      <w:r>
        <w:br/>
      </w:r>
      <w:r>
        <w:rPr>
          <w:rStyle w:val="CommentTok"/>
        </w:rPr>
        <w:t xml:space="preserve">#Summary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(analysis)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siteFactor   7  600.1   85.73   3.432 0.00293 **</w:t>
      </w:r>
      <w:r>
        <w:br/>
      </w:r>
      <w:r>
        <w:rPr>
          <w:rStyle w:val="VerbatimChar"/>
        </w:rPr>
        <w:t xml:space="preserve">## Residuals   80 1998.4   24.98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(siltData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silt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siteFactor,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"Silt"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"bisque"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"Boxplots of Site vs Silt"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(siltData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silt, siteFactor, mean)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 means,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chin_Shubha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Since the p-value (0.00293 &lt; 0.05) is less than 0.05, the difference in means is statistically significant.</w:t>
      </w:r>
      <w:r>
        <w:t xml:space="preserve"> </w:t>
      </w:r>
      <w:r>
        <w:t xml:space="preserve">Therefore, there is difference in silt content among the soils from different sites.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Sachin Shubham</dc:creator>
  <cp:keywords/>
  <dcterms:created xsi:type="dcterms:W3CDTF">2021-04-14T19:25:04Z</dcterms:created>
  <dcterms:modified xsi:type="dcterms:W3CDTF">2021-04-14T19:25:04Z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3/5/2021</vt:lpwstr>
  </property>
  <property fmtid="{D5CDD505-2E9C-101B-9397-08002B2CF9AE}" pid="3" name="output">
    <vt:lpwstr>word_document</vt:lpwstr>
  </property>
</Properties>
</file>