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Jugj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temp</w:t>
            </w:r>
          </w:p>
        </w:tc>
        <w:tc>
          <w:tcPr>
            <w:tcW w:type="dxa" w:w="4320"/>
          </w:tcPr>
          <w:p>
            <w:r>
              <w:t>temp</w:t>
            </w:r>
          </w:p>
        </w:tc>
      </w:tr>
    </w:tbl>
    <w:p>
      <w:r>
        <w:rPr>
          <w:b w:val="0"/>
          <w:i w:val="0"/>
          <w:u w:val="none"/>
        </w:rPr>
        <w:t>Hi temp v5</w:t>
      </w:r>
    </w:p>
    <w:p>
      <w:r>
        <w:drawing>
          <wp:inline xmlns:a="http://schemas.openxmlformats.org/drawingml/2006/main" xmlns:pic="http://schemas.openxmlformats.org/drawingml/2006/picture">
            <wp:extent cx="3657600" cy="640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640951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a="http://schemas.openxmlformats.org/drawingml/2006/main" xmlns:pic="http://schemas.openxmlformats.org/drawingml/2006/picture">
            <wp:extent cx="3657600" cy="4919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9199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u w:val="none"/>
        </w:rPr>
        <w:t>hkjgcdskjbzxxcvbn fghj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