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Jugj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temp</w:t>
            </w:r>
          </w:p>
        </w:tc>
        <w:tc>
          <w:tcPr>
            <w:tcW w:type="dxa" w:w="4320"/>
          </w:tcPr>
          <w:p>
            <w:r>
              <w:t>temp</w:t>
            </w:r>
          </w:p>
        </w:tc>
      </w:tr>
    </w:tbl>
    <w:p>
      <w:r>
        <w:rPr>
          <w:b w:val="0"/>
          <w:i w:val="0"/>
          <w:u w:val="none"/>
        </w:rPr>
        <w:t>Hi temp v1</w:t>
      </w:r>
    </w:p>
    <w:p>
      <w:r>
        <w:drawing>
          <wp:inline xmlns:a="http://schemas.openxmlformats.org/drawingml/2006/main" xmlns:pic="http://schemas.openxmlformats.org/drawingml/2006/picture">
            <wp:extent cx="3657600" cy="640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640951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a="http://schemas.openxmlformats.org/drawingml/2006/main" xmlns:pic="http://schemas.openxmlformats.org/drawingml/2006/picture">
            <wp:extent cx="3657600" cy="4919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9199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u w:val="none"/>
        </w:rPr>
        <w:t>hkjgcdskjbzxxcvbn fghj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