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Jugj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temp</w:t>
            </w:r>
          </w:p>
        </w:tc>
        <w:tc>
          <w:tcPr>
            <w:tcW w:type="dxa" w:w="4320"/>
          </w:tcPr>
          <w:p>
            <w:r>
              <w:t>temp</w:t>
            </w:r>
          </w:p>
        </w:tc>
      </w:tr>
    </w:tbl>
    <w:p>
      <w:r>
        <w:rPr>
          <w:b w:val="0"/>
          <w:i w:val="0"/>
          <w:u w:val="none"/>
        </w:rPr>
        <w:t>Hi temp v2</w:t>
      </w:r>
    </w:p>
    <w:p>
      <w:r>
        <w:drawing>
          <wp:inline xmlns:a="http://schemas.openxmlformats.org/drawingml/2006/main" xmlns:pic="http://schemas.openxmlformats.org/drawingml/2006/picture">
            <wp:extent cx="3657600" cy="640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640951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a="http://schemas.openxmlformats.org/drawingml/2006/main" xmlns:pic="http://schemas.openxmlformats.org/drawingml/2006/picture">
            <wp:extent cx="3657600" cy="4919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9199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u w:val="none"/>
        </w:rP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