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GLOBAL SUPERSTORE 2016</w:t>
        <w:br/>
        <w:t>SALES &amp; PROFIT ANALYSIS</w:t>
      </w:r>
    </w:p>
    <w:p>
      <w:pPr>
        <w:jc w:val="center"/>
      </w:pPr>
      <w:r>
        <w:rPr>
          <w:sz w:val="24"/>
        </w:rPr>
        <w:t>Project Report</w:t>
        <w:br/>
        <w:t>Sachin Sisodiya</w:t>
      </w:r>
    </w:p>
    <w:p/>
    <w:p>
      <w:pPr>
        <w:pStyle w:val="Heading1"/>
      </w:pPr>
      <w:r>
        <w:t>1. Executive Summary</w:t>
      </w:r>
    </w:p>
    <w:p>
      <w:r>
        <w:t>This project analyzes the Global Superstore 2016 dataset using Python. The dataset contains 51,290 order-line records covering 2012–2015. Across the dataset, total sales are $12,642,501.91, total profit is $1,467,457.29, and the overall profit margin is 11.61%. The analysis examines trends, products, markets, customers, shipping and returns to produce business-oriented insights.</w:t>
      </w:r>
    </w:p>
    <w:p>
      <w:pPr>
        <w:pStyle w:val="Heading1"/>
      </w:pPr>
      <w:r>
        <w:t>2. Objectives</w:t>
      </w:r>
    </w:p>
    <w:p>
      <w:pPr>
        <w:pStyle w:val="ListBullet"/>
      </w:pPr>
      <w:r>
        <w:t>Measure overall sales, profit, quantity and order performance.</w:t>
      </w:r>
    </w:p>
    <w:p>
      <w:pPr>
        <w:pStyle w:val="ListBullet"/>
      </w:pPr>
      <w:r>
        <w:t>Analyze sales and profit trends over time.</w:t>
      </w:r>
    </w:p>
    <w:p>
      <w:pPr>
        <w:pStyle w:val="ListBullet"/>
      </w:pPr>
      <w:r>
        <w:t>Compare product categories, sub-categories and markets.</w:t>
      </w:r>
    </w:p>
    <w:p>
      <w:pPr>
        <w:pStyle w:val="ListBullet"/>
      </w:pPr>
      <w:r>
        <w:t>Understand customer segment performance.</w:t>
      </w:r>
    </w:p>
    <w:p>
      <w:pPr>
        <w:pStyle w:val="ListBullet"/>
      </w:pPr>
      <w:r>
        <w:t>Identify high-sales and loss-making products.</w:t>
      </w:r>
    </w:p>
    <w:p>
      <w:pPr>
        <w:pStyle w:val="ListBullet"/>
      </w:pPr>
      <w:r>
        <w:t>Evaluate shipping modes and average shipping duration.</w:t>
      </w:r>
    </w:p>
    <w:p>
      <w:pPr>
        <w:pStyle w:val="ListBullet"/>
      </w:pPr>
      <w:r>
        <w:t>Measure returned-order rate.</w:t>
      </w:r>
    </w:p>
    <w:p>
      <w:pPr>
        <w:pStyle w:val="ListBullet"/>
      </w:pPr>
      <w:r>
        <w:t>Examine the relationship between discount and profit.</w:t>
      </w:r>
    </w:p>
    <w:p>
      <w:pPr>
        <w:pStyle w:val="Heading1"/>
      </w:pPr>
      <w:r>
        <w:t>3. Dataset Description</w:t>
      </w:r>
    </w:p>
    <w:p>
      <w:r>
        <w:t>The supplied workbook contains three sheets: Orders, Returns and People. The Orders sheet is the primary analytical table. Returns is used to identify returned orders, while People provides regional manager information.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Index</w:t>
            </w:r>
          </w:p>
        </w:tc>
        <w:tc>
          <w:tcPr>
            <w:tcW w:type="dxa" w:w="2556"/>
          </w:tcPr>
          <w:p>
            <w:r>
              <w:t>Sheet</w:t>
            </w:r>
          </w:p>
        </w:tc>
        <w:tc>
          <w:tcPr>
            <w:tcW w:type="dxa" w:w="2556"/>
          </w:tcPr>
          <w:p>
            <w:r>
              <w:t>Rows</w:t>
            </w:r>
          </w:p>
        </w:tc>
        <w:tc>
          <w:tcPr>
            <w:tcW w:type="dxa" w:w="2556"/>
          </w:tcPr>
          <w:p>
            <w:r>
              <w:t>Columns</w:t>
            </w:r>
          </w:p>
        </w:tc>
      </w:tr>
      <w:tr>
        <w:tc>
          <w:tcPr>
            <w:tcW w:type="dxa" w:w="2556"/>
          </w:tcPr>
          <w:p>
            <w:r>
              <w:t>0</w:t>
            </w:r>
          </w:p>
        </w:tc>
        <w:tc>
          <w:tcPr>
            <w:tcW w:type="dxa" w:w="2556"/>
          </w:tcPr>
          <w:p>
            <w:r>
              <w:t>Orders</w:t>
            </w:r>
          </w:p>
        </w:tc>
        <w:tc>
          <w:tcPr>
            <w:tcW w:type="dxa" w:w="2556"/>
          </w:tcPr>
          <w:p>
            <w:r>
              <w:t>51290</w:t>
            </w:r>
          </w:p>
        </w:tc>
        <w:tc>
          <w:tcPr>
            <w:tcW w:type="dxa" w:w="2556"/>
          </w:tcPr>
          <w:p>
            <w:r>
              <w:t>28</w:t>
            </w:r>
          </w:p>
        </w:tc>
      </w:tr>
      <w:tr>
        <w:tc>
          <w:tcPr>
            <w:tcW w:type="dxa" w:w="2556"/>
          </w:tcPr>
          <w:p>
            <w:r>
              <w:t>1</w:t>
            </w:r>
          </w:p>
        </w:tc>
        <w:tc>
          <w:tcPr>
            <w:tcW w:type="dxa" w:w="2556"/>
          </w:tcPr>
          <w:p>
            <w:r>
              <w:t>Returns</w:t>
            </w:r>
          </w:p>
        </w:tc>
        <w:tc>
          <w:tcPr>
            <w:tcW w:type="dxa" w:w="2556"/>
          </w:tcPr>
          <w:p>
            <w:r>
              <w:t>1079</w:t>
            </w:r>
          </w:p>
        </w:tc>
        <w:tc>
          <w:tcPr>
            <w:tcW w:type="dxa" w:w="2556"/>
          </w:tcPr>
          <w:p>
            <w:r>
              <w:t>3</w:t>
            </w:r>
          </w:p>
        </w:tc>
      </w:tr>
      <w:tr>
        <w:tc>
          <w:tcPr>
            <w:tcW w:type="dxa" w:w="2556"/>
          </w:tcPr>
          <w:p>
            <w:r>
              <w:t>2</w:t>
            </w:r>
          </w:p>
        </w:tc>
        <w:tc>
          <w:tcPr>
            <w:tcW w:type="dxa" w:w="2556"/>
          </w:tcPr>
          <w:p>
            <w:r>
              <w:t>People</w:t>
            </w:r>
          </w:p>
        </w:tc>
        <w:tc>
          <w:tcPr>
            <w:tcW w:type="dxa" w:w="2556"/>
          </w:tcPr>
          <w:p>
            <w:r>
              <w:t>24</w:t>
            </w:r>
          </w:p>
        </w:tc>
        <w:tc>
          <w:tcPr>
            <w:tcW w:type="dxa" w:w="2556"/>
          </w:tcPr>
          <w:p>
            <w:r>
              <w:t>2</w:t>
            </w:r>
          </w:p>
        </w:tc>
      </w:tr>
    </w:tbl>
    <w:p>
      <w:pPr>
        <w:pStyle w:val="Heading1"/>
      </w:pPr>
      <w:r>
        <w:t>4. Tools and Technologies</w:t>
      </w:r>
    </w:p>
    <w:p>
      <w:r>
        <w:t>Python, Pandas, NumPy, Matplotlib, Seaborn, Jupyter Notebook and OpenPyXL.</w:t>
      </w:r>
    </w:p>
    <w:p>
      <w:pPr>
        <w:pStyle w:val="Heading1"/>
      </w:pPr>
      <w:r>
        <w:t>5. Data Preparation</w:t>
      </w:r>
    </w:p>
    <w:p>
      <w:pPr>
        <w:pStyle w:val="ListBullet"/>
      </w:pPr>
      <w:r>
        <w:t>Converted Order Date and Ship Date to datetime format.</w:t>
      </w:r>
    </w:p>
    <w:p>
      <w:pPr>
        <w:pStyle w:val="ListBullet"/>
      </w:pPr>
      <w:r>
        <w:t>Created Year and Month features from Order Date.</w:t>
      </w:r>
    </w:p>
    <w:p>
      <w:pPr>
        <w:pStyle w:val="ListBullet"/>
      </w:pPr>
      <w:r>
        <w:t>Created Ship Days as the difference between Ship Date and Order Date.</w:t>
      </w:r>
    </w:p>
    <w:p>
      <w:pPr>
        <w:pStyle w:val="ListBullet"/>
      </w:pPr>
      <w:r>
        <w:t>Created Profit Margin % from Profit divided by Sales.</w:t>
      </w:r>
    </w:p>
    <w:p>
      <w:pPr>
        <w:pStyle w:val="ListBullet"/>
      </w:pPr>
      <w:r>
        <w:t>Mapped returned Order IDs from the Returns sheet to the Orders data.</w:t>
      </w:r>
    </w:p>
    <w:p>
      <w:pPr>
        <w:pStyle w:val="ListBullet"/>
      </w:pPr>
      <w:r>
        <w:t>Postal Code contains many missing values; it was not required for the core analysis.</w:t>
      </w:r>
    </w:p>
    <w:p>
      <w:pPr>
        <w:pStyle w:val="Heading1"/>
      </w:pPr>
      <w:r>
        <w:t>6. Key Performance Indicators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Index</w:t>
            </w:r>
          </w:p>
        </w:tc>
        <w:tc>
          <w:tcPr>
            <w:tcW w:type="dxa" w:w="3408"/>
          </w:tcPr>
          <w:p>
            <w:r>
              <w:t>KPI</w:t>
            </w:r>
          </w:p>
        </w:tc>
        <w:tc>
          <w:tcPr>
            <w:tcW w:type="dxa" w:w="3408"/>
          </w:tcPr>
          <w:p>
            <w:r>
              <w:t>Value</w:t>
            </w:r>
          </w:p>
        </w:tc>
      </w:tr>
      <w:tr>
        <w:tc>
          <w:tcPr>
            <w:tcW w:type="dxa" w:w="3408"/>
          </w:tcPr>
          <w:p>
            <w:r>
              <w:t>0</w:t>
            </w:r>
          </w:p>
        </w:tc>
        <w:tc>
          <w:tcPr>
            <w:tcW w:type="dxa" w:w="3408"/>
          </w:tcPr>
          <w:p>
            <w:r>
              <w:t>Total Sales</w:t>
            </w:r>
          </w:p>
        </w:tc>
        <w:tc>
          <w:tcPr>
            <w:tcW w:type="dxa" w:w="3408"/>
          </w:tcPr>
          <w:p>
            <w:r>
              <w:t>$12,642,501.91</w:t>
            </w:r>
          </w:p>
        </w:tc>
      </w:tr>
      <w:tr>
        <w:tc>
          <w:tcPr>
            <w:tcW w:type="dxa" w:w="3408"/>
          </w:tcPr>
          <w:p>
            <w:r>
              <w:t>1</w:t>
            </w:r>
          </w:p>
        </w:tc>
        <w:tc>
          <w:tcPr>
            <w:tcW w:type="dxa" w:w="3408"/>
          </w:tcPr>
          <w:p>
            <w:r>
              <w:t>Total Profit</w:t>
            </w:r>
          </w:p>
        </w:tc>
        <w:tc>
          <w:tcPr>
            <w:tcW w:type="dxa" w:w="3408"/>
          </w:tcPr>
          <w:p>
            <w:r>
              <w:t>$1,467,457.29</w:t>
            </w:r>
          </w:p>
        </w:tc>
      </w:tr>
      <w:tr>
        <w:tc>
          <w:tcPr>
            <w:tcW w:type="dxa" w:w="3408"/>
          </w:tcPr>
          <w:p>
            <w:r>
              <w:t>2</w:t>
            </w:r>
          </w:p>
        </w:tc>
        <w:tc>
          <w:tcPr>
            <w:tcW w:type="dxa" w:w="3408"/>
          </w:tcPr>
          <w:p>
            <w:r>
              <w:t>Total Quantity</w:t>
            </w:r>
          </w:p>
        </w:tc>
        <w:tc>
          <w:tcPr>
            <w:tcW w:type="dxa" w:w="3408"/>
          </w:tcPr>
          <w:p>
            <w:r>
              <w:t>178,312</w:t>
            </w:r>
          </w:p>
        </w:tc>
      </w:tr>
      <w:tr>
        <w:tc>
          <w:tcPr>
            <w:tcW w:type="dxa" w:w="3408"/>
          </w:tcPr>
          <w:p>
            <w:r>
              <w:t>3</w:t>
            </w:r>
          </w:p>
        </w:tc>
        <w:tc>
          <w:tcPr>
            <w:tcW w:type="dxa" w:w="3408"/>
          </w:tcPr>
          <w:p>
            <w:r>
              <w:t>Unique Orders</w:t>
            </w:r>
          </w:p>
        </w:tc>
        <w:tc>
          <w:tcPr>
            <w:tcW w:type="dxa" w:w="3408"/>
          </w:tcPr>
          <w:p>
            <w:r>
              <w:t>25,728</w:t>
            </w:r>
          </w:p>
        </w:tc>
      </w:tr>
      <w:tr>
        <w:tc>
          <w:tcPr>
            <w:tcW w:type="dxa" w:w="3408"/>
          </w:tcPr>
          <w:p>
            <w:r>
              <w:t>4</w:t>
            </w:r>
          </w:p>
        </w:tc>
        <w:tc>
          <w:tcPr>
            <w:tcW w:type="dxa" w:w="3408"/>
          </w:tcPr>
          <w:p>
            <w:r>
              <w:t>Unique Customers</w:t>
            </w:r>
          </w:p>
        </w:tc>
        <w:tc>
          <w:tcPr>
            <w:tcW w:type="dxa" w:w="3408"/>
          </w:tcPr>
          <w:p>
            <w:r>
              <w:t>17,415</w:t>
            </w:r>
          </w:p>
        </w:tc>
      </w:tr>
      <w:tr>
        <w:tc>
          <w:tcPr>
            <w:tcW w:type="dxa" w:w="3408"/>
          </w:tcPr>
          <w:p>
            <w:r>
              <w:t>5</w:t>
            </w:r>
          </w:p>
        </w:tc>
        <w:tc>
          <w:tcPr>
            <w:tcW w:type="dxa" w:w="3408"/>
          </w:tcPr>
          <w:p>
            <w:r>
              <w:t>Unique Products</w:t>
            </w:r>
          </w:p>
        </w:tc>
        <w:tc>
          <w:tcPr>
            <w:tcW w:type="dxa" w:w="3408"/>
          </w:tcPr>
          <w:p>
            <w:r>
              <w:t>3,788</w:t>
            </w:r>
          </w:p>
        </w:tc>
      </w:tr>
      <w:tr>
        <w:tc>
          <w:tcPr>
            <w:tcW w:type="dxa" w:w="3408"/>
          </w:tcPr>
          <w:p>
            <w:r>
              <w:t>6</w:t>
            </w:r>
          </w:p>
        </w:tc>
        <w:tc>
          <w:tcPr>
            <w:tcW w:type="dxa" w:w="3408"/>
          </w:tcPr>
          <w:p>
            <w:r>
              <w:t>Profit Margin</w:t>
            </w:r>
          </w:p>
        </w:tc>
        <w:tc>
          <w:tcPr>
            <w:tcW w:type="dxa" w:w="3408"/>
          </w:tcPr>
          <w:p>
            <w:r>
              <w:t>11.61%</w:t>
            </w:r>
          </w:p>
        </w:tc>
      </w:tr>
      <w:tr>
        <w:tc>
          <w:tcPr>
            <w:tcW w:type="dxa" w:w="3408"/>
          </w:tcPr>
          <w:p>
            <w:r>
              <w:t>7</w:t>
            </w:r>
          </w:p>
        </w:tc>
        <w:tc>
          <w:tcPr>
            <w:tcW w:type="dxa" w:w="3408"/>
          </w:tcPr>
          <w:p>
            <w:r>
              <w:t>Returned Orders</w:t>
            </w:r>
          </w:p>
        </w:tc>
        <w:tc>
          <w:tcPr>
            <w:tcW w:type="dxa" w:w="3408"/>
          </w:tcPr>
          <w:p>
            <w:r>
              <w:t>1,079</w:t>
            </w:r>
          </w:p>
        </w:tc>
      </w:tr>
      <w:tr>
        <w:tc>
          <w:tcPr>
            <w:tcW w:type="dxa" w:w="3408"/>
          </w:tcPr>
          <w:p>
            <w:r>
              <w:t>8</w:t>
            </w:r>
          </w:p>
        </w:tc>
        <w:tc>
          <w:tcPr>
            <w:tcW w:type="dxa" w:w="3408"/>
          </w:tcPr>
          <w:p>
            <w:r>
              <w:t>Return Rate</w:t>
            </w:r>
          </w:p>
        </w:tc>
        <w:tc>
          <w:tcPr>
            <w:tcW w:type="dxa" w:w="3408"/>
          </w:tcPr>
          <w:p>
            <w:r>
              <w:t>4.19%</w:t>
            </w:r>
          </w:p>
        </w:tc>
      </w:tr>
    </w:tbl>
    <w:p>
      <w:pPr>
        <w:pStyle w:val="Heading1"/>
      </w:pPr>
      <w:r>
        <w:t>7. Yearly Performance</w:t>
      </w:r>
    </w:p>
    <w:p>
      <w:r>
        <w:t>Sales and profit both increased across the four years in the dataset. 2015 records the highest sales and profit among the four years.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Index</w:t>
            </w:r>
          </w:p>
        </w:tc>
        <w:tc>
          <w:tcPr>
            <w:tcW w:type="dxa" w:w="1704"/>
          </w:tcPr>
          <w:p>
            <w:r>
              <w:t>Sales</w:t>
            </w:r>
          </w:p>
        </w:tc>
        <w:tc>
          <w:tcPr>
            <w:tcW w:type="dxa" w:w="1704"/>
          </w:tcPr>
          <w:p>
            <w:r>
              <w:t>Profit</w:t>
            </w:r>
          </w:p>
        </w:tc>
        <w:tc>
          <w:tcPr>
            <w:tcW w:type="dxa" w:w="1704"/>
          </w:tcPr>
          <w:p>
            <w:r>
              <w:t>Quantity</w:t>
            </w:r>
          </w:p>
        </w:tc>
        <w:tc>
          <w:tcPr>
            <w:tcW w:type="dxa" w:w="1704"/>
          </w:tcPr>
          <w:p>
            <w:r>
              <w:t>Orders</w:t>
            </w:r>
          </w:p>
        </w:tc>
        <w:tc>
          <w:tcPr>
            <w:tcW w:type="dxa" w:w="1704"/>
          </w:tcPr>
          <w:p>
            <w:r>
              <w:t>Profit Margin %</w:t>
            </w:r>
          </w:p>
        </w:tc>
      </w:tr>
      <w:tr>
        <w:tc>
          <w:tcPr>
            <w:tcW w:type="dxa" w:w="1704"/>
          </w:tcPr>
          <w:p>
            <w:r>
              <w:t>2012</w:t>
            </w:r>
          </w:p>
        </w:tc>
        <w:tc>
          <w:tcPr>
            <w:tcW w:type="dxa" w:w="1704"/>
          </w:tcPr>
          <w:p>
            <w:r>
              <w:t>2,259,450.90</w:t>
            </w:r>
          </w:p>
        </w:tc>
        <w:tc>
          <w:tcPr>
            <w:tcW w:type="dxa" w:w="1704"/>
          </w:tcPr>
          <w:p>
            <w:r>
              <w:t>248,940.81</w:t>
            </w:r>
          </w:p>
        </w:tc>
        <w:tc>
          <w:tcPr>
            <w:tcW w:type="dxa" w:w="1704"/>
          </w:tcPr>
          <w:p>
            <w:r>
              <w:t>31,443.00</w:t>
            </w:r>
          </w:p>
        </w:tc>
        <w:tc>
          <w:tcPr>
            <w:tcW w:type="dxa" w:w="1704"/>
          </w:tcPr>
          <w:p>
            <w:r>
              <w:t>4,515.00</w:t>
            </w:r>
          </w:p>
        </w:tc>
        <w:tc>
          <w:tcPr>
            <w:tcW w:type="dxa" w:w="1704"/>
          </w:tcPr>
          <w:p>
            <w:r>
              <w:t>11.02</w:t>
            </w:r>
          </w:p>
        </w:tc>
      </w:tr>
      <w:tr>
        <w:tc>
          <w:tcPr>
            <w:tcW w:type="dxa" w:w="1704"/>
          </w:tcPr>
          <w:p>
            <w:r>
              <w:t>2013</w:t>
            </w:r>
          </w:p>
        </w:tc>
        <w:tc>
          <w:tcPr>
            <w:tcW w:type="dxa" w:w="1704"/>
          </w:tcPr>
          <w:p>
            <w:r>
              <w:t>2,677,438.69</w:t>
            </w:r>
          </w:p>
        </w:tc>
        <w:tc>
          <w:tcPr>
            <w:tcW w:type="dxa" w:w="1704"/>
          </w:tcPr>
          <w:p>
            <w:r>
              <w:t>307,415.28</w:t>
            </w:r>
          </w:p>
        </w:tc>
        <w:tc>
          <w:tcPr>
            <w:tcW w:type="dxa" w:w="1704"/>
          </w:tcPr>
          <w:p>
            <w:r>
              <w:t>38,111.00</w:t>
            </w:r>
          </w:p>
        </w:tc>
        <w:tc>
          <w:tcPr>
            <w:tcW w:type="dxa" w:w="1704"/>
          </w:tcPr>
          <w:p>
            <w:r>
              <w:t>5,473.00</w:t>
            </w:r>
          </w:p>
        </w:tc>
        <w:tc>
          <w:tcPr>
            <w:tcW w:type="dxa" w:w="1704"/>
          </w:tcPr>
          <w:p>
            <w:r>
              <w:t>11.48</w:t>
            </w:r>
          </w:p>
        </w:tc>
      </w:tr>
      <w:tr>
        <w:tc>
          <w:tcPr>
            <w:tcW w:type="dxa" w:w="1704"/>
          </w:tcPr>
          <w:p>
            <w:r>
              <w:t>2014</w:t>
            </w:r>
          </w:p>
        </w:tc>
        <w:tc>
          <w:tcPr>
            <w:tcW w:type="dxa" w:w="1704"/>
          </w:tcPr>
          <w:p>
            <w:r>
              <w:t>3,405,746.45</w:t>
            </w:r>
          </w:p>
        </w:tc>
        <w:tc>
          <w:tcPr>
            <w:tcW w:type="dxa" w:w="1704"/>
          </w:tcPr>
          <w:p>
            <w:r>
              <w:t>406,935.23</w:t>
            </w:r>
          </w:p>
        </w:tc>
        <w:tc>
          <w:tcPr>
            <w:tcW w:type="dxa" w:w="1704"/>
          </w:tcPr>
          <w:p>
            <w:r>
              <w:t>48,136.00</w:t>
            </w:r>
          </w:p>
        </w:tc>
        <w:tc>
          <w:tcPr>
            <w:tcW w:type="dxa" w:w="1704"/>
          </w:tcPr>
          <w:p>
            <w:r>
              <w:t>6,883.00</w:t>
            </w:r>
          </w:p>
        </w:tc>
        <w:tc>
          <w:tcPr>
            <w:tcW w:type="dxa" w:w="1704"/>
          </w:tcPr>
          <w:p>
            <w:r>
              <w:t>11.95</w:t>
            </w:r>
          </w:p>
        </w:tc>
      </w:tr>
      <w:tr>
        <w:tc>
          <w:tcPr>
            <w:tcW w:type="dxa" w:w="1704"/>
          </w:tcPr>
          <w:p>
            <w:r>
              <w:t>2015</w:t>
            </w:r>
          </w:p>
        </w:tc>
        <w:tc>
          <w:tcPr>
            <w:tcW w:type="dxa" w:w="1704"/>
          </w:tcPr>
          <w:p>
            <w:r>
              <w:t>4,299,865.87</w:t>
            </w:r>
          </w:p>
        </w:tc>
        <w:tc>
          <w:tcPr>
            <w:tcW w:type="dxa" w:w="1704"/>
          </w:tcPr>
          <w:p>
            <w:r>
              <w:t>504,165.97</w:t>
            </w:r>
          </w:p>
        </w:tc>
        <w:tc>
          <w:tcPr>
            <w:tcW w:type="dxa" w:w="1704"/>
          </w:tcPr>
          <w:p>
            <w:r>
              <w:t>60,622.00</w:t>
            </w:r>
          </w:p>
        </w:tc>
        <w:tc>
          <w:tcPr>
            <w:tcW w:type="dxa" w:w="1704"/>
          </w:tcPr>
          <w:p>
            <w:r>
              <w:t>8,857.00</w:t>
            </w:r>
          </w:p>
        </w:tc>
        <w:tc>
          <w:tcPr>
            <w:tcW w:type="dxa" w:w="1704"/>
          </w:tcPr>
          <w:p>
            <w:r>
              <w:t>11.73</w:t>
            </w:r>
          </w:p>
        </w:tc>
      </w:tr>
    </w:tbl>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yearly_sales_profit.png"/>
                    <pic:cNvPicPr/>
                  </pic:nvPicPr>
                  <pic:blipFill>
                    <a:blip r:embed="rId9"/>
                    <a:stretch>
                      <a:fillRect/>
                    </a:stretch>
                  </pic:blipFill>
                  <pic:spPr>
                    <a:xfrm>
                      <a:off x="0" y="0"/>
                      <a:ext cx="5669280" cy="3543300"/>
                    </a:xfrm>
                    <a:prstGeom prst="rect"/>
                  </pic:spPr>
                </pic:pic>
              </a:graphicData>
            </a:graphic>
          </wp:inline>
        </w:drawing>
      </w:r>
    </w:p>
    <w:p>
      <w:pPr>
        <w:pStyle w:val="Heading1"/>
      </w:pPr>
      <w:r>
        <w:t>8. Category Performance</w:t>
      </w:r>
    </w:p>
    <w:p>
      <w:r>
        <w:t>Technology has the highest category sales at $4,744,557.50. Office Supplies has the highest category profit after grouping the transaction records, while Furniture has a lower profit contribution relative to its sales.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Index</w:t>
            </w:r>
          </w:p>
        </w:tc>
        <w:tc>
          <w:tcPr>
            <w:tcW w:type="dxa" w:w="2045"/>
          </w:tcPr>
          <w:p>
            <w:r>
              <w:t>Sales</w:t>
            </w:r>
          </w:p>
        </w:tc>
        <w:tc>
          <w:tcPr>
            <w:tcW w:type="dxa" w:w="2045"/>
          </w:tcPr>
          <w:p>
            <w:r>
              <w:t>Profit</w:t>
            </w:r>
          </w:p>
        </w:tc>
        <w:tc>
          <w:tcPr>
            <w:tcW w:type="dxa" w:w="2045"/>
          </w:tcPr>
          <w:p>
            <w:r>
              <w:t>Quantity</w:t>
            </w:r>
          </w:p>
        </w:tc>
        <w:tc>
          <w:tcPr>
            <w:tcW w:type="dxa" w:w="2045"/>
          </w:tcPr>
          <w:p>
            <w:r>
              <w:t>Orders</w:t>
            </w:r>
          </w:p>
        </w:tc>
      </w:tr>
      <w:tr>
        <w:tc>
          <w:tcPr>
            <w:tcW w:type="dxa" w:w="2045"/>
          </w:tcPr>
          <w:p>
            <w:r>
              <w:t>Technology</w:t>
            </w:r>
          </w:p>
        </w:tc>
        <w:tc>
          <w:tcPr>
            <w:tcW w:type="dxa" w:w="2045"/>
          </w:tcPr>
          <w:p>
            <w:r>
              <w:t>4,744,557.50</w:t>
            </w:r>
          </w:p>
        </w:tc>
        <w:tc>
          <w:tcPr>
            <w:tcW w:type="dxa" w:w="2045"/>
          </w:tcPr>
          <w:p>
            <w:r>
              <w:t>663,778.73</w:t>
            </w:r>
          </w:p>
        </w:tc>
        <w:tc>
          <w:tcPr>
            <w:tcW w:type="dxa" w:w="2045"/>
          </w:tcPr>
          <w:p>
            <w:r>
              <w:t>35,176.00</w:t>
            </w:r>
          </w:p>
        </w:tc>
        <w:tc>
          <w:tcPr>
            <w:tcW w:type="dxa" w:w="2045"/>
          </w:tcPr>
          <w:p>
            <w:r>
              <w:t>8,428.00</w:t>
            </w:r>
          </w:p>
        </w:tc>
      </w:tr>
      <w:tr>
        <w:tc>
          <w:tcPr>
            <w:tcW w:type="dxa" w:w="2045"/>
          </w:tcPr>
          <w:p>
            <w:r>
              <w:t>Furniture</w:t>
            </w:r>
          </w:p>
        </w:tc>
        <w:tc>
          <w:tcPr>
            <w:tcW w:type="dxa" w:w="2045"/>
          </w:tcPr>
          <w:p>
            <w:r>
              <w:t>4,110,451.90</w:t>
            </w:r>
          </w:p>
        </w:tc>
        <w:tc>
          <w:tcPr>
            <w:tcW w:type="dxa" w:w="2045"/>
          </w:tcPr>
          <w:p>
            <w:r>
              <w:t>285,082.73</w:t>
            </w:r>
          </w:p>
        </w:tc>
        <w:tc>
          <w:tcPr>
            <w:tcW w:type="dxa" w:w="2045"/>
          </w:tcPr>
          <w:p>
            <w:r>
              <w:t>34,892.00</w:t>
            </w:r>
          </w:p>
        </w:tc>
        <w:tc>
          <w:tcPr>
            <w:tcW w:type="dxa" w:w="2045"/>
          </w:tcPr>
          <w:p>
            <w:r>
              <w:t>8,222.00</w:t>
            </w:r>
          </w:p>
        </w:tc>
      </w:tr>
      <w:tr>
        <w:tc>
          <w:tcPr>
            <w:tcW w:type="dxa" w:w="2045"/>
          </w:tcPr>
          <w:p>
            <w:r>
              <w:t>Office Supplies</w:t>
            </w:r>
          </w:p>
        </w:tc>
        <w:tc>
          <w:tcPr>
            <w:tcW w:type="dxa" w:w="2045"/>
          </w:tcPr>
          <w:p>
            <w:r>
              <w:t>3,787,492.51</w:t>
            </w:r>
          </w:p>
        </w:tc>
        <w:tc>
          <w:tcPr>
            <w:tcW w:type="dxa" w:w="2045"/>
          </w:tcPr>
          <w:p>
            <w:r>
              <w:t>518,595.83</w:t>
            </w:r>
          </w:p>
        </w:tc>
        <w:tc>
          <w:tcPr>
            <w:tcW w:type="dxa" w:w="2045"/>
          </w:tcPr>
          <w:p>
            <w:r>
              <w:t>108,244.00</w:t>
            </w:r>
          </w:p>
        </w:tc>
        <w:tc>
          <w:tcPr>
            <w:tcW w:type="dxa" w:w="2045"/>
          </w:tcPr>
          <w:p>
            <w:r>
              <w:t>19,464.00</w:t>
            </w:r>
          </w:p>
        </w:tc>
      </w:tr>
    </w:tbl>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0"/>
                    <a:stretch>
                      <a:fillRect/>
                    </a:stretch>
                  </pic:blipFill>
                  <pic:spPr>
                    <a:xfrm>
                      <a:off x="0" y="0"/>
                      <a:ext cx="5669280" cy="3543300"/>
                    </a:xfrm>
                    <a:prstGeom prst="rect"/>
                  </pic:spPr>
                </pic:pic>
              </a:graphicData>
            </a:graphic>
          </wp:inline>
        </w:drawing>
      </w:r>
    </w:p>
    <w:p>
      <w:pPr>
        <w:pStyle w:val="Heading1"/>
      </w:pPr>
      <w:r>
        <w:t>9. Market Performance</w:t>
      </w:r>
    </w:p>
    <w:p>
      <w:r>
        <w:t>Asia Pacific has the highest market sales at $4,042,658.27. Europe has the highest market profit at $449,551.72.</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Index</w:t>
            </w:r>
          </w:p>
        </w:tc>
        <w:tc>
          <w:tcPr>
            <w:tcW w:type="dxa" w:w="2556"/>
          </w:tcPr>
          <w:p>
            <w:r>
              <w:t>Sales</w:t>
            </w:r>
          </w:p>
        </w:tc>
        <w:tc>
          <w:tcPr>
            <w:tcW w:type="dxa" w:w="2556"/>
          </w:tcPr>
          <w:p>
            <w:r>
              <w:t>Profit</w:t>
            </w:r>
          </w:p>
        </w:tc>
        <w:tc>
          <w:tcPr>
            <w:tcW w:type="dxa" w:w="2556"/>
          </w:tcPr>
          <w:p>
            <w:r>
              <w:t>Orders</w:t>
            </w:r>
          </w:p>
        </w:tc>
      </w:tr>
      <w:tr>
        <w:tc>
          <w:tcPr>
            <w:tcW w:type="dxa" w:w="2556"/>
          </w:tcPr>
          <w:p>
            <w:r>
              <w:t>Asia Pacific</w:t>
            </w:r>
          </w:p>
        </w:tc>
        <w:tc>
          <w:tcPr>
            <w:tcW w:type="dxa" w:w="2556"/>
          </w:tcPr>
          <w:p>
            <w:r>
              <w:t>4,042,658.27</w:t>
            </w:r>
          </w:p>
        </w:tc>
        <w:tc>
          <w:tcPr>
            <w:tcW w:type="dxa" w:w="2556"/>
          </w:tcPr>
          <w:p>
            <w:r>
              <w:t>403,176.04</w:t>
            </w:r>
          </w:p>
        </w:tc>
        <w:tc>
          <w:tcPr>
            <w:tcW w:type="dxa" w:w="2556"/>
          </w:tcPr>
          <w:p>
            <w:r>
              <w:t>7,080.00</w:t>
            </w:r>
          </w:p>
        </w:tc>
      </w:tr>
      <w:tr>
        <w:tc>
          <w:tcPr>
            <w:tcW w:type="dxa" w:w="2556"/>
          </w:tcPr>
          <w:p>
            <w:r>
              <w:t>Europe</w:t>
            </w:r>
          </w:p>
        </w:tc>
        <w:tc>
          <w:tcPr>
            <w:tcW w:type="dxa" w:w="2556"/>
          </w:tcPr>
          <w:p>
            <w:r>
              <w:t>3,287,336.23</w:t>
            </w:r>
          </w:p>
        </w:tc>
        <w:tc>
          <w:tcPr>
            <w:tcW w:type="dxa" w:w="2556"/>
          </w:tcPr>
          <w:p>
            <w:r>
              <w:t>449,551.72</w:t>
            </w:r>
          </w:p>
        </w:tc>
        <w:tc>
          <w:tcPr>
            <w:tcW w:type="dxa" w:w="2556"/>
          </w:tcPr>
          <w:p>
            <w:r>
              <w:t>6,013.00</w:t>
            </w:r>
          </w:p>
        </w:tc>
      </w:tr>
      <w:tr>
        <w:tc>
          <w:tcPr>
            <w:tcW w:type="dxa" w:w="2556"/>
          </w:tcPr>
          <w:p>
            <w:r>
              <w:t>USCA</w:t>
            </w:r>
          </w:p>
        </w:tc>
        <w:tc>
          <w:tcPr>
            <w:tcW w:type="dxa" w:w="2556"/>
          </w:tcPr>
          <w:p>
            <w:r>
              <w:t>2,364,129.03</w:t>
            </w:r>
          </w:p>
        </w:tc>
        <w:tc>
          <w:tcPr>
            <w:tcW w:type="dxa" w:w="2556"/>
          </w:tcPr>
          <w:p>
            <w:r>
              <w:t>304,214.41</w:t>
            </w:r>
          </w:p>
        </w:tc>
        <w:tc>
          <w:tcPr>
            <w:tcW w:type="dxa" w:w="2556"/>
          </w:tcPr>
          <w:p>
            <w:r>
              <w:t>5,203.00</w:t>
            </w:r>
          </w:p>
        </w:tc>
      </w:tr>
      <w:tr>
        <w:tc>
          <w:tcPr>
            <w:tcW w:type="dxa" w:w="2556"/>
          </w:tcPr>
          <w:p>
            <w:r>
              <w:t>LATAM</w:t>
            </w:r>
          </w:p>
        </w:tc>
        <w:tc>
          <w:tcPr>
            <w:tcW w:type="dxa" w:w="2556"/>
          </w:tcPr>
          <w:p>
            <w:r>
              <w:t>2,164,605.17</w:t>
            </w:r>
          </w:p>
        </w:tc>
        <w:tc>
          <w:tcPr>
            <w:tcW w:type="dxa" w:w="2556"/>
          </w:tcPr>
          <w:p>
            <w:r>
              <w:t>221,643.49</w:t>
            </w:r>
          </w:p>
        </w:tc>
        <w:tc>
          <w:tcPr>
            <w:tcW w:type="dxa" w:w="2556"/>
          </w:tcPr>
          <w:p>
            <w:r>
              <w:t>5,144.00</w:t>
            </w:r>
          </w:p>
        </w:tc>
      </w:tr>
      <w:tr>
        <w:tc>
          <w:tcPr>
            <w:tcW w:type="dxa" w:w="2556"/>
          </w:tcPr>
          <w:p>
            <w:r>
              <w:t>Africa</w:t>
            </w:r>
          </w:p>
        </w:tc>
        <w:tc>
          <w:tcPr>
            <w:tcW w:type="dxa" w:w="2556"/>
          </w:tcPr>
          <w:p>
            <w:r>
              <w:t>783,773.21</w:t>
            </w:r>
          </w:p>
        </w:tc>
        <w:tc>
          <w:tcPr>
            <w:tcW w:type="dxa" w:w="2556"/>
          </w:tcPr>
          <w:p>
            <w:r>
              <w:t>88,871.63</w:t>
            </w:r>
          </w:p>
        </w:tc>
        <w:tc>
          <w:tcPr>
            <w:tcW w:type="dxa" w:w="2556"/>
          </w:tcPr>
          <w:p>
            <w:r>
              <w:t>2,288.00</w:t>
            </w:r>
          </w:p>
        </w:tc>
      </w:tr>
    </w:tbl>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market_profit.png"/>
                    <pic:cNvPicPr/>
                  </pic:nvPicPr>
                  <pic:blipFill>
                    <a:blip r:embed="rId11"/>
                    <a:stretch>
                      <a:fillRect/>
                    </a:stretch>
                  </pic:blipFill>
                  <pic:spPr>
                    <a:xfrm>
                      <a:off x="0" y="0"/>
                      <a:ext cx="5669280" cy="3543300"/>
                    </a:xfrm>
                    <a:prstGeom prst="rect"/>
                  </pic:spPr>
                </pic:pic>
              </a:graphicData>
            </a:graphic>
          </wp:inline>
        </w:drawing>
      </w:r>
    </w:p>
    <w:p>
      <w:pPr>
        <w:pStyle w:val="Heading1"/>
      </w:pPr>
      <w:r>
        <w:t>10. Customer Segment Analysis</w:t>
      </w:r>
    </w:p>
    <w:p>
      <w:r>
        <w:t>Consumer is the largest segment by sales, with $6,507,949.42 in sales.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Index</w:t>
            </w:r>
          </w:p>
        </w:tc>
        <w:tc>
          <w:tcPr>
            <w:tcW w:type="dxa" w:w="2556"/>
          </w:tcPr>
          <w:p>
            <w:r>
              <w:t>Sales</w:t>
            </w:r>
          </w:p>
        </w:tc>
        <w:tc>
          <w:tcPr>
            <w:tcW w:type="dxa" w:w="2556"/>
          </w:tcPr>
          <w:p>
            <w:r>
              <w:t>Profit</w:t>
            </w:r>
          </w:p>
        </w:tc>
        <w:tc>
          <w:tcPr>
            <w:tcW w:type="dxa" w:w="2556"/>
          </w:tcPr>
          <w:p>
            <w:r>
              <w:t>Orders</w:t>
            </w:r>
          </w:p>
        </w:tc>
      </w:tr>
      <w:tr>
        <w:tc>
          <w:tcPr>
            <w:tcW w:type="dxa" w:w="2556"/>
          </w:tcPr>
          <w:p>
            <w:r>
              <w:t>Consumer</w:t>
            </w:r>
          </w:p>
        </w:tc>
        <w:tc>
          <w:tcPr>
            <w:tcW w:type="dxa" w:w="2556"/>
          </w:tcPr>
          <w:p>
            <w:r>
              <w:t>6,507,949.42</w:t>
            </w:r>
          </w:p>
        </w:tc>
        <w:tc>
          <w:tcPr>
            <w:tcW w:type="dxa" w:w="2556"/>
          </w:tcPr>
          <w:p>
            <w:r>
              <w:t>749,239.78</w:t>
            </w:r>
          </w:p>
        </w:tc>
        <w:tc>
          <w:tcPr>
            <w:tcW w:type="dxa" w:w="2556"/>
          </w:tcPr>
          <w:p>
            <w:r>
              <w:t>13,291.00</w:t>
            </w:r>
          </w:p>
        </w:tc>
      </w:tr>
      <w:tr>
        <w:tc>
          <w:tcPr>
            <w:tcW w:type="dxa" w:w="2556"/>
          </w:tcPr>
          <w:p>
            <w:r>
              <w:t>Corporate</w:t>
            </w:r>
          </w:p>
        </w:tc>
        <w:tc>
          <w:tcPr>
            <w:tcW w:type="dxa" w:w="2556"/>
          </w:tcPr>
          <w:p>
            <w:r>
              <w:t>3,824,697.52</w:t>
            </w:r>
          </w:p>
        </w:tc>
        <w:tc>
          <w:tcPr>
            <w:tcW w:type="dxa" w:w="2556"/>
          </w:tcPr>
          <w:p>
            <w:r>
              <w:t>441,208.33</w:t>
            </w:r>
          </w:p>
        </w:tc>
        <w:tc>
          <w:tcPr>
            <w:tcW w:type="dxa" w:w="2556"/>
          </w:tcPr>
          <w:p>
            <w:r>
              <w:t>7,724.00</w:t>
            </w:r>
          </w:p>
        </w:tc>
      </w:tr>
      <w:tr>
        <w:tc>
          <w:tcPr>
            <w:tcW w:type="dxa" w:w="2556"/>
          </w:tcPr>
          <w:p>
            <w:r>
              <w:t>Home Office</w:t>
            </w:r>
          </w:p>
        </w:tc>
        <w:tc>
          <w:tcPr>
            <w:tcW w:type="dxa" w:w="2556"/>
          </w:tcPr>
          <w:p>
            <w:r>
              <w:t>2,309,854.97</w:t>
            </w:r>
          </w:p>
        </w:tc>
        <w:tc>
          <w:tcPr>
            <w:tcW w:type="dxa" w:w="2556"/>
          </w:tcPr>
          <w:p>
            <w:r>
              <w:t>277,009.18</w:t>
            </w:r>
          </w:p>
        </w:tc>
        <w:tc>
          <w:tcPr>
            <w:tcW w:type="dxa" w:w="2556"/>
          </w:tcPr>
          <w:p>
            <w:r>
              <w:t>4,713.00</w:t>
            </w:r>
          </w:p>
        </w:tc>
      </w:tr>
    </w:tbl>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egment_sales.png"/>
                    <pic:cNvPicPr/>
                  </pic:nvPicPr>
                  <pic:blipFill>
                    <a:blip r:embed="rId12"/>
                    <a:stretch>
                      <a:fillRect/>
                    </a:stretch>
                  </pic:blipFill>
                  <pic:spPr>
                    <a:xfrm>
                      <a:off x="0" y="0"/>
                      <a:ext cx="5669280" cy="3543300"/>
                    </a:xfrm>
                    <a:prstGeom prst="rect"/>
                  </pic:spPr>
                </pic:pic>
              </a:graphicData>
            </a:graphic>
          </wp:inline>
        </w:drawing>
      </w:r>
    </w:p>
    <w:p>
      <w:pPr>
        <w:pStyle w:val="Heading1"/>
      </w:pPr>
      <w:r>
        <w:t>11. Product Analysis</w:t>
      </w:r>
    </w:p>
    <w:p>
      <w:r>
        <w:t>The following table shows the ten products with the highest aggregated sales.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Index</w:t>
            </w:r>
          </w:p>
        </w:tc>
        <w:tc>
          <w:tcPr>
            <w:tcW w:type="dxa" w:w="2556"/>
          </w:tcPr>
          <w:p>
            <w:r>
              <w:t>Sales</w:t>
            </w:r>
          </w:p>
        </w:tc>
        <w:tc>
          <w:tcPr>
            <w:tcW w:type="dxa" w:w="2556"/>
          </w:tcPr>
          <w:p>
            <w:r>
              <w:t>Profit</w:t>
            </w:r>
          </w:p>
        </w:tc>
        <w:tc>
          <w:tcPr>
            <w:tcW w:type="dxa" w:w="2556"/>
          </w:tcPr>
          <w:p>
            <w:r>
              <w:t>Quantity</w:t>
            </w:r>
          </w:p>
        </w:tc>
      </w:tr>
      <w:tr>
        <w:tc>
          <w:tcPr>
            <w:tcW w:type="dxa" w:w="2556"/>
          </w:tcPr>
          <w:p>
            <w:r>
              <w:t>Apple Smart Phone, Full Size</w:t>
            </w:r>
          </w:p>
        </w:tc>
        <w:tc>
          <w:tcPr>
            <w:tcW w:type="dxa" w:w="2556"/>
          </w:tcPr>
          <w:p>
            <w:r>
              <w:t>86,935.78</w:t>
            </w:r>
          </w:p>
        </w:tc>
        <w:tc>
          <w:tcPr>
            <w:tcW w:type="dxa" w:w="2556"/>
          </w:tcPr>
          <w:p>
            <w:r>
              <w:t>5,921.58</w:t>
            </w:r>
          </w:p>
        </w:tc>
        <w:tc>
          <w:tcPr>
            <w:tcW w:type="dxa" w:w="2556"/>
          </w:tcPr>
          <w:p>
            <w:r>
              <w:t>171.00</w:t>
            </w:r>
          </w:p>
        </w:tc>
      </w:tr>
      <w:tr>
        <w:tc>
          <w:tcPr>
            <w:tcW w:type="dxa" w:w="2556"/>
          </w:tcPr>
          <w:p>
            <w:r>
              <w:t>Cisco Smart Phone, Full Size</w:t>
            </w:r>
          </w:p>
        </w:tc>
        <w:tc>
          <w:tcPr>
            <w:tcW w:type="dxa" w:w="2556"/>
          </w:tcPr>
          <w:p>
            <w:r>
              <w:t>76,441.53</w:t>
            </w:r>
          </w:p>
        </w:tc>
        <w:tc>
          <w:tcPr>
            <w:tcW w:type="dxa" w:w="2556"/>
          </w:tcPr>
          <w:p>
            <w:r>
              <w:t>17,238.52</w:t>
            </w:r>
          </w:p>
        </w:tc>
        <w:tc>
          <w:tcPr>
            <w:tcW w:type="dxa" w:w="2556"/>
          </w:tcPr>
          <w:p>
            <w:r>
              <w:t>139.00</w:t>
            </w:r>
          </w:p>
        </w:tc>
      </w:tr>
      <w:tr>
        <w:tc>
          <w:tcPr>
            <w:tcW w:type="dxa" w:w="2556"/>
          </w:tcPr>
          <w:p>
            <w:r>
              <w:t>Motorola Smart Phone, Full Size</w:t>
            </w:r>
          </w:p>
        </w:tc>
        <w:tc>
          <w:tcPr>
            <w:tcW w:type="dxa" w:w="2556"/>
          </w:tcPr>
          <w:p>
            <w:r>
              <w:t>73,156.30</w:t>
            </w:r>
          </w:p>
        </w:tc>
        <w:tc>
          <w:tcPr>
            <w:tcW w:type="dxa" w:w="2556"/>
          </w:tcPr>
          <w:p>
            <w:r>
              <w:t>17,027.11</w:t>
            </w:r>
          </w:p>
        </w:tc>
        <w:tc>
          <w:tcPr>
            <w:tcW w:type="dxa" w:w="2556"/>
          </w:tcPr>
          <w:p>
            <w:r>
              <w:t>134.00</w:t>
            </w:r>
          </w:p>
        </w:tc>
      </w:tr>
      <w:tr>
        <w:tc>
          <w:tcPr>
            <w:tcW w:type="dxa" w:w="2556"/>
          </w:tcPr>
          <w:p>
            <w:r>
              <w:t>Nokia Smart Phone, Full Size</w:t>
            </w:r>
          </w:p>
        </w:tc>
        <w:tc>
          <w:tcPr>
            <w:tcW w:type="dxa" w:w="2556"/>
          </w:tcPr>
          <w:p>
            <w:r>
              <w:t>71,904.56</w:t>
            </w:r>
          </w:p>
        </w:tc>
        <w:tc>
          <w:tcPr>
            <w:tcW w:type="dxa" w:w="2556"/>
          </w:tcPr>
          <w:p>
            <w:r>
              <w:t>9,938.20</w:t>
            </w:r>
          </w:p>
        </w:tc>
        <w:tc>
          <w:tcPr>
            <w:tcW w:type="dxa" w:w="2556"/>
          </w:tcPr>
          <w:p>
            <w:r>
              <w:t>147.00</w:t>
            </w:r>
          </w:p>
        </w:tc>
      </w:tr>
      <w:tr>
        <w:tc>
          <w:tcPr>
            <w:tcW w:type="dxa" w:w="2556"/>
          </w:tcPr>
          <w:p>
            <w:r>
              <w:t>Canon imageCLASS 2200 Advanced Copier</w:t>
            </w:r>
          </w:p>
        </w:tc>
        <w:tc>
          <w:tcPr>
            <w:tcW w:type="dxa" w:w="2556"/>
          </w:tcPr>
          <w:p>
            <w:r>
              <w:t>61,599.82</w:t>
            </w:r>
          </w:p>
        </w:tc>
        <w:tc>
          <w:tcPr>
            <w:tcW w:type="dxa" w:w="2556"/>
          </w:tcPr>
          <w:p>
            <w:r>
              <w:t>25,199.93</w:t>
            </w:r>
          </w:p>
        </w:tc>
        <w:tc>
          <w:tcPr>
            <w:tcW w:type="dxa" w:w="2556"/>
          </w:tcPr>
          <w:p>
            <w:r>
              <w:t>20.00</w:t>
            </w:r>
          </w:p>
        </w:tc>
      </w:tr>
      <w:tr>
        <w:tc>
          <w:tcPr>
            <w:tcW w:type="dxa" w:w="2556"/>
          </w:tcPr>
          <w:p>
            <w:r>
              <w:t>Hon Executive Leather Armchair, Adjustable</w:t>
            </w:r>
          </w:p>
        </w:tc>
        <w:tc>
          <w:tcPr>
            <w:tcW w:type="dxa" w:w="2556"/>
          </w:tcPr>
          <w:p>
            <w:r>
              <w:t>58,193.48</w:t>
            </w:r>
          </w:p>
        </w:tc>
        <w:tc>
          <w:tcPr>
            <w:tcW w:type="dxa" w:w="2556"/>
          </w:tcPr>
          <w:p>
            <w:r>
              <w:t>5,997.25</w:t>
            </w:r>
          </w:p>
        </w:tc>
        <w:tc>
          <w:tcPr>
            <w:tcW w:type="dxa" w:w="2556"/>
          </w:tcPr>
          <w:p>
            <w:r>
              <w:t>169.00</w:t>
            </w:r>
          </w:p>
        </w:tc>
      </w:tr>
      <w:tr>
        <w:tc>
          <w:tcPr>
            <w:tcW w:type="dxa" w:w="2556"/>
          </w:tcPr>
          <w:p>
            <w:r>
              <w:t>Office Star Executive Leather Armchair, Adjustable</w:t>
            </w:r>
          </w:p>
        </w:tc>
        <w:tc>
          <w:tcPr>
            <w:tcW w:type="dxa" w:w="2556"/>
          </w:tcPr>
          <w:p>
            <w:r>
              <w:t>50,661.68</w:t>
            </w:r>
          </w:p>
        </w:tc>
        <w:tc>
          <w:tcPr>
            <w:tcW w:type="dxa" w:w="2556"/>
          </w:tcPr>
          <w:p>
            <w:r>
              <w:t>4,710.98</w:t>
            </w:r>
          </w:p>
        </w:tc>
        <w:tc>
          <w:tcPr>
            <w:tcW w:type="dxa" w:w="2556"/>
          </w:tcPr>
          <w:p>
            <w:r>
              <w:t>141.00</w:t>
            </w:r>
          </w:p>
        </w:tc>
      </w:tr>
      <w:tr>
        <w:tc>
          <w:tcPr>
            <w:tcW w:type="dxa" w:w="2556"/>
          </w:tcPr>
          <w:p>
            <w:r>
              <w:t>Harbour Creations Executive Leather Armchair, Adjustable</w:t>
            </w:r>
          </w:p>
        </w:tc>
        <w:tc>
          <w:tcPr>
            <w:tcW w:type="dxa" w:w="2556"/>
          </w:tcPr>
          <w:p>
            <w:r>
              <w:t>50,121.52</w:t>
            </w:r>
          </w:p>
        </w:tc>
        <w:tc>
          <w:tcPr>
            <w:tcW w:type="dxa" w:w="2556"/>
          </w:tcPr>
          <w:p>
            <w:r>
              <w:t>10,427.33</w:t>
            </w:r>
          </w:p>
        </w:tc>
        <w:tc>
          <w:tcPr>
            <w:tcW w:type="dxa" w:w="2556"/>
          </w:tcPr>
          <w:p>
            <w:r>
              <w:t>142.00</w:t>
            </w:r>
          </w:p>
        </w:tc>
      </w:tr>
      <w:tr>
        <w:tc>
          <w:tcPr>
            <w:tcW w:type="dxa" w:w="2556"/>
          </w:tcPr>
          <w:p>
            <w:r>
              <w:t>Samsung Smart Phone, Cordless</w:t>
            </w:r>
          </w:p>
        </w:tc>
        <w:tc>
          <w:tcPr>
            <w:tcW w:type="dxa" w:w="2556"/>
          </w:tcPr>
          <w:p>
            <w:r>
              <w:t>48,653.46</w:t>
            </w:r>
          </w:p>
        </w:tc>
        <w:tc>
          <w:tcPr>
            <w:tcW w:type="dxa" w:w="2556"/>
          </w:tcPr>
          <w:p>
            <w:r>
              <w:t>-198.09</w:t>
            </w:r>
          </w:p>
        </w:tc>
        <w:tc>
          <w:tcPr>
            <w:tcW w:type="dxa" w:w="2556"/>
          </w:tcPr>
          <w:p>
            <w:r>
              <w:t>108.00</w:t>
            </w:r>
          </w:p>
        </w:tc>
      </w:tr>
      <w:tr>
        <w:tc>
          <w:tcPr>
            <w:tcW w:type="dxa" w:w="2556"/>
          </w:tcPr>
          <w:p>
            <w:r>
              <w:t>Nokia Smart Phone, with Caller ID</w:t>
            </w:r>
          </w:p>
        </w:tc>
        <w:tc>
          <w:tcPr>
            <w:tcW w:type="dxa" w:w="2556"/>
          </w:tcPr>
          <w:p>
            <w:r>
              <w:t>47,877.79</w:t>
            </w:r>
          </w:p>
        </w:tc>
        <w:tc>
          <w:tcPr>
            <w:tcW w:type="dxa" w:w="2556"/>
          </w:tcPr>
          <w:p>
            <w:r>
              <w:t>9,465.33</w:t>
            </w:r>
          </w:p>
        </w:tc>
        <w:tc>
          <w:tcPr>
            <w:tcW w:type="dxa" w:w="2556"/>
          </w:tcPr>
          <w:p>
            <w:r>
              <w:t>96.00</w:t>
            </w:r>
          </w:p>
        </w:tc>
      </w:tr>
    </w:tbl>
    <w:p>
      <w:r>
        <w:t>The following products have the lowest aggregated profit and should be investigated for pricing, discounting, cost and demand factors.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Index</w:t>
            </w:r>
          </w:p>
        </w:tc>
        <w:tc>
          <w:tcPr>
            <w:tcW w:type="dxa" w:w="2556"/>
          </w:tcPr>
          <w:p>
            <w:r>
              <w:t>Sales</w:t>
            </w:r>
          </w:p>
        </w:tc>
        <w:tc>
          <w:tcPr>
            <w:tcW w:type="dxa" w:w="2556"/>
          </w:tcPr>
          <w:p>
            <w:r>
              <w:t>Profit</w:t>
            </w:r>
          </w:p>
        </w:tc>
        <w:tc>
          <w:tcPr>
            <w:tcW w:type="dxa" w:w="2556"/>
          </w:tcPr>
          <w:p>
            <w:r>
              <w:t>Quantity</w:t>
            </w:r>
          </w:p>
        </w:tc>
      </w:tr>
      <w:tr>
        <w:tc>
          <w:tcPr>
            <w:tcW w:type="dxa" w:w="2556"/>
          </w:tcPr>
          <w:p>
            <w:r>
              <w:t>Cubify CubeX 3D Printer Double Head Print</w:t>
            </w:r>
          </w:p>
        </w:tc>
        <w:tc>
          <w:tcPr>
            <w:tcW w:type="dxa" w:w="2556"/>
          </w:tcPr>
          <w:p>
            <w:r>
              <w:t>11,099.96</w:t>
            </w:r>
          </w:p>
        </w:tc>
        <w:tc>
          <w:tcPr>
            <w:tcW w:type="dxa" w:w="2556"/>
          </w:tcPr>
          <w:p>
            <w:r>
              <w:t>-8,879.97</w:t>
            </w:r>
          </w:p>
        </w:tc>
        <w:tc>
          <w:tcPr>
            <w:tcW w:type="dxa" w:w="2556"/>
          </w:tcPr>
          <w:p>
            <w:r>
              <w:t>9.00</w:t>
            </w:r>
          </w:p>
        </w:tc>
      </w:tr>
      <w:tr>
        <w:tc>
          <w:tcPr>
            <w:tcW w:type="dxa" w:w="2556"/>
          </w:tcPr>
          <w:p>
            <w:r>
              <w:t>Lexmark MX611dhe Monochrome Laser Printer</w:t>
            </w:r>
          </w:p>
        </w:tc>
        <w:tc>
          <w:tcPr>
            <w:tcW w:type="dxa" w:w="2556"/>
          </w:tcPr>
          <w:p>
            <w:r>
              <w:t>16,829.90</w:t>
            </w:r>
          </w:p>
        </w:tc>
        <w:tc>
          <w:tcPr>
            <w:tcW w:type="dxa" w:w="2556"/>
          </w:tcPr>
          <w:p>
            <w:r>
              <w:t>-4,589.97</w:t>
            </w:r>
          </w:p>
        </w:tc>
        <w:tc>
          <w:tcPr>
            <w:tcW w:type="dxa" w:w="2556"/>
          </w:tcPr>
          <w:p>
            <w:r>
              <w:t>18.00</w:t>
            </w:r>
          </w:p>
        </w:tc>
      </w:tr>
      <w:tr>
        <w:tc>
          <w:tcPr>
            <w:tcW w:type="dxa" w:w="2556"/>
          </w:tcPr>
          <w:p>
            <w:r>
              <w:t>Motorola Smart Phone, Cordless</w:t>
            </w:r>
          </w:p>
        </w:tc>
        <w:tc>
          <w:tcPr>
            <w:tcW w:type="dxa" w:w="2556"/>
          </w:tcPr>
          <w:p>
            <w:r>
              <w:t>38,931.04</w:t>
            </w:r>
          </w:p>
        </w:tc>
        <w:tc>
          <w:tcPr>
            <w:tcW w:type="dxa" w:w="2556"/>
          </w:tcPr>
          <w:p>
            <w:r>
              <w:t>-4,447.04</w:t>
            </w:r>
          </w:p>
        </w:tc>
        <w:tc>
          <w:tcPr>
            <w:tcW w:type="dxa" w:w="2556"/>
          </w:tcPr>
          <w:p>
            <w:r>
              <w:t>74.00</w:t>
            </w:r>
          </w:p>
        </w:tc>
      </w:tr>
      <w:tr>
        <w:tc>
          <w:tcPr>
            <w:tcW w:type="dxa" w:w="2556"/>
          </w:tcPr>
          <w:p>
            <w:r>
              <w:t>Cubify CubeX 3D Printer Triple Head Print</w:t>
            </w:r>
          </w:p>
        </w:tc>
        <w:tc>
          <w:tcPr>
            <w:tcW w:type="dxa" w:w="2556"/>
          </w:tcPr>
          <w:p>
            <w:r>
              <w:t>7,999.98</w:t>
            </w:r>
          </w:p>
        </w:tc>
        <w:tc>
          <w:tcPr>
            <w:tcW w:type="dxa" w:w="2556"/>
          </w:tcPr>
          <w:p>
            <w:r>
              <w:t>-3,839.99</w:t>
            </w:r>
          </w:p>
        </w:tc>
        <w:tc>
          <w:tcPr>
            <w:tcW w:type="dxa" w:w="2556"/>
          </w:tcPr>
          <w:p>
            <w:r>
              <w:t>4.00</w:t>
            </w:r>
          </w:p>
        </w:tc>
      </w:tr>
      <w:tr>
        <w:tc>
          <w:tcPr>
            <w:tcW w:type="dxa" w:w="2556"/>
          </w:tcPr>
          <w:p>
            <w:r>
              <w:t>Bevis Round Table, Adjustable Height</w:t>
            </w:r>
          </w:p>
        </w:tc>
        <w:tc>
          <w:tcPr>
            <w:tcW w:type="dxa" w:w="2556"/>
          </w:tcPr>
          <w:p>
            <w:r>
              <w:t>5,654.80</w:t>
            </w:r>
          </w:p>
        </w:tc>
        <w:tc>
          <w:tcPr>
            <w:tcW w:type="dxa" w:w="2556"/>
          </w:tcPr>
          <w:p>
            <w:r>
              <w:t>-3,649.89</w:t>
            </w:r>
          </w:p>
        </w:tc>
        <w:tc>
          <w:tcPr>
            <w:tcW w:type="dxa" w:w="2556"/>
          </w:tcPr>
          <w:p>
            <w:r>
              <w:t>22.00</w:t>
            </w:r>
          </w:p>
        </w:tc>
      </w:tr>
      <w:tr>
        <w:tc>
          <w:tcPr>
            <w:tcW w:type="dxa" w:w="2556"/>
          </w:tcPr>
          <w:p>
            <w:r>
              <w:t>Bevis Computer Table, Fully Assembled</w:t>
            </w:r>
          </w:p>
        </w:tc>
        <w:tc>
          <w:tcPr>
            <w:tcW w:type="dxa" w:w="2556"/>
          </w:tcPr>
          <w:p>
            <w:r>
              <w:t>11,177.90</w:t>
            </w:r>
          </w:p>
        </w:tc>
        <w:tc>
          <w:tcPr>
            <w:tcW w:type="dxa" w:w="2556"/>
          </w:tcPr>
          <w:p>
            <w:r>
              <w:t>-3,509.56</w:t>
            </w:r>
          </w:p>
        </w:tc>
        <w:tc>
          <w:tcPr>
            <w:tcW w:type="dxa" w:w="2556"/>
          </w:tcPr>
          <w:p>
            <w:r>
              <w:t>43.00</w:t>
            </w:r>
          </w:p>
        </w:tc>
      </w:tr>
      <w:tr>
        <w:tc>
          <w:tcPr>
            <w:tcW w:type="dxa" w:w="2556"/>
          </w:tcPr>
          <w:p>
            <w:r>
              <w:t>Rogers Lockers, Blue</w:t>
            </w:r>
          </w:p>
        </w:tc>
        <w:tc>
          <w:tcPr>
            <w:tcW w:type="dxa" w:w="2556"/>
          </w:tcPr>
          <w:p>
            <w:r>
              <w:t>28,214.59</w:t>
            </w:r>
          </w:p>
        </w:tc>
        <w:tc>
          <w:tcPr>
            <w:tcW w:type="dxa" w:w="2556"/>
          </w:tcPr>
          <w:p>
            <w:r>
              <w:t>-2,893.49</w:t>
            </w:r>
          </w:p>
        </w:tc>
        <w:tc>
          <w:tcPr>
            <w:tcW w:type="dxa" w:w="2556"/>
          </w:tcPr>
          <w:p>
            <w:r>
              <w:t>167.00</w:t>
            </w:r>
          </w:p>
        </w:tc>
      </w:tr>
      <w:tr>
        <w:tc>
          <w:tcPr>
            <w:tcW w:type="dxa" w:w="2556"/>
          </w:tcPr>
          <w:p>
            <w:r>
              <w:t>Chromcraft Bull-Nose Wood Oval Conference Tables &amp; Bases</w:t>
            </w:r>
          </w:p>
        </w:tc>
        <w:tc>
          <w:tcPr>
            <w:tcW w:type="dxa" w:w="2556"/>
          </w:tcPr>
          <w:p>
            <w:r>
              <w:t>9,917.64</w:t>
            </w:r>
          </w:p>
        </w:tc>
        <w:tc>
          <w:tcPr>
            <w:tcW w:type="dxa" w:w="2556"/>
          </w:tcPr>
          <w:p>
            <w:r>
              <w:t>-2,876.12</w:t>
            </w:r>
          </w:p>
        </w:tc>
        <w:tc>
          <w:tcPr>
            <w:tcW w:type="dxa" w:w="2556"/>
          </w:tcPr>
          <w:p>
            <w:r>
              <w:t>27.00</w:t>
            </w:r>
          </w:p>
        </w:tc>
      </w:tr>
      <w:tr>
        <w:tc>
          <w:tcPr>
            <w:tcW w:type="dxa" w:w="2556"/>
          </w:tcPr>
          <w:p>
            <w:r>
              <w:t>Bevis Wood Table, with Bottom Storage</w:t>
            </w:r>
          </w:p>
        </w:tc>
        <w:tc>
          <w:tcPr>
            <w:tcW w:type="dxa" w:w="2556"/>
          </w:tcPr>
          <w:p>
            <w:r>
              <w:t>11,134.66</w:t>
            </w:r>
          </w:p>
        </w:tc>
        <w:tc>
          <w:tcPr>
            <w:tcW w:type="dxa" w:w="2556"/>
          </w:tcPr>
          <w:p>
            <w:r>
              <w:t>-2,782.59</w:t>
            </w:r>
          </w:p>
        </w:tc>
        <w:tc>
          <w:tcPr>
            <w:tcW w:type="dxa" w:w="2556"/>
          </w:tcPr>
          <w:p>
            <w:r>
              <w:t>34.00</w:t>
            </w:r>
          </w:p>
        </w:tc>
      </w:tr>
      <w:tr>
        <w:tc>
          <w:tcPr>
            <w:tcW w:type="dxa" w:w="2556"/>
          </w:tcPr>
          <w:p>
            <w:r>
              <w:t>Lesro Training Table, Rectangular</w:t>
            </w:r>
          </w:p>
        </w:tc>
        <w:tc>
          <w:tcPr>
            <w:tcW w:type="dxa" w:w="2556"/>
          </w:tcPr>
          <w:p>
            <w:r>
              <w:t>2,711.65</w:t>
            </w:r>
          </w:p>
        </w:tc>
        <w:tc>
          <w:tcPr>
            <w:tcW w:type="dxa" w:w="2556"/>
          </w:tcPr>
          <w:p>
            <w:r>
              <w:t>-2,581.28</w:t>
            </w:r>
          </w:p>
        </w:tc>
        <w:tc>
          <w:tcPr>
            <w:tcW w:type="dxa" w:w="2556"/>
          </w:tcPr>
          <w:p>
            <w:r>
              <w:t>25.00</w:t>
            </w:r>
          </w:p>
        </w:tc>
      </w:tr>
    </w:tbl>
    <w:p>
      <w:pPr>
        <w:pStyle w:val="Heading1"/>
      </w:pPr>
      <w:r>
        <w:t>12. Shipping Analysis</w:t>
      </w:r>
    </w:p>
    <w:p>
      <w:r>
        <w:t>Standard Class is the most frequently used shipping mode. Average shipping duration is calculated from the order and ship dates.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Index</w:t>
            </w:r>
          </w:p>
        </w:tc>
        <w:tc>
          <w:tcPr>
            <w:tcW w:type="dxa" w:w="2045"/>
          </w:tcPr>
          <w:p>
            <w:r>
              <w:t>Sales</w:t>
            </w:r>
          </w:p>
        </w:tc>
        <w:tc>
          <w:tcPr>
            <w:tcW w:type="dxa" w:w="2045"/>
          </w:tcPr>
          <w:p>
            <w:r>
              <w:t>Profit</w:t>
            </w:r>
          </w:p>
        </w:tc>
        <w:tc>
          <w:tcPr>
            <w:tcW w:type="dxa" w:w="2045"/>
          </w:tcPr>
          <w:p>
            <w:r>
              <w:t>Avg_Ship_Days</w:t>
            </w:r>
          </w:p>
        </w:tc>
        <w:tc>
          <w:tcPr>
            <w:tcW w:type="dxa" w:w="2045"/>
          </w:tcPr>
          <w:p>
            <w:r>
              <w:t>Orders</w:t>
            </w:r>
          </w:p>
        </w:tc>
      </w:tr>
      <w:tr>
        <w:tc>
          <w:tcPr>
            <w:tcW w:type="dxa" w:w="2045"/>
          </w:tcPr>
          <w:p>
            <w:r>
              <w:t>Standard Class</w:t>
            </w:r>
          </w:p>
        </w:tc>
        <w:tc>
          <w:tcPr>
            <w:tcW w:type="dxa" w:w="2045"/>
          </w:tcPr>
          <w:p>
            <w:r>
              <w:t>7,578,652.11</w:t>
            </w:r>
          </w:p>
        </w:tc>
        <w:tc>
          <w:tcPr>
            <w:tcW w:type="dxa" w:w="2045"/>
          </w:tcPr>
          <w:p>
            <w:r>
              <w:t>890,596.02</w:t>
            </w:r>
          </w:p>
        </w:tc>
        <w:tc>
          <w:tcPr>
            <w:tcW w:type="dxa" w:w="2045"/>
          </w:tcPr>
          <w:p>
            <w:r>
              <w:t>5.00</w:t>
            </w:r>
          </w:p>
        </w:tc>
        <w:tc>
          <w:tcPr>
            <w:tcW w:type="dxa" w:w="2045"/>
          </w:tcPr>
          <w:p>
            <w:r>
              <w:t>15,405.00</w:t>
            </w:r>
          </w:p>
        </w:tc>
      </w:tr>
      <w:tr>
        <w:tc>
          <w:tcPr>
            <w:tcW w:type="dxa" w:w="2045"/>
          </w:tcPr>
          <w:p>
            <w:r>
              <w:t>Second Class</w:t>
            </w:r>
          </w:p>
        </w:tc>
        <w:tc>
          <w:tcPr>
            <w:tcW w:type="dxa" w:w="2045"/>
          </w:tcPr>
          <w:p>
            <w:r>
              <w:t>2,565,671.68</w:t>
            </w:r>
          </w:p>
        </w:tc>
        <w:tc>
          <w:tcPr>
            <w:tcW w:type="dxa" w:w="2045"/>
          </w:tcPr>
          <w:p>
            <w:r>
              <w:t>292,583.53</w:t>
            </w:r>
          </w:p>
        </w:tc>
        <w:tc>
          <w:tcPr>
            <w:tcW w:type="dxa" w:w="2045"/>
          </w:tcPr>
          <w:p>
            <w:r>
              <w:t>3.23</w:t>
            </w:r>
          </w:p>
        </w:tc>
        <w:tc>
          <w:tcPr>
            <w:tcW w:type="dxa" w:w="2045"/>
          </w:tcPr>
          <w:p>
            <w:r>
              <w:t>5,146.00</w:t>
            </w:r>
          </w:p>
        </w:tc>
      </w:tr>
      <w:tr>
        <w:tc>
          <w:tcPr>
            <w:tcW w:type="dxa" w:w="2045"/>
          </w:tcPr>
          <w:p>
            <w:r>
              <w:t>First Class</w:t>
            </w:r>
          </w:p>
        </w:tc>
        <w:tc>
          <w:tcPr>
            <w:tcW w:type="dxa" w:w="2045"/>
          </w:tcPr>
          <w:p>
            <w:r>
              <w:t>1,830,976.14</w:t>
            </w:r>
          </w:p>
        </w:tc>
        <w:tc>
          <w:tcPr>
            <w:tcW w:type="dxa" w:w="2045"/>
          </w:tcPr>
          <w:p>
            <w:r>
              <w:t>208,104.68</w:t>
            </w:r>
          </w:p>
        </w:tc>
        <w:tc>
          <w:tcPr>
            <w:tcW w:type="dxa" w:w="2045"/>
          </w:tcPr>
          <w:p>
            <w:r>
              <w:t>2.18</w:t>
            </w:r>
          </w:p>
        </w:tc>
        <w:tc>
          <w:tcPr>
            <w:tcW w:type="dxa" w:w="2045"/>
          </w:tcPr>
          <w:p>
            <w:r>
              <w:t>3,845.00</w:t>
            </w:r>
          </w:p>
        </w:tc>
      </w:tr>
      <w:tr>
        <w:tc>
          <w:tcPr>
            <w:tcW w:type="dxa" w:w="2045"/>
          </w:tcPr>
          <w:p>
            <w:r>
              <w:t>Same Day</w:t>
            </w:r>
          </w:p>
        </w:tc>
        <w:tc>
          <w:tcPr>
            <w:tcW w:type="dxa" w:w="2045"/>
          </w:tcPr>
          <w:p>
            <w:r>
              <w:t>667,201.98</w:t>
            </w:r>
          </w:p>
        </w:tc>
        <w:tc>
          <w:tcPr>
            <w:tcW w:type="dxa" w:w="2045"/>
          </w:tcPr>
          <w:p>
            <w:r>
              <w:t>76,173.07</w:t>
            </w:r>
          </w:p>
        </w:tc>
        <w:tc>
          <w:tcPr>
            <w:tcW w:type="dxa" w:w="2045"/>
          </w:tcPr>
          <w:p>
            <w:r>
              <w:t>0.04</w:t>
            </w:r>
          </w:p>
        </w:tc>
        <w:tc>
          <w:tcPr>
            <w:tcW w:type="dxa" w:w="2045"/>
          </w:tcPr>
          <w:p>
            <w:r>
              <w:t>1,349.00</w:t>
            </w:r>
          </w:p>
        </w:tc>
      </w:tr>
    </w:tbl>
    <w:p>
      <w:pPr>
        <w:pStyle w:val="Heading1"/>
      </w:pPr>
      <w:r>
        <w:t>13. Returns Analysis</w:t>
      </w:r>
    </w:p>
    <w:p>
      <w:r>
        <w:t>There are 1,079 unique returned orders among 25,728 unique orders, giving a return rate of 4.19%.</w:t>
      </w:r>
    </w:p>
    <w:p>
      <w:pPr>
        <w:pStyle w:val="Heading1"/>
      </w:pPr>
      <w:r>
        <w:t>14. Statistical Analysis: Discount and Profit</w:t>
      </w:r>
    </w:p>
    <w:p>
      <w:r>
        <w:t>The Pearson correlation between Discount and Profit is -0.3165. This indicates a negative linear association in this dataset. Correlation alone does not establish causation, so the result should be interpreted alongside product, market and pricing context.</w:t>
      </w:r>
    </w:p>
    <w:p>
      <w:pPr>
        <w:pStyle w:val="Heading1"/>
      </w:pPr>
      <w:r>
        <w:t>15. Key Business Insights</w:t>
      </w:r>
    </w:p>
    <w:p>
      <w:pPr>
        <w:pStyle w:val="ListBullet"/>
      </w:pPr>
      <w:r>
        <w:t>Sales increased from $2,259,450.90 in 2012 to $4,299,865.87 in 2015.</w:t>
      </w:r>
    </w:p>
    <w:p>
      <w:pPr>
        <w:pStyle w:val="ListBullet"/>
      </w:pPr>
      <w:r>
        <w:t>Technology generated the highest category sales ($4,744,557.50).</w:t>
      </w:r>
    </w:p>
    <w:p>
      <w:pPr>
        <w:pStyle w:val="ListBullet"/>
      </w:pPr>
      <w:r>
        <w:t>Asia Pacific generated the highest market sales ($4,042,658.27), while Europe generated the highest market profit ($449,551.72).</w:t>
      </w:r>
    </w:p>
    <w:p>
      <w:pPr>
        <w:pStyle w:val="ListBullet"/>
      </w:pPr>
      <w:r>
        <w:t>Consumer generated the highest segment sales ($6,507,949.42).</w:t>
      </w:r>
    </w:p>
    <w:p>
      <w:pPr>
        <w:pStyle w:val="ListBullet"/>
      </w:pPr>
      <w:r>
        <w:t>Standard Class was the most commonly used shipping mode.</w:t>
      </w:r>
    </w:p>
    <w:p>
      <w:pPr>
        <w:pStyle w:val="ListBullet"/>
      </w:pPr>
      <w:r>
        <w:t>Several products have negative aggregated profit and merit detailed review.</w:t>
      </w:r>
    </w:p>
    <w:p>
      <w:pPr>
        <w:pStyle w:val="ListBullet"/>
      </w:pPr>
      <w:r>
        <w:t>The observed discount-profit correlation is -0.3165; this should be treated as association rather than proof of causation.</w:t>
      </w:r>
    </w:p>
    <w:p>
      <w:pPr>
        <w:pStyle w:val="ListBullet"/>
      </w:pPr>
      <w:r>
        <w:t>The returned-order rate is 4.19% and can be monitored as an operational KPI.</w:t>
      </w:r>
    </w:p>
    <w:p>
      <w:pPr>
        <w:pStyle w:val="Heading1"/>
      </w:pPr>
      <w:r>
        <w:t>16. Recommendations</w:t>
      </w:r>
    </w:p>
    <w:p>
      <w:pPr>
        <w:pStyle w:val="ListBullet"/>
      </w:pPr>
      <w:r>
        <w:t>Monitor loss-making products and review their pricing, discount levels, shipping costs and demand.</w:t>
      </w:r>
    </w:p>
    <w:p>
      <w:pPr>
        <w:pStyle w:val="ListBullet"/>
      </w:pPr>
      <w:r>
        <w:t>Use market-level profit analysis alongside sales when allocating commercial attention.</w:t>
      </w:r>
    </w:p>
    <w:p>
      <w:pPr>
        <w:pStyle w:val="ListBullet"/>
      </w:pPr>
      <w:r>
        <w:t>Track category and sub-category margins instead of relying only on revenue.</w:t>
      </w:r>
    </w:p>
    <w:p>
      <w:pPr>
        <w:pStyle w:val="ListBullet"/>
      </w:pPr>
      <w:r>
        <w:t>Monitor returned orders by region, product and category to identify recurring service or product issues.</w:t>
      </w:r>
    </w:p>
    <w:p>
      <w:pPr>
        <w:pStyle w:val="ListBullet"/>
      </w:pPr>
      <w:r>
        <w:t>Use discount analysis with other variables such as category, market and product rather than applying a blanket discount policy.</w:t>
      </w:r>
    </w:p>
    <w:p>
      <w:pPr>
        <w:pStyle w:val="ListBullet"/>
      </w:pPr>
      <w:r>
        <w:t>Maintain a recurring dashboard for yearly sales, profit, margin, returns and shipping KPIs.</w:t>
      </w:r>
    </w:p>
    <w:p>
      <w:pPr>
        <w:pStyle w:val="Heading1"/>
      </w:pPr>
      <w:r>
        <w:t>17. Limitations</w:t>
      </w:r>
    </w:p>
    <w:p>
      <w:pPr>
        <w:pStyle w:val="ListBullet"/>
      </w:pPr>
      <w:r>
        <w:t>The analysis is descriptive and does not establish causal relationships.</w:t>
      </w:r>
    </w:p>
    <w:p>
      <w:pPr>
        <w:pStyle w:val="ListBullet"/>
      </w:pPr>
      <w:r>
        <w:t>Postal Code contains substantial missing data and is not used for the main conclusions.</w:t>
      </w:r>
    </w:p>
    <w:p>
      <w:pPr>
        <w:pStyle w:val="ListBullet"/>
      </w:pPr>
      <w:r>
        <w:t>The dataset covers historical transactions through 2015; conclusions describe this dataset and period.</w:t>
      </w:r>
    </w:p>
    <w:p>
      <w:pPr>
        <w:pStyle w:val="ListBullet"/>
      </w:pPr>
      <w:r>
        <w:t>No predictive model is included because the requested project deliverables focus on analysis, visualization and business insights.</w:t>
      </w:r>
    </w:p>
    <w:p>
      <w:pPr>
        <w:pStyle w:val="Heading1"/>
      </w:pPr>
      <w:r>
        <w:t>18. Conclusion</w:t>
      </w:r>
    </w:p>
    <w:p>
      <w:r>
        <w:t>The project demonstrates a complete Python-based workflow for business data analysis: loading and validating data, cleaning and feature engineering, KPI calculation, exploratory analysis, visualization, statistical interpretation, and business recommendations. The resulting notebook is designed to be reproducible by placing the dataset in the same folder and running the cells sequentially.</w:t>
      </w:r>
    </w:p>
    <w:p>
      <w:pPr>
        <w:pStyle w:val="Heading1"/>
      </w:pPr>
      <w:r>
        <w:t>19. Reproducibility</w:t>
      </w:r>
    </w:p>
    <w:p>
      <w:r>
        <w:t>Install the libraries listed in requirements.txt, place global_superstore_2016.xlsx beside the notebook, start Jupyter Notebook, and execute the notebook from top to bottom.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