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7773" w14:textId="056BEF4E" w:rsidR="00ED77AB" w:rsidRPr="00F709D0" w:rsidRDefault="00FB411E" w:rsidP="00FB411E">
      <w:pPr>
        <w:jc w:val="center"/>
        <w:rPr>
          <w:b/>
          <w:bCs/>
          <w:sz w:val="28"/>
          <w:szCs w:val="28"/>
          <w:u w:val="single"/>
        </w:rPr>
      </w:pPr>
      <w:r w:rsidRPr="00F709D0">
        <w:rPr>
          <w:b/>
          <w:bCs/>
          <w:sz w:val="28"/>
          <w:szCs w:val="28"/>
          <w:u w:val="single"/>
        </w:rPr>
        <w:t>Business process</w:t>
      </w:r>
    </w:p>
    <w:p w14:paraId="18C8420E" w14:textId="559AC7D6" w:rsidR="00FB411E" w:rsidRDefault="00FB411E" w:rsidP="00FB411E">
      <w:pPr>
        <w:jc w:val="center"/>
        <w:rPr>
          <w:b/>
          <w:bCs/>
          <w:sz w:val="28"/>
          <w:szCs w:val="28"/>
        </w:rPr>
      </w:pPr>
    </w:p>
    <w:p w14:paraId="2DF131CA" w14:textId="5CE775D1" w:rsidR="00FB411E" w:rsidRDefault="00FB411E" w:rsidP="00FB411E">
      <w:r>
        <w:t>This document contains the process of referring this toolkit documents. In each step users must read the instructions and refer mentioned document from the toolkit to implement the document.</w:t>
      </w:r>
    </w:p>
    <w:p w14:paraId="369FB53C" w14:textId="27F87E43" w:rsidR="00FB411E" w:rsidRDefault="00FB411E" w:rsidP="00FB411E"/>
    <w:p w14:paraId="0310A46A" w14:textId="00361925" w:rsidR="00FB411E" w:rsidRDefault="008C16AD" w:rsidP="00DE4F4F">
      <w:pPr>
        <w:pStyle w:val="ListParagraph"/>
        <w:numPr>
          <w:ilvl w:val="0"/>
          <w:numId w:val="1"/>
        </w:numPr>
        <w:spacing w:line="360" w:lineRule="auto"/>
      </w:pPr>
      <w:r>
        <w:t>Refer the PCI DSS requirements checklist (</w:t>
      </w:r>
      <w:r w:rsidRPr="00E77BF3">
        <w:rPr>
          <w:color w:val="2F5496" w:themeColor="accent1" w:themeShade="BF"/>
        </w:rPr>
        <w:t>Requirement’s checklist document</w:t>
      </w:r>
      <w:r>
        <w:t>)</w:t>
      </w:r>
    </w:p>
    <w:p w14:paraId="366F3FB0" w14:textId="77777777" w:rsidR="00DE4F4F" w:rsidRDefault="00DE4F4F" w:rsidP="00DE4F4F">
      <w:pPr>
        <w:pStyle w:val="ListParagraph"/>
        <w:spacing w:line="360" w:lineRule="auto"/>
      </w:pPr>
    </w:p>
    <w:p w14:paraId="2C9D4B62" w14:textId="64EB12F6" w:rsidR="008C16AD" w:rsidRDefault="008C16AD" w:rsidP="00DE4F4F">
      <w:pPr>
        <w:pStyle w:val="ListParagraph"/>
        <w:numPr>
          <w:ilvl w:val="0"/>
          <w:numId w:val="1"/>
        </w:numPr>
        <w:spacing w:line="360" w:lineRule="auto"/>
      </w:pPr>
      <w:r>
        <w:t>Create the asset inventory regarding all information assets and related of the organization (</w:t>
      </w:r>
      <w:r w:rsidRPr="00E77BF3">
        <w:rPr>
          <w:color w:val="2F5496" w:themeColor="accent1" w:themeShade="BF"/>
        </w:rPr>
        <w:t>Asset inventory document</w:t>
      </w:r>
      <w:r>
        <w:t>)</w:t>
      </w:r>
    </w:p>
    <w:p w14:paraId="1645C79E" w14:textId="77777777" w:rsidR="00DE4F4F" w:rsidRDefault="00DE4F4F" w:rsidP="00DE4F4F">
      <w:pPr>
        <w:pStyle w:val="ListParagraph"/>
      </w:pPr>
    </w:p>
    <w:p w14:paraId="29434F4B" w14:textId="77777777" w:rsidR="00DE4F4F" w:rsidRDefault="00DE4F4F" w:rsidP="00DE4F4F">
      <w:pPr>
        <w:pStyle w:val="ListParagraph"/>
        <w:spacing w:line="360" w:lineRule="auto"/>
      </w:pPr>
    </w:p>
    <w:p w14:paraId="3ADFCA74" w14:textId="349C9F0A" w:rsidR="008C16AD" w:rsidRDefault="00776DF6" w:rsidP="00DE4F4F">
      <w:pPr>
        <w:pStyle w:val="ListParagraph"/>
        <w:numPr>
          <w:ilvl w:val="0"/>
          <w:numId w:val="1"/>
        </w:numPr>
        <w:spacing w:line="360" w:lineRule="auto"/>
      </w:pPr>
      <w:r>
        <w:t>Define PCI DSS implementation scope and identify the environment (</w:t>
      </w:r>
      <w:r w:rsidR="00E77BF3" w:rsidRPr="00E77BF3">
        <w:rPr>
          <w:color w:val="2F5496" w:themeColor="accent1" w:themeShade="BF"/>
        </w:rPr>
        <w:t>Context</w:t>
      </w:r>
      <w:r w:rsidRPr="00E77BF3">
        <w:rPr>
          <w:color w:val="2F5496" w:themeColor="accent1" w:themeShade="BF"/>
        </w:rPr>
        <w:t xml:space="preserve"> establishment document</w:t>
      </w:r>
      <w:r>
        <w:t>)</w:t>
      </w:r>
    </w:p>
    <w:p w14:paraId="778E1487" w14:textId="77777777" w:rsidR="00DE4F4F" w:rsidRDefault="00DE4F4F" w:rsidP="00DE4F4F">
      <w:pPr>
        <w:pStyle w:val="ListParagraph"/>
        <w:spacing w:line="360" w:lineRule="auto"/>
      </w:pPr>
    </w:p>
    <w:p w14:paraId="7A1F0175" w14:textId="023FC6F9" w:rsidR="00776DF6" w:rsidRDefault="00E77BF3" w:rsidP="00DE4F4F">
      <w:pPr>
        <w:pStyle w:val="ListParagraph"/>
        <w:numPr>
          <w:ilvl w:val="0"/>
          <w:numId w:val="1"/>
        </w:numPr>
        <w:spacing w:line="360" w:lineRule="auto"/>
      </w:pPr>
      <w:r>
        <w:t xml:space="preserve">Refer </w:t>
      </w:r>
      <w:r w:rsidRPr="00E77BF3">
        <w:rPr>
          <w:color w:val="2F5496" w:themeColor="accent1" w:themeShade="BF"/>
        </w:rPr>
        <w:t xml:space="preserve">risk assessment guidelines document </w:t>
      </w:r>
      <w:r>
        <w:t>and perform a risk analysis of the organization’s assets.</w:t>
      </w:r>
    </w:p>
    <w:p w14:paraId="63C0F30E" w14:textId="4AF1B717" w:rsidR="009D5FC3" w:rsidRDefault="009D5FC3" w:rsidP="00DE4F4F">
      <w:pPr>
        <w:pStyle w:val="ListParagraph"/>
        <w:spacing w:line="360" w:lineRule="auto"/>
      </w:pPr>
      <w:r>
        <w:t>In risk analysis refer</w:t>
      </w:r>
    </w:p>
    <w:p w14:paraId="3609BE94" w14:textId="4D3ACA4F" w:rsidR="009D5FC3" w:rsidRPr="009D5FC3" w:rsidRDefault="009D5FC3" w:rsidP="00DE4F4F">
      <w:pPr>
        <w:pStyle w:val="ListParagraph"/>
        <w:spacing w:line="360" w:lineRule="auto"/>
        <w:rPr>
          <w:color w:val="2F5496" w:themeColor="accent1" w:themeShade="BF"/>
        </w:rPr>
      </w:pPr>
      <w:r w:rsidRPr="009D5FC3">
        <w:rPr>
          <w:color w:val="2F5496" w:themeColor="accent1" w:themeShade="BF"/>
        </w:rPr>
        <w:t>Asset profile</w:t>
      </w:r>
    </w:p>
    <w:p w14:paraId="63701A41" w14:textId="61EBB665" w:rsidR="009D5FC3" w:rsidRPr="009D5FC3" w:rsidRDefault="009D5FC3" w:rsidP="00DE4F4F">
      <w:pPr>
        <w:pStyle w:val="ListParagraph"/>
        <w:spacing w:line="360" w:lineRule="auto"/>
        <w:rPr>
          <w:color w:val="2F5496" w:themeColor="accent1" w:themeShade="BF"/>
        </w:rPr>
      </w:pPr>
      <w:r w:rsidRPr="009D5FC3">
        <w:rPr>
          <w:color w:val="2F5496" w:themeColor="accent1" w:themeShade="BF"/>
        </w:rPr>
        <w:t>Threat profile</w:t>
      </w:r>
    </w:p>
    <w:p w14:paraId="2AC13DC0" w14:textId="20B66D57" w:rsidR="009D5FC3" w:rsidRDefault="009D5FC3" w:rsidP="00DE4F4F">
      <w:pPr>
        <w:pStyle w:val="ListParagraph"/>
        <w:spacing w:line="360" w:lineRule="auto"/>
      </w:pPr>
      <w:r w:rsidRPr="009D5FC3">
        <w:rPr>
          <w:color w:val="2F5496" w:themeColor="accent1" w:themeShade="BF"/>
        </w:rPr>
        <w:t xml:space="preserve">Risk treatment </w:t>
      </w:r>
      <w:r>
        <w:t>documents to perform the risk analysis</w:t>
      </w:r>
    </w:p>
    <w:p w14:paraId="118D6478" w14:textId="77777777" w:rsidR="00DE4F4F" w:rsidRDefault="00DE4F4F" w:rsidP="00DE4F4F">
      <w:pPr>
        <w:pStyle w:val="ListParagraph"/>
        <w:spacing w:line="360" w:lineRule="auto"/>
      </w:pPr>
    </w:p>
    <w:p w14:paraId="2134F8BC" w14:textId="14393FC2" w:rsidR="00E77BF3" w:rsidRDefault="00BA7BE8" w:rsidP="00DE4F4F">
      <w:pPr>
        <w:pStyle w:val="ListParagraph"/>
        <w:numPr>
          <w:ilvl w:val="0"/>
          <w:numId w:val="1"/>
        </w:numPr>
        <w:spacing w:line="360" w:lineRule="auto"/>
      </w:pPr>
      <w:r>
        <w:t>Perform a gap analysis by referring</w:t>
      </w:r>
      <w:r w:rsidR="004D545B">
        <w:t xml:space="preserve"> the</w:t>
      </w:r>
      <w:r>
        <w:t xml:space="preserve"> </w:t>
      </w:r>
      <w:r w:rsidRPr="00BA7BE8">
        <w:rPr>
          <w:color w:val="2F5496" w:themeColor="accent1" w:themeShade="BF"/>
        </w:rPr>
        <w:t>Gap analysis document</w:t>
      </w:r>
      <w:r>
        <w:t>.</w:t>
      </w:r>
    </w:p>
    <w:p w14:paraId="4DD50F5E" w14:textId="77777777" w:rsidR="00DE4F4F" w:rsidRPr="00BA7BE8" w:rsidRDefault="00DE4F4F" w:rsidP="00DE4F4F">
      <w:pPr>
        <w:pStyle w:val="ListParagraph"/>
        <w:spacing w:line="360" w:lineRule="auto"/>
      </w:pPr>
    </w:p>
    <w:p w14:paraId="101E6F90" w14:textId="1E9FBC61" w:rsidR="00DE4F4F" w:rsidRDefault="00BA7BE8" w:rsidP="00D85412">
      <w:pPr>
        <w:pStyle w:val="ListParagraph"/>
        <w:numPr>
          <w:ilvl w:val="0"/>
          <w:numId w:val="1"/>
        </w:numPr>
        <w:spacing w:line="360" w:lineRule="auto"/>
      </w:pPr>
      <w:r>
        <w:t xml:space="preserve">Develop an information security policy </w:t>
      </w:r>
      <w:proofErr w:type="gramStart"/>
      <w:r>
        <w:t>in order to</w:t>
      </w:r>
      <w:proofErr w:type="gramEnd"/>
      <w:r>
        <w:t xml:space="preserve"> secure the PCI DSS implementation environment. (</w:t>
      </w:r>
      <w:r w:rsidRPr="00BA7BE8">
        <w:rPr>
          <w:color w:val="2F5496" w:themeColor="accent1" w:themeShade="BF"/>
        </w:rPr>
        <w:t>Information security policy layout document</w:t>
      </w:r>
      <w:r>
        <w:t>)</w:t>
      </w:r>
      <w:r w:rsidR="000E069C">
        <w:t xml:space="preserve"> refer the content topics provided </w:t>
      </w:r>
      <w:proofErr w:type="gramStart"/>
      <w:r w:rsidR="000E069C">
        <w:t>in order to</w:t>
      </w:r>
      <w:proofErr w:type="gramEnd"/>
      <w:r w:rsidR="000E069C">
        <w:t xml:space="preserve"> develop the information security policy.</w:t>
      </w:r>
    </w:p>
    <w:p w14:paraId="3F1144C9" w14:textId="77777777" w:rsidR="00D85412" w:rsidRDefault="00D85412" w:rsidP="00D85412">
      <w:pPr>
        <w:pStyle w:val="ListParagraph"/>
      </w:pPr>
    </w:p>
    <w:p w14:paraId="710A9C0B" w14:textId="1F038E9F" w:rsidR="00D85412" w:rsidRDefault="00AD5EE0" w:rsidP="00AD5EE0">
      <w:pPr>
        <w:pStyle w:val="ListParagraph"/>
        <w:numPr>
          <w:ilvl w:val="0"/>
          <w:numId w:val="1"/>
        </w:numPr>
        <w:spacing w:line="360" w:lineRule="auto"/>
      </w:pPr>
      <w:r>
        <w:t xml:space="preserve">Internal VAPT should be carried out </w:t>
      </w:r>
      <w:proofErr w:type="gramStart"/>
      <w:r>
        <w:t>in order to</w:t>
      </w:r>
      <w:proofErr w:type="gramEnd"/>
      <w:r>
        <w:t xml:space="preserve"> identify </w:t>
      </w:r>
      <w:r w:rsidR="0069386E">
        <w:t>regular vulnerabilities and abnormal behaviors of the systems</w:t>
      </w:r>
      <w:r w:rsidR="00643C29">
        <w:t>.</w:t>
      </w:r>
    </w:p>
    <w:p w14:paraId="08327A52" w14:textId="77777777" w:rsidR="0069386E" w:rsidRDefault="0069386E" w:rsidP="0069386E">
      <w:pPr>
        <w:pStyle w:val="ListParagraph"/>
      </w:pPr>
    </w:p>
    <w:p w14:paraId="556E6C02" w14:textId="77777777" w:rsidR="0069386E" w:rsidRDefault="0069386E" w:rsidP="0069386E">
      <w:pPr>
        <w:pStyle w:val="ListParagraph"/>
        <w:spacing w:line="360" w:lineRule="auto"/>
      </w:pPr>
    </w:p>
    <w:p w14:paraId="2FEE22B3" w14:textId="37C840C5" w:rsidR="00027415" w:rsidRPr="00FB411E" w:rsidRDefault="00F53BD8" w:rsidP="00DE4F4F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Monitor and </w:t>
      </w:r>
      <w:r w:rsidR="00BA6824">
        <w:t xml:space="preserve">store </w:t>
      </w:r>
      <w:r>
        <w:t>log</w:t>
      </w:r>
      <w:r w:rsidR="00BA6824">
        <w:t>s related to</w:t>
      </w:r>
      <w:r>
        <w:t xml:space="preserve"> incidents and events related to card holder data after implementation and maintain monitoring continuously. (</w:t>
      </w:r>
      <w:r w:rsidRPr="00F53BD8">
        <w:rPr>
          <w:color w:val="2F5496" w:themeColor="accent1" w:themeShade="BF"/>
        </w:rPr>
        <w:t>Incident monitoring and logging document</w:t>
      </w:r>
      <w:r>
        <w:t>)</w:t>
      </w:r>
    </w:p>
    <w:sectPr w:rsidR="00027415" w:rsidRPr="00FB41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EB27B" w14:textId="77777777" w:rsidR="006F3817" w:rsidRDefault="006F3817" w:rsidP="001664EF">
      <w:pPr>
        <w:spacing w:after="0" w:line="240" w:lineRule="auto"/>
      </w:pPr>
      <w:r>
        <w:separator/>
      </w:r>
    </w:p>
  </w:endnote>
  <w:endnote w:type="continuationSeparator" w:id="0">
    <w:p w14:paraId="273A6FF7" w14:textId="77777777" w:rsidR="006F3817" w:rsidRDefault="006F3817" w:rsidP="0016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579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B0BC6" w14:textId="0484CEDD" w:rsidR="001664EF" w:rsidRDefault="001664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E69EB" w14:textId="77777777" w:rsidR="001664EF" w:rsidRDefault="00166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9918" w14:textId="77777777" w:rsidR="006F3817" w:rsidRDefault="006F3817" w:rsidP="001664EF">
      <w:pPr>
        <w:spacing w:after="0" w:line="240" w:lineRule="auto"/>
      </w:pPr>
      <w:r>
        <w:separator/>
      </w:r>
    </w:p>
  </w:footnote>
  <w:footnote w:type="continuationSeparator" w:id="0">
    <w:p w14:paraId="3965F93C" w14:textId="77777777" w:rsidR="006F3817" w:rsidRDefault="006F3817" w:rsidP="00166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46C7" w14:textId="17E8588D" w:rsidR="001664EF" w:rsidRDefault="006F3817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46B622166B0D431E9316369B6CBE8E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64EF">
          <w:rPr>
            <w:color w:val="4472C4" w:themeColor="accent1"/>
          </w:rPr>
          <w:t>IT19118932</w:t>
        </w:r>
      </w:sdtContent>
    </w:sdt>
    <w:r w:rsidR="001664E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87CCDD4FA72418C84D5AE52D59F48A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664EF">
          <w:rPr>
            <w:color w:val="4472C4" w:themeColor="accent1"/>
          </w:rPr>
          <w:t>Senarathna K.M.G.S. B</w:t>
        </w:r>
      </w:sdtContent>
    </w:sdt>
  </w:p>
  <w:p w14:paraId="0928C1D8" w14:textId="77777777" w:rsidR="001664EF" w:rsidRDefault="00166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503E5"/>
    <w:multiLevelType w:val="hybridMultilevel"/>
    <w:tmpl w:val="25FA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1F"/>
    <w:rsid w:val="00027415"/>
    <w:rsid w:val="000E069C"/>
    <w:rsid w:val="001664EF"/>
    <w:rsid w:val="001757E6"/>
    <w:rsid w:val="00363486"/>
    <w:rsid w:val="004D545B"/>
    <w:rsid w:val="005E01BF"/>
    <w:rsid w:val="00643C29"/>
    <w:rsid w:val="0069386E"/>
    <w:rsid w:val="006F3817"/>
    <w:rsid w:val="00776DF6"/>
    <w:rsid w:val="008C16AD"/>
    <w:rsid w:val="009D5FC3"/>
    <w:rsid w:val="00AD5EE0"/>
    <w:rsid w:val="00BA6824"/>
    <w:rsid w:val="00BA7BE8"/>
    <w:rsid w:val="00D85412"/>
    <w:rsid w:val="00DE4F4F"/>
    <w:rsid w:val="00E77BF3"/>
    <w:rsid w:val="00E86A1F"/>
    <w:rsid w:val="00ED77AB"/>
    <w:rsid w:val="00F53BD8"/>
    <w:rsid w:val="00F709D0"/>
    <w:rsid w:val="00FB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715F"/>
  <w15:chartTrackingRefBased/>
  <w15:docId w15:val="{805A3382-6355-43FC-83E9-76DF4D7C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4EF"/>
  </w:style>
  <w:style w:type="paragraph" w:styleId="Footer">
    <w:name w:val="footer"/>
    <w:basedOn w:val="Normal"/>
    <w:link w:val="FooterChar"/>
    <w:uiPriority w:val="99"/>
    <w:unhideWhenUsed/>
    <w:rsid w:val="0016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622166B0D431E9316369B6CBE8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EDD1-83D8-4DFA-843B-CD731BDB9BD0}"/>
      </w:docPartPr>
      <w:docPartBody>
        <w:p w:rsidR="00F55516" w:rsidRDefault="00564EA8" w:rsidP="00564EA8">
          <w:pPr>
            <w:pStyle w:val="46B622166B0D431E9316369B6CBE8E8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87CCDD4FA72418C84D5AE52D59F4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01AB7-92B8-44A8-9A8F-DD2A9764C25E}"/>
      </w:docPartPr>
      <w:docPartBody>
        <w:p w:rsidR="00F55516" w:rsidRDefault="00564EA8" w:rsidP="00564EA8">
          <w:pPr>
            <w:pStyle w:val="F87CCDD4FA72418C84D5AE52D59F48A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A8"/>
    <w:rsid w:val="00564EA8"/>
    <w:rsid w:val="00E0714B"/>
    <w:rsid w:val="00E622F6"/>
    <w:rsid w:val="00F5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B622166B0D431E9316369B6CBE8E8D">
    <w:name w:val="46B622166B0D431E9316369B6CBE8E8D"/>
    <w:rsid w:val="00564EA8"/>
  </w:style>
  <w:style w:type="paragraph" w:customStyle="1" w:styleId="F87CCDD4FA72418C84D5AE52D59F48A7">
    <w:name w:val="F87CCDD4FA72418C84D5AE52D59F48A7"/>
    <w:rsid w:val="00564E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IT19118932</vt:lpstr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IT19118932</dc:title>
  <dc:subject/>
  <dc:creator>Senarathna K.M.G.S. B</dc:creator>
  <cp:keywords/>
  <dc:description/>
  <cp:lastModifiedBy>Sachintha Senarathna</cp:lastModifiedBy>
  <cp:revision>25</cp:revision>
  <dcterms:created xsi:type="dcterms:W3CDTF">2021-10-04T15:43:00Z</dcterms:created>
  <dcterms:modified xsi:type="dcterms:W3CDTF">2021-10-05T10:54:00Z</dcterms:modified>
</cp:coreProperties>
</file>