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 w:before="1000"/>
        <w:jc w:val="center"/>
      </w:pPr>
      <w:r>
        <w:rPr>
          <w:rFonts w:ascii="Aptos Display" w:cs="Aptos Display" w:eastAsia="Aptos Display" w:hAnsi="Aptos Display"/>
          <w:b/>
          <w:bCs/>
          <w:color w:val="2563EB"/>
          <w:sz w:val="30"/>
          <w:szCs w:val="30"/>
        </w:rPr>
        <w:t xml:space="preserve">LIBRAAI</w:t>
      </w:r>
    </w:p>
    <w:p>
      <w:pPr>
        <w:spacing w:after="220"/>
        <w:jc w:val="center"/>
      </w:pPr>
      <w:r>
        <w:rPr>
          <w:rFonts w:ascii="Aptos Display" w:cs="Aptos Display" w:eastAsia="Aptos Display" w:hAnsi="Aptos Display"/>
          <w:b/>
          <w:bCs/>
          <w:color w:val="1F3A5F"/>
          <w:sz w:val="48"/>
          <w:szCs w:val="48"/>
        </w:rPr>
        <w:t xml:space="preserve">Code-Level Remediation Plan</w:t>
      </w:r>
    </w:p>
    <w:p>
      <w:pPr>
        <w:spacing w:after="500"/>
        <w:jc w:val="center"/>
      </w:pPr>
      <w:r>
        <w:rPr>
          <w:rFonts w:ascii="Aptos" w:cs="Aptos" w:eastAsia="Aptos" w:hAnsi="Aptos"/>
          <w:color w:val="5B6472"/>
          <w:sz w:val="25"/>
          <w:szCs w:val="25"/>
        </w:rPr>
        <w:t xml:space="preserve">Assignment rubric completion and critical production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D2FF" w:sz="4"/>
              <w:left w:val="single" w:color="2563EB" w:sz="14"/>
              <w:bottom w:val="single" w:color="B9D2FF" w:sz="4"/>
              <w:right w:val="single" w:color="B9D2FF" w:sz="4"/>
            </w:tcBorders>
            <w:shd w:fill="EAF2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Aptos" w:cs="Aptos" w:eastAsia="Aptos" w:hAnsi="Aptos"/>
                <w:b/>
                <w:bCs/>
                <w:color w:val="1F3A5F"/>
                <w:sz w:val="21"/>
                <w:szCs w:val="21"/>
              </w:rPr>
              <w:t xml:space="preserve">Plan objective</w:t>
            </w:r>
          </w:p>
          <w:p>
            <w:pPr>
              <w:spacing w:after="0" w:line="276"/>
            </w:pPr>
            <w:r>
              <w:rPr>
                <w:rFonts w:ascii="Aptos" w:cs="Aptos" w:eastAsia="Aptos" w:hAnsi="Aptos"/>
                <w:color w:val="111827"/>
                <w:sz w:val="21"/>
                <w:szCs w:val="21"/>
              </w:rPr>
              <w:t xml:space="preserve">Implement every rubric-relevant code gap plus critical production hardening while preserving LibraAI’s Fastify REST and Mastra architecture.</w:t>
            </w:r>
          </w:p>
        </w:tc>
      </w:tr>
    </w:tbl>
    <w:p>
      <w:pPr>
        <w:spacing w:after="70" w:line="276"/>
        <w:jc w:val="center"/>
      </w:pPr>
      <w:r>
        <w:rPr>
          <w:rFonts w:ascii="Aptos" w:cs="Aptos" w:eastAsia="Aptos" w:hAnsi="Aptos"/>
          <w:color w:val="5B6472"/>
          <w:sz w:val="21"/>
          <w:szCs w:val="21"/>
        </w:rPr>
        <w:t xml:space="preserve">Prepared for the LibraAI development team</w:t>
      </w:r>
    </w:p>
    <w:p>
      <w:pPr>
        <w:spacing w:after="0" w:line="276"/>
        <w:jc w:val="center"/>
      </w:pPr>
      <w:r>
        <w:rPr>
          <w:rFonts w:ascii="Aptos" w:cs="Aptos" w:eastAsia="Aptos" w:hAnsi="Aptos"/>
          <w:color w:val="5B6472"/>
          <w:sz w:val="21"/>
          <w:szCs w:val="21"/>
        </w:rPr>
        <w:t xml:space="preserve">8 October 2026</w:t>
      </w:r>
    </w:p>
    <w:p>
      <w:r>
        <w:br w:type="page"/>
      </w:r>
    </w:p>
    <w:p>
      <w:pPr>
        <w:pStyle w:val="Heading1"/>
        <w:keepNext/>
        <w:spacing w:after="120" w:before="300"/>
      </w:pPr>
      <w:r>
        <w:t xml:space="preserve">Executive summary</w:t>
      </w:r>
    </w:p>
    <w:p>
      <w:pPr>
        <w:spacing w:after="130" w:line="276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LibraAI already has a credible product foundation: a multi-tenant library system, an authenticated AI chat experience, four Mastra agents including the orchestrator, hybrid PostgreSQL full-text and pgvector retrieval, recommendations, borrowing, deployment support, and broad automated tests. The remaining code work is concentrated in explicit NLP evidence, operational-agent coverage, server-side chat trust, security hardening, Responsible AI enforcement, explainability, reproducible evaluation, and continuous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D2FF" w:sz="4"/>
              <w:left w:val="single" w:color="2563EB" w:sz="14"/>
              <w:bottom w:val="single" w:color="B9D2FF" w:sz="4"/>
              <w:right w:val="single" w:color="B9D2FF" w:sz="4"/>
            </w:tcBorders>
            <w:shd w:fill="EAF2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Aptos" w:cs="Aptos" w:eastAsia="Aptos" w:hAnsi="Aptos"/>
                <w:b/>
                <w:bCs/>
                <w:color w:val="1F3A5F"/>
                <w:sz w:val="21"/>
                <w:szCs w:val="21"/>
              </w:rPr>
              <w:t xml:space="preserve">Selected approach</w:t>
            </w:r>
          </w:p>
          <w:p>
            <w:pPr>
              <w:spacing w:after="0" w:line="276"/>
            </w:pPr>
            <w:r>
              <w:rPr>
                <w:rFonts w:ascii="Aptos" w:cs="Aptos" w:eastAsia="Aptos" w:hAnsi="Aptos"/>
                <w:color w:val="111827"/>
                <w:sz w:val="21"/>
                <w:szCs w:val="21"/>
              </w:rPr>
              <w:t xml:space="preserve">Use the existing REST + Mastra handoff model as the formal communication protocol. Do not add MCP. Deliver rubric completeness plus critical production hardening without expanding into enterprise infrastructure.</w:t>
            </w:r>
          </w:p>
        </w:tc>
      </w:tr>
    </w:tbl>
    <w:p>
      <w:pPr>
        <w:pStyle w:val="Heading2"/>
        <w:keepNext/>
        <w:spacing w:after="120" w:before="220"/>
      </w:pPr>
      <w:r>
        <w:t xml:space="preserve">Scope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In scope: JWT/CORS/rate-limit hardening, authoritative chat history, privacy-minimized auditing, explicit NLP, OpsAgent, safety policy, tool authorization, provenance UI, evaluation harness, coverage, and CI.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Out of scope: cookie-auth migration, PostgreSQL row-level security, billing enforcement, enterprise observability, final report writing, video production, and market-analysis prose.</w:t>
      </w:r>
    </w:p>
    <w:p>
      <w:pPr>
        <w:pStyle w:val="Heading2"/>
        <w:keepNext/>
        <w:spacing w:after="120" w:before="220"/>
      </w:pPr>
      <w:r>
        <w:t xml:space="preserve">Target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60"/>
        <w:gridCol w:w="2400"/>
        <w:gridCol w:w="2700"/>
      </w:tblGrid>
      <w:tr>
        <w:trPr>
          <w:tblHeader/>
        </w:trPr>
        <w:tc>
          <w:tcPr>
            <w:tcW w:type="dxa" w:w="1800"/>
            <w:shd w:fill="1F3A5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Client</w:t>
            </w:r>
          </w:p>
        </w:tc>
        <w:tc>
          <w:tcPr>
            <w:tcW w:type="dxa" w:w="2460"/>
            <w:shd w:fill="1F3A5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Fastify boundary</w:t>
            </w:r>
          </w:p>
        </w:tc>
        <w:tc>
          <w:tcPr>
            <w:tcW w:type="dxa" w:w="2400"/>
            <w:shd w:fill="1F3A5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Agent layer</w:t>
            </w:r>
          </w:p>
        </w:tc>
        <w:tc>
          <w:tcPr>
            <w:tcW w:type="dxa" w:w="2700"/>
            <w:shd w:fill="1F3A5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Data and evidence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Web chat</w:t>
            </w:r>
          </w:p>
        </w:tc>
        <w:tc>
          <w:tcPr>
            <w:tcW w:type="dxa" w:w="2460"/>
            <w:shd w:fill="FFFF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JWT + user-only message</w:t>
            </w:r>
          </w:p>
        </w:tc>
        <w:tc>
          <w:tcPr>
            <w:tcW w:type="dxa" w:w="2400"/>
            <w:shd w:fill="FFFF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Mastra Orchestrator</w:t>
            </w:r>
          </w:p>
        </w:tc>
        <w:tc>
          <w:tcPr>
            <w:tcW w:type="dxa" w:w="2700"/>
            <w:shd w:fill="FFFF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PostgreSQL</w:t>
            </w:r>
          </w:p>
        </w:tc>
      </w:tr>
      <w:tr>
        <w:trPr>
          <w:tblHeader w:val="off"/>
        </w:trPr>
        <w:tc>
          <w:tcPr>
            <w:tcW w:type="dxa" w:w="1800"/>
            <w:shd w:fill="F3F4F6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Conversation ID</w:t>
            </w:r>
          </w:p>
        </w:tc>
        <w:tc>
          <w:tcPr>
            <w:tcW w:type="dxa" w:w="2460"/>
            <w:shd w:fill="F3F4F6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Policy and role checks</w:t>
            </w:r>
          </w:p>
        </w:tc>
        <w:tc>
          <w:tcPr>
            <w:tcW w:type="dxa" w:w="2400"/>
            <w:shd w:fill="F3F4F6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Search Agent</w:t>
            </w:r>
          </w:p>
        </w:tc>
        <w:tc>
          <w:tcPr>
            <w:tcW w:type="dxa" w:w="2700"/>
            <w:shd w:fill="F3F4F6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Hybrid FTS + pgvector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Provenance display</w:t>
            </w:r>
          </w:p>
        </w:tc>
        <w:tc>
          <w:tcPr>
            <w:tcW w:type="dxa" w:w="2460"/>
            <w:shd w:fill="FFFF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Authoritative history</w:t>
            </w:r>
          </w:p>
        </w:tc>
        <w:tc>
          <w:tcPr>
            <w:tcW w:type="dxa" w:w="2400"/>
            <w:shd w:fill="FFFF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Recommendation Agent</w:t>
            </w:r>
          </w:p>
        </w:tc>
        <w:tc>
          <w:tcPr>
            <w:tcW w:type="dxa" w:w="2700"/>
            <w:shd w:fill="FFFF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Conversation history</w:t>
            </w:r>
          </w:p>
        </w:tc>
      </w:tr>
      <w:tr>
        <w:trPr>
          <w:tblHeader w:val="off"/>
        </w:trPr>
        <w:tc>
          <w:tcPr>
            <w:tcW w:type="dxa" w:w="1800"/>
            <w:shd w:fill="F3F4F6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AI disclosure</w:t>
            </w:r>
          </w:p>
        </w:tc>
        <w:tc>
          <w:tcPr>
            <w:tcW w:type="dxa" w:w="2460"/>
            <w:shd w:fill="F3F4F6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Rate limits and CORS</w:t>
            </w:r>
          </w:p>
        </w:tc>
        <w:tc>
          <w:tcPr>
            <w:tcW w:type="dxa" w:w="2400"/>
            <w:shd w:fill="F3F4F6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Borrow Agent</w:t>
            </w:r>
          </w:p>
        </w:tc>
        <w:tc>
          <w:tcPr>
            <w:tcW w:type="dxa" w:w="2700"/>
            <w:shd w:fill="F3F4F6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Append-only AI audit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shd w:fill="FFFF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Versioned response metadata</w:t>
            </w:r>
          </w:p>
        </w:tc>
        <w:tc>
          <w:tcPr>
            <w:tcW w:type="dxa" w:w="2400"/>
            <w:shd w:fill="FFFF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Ops Agent</w:t>
            </w:r>
          </w:p>
        </w:tc>
        <w:tc>
          <w:tcPr>
            <w:tcW w:type="dxa" w:w="2700"/>
            <w:shd w:fill="FFFFFF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11827"/>
                <w:sz w:val="18"/>
                <w:szCs w:val="18"/>
              </w:rPr>
              <w:t xml:space="preserve">Evaluation results</w:t>
            </w:r>
          </w:p>
        </w:tc>
      </w:tr>
    </w:tbl>
    <w:p>
      <w:pPr>
        <w:spacing w:after="150"/>
      </w:pPr>
    </w:p>
    <w:p>
      <w:pPr>
        <w:spacing w:after="130" w:line="276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Primary data flow: the browser sends one authenticated user message and an optional conversation ID. Fastify validates identity, policy, limits, and ownership, then loads authoritative history. The Mastra orchestrator delegates to a specialist agent. Tools query organization-scoped PostgreSQL and retrieval indexes. The response includes answer content, safe provenance, and an append-only audit event.</w:t>
      </w:r>
    </w:p>
    <w:p>
      <w:r>
        <w:br w:type="page"/>
      </w:r>
    </w:p>
    <w:p>
      <w:pPr>
        <w:pStyle w:val="Heading1"/>
        <w:keepNext/>
        <w:spacing w:after="120" w:before="300"/>
      </w:pPr>
      <w:r>
        <w:t xml:space="preserve">Implementation work packages</w:t>
      </w:r>
    </w:p>
    <w:p>
      <w:pPr>
        <w:pStyle w:val="Heading1"/>
        <w:keepNext/>
        <w:spacing w:after="120" w:before="300"/>
      </w:pPr>
      <w:r>
        <w:t xml:space="preserve">1. Harden authentication, environment, CORS, limits, and throttling</w:t>
      </w:r>
    </w:p>
    <w:p>
      <w:pPr>
        <w:spacing w:after="130" w:line="276"/>
      </w:pPr>
      <w:r>
        <w:rPr>
          <w:rFonts w:ascii="Aptos" w:cs="Aptos" w:eastAsia="Aptos" w:hAnsi="Aptos"/>
          <w:b/>
          <w:bCs/>
          <w:color w:val="1F3A5F"/>
          <w:sz w:val="21"/>
          <w:szCs w:val="21"/>
        </w:rPr>
        <w:t xml:space="preserve">Target outcome: </w:t>
      </w:r>
      <w:r>
        <w:rPr>
          <w:rFonts w:ascii="Aptos" w:cs="Aptos" w:eastAsia="Aptos" w:hAnsi="Aptos"/>
          <w:color w:val="111827"/>
          <w:sz w:val="21"/>
          <w:szCs w:val="21"/>
        </w:rPr>
        <w:t xml:space="preserve">All security-sensitive defaults fail closed and abuse-prone routes have explicit limits.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Make the JWT role claim mandatory in apps/api/src/types/fastify-jwt.d.ts. Reject absent or invalid roles in apps/api/src/plugins/auth.ts, remove the owner fallback from apps/api/src/lib/org.ts, and make the web role parser fail closed.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focused request-limits, CORS parsing, and production-environment guard modules. Enforce strong production JWT secrets, prohibit production MASTRA_DEV_* overrides, wire CORS_ORIGIN, bound chat and authentication payloads, and reject wildcard production CORS.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@fastify/rate-limit with separate authentication and per-user AI limits. Preserve the existing JSON error shape: { message }.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Update existing token fixtures and add tests for missing roles, weak production configuration, allowed and disallowed origins, oversized chat requests, and HTTP 429 behavior.</w:t>
      </w:r>
    </w:p>
    <w:p>
      <w:pPr>
        <w:pStyle w:val="Heading2"/>
        <w:keepNext/>
        <w:spacing w:after="120" w:before="220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 token without role receives 401 instead of owner access.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 production process refuses weak secrets and development tenant overrides.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Only configured origins receive CORS approval.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Login, signup, chat, and recommendation abuse produces deterministic 429 responses.</w:t>
      </w:r>
    </w:p>
    <w:p>
      <w:pPr>
        <w:pStyle w:val="Heading1"/>
        <w:keepNext/>
        <w:spacing w:after="120" w:before="300"/>
      </w:pPr>
      <w:r>
        <w:t xml:space="preserve">2. Replace client-controlled chat history with authoritative conversations</w:t>
      </w:r>
    </w:p>
    <w:p>
      <w:pPr>
        <w:spacing w:after="130" w:line="276"/>
      </w:pPr>
      <w:r>
        <w:rPr>
          <w:rFonts w:ascii="Aptos" w:cs="Aptos" w:eastAsia="Aptos" w:hAnsi="Aptos"/>
          <w:b/>
          <w:bCs/>
          <w:color w:val="1F3A5F"/>
          <w:sz w:val="21"/>
          <w:szCs w:val="21"/>
        </w:rPr>
        <w:t xml:space="preserve">Target outcome: </w:t>
      </w:r>
      <w:r>
        <w:rPr>
          <w:rFonts w:ascii="Aptos" w:cs="Aptos" w:eastAsia="Aptos" w:hAnsi="Aptos"/>
          <w:color w:val="111827"/>
          <w:sz w:val="21"/>
          <w:szCs w:val="21"/>
        </w:rPr>
        <w:t xml:space="preserve">Only user messages cross the client trust boundary; prior assistant/tool context comes from the server.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chat_conversations and chat_messages to packages/db/src/schema.ts and generate a Drizzle migration with organization, actor, role, timestamps, and scoped indexes.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Create a focused conversation repository that creates and validates conversation IDs, appends user and assistant turns, and loads only the latest bounded server-owned history.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Change POST /ai/chat to accept { conversationId?: string, message: string }. Reject the legacy body containing client-supplied assistant turns.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Update apps/web/lib/chat.ts and ChatProvider.tsx to send one user message and retain the returned conversation ID while preserving local UI history.</w:t>
      </w:r>
    </w:p>
    <w:p>
      <w:pPr>
        <w:pStyle w:val="Heading2"/>
        <w:keepNext/>
        <w:spacing w:after="120" w:before="220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Multi-turn borrowing works without sending assistant messages from the browser.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Cross-organization and cross-user conversation IDs are denied.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Forged assistant content is rejected.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History length and message size limits are enforced.</w:t>
      </w:r>
    </w:p>
    <w:p>
      <w:pPr>
        <w:pStyle w:val="Heading1"/>
        <w:keepNext/>
        <w:spacing w:after="120" w:before="300"/>
      </w:pPr>
      <w:r>
        <w:t xml:space="preserve">3. Add privacy-minimized, append-only AI action auditing</w:t>
      </w:r>
    </w:p>
    <w:p>
      <w:pPr>
        <w:spacing w:after="130" w:line="276"/>
      </w:pPr>
      <w:r>
        <w:rPr>
          <w:rFonts w:ascii="Aptos" w:cs="Aptos" w:eastAsia="Aptos" w:hAnsi="Aptos"/>
          <w:b/>
          <w:bCs/>
          <w:color w:val="1F3A5F"/>
          <w:sz w:val="21"/>
          <w:szCs w:val="21"/>
        </w:rPr>
        <w:t xml:space="preserve">Target outcome: </w:t>
      </w:r>
      <w:r>
        <w:rPr>
          <w:rFonts w:ascii="Aptos" w:cs="Aptos" w:eastAsia="Aptos" w:hAnsi="Aptos"/>
          <w:color w:val="111827"/>
          <w:sz w:val="21"/>
          <w:szCs w:val="21"/>
        </w:rPr>
        <w:t xml:space="preserve">Important AI actions are attributable and reviewable without storing unnecessary personal data.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ai_action_events to the database migration with organization, actor, conversation, agent/tool, outcome, resource references, redacted metadata, and timestamps.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Expose insert-only repository functions and no update or delete route.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Wrap Mastra tool execution to record invoke, result, denied, and chat-complete outcomes. Hash or summarize inputs rather than storing raw prompts.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Remove email and unnecessary names from LLM-facing member and borrowing tool outputs. Exclude email, phone, credentials, tokens, and raw chat content from audit metadata.</w:t>
      </w:r>
    </w:p>
    <w:p>
      <w:pPr>
        <w:pStyle w:val="Heading2"/>
        <w:keepNext/>
        <w:spacing w:after="120" w:before="220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Successful, failed, and denied tool actions produce correctly scoped events.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Audit rows only grow through the application interface.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Automated tests verify that protected PII never appears in metadata.</w:t>
      </w:r>
    </w:p>
    <w:p>
      <w:pPr>
        <w:pStyle w:val="Heading1"/>
        <w:keepNext/>
        <w:spacing w:after="120" w:before="300"/>
      </w:pPr>
      <w:r>
        <w:t xml:space="preserve">4. Make NLP explicit and integrate it with hybrid retrieval</w:t>
      </w:r>
    </w:p>
    <w:p>
      <w:pPr>
        <w:spacing w:after="130" w:line="276"/>
      </w:pPr>
      <w:r>
        <w:rPr>
          <w:rFonts w:ascii="Aptos" w:cs="Aptos" w:eastAsia="Aptos" w:hAnsi="Aptos"/>
          <w:b/>
          <w:bCs/>
          <w:color w:val="1F3A5F"/>
          <w:sz w:val="21"/>
          <w:szCs w:val="21"/>
        </w:rPr>
        <w:t xml:space="preserve">Target outcome: </w:t>
      </w:r>
      <w:r>
        <w:rPr>
          <w:rFonts w:ascii="Aptos" w:cs="Aptos" w:eastAsia="Aptos" w:hAnsi="Aptos"/>
          <w:color w:val="111827"/>
          <w:sz w:val="21"/>
          <w:szCs w:val="21"/>
        </w:rPr>
        <w:t xml:space="preserve">The project has a named, testable NLP module rather than only implicit LLM interpretation.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Create apps/api/src/nlp/catalog-entities.ts with typed extraction of quoted or bare titles, author phrases, normalized ISBNs, canonical genres, topic terms, source spans, and deterministic confidence.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Reuse existing query normalization and ISBN handling to avoid duplicate rules.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Feed extracted entities into search-books and search-catalog.ts; add genre matching to search-rank.ts.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Populate structured IR sources from keyword and vector hits, including book ID, title, ISBN, retrieval kind, match type, and score.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unit and golden-fixture tests for ISBN, title, author, genre, mixed and ambiguous requests, stopword-only input, and no-entity queries.</w:t>
      </w:r>
    </w:p>
    <w:p>
      <w:pPr>
        <w:pStyle w:val="Heading2"/>
        <w:keepNext/>
        <w:spacing w:after="120" w:before="220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Entity extraction is deterministic and API-key-free.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Genre, author, title, and ISBN entities materially influence ranking.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Keyword-only, vector-only, and fused results expose accurate source metadata.</w:t>
      </w:r>
    </w:p>
    <w:p>
      <w:pPr>
        <w:pStyle w:val="Heading1"/>
        <w:keepNext/>
        <w:spacing w:after="120" w:before="300"/>
      </w:pPr>
      <w:r>
        <w:t xml:space="preserve">5. Implement overdue-loan summarization through a new OpsAgent</w:t>
      </w:r>
    </w:p>
    <w:p>
      <w:pPr>
        <w:spacing w:after="130" w:line="276"/>
      </w:pPr>
      <w:r>
        <w:rPr>
          <w:rFonts w:ascii="Aptos" w:cs="Aptos" w:eastAsia="Aptos" w:hAnsi="Aptos"/>
          <w:b/>
          <w:bCs/>
          <w:color w:val="1F3A5F"/>
          <w:sz w:val="21"/>
          <w:szCs w:val="21"/>
        </w:rPr>
        <w:t xml:space="preserve">Target outcome: </w:t>
      </w:r>
      <w:r>
        <w:rPr>
          <w:rFonts w:ascii="Aptos" w:cs="Aptos" w:eastAsia="Aptos" w:hAnsi="Aptos"/>
          <w:color w:val="111827"/>
          <w:sz w:val="21"/>
          <w:szCs w:val="21"/>
        </w:rPr>
        <w:t xml:space="preserve">The planned operational demo is supported by an explicit NLP summarization capability and a fourth specialist.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Extract an organization-scoped listOverdueLoans query shared by REST and agent tooling. Enforce owner-all versus member-self scope in SQL.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a deterministic summarizeOverdueLoans NLP module returning a headline, bounded bullets, totals, and truncation state.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list-overdue-loans and owner-only get-member tools.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Create ops-agent.ts, register it with Mastra, and route overdue and member operational questions from the orchestrator.</w:t>
      </w:r>
    </w:p>
    <w:p>
      <w:pPr>
        <w:pStyle w:val="Heading2"/>
        <w:keepNext/>
        <w:spacing w:after="120" w:before="220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Empty, single, and truncated summaries are grammatically and numerically correct.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Returned loans are excluded and days-overdue calculations are calendar-safe.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Tenant and role isolation are proven in integration tests.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The orchestrator exposes and can delegate to OpsAgent.</w:t>
      </w:r>
    </w:p>
    <w:p>
      <w:pPr>
        <w:pStyle w:val="Heading1"/>
        <w:keepNext/>
        <w:spacing w:after="120" w:before="300"/>
      </w:pPr>
      <w:r>
        <w:t xml:space="preserve">6. Add Responsible AI policy, tool authorization, and protocol metadata</w:t>
      </w:r>
    </w:p>
    <w:p>
      <w:pPr>
        <w:spacing w:after="130" w:line="276"/>
      </w:pPr>
      <w:r>
        <w:rPr>
          <w:rFonts w:ascii="Aptos" w:cs="Aptos" w:eastAsia="Aptos" w:hAnsi="Aptos"/>
          <w:b/>
          <w:bCs/>
          <w:color w:val="1F3A5F"/>
          <w:sz w:val="21"/>
          <w:szCs w:val="21"/>
        </w:rPr>
        <w:t xml:space="preserve">Target outcome: </w:t>
      </w:r>
      <w:r>
        <w:rPr>
          <w:rFonts w:ascii="Aptos" w:cs="Aptos" w:eastAsia="Aptos" w:hAnsi="Aptos"/>
          <w:color w:val="111827"/>
          <w:sz w:val="21"/>
          <w:szCs w:val="21"/>
        </w:rPr>
        <w:t xml:space="preserve">Safety behavior is enforced independently of prompts and the agent communication flow is observable through a stable contract.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Create a pre-LLM request policy that refuses bulk destruction, authorization bypass, cross-tenant access, and bulk PII export while allowing normal library requests.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a tool-authorization map so owner and member permissions are enforced independently of system prompts.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Ensure policy refusals bypass the LLM and tools and generate a denied audit event.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Define versioned REST/Mastra metadata for delegated agents, tools, redacted summaries, sources, entities, refusal codes, and timings.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Extract metadata from Mastra steps and sub-agent results in run-chat.ts without exposing private chain-of-thought.</w:t>
      </w:r>
    </w:p>
    <w:p>
      <w:pPr>
        <w:pStyle w:val="Heading2"/>
        <w:keepNext/>
        <w:spacing w:after="120" w:before="220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“Delete all members” is refused without an LLM or tool call.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Members cannot invoke owner-only tools.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Contract tests pin agent IDs, tool IDs, routing envelopes, refusal payloads, and metadata version.</w:t>
      </w:r>
    </w:p>
    <w:p>
      <w:pPr>
        <w:pStyle w:val="Heading1"/>
        <w:keepNext/>
        <w:spacing w:after="120" w:before="300"/>
      </w:pPr>
      <w:r>
        <w:t xml:space="preserve">7. Surface transparency and explainability in the web UI</w:t>
      </w:r>
    </w:p>
    <w:p>
      <w:pPr>
        <w:spacing w:after="130" w:line="276"/>
      </w:pPr>
      <w:r>
        <w:rPr>
          <w:rFonts w:ascii="Aptos" w:cs="Aptos" w:eastAsia="Aptos" w:hAnsi="Aptos"/>
          <w:b/>
          <w:bCs/>
          <w:color w:val="1F3A5F"/>
          <w:sz w:val="21"/>
          <w:szCs w:val="21"/>
        </w:rPr>
        <w:t xml:space="preserve">Target outcome: </w:t>
      </w:r>
      <w:r>
        <w:rPr>
          <w:rFonts w:ascii="Aptos" w:cs="Aptos" w:eastAsia="Aptos" w:hAnsi="Aptos"/>
          <w:color w:val="111827"/>
          <w:sz w:val="21"/>
          <w:szCs w:val="21"/>
        </w:rPr>
        <w:t xml:space="preserve">Users can see that AI generated an answer and inspect the agents, tools, and catalog evidence used.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Mirror and validate response metadata in apps/web/lib/chat.ts and persist it on assistant messages.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a compact ChatProvenancePanel showing delegated agent, tools, catalog sources, retrieval method, and recommendation basis.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Do not expose chain-of-thought, raw prompts, private profiles, or PII.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reusable AI disclosure, limitation, and privacy copy to chat landing, full thread, widget, recommendations, and settings.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Identify AI-generated recommendations separately from catalog fallback recommendations.</w:t>
      </w:r>
    </w:p>
    <w:p>
      <w:pPr>
        <w:pStyle w:val="Heading2"/>
        <w:keepNext/>
        <w:spacing w:after="120" w:before="220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Metadata survives local reloads and renders consistently in both chat surfaces.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Empty metadata sections remain hidden.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Assistant and provenance content remain safely escaped.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Component tests cover disclosure variants and recommendation source labels.</w:t>
      </w:r>
    </w:p>
    <w:p>
      <w:pPr>
        <w:pStyle w:val="Heading1"/>
        <w:keepNext/>
        <w:spacing w:after="120" w:before="300"/>
      </w:pPr>
      <w:r>
        <w:t xml:space="preserve">8. Add reproducible NLP, IR, routing, and safety evaluation</w:t>
      </w:r>
    </w:p>
    <w:p>
      <w:pPr>
        <w:spacing w:after="130" w:line="276"/>
      </w:pPr>
      <w:r>
        <w:rPr>
          <w:rFonts w:ascii="Aptos" w:cs="Aptos" w:eastAsia="Aptos" w:hAnsi="Aptos"/>
          <w:b/>
          <w:bCs/>
          <w:color w:val="1F3A5F"/>
          <w:sz w:val="21"/>
          <w:szCs w:val="21"/>
        </w:rPr>
        <w:t xml:space="preserve">Target outcome: </w:t>
      </w:r>
      <w:r>
        <w:rPr>
          <w:rFonts w:ascii="Aptos" w:cs="Aptos" w:eastAsia="Aptos" w:hAnsi="Aptos"/>
          <w:color w:val="111827"/>
          <w:sz w:val="21"/>
          <w:szCs w:val="21"/>
        </w:rPr>
        <w:t xml:space="preserve">Assignment evaluation results can be regenerated from versioned inputs instead of being manually invented.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Create versioned fixtures for catalog entities, IR relevance, routing prompts, and refusal cases.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scorers for entity fields, Recall@K, MRR, routing accuracy, refusal precision and recall, and protocol completeness.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Keep the default evaluation deterministic and API-key-free; provide a separate opt-in live-agent lane.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a CLI that writes a manifest, machine-readable JSON, and Markdown report with git revision, fixture hashes, metrics, failed cases, and latency when available.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eval scripts to the API package, root package, and Justfile.</w:t>
      </w:r>
    </w:p>
    <w:p>
      <w:pPr>
        <w:pStyle w:val="Heading2"/>
        <w:keepNext/>
        <w:spacing w:after="120" w:before="220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The default evaluation runs without paid API calls.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Scorer mathematics and report generation have automated tests.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Every generated report is traceable to a code revision and fixture set.</w:t>
      </w:r>
    </w:p>
    <w:p>
      <w:pPr>
        <w:pStyle w:val="Heading1"/>
        <w:keepNext/>
        <w:spacing w:after="120" w:before="300"/>
      </w:pPr>
      <w:r>
        <w:t xml:space="preserve">9. Establish repository-wide verification and CI</w:t>
      </w:r>
    </w:p>
    <w:p>
      <w:pPr>
        <w:spacing w:after="130" w:line="276"/>
      </w:pPr>
      <w:r>
        <w:rPr>
          <w:rFonts w:ascii="Aptos" w:cs="Aptos" w:eastAsia="Aptos" w:hAnsi="Aptos"/>
          <w:b/>
          <w:bCs/>
          <w:color w:val="1F3A5F"/>
          <w:sz w:val="21"/>
          <w:szCs w:val="21"/>
        </w:rPr>
        <w:t xml:space="preserve">Target outcome: </w:t>
      </w:r>
      <w:r>
        <w:rPr>
          <w:rFonts w:ascii="Aptos" w:cs="Aptos" w:eastAsia="Aptos" w:hAnsi="Aptos"/>
          <w:color w:val="111827"/>
          <w:sz w:val="21"/>
          <w:szCs w:val="21"/>
        </w:rPr>
        <w:t xml:space="preserve">All critical behavior is checked consistently before merge and deployment.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root test, test:web, lint, build, check, test:coverage, and eval scripts. Make Justfile test and check recipes cover API and web.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@vitest/coverage-v8 with reporting-first coverage for critical API Mastra, route, and library code and web chat components. Do not impose arbitrary high thresholds initially.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.github/workflows/ci.yml with pnpm caching, pgvector PostgreSQL service, migrations, API tests, web tests, lint, builds, coverage artifacts, and deterministic evaluation.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Update code-adjacent README, API protocol, Responsible AI, and evaluation instructions after behavior is verified. Correct or archive the stale implementation-status document.</w:t>
      </w:r>
    </w:p>
    <w:p>
      <w:pPr>
        <w:pStyle w:val="Heading2"/>
        <w:keepNext/>
        <w:spacing w:after="120" w:before="220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 clean checkout can pass the complete check command.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CI uses the same migrations and commands as local development.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Coverage and evaluation outputs are retained as CI artifacts.</w:t>
      </w:r>
    </w:p>
    <w:p>
      <w:r>
        <w:br w:type="page"/>
      </w:r>
    </w:p>
    <w:p>
      <w:pPr>
        <w:pStyle w:val="Heading1"/>
        <w:keepNext/>
        <w:spacing w:after="120" w:before="300"/>
      </w:pPr>
      <w:r>
        <w:t xml:space="preserve">Execution sequence</w:t>
      </w:r>
    </w:p>
    <w:p>
      <w:pPr>
        <w:spacing w:after="130" w:line="276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Implement the work packages in dependency order. Each package should be independently reviewable and must finish with focused tests passing.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Security baseline: JWT roles, environment guards, CORS, limits, and rate limiting.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Authoritative chat schema, migration, server repository, API contract, and web client migration.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Append-only AI audit and PII minimization.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Explicit catalog entity extraction and structured IR source attribution.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Overdue query, summarization, tools, and OpsAgent.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Responsible AI policy, tool authorization, protocol metadata, and contract tests.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Frontend provenance and disclosure.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Deterministic evaluation fixtures, scorers, CLI, and generated reports.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Root verification commands, coverage, CI, and final technical documentation.</w:t>
      </w:r>
    </w:p>
    <w:p>
      <w:pPr>
        <w:pStyle w:val="Heading1"/>
        <w:keepNext/>
        <w:spacing w:after="120" w:before="300"/>
      </w:pPr>
      <w:r>
        <w:t xml:space="preserve">Verification gates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Use red-green-refactor for every work package. First write a failing test, implement the smallest correct change, and run focused tests before broader suites.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Final local gate: install with a frozen lockfile, apply migrations, run pnpm check, run API and web coverage suites, and run deterministic pnpm eval.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Manual gate: complete a user-only multi-turn borrow flow; retrieve owner/member overdue summaries; refuse a destructive request; inspect provenance; verify disallowed CORS and rate-limit responses; inspect audit rows for PII.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Final review focus: tenant isolation, fail-closed privileges, migration compatibility, no chain-of-thought or PII in metadata, and no paid API dependency in default tests.</w:t>
      </w:r>
    </w:p>
    <w:p>
      <w:pPr>
        <w:pStyle w:val="Heading1"/>
        <w:keepNext/>
        <w:spacing w:after="120" w:before="300"/>
      </w:pPr>
      <w:r>
        <w:t xml:space="preserve">Completion checklist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Harden authentication, environment, CORS, limits, and throttling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Replace client-controlled chat history with authoritative conversations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privacy-minimized, append-only AI action auditing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Make NLP explicit and integrate it with hybrid retrieval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Implement overdue-loan summarization through a new OpsAgent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Responsible AI policy, tool authorization, and protocol metadata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Surface transparency and explainability in the web UI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Add reproducible NLP, IR, routing, and safety evaluation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Establish repository-wide verification and CI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All database migrations apply to a clean database and an existing development database.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All API and web tests, lint checks, production builds, coverage jobs, and deterministic evaluations pass.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README and technical protocol/Responsible AI/evaluation documentation match implemented behavior.</w:t>
      </w:r>
    </w:p>
    <w:p>
      <w:pPr>
        <w:pStyle w:val="Heading1"/>
        <w:keepNext/>
        <w:spacing w:after="120" w:before="300"/>
      </w:pPr>
      <w:r>
        <w:t xml:space="preserve">Expected assignment evidence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Multi-agent requirement: orchestrator plus Search, Recommendation, Borrow, and Ops specialists with tested handoff contracts.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NLP requirement: deterministic catalog entity extraction and overdue-loan summarization with golden fixtures and metrics.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Information retrieval requirement: documented hybrid retrieval with source metadata and Recall@K/MRR results.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Security requirement: authentication, authorization, input bounds, CORS, rate limits, tenant isolation, and privacy-minimized auditing.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Responsible AI requirement: explicit refusals, tool authorization, transparency, safe provenance, privacy disclosures, and reproducible safety evaluation.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Communication protocol requirement: versioned REST response and Mastra handoff metadata with contract tests.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ptos" w:cs="Aptos" w:eastAsia="Aptos" w:hAnsi="Aptos"/>
          <w:color w:val="111827"/>
          <w:sz w:val="21"/>
          <w:szCs w:val="21"/>
        </w:rPr>
        <w:t xml:space="preserve">Evaluation requirement: generated JSON and Markdown reports tied to a git revision and fixture hashes.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5B6472"/>
        <w:sz w:val="17"/>
        <w:szCs w:val="17"/>
      </w:rPr>
      <w:t xml:space="preserve">Page </w:t>
    </w:r>
    <w:r>
      <w:rPr>
        <w:rFonts w:ascii="Aptos" w:cs="Aptos" w:eastAsia="Aptos" w:hAnsi="Aptos"/>
        <w:color w:val="5B647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80"/>
    </w:pPr>
    <w:r>
      <w:rPr>
        <w:rFonts w:ascii="Aptos" w:cs="Aptos" w:eastAsia="Aptos" w:hAnsi="Aptos"/>
        <w:b/>
        <w:bCs/>
        <w:color w:val="5B6472"/>
        <w:sz w:val="16"/>
        <w:szCs w:val="16"/>
      </w:rPr>
      <w:t xml:space="preserve">LIBRAAI  |  CODE-LEVEL REMEDIATION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00"/>
      </w:pPr>
    </w:lvl>
    <w:lvl w:ilvl="1" w:tentative="1">
      <w:start w:val="1"/>
      <w:numFmt w:val="bullet"/>
      <w:lvlText w:val="–"/>
      <w:lvlJc w:val="left"/>
      <w:pPr>
        <w:ind w:left="126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ptos Display" w:cs="Aptos Display" w:eastAsia="Aptos Display" w:hAnsi="Aptos Display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 Display" w:cs="Aptos Display" w:eastAsia="Aptos Display" w:hAnsi="Aptos Display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LibraAI Code-Level Remediation Plan</dc:title>
  <dc:subject>Assignment rubric completion and critical production hardening</dc:subject>
  <dc:creator>LibraAI Development Team</dc:creator>
  <dc:description>Implementation plan for LibraAI code-level remediation.</dc:description>
  <cp:lastModifiedBy>Un-named</cp:lastModifiedBy>
  <cp:revision>1</cp:revision>
  <dcterms:created xsi:type="dcterms:W3CDTF">2026-10-08T16:55:28.866Z</dcterms:created>
  <dcterms:modified xsi:type="dcterms:W3CDTF">2026-10-08T16:55:28.868Z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