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X41aee27e64c35d264fe171a21ee091eab8dd88f"/>
    <w:p>
      <w:pPr>
        <w:pStyle w:val="Heading1"/>
      </w:pPr>
      <w:r>
        <w:t xml:space="preserve">SwiftLoan — ISMS Manual, Policies &amp; Governance (Doc 08)</w:t>
      </w:r>
    </w:p>
    <w:p>
      <w:pPr>
        <w:pStyle w:val="BlockText"/>
      </w:pPr>
      <w:r>
        <w:rPr>
          <w:b/>
          <w:bCs/>
        </w:rPr>
        <w:t xml:space="preserve">Document ownership &amp; accountable roles</w:t>
      </w:r>
      <w:r>
        <w:t xml:space="preserve"> </w:t>
      </w:r>
      <w:r>
        <w:t xml:space="preserve">— Product Owner:</w:t>
      </w:r>
      <w:r>
        <w:t xml:space="preserve"> </w:t>
      </w:r>
      <w:r>
        <w:rPr>
          <w:b/>
          <w:bCs/>
        </w:rPr>
        <w:t xml:space="preserve">Sridhar Muppidi</w:t>
      </w:r>
      <w:r>
        <w:t xml:space="preserve"> </w:t>
      </w:r>
      <w:r>
        <w:t xml:space="preserve">· Product / Technical Head:</w:t>
      </w:r>
      <w:r>
        <w:t xml:space="preserve"> </w:t>
      </w:r>
      <w:r>
        <w:rPr>
          <w:b/>
          <w:bCs/>
        </w:rPr>
        <w:t xml:space="preserve">Sachin Tulla</w:t>
      </w:r>
      <w:r>
        <w:t xml:space="preserve"> </w:t>
      </w:r>
      <w:r>
        <w:t xml:space="preserve">· Head of Engineering:</w:t>
      </w:r>
      <w:r>
        <w:t xml:space="preserve"> </w:t>
      </w:r>
      <w:r>
        <w:rPr>
          <w:b/>
          <w:bCs/>
        </w:rPr>
        <w:t xml:space="preserve">Hari PS</w:t>
      </w:r>
      <w:r>
        <w:t xml:space="preserve"> </w:t>
      </w:r>
      <w:r>
        <w:t xml:space="preserve">· Security Head:</w:t>
      </w:r>
      <w:r>
        <w:t xml:space="preserve"> </w:t>
      </w:r>
      <w:r>
        <w:rPr>
          <w:b/>
          <w:bCs/>
        </w:rPr>
        <w:t xml:space="preserve">Anil M</w:t>
      </w:r>
      <w:r>
        <w:t xml:space="preserve">.</w:t>
      </w:r>
    </w:p>
    <w:p>
      <w:pPr>
        <w:pStyle w:val="FirstParagraph"/>
      </w:pPr>
      <w:r>
        <w:rPr>
          <w:b/>
          <w:bCs/>
        </w:rPr>
        <w:t xml:space="preserve">Classification: Restricted</w:t>
      </w:r>
      <w:r>
        <w:t xml:space="preserve"> </w:t>
      </w:r>
      <w:r>
        <w:t xml:space="preserve">· Prepared for ISO/IEC 27001:2022 certification and SOC 2 (Type II) examination.</w:t>
      </w:r>
    </w:p>
    <w:p>
      <w:r>
        <w:pict>
          <v:rect style="width:0;height:1.5pt" o:hralign="center" o:hrstd="t" o:hr="t"/>
        </w:pict>
      </w:r>
    </w:p>
    <w:bookmarkStart w:id="12" w:name="document-control"/>
    <w:p>
      <w:pPr>
        <w:pStyle w:val="Heading2"/>
      </w:pPr>
      <w:r>
        <w:t xml:space="preserve">0. Document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ID</w:t>
            </w:r>
          </w:p>
        </w:tc>
        <w:tc>
          <w:tcPr/>
          <w:p>
            <w:pPr>
              <w:pStyle w:val="Compact"/>
            </w:pPr>
            <w:r>
              <w:t xml:space="preserve">SL-ISMS-08</w:t>
            </w:r>
          </w:p>
        </w:tc>
      </w:tr>
      <w:tr>
        <w:tc>
          <w:tcPr/>
          <w:p>
            <w:pPr>
              <w:pStyle w:val="Compact"/>
            </w:pPr>
            <w:r>
              <w:t xml:space="preserve">Title</w:t>
            </w:r>
          </w:p>
        </w:tc>
        <w:tc>
          <w:tcPr/>
          <w:p>
            <w:pPr>
              <w:pStyle w:val="Compact"/>
            </w:pPr>
            <w:r>
              <w:t xml:space="preserve">ISMS Manual, Policies &amp; Governance</w:t>
            </w:r>
          </w:p>
        </w:tc>
      </w:tr>
      <w:tr>
        <w:tc>
          <w:tcPr/>
          <w:p>
            <w:pPr>
              <w:pStyle w:val="Compact"/>
            </w:pPr>
            <w:r>
              <w:t xml:space="preserve">Version</w:t>
            </w:r>
          </w:p>
        </w:tc>
        <w:tc>
          <w:tcPr/>
          <w:p>
            <w:pPr>
              <w:pStyle w:val="Compact"/>
            </w:pPr>
            <w:r>
              <w:t xml:space="preserve">1.0</w:t>
            </w:r>
          </w:p>
        </w:tc>
      </w:tr>
      <w:tr>
        <w:tc>
          <w:tcPr/>
          <w:p>
            <w:pPr>
              <w:pStyle w:val="Compact"/>
            </w:pPr>
            <w:r>
              <w:t xml:space="preserve">Status</w:t>
            </w:r>
          </w:p>
        </w:tc>
        <w:tc>
          <w:tcPr/>
          <w:p>
            <w:pPr>
              <w:pStyle w:val="Compact"/>
            </w:pPr>
            <w:r>
              <w:t xml:space="preserve">Approved for audit</w:t>
            </w:r>
          </w:p>
        </w:tc>
      </w:tr>
      <w:tr>
        <w:tc>
          <w:tcPr/>
          <w:p>
            <w:pPr>
              <w:pStyle w:val="Compact"/>
            </w:pPr>
            <w:r>
              <w:t xml:space="preserve">Effective date</w:t>
            </w:r>
          </w:p>
        </w:tc>
        <w:tc>
          <w:tcPr/>
          <w:p>
            <w:pPr>
              <w:pStyle w:val="Compact"/>
            </w:pPr>
            <w:r>
              <w:t xml:space="preserve">2026-08-04</w:t>
            </w:r>
          </w:p>
        </w:tc>
      </w:tr>
      <w:tr>
        <w:tc>
          <w:tcPr/>
          <w:p>
            <w:pPr>
              <w:pStyle w:val="Compact"/>
            </w:pPr>
            <w:r>
              <w:t xml:space="preserve">Next review</w:t>
            </w:r>
          </w:p>
        </w:tc>
        <w:tc>
          <w:tcPr/>
          <w:p>
            <w:pPr>
              <w:pStyle w:val="Compact"/>
            </w:pPr>
            <w:r>
              <w:t xml:space="preserve">2027-08-04 (or on material change)</w:t>
            </w:r>
          </w:p>
        </w:tc>
      </w:tr>
      <w:tr>
        <w:tc>
          <w:tcPr/>
          <w:p>
            <w:pPr>
              <w:pStyle w:val="Compact"/>
            </w:pPr>
            <w:r>
              <w:t xml:space="preserve">Owner</w:t>
            </w:r>
          </w:p>
        </w:tc>
        <w:tc>
          <w:tcPr/>
          <w:p>
            <w:pPr>
              <w:pStyle w:val="Compact"/>
            </w:pPr>
            <w:r>
              <w:t xml:space="preserve">Chief Information Security Officer (CISO)</w:t>
            </w:r>
          </w:p>
        </w:tc>
      </w:tr>
      <w:tr>
        <w:tc>
          <w:tcPr/>
          <w:p>
            <w:pPr>
              <w:pStyle w:val="Compact"/>
            </w:pPr>
            <w:r>
              <w:t xml:space="preserve">Approver</w:t>
            </w:r>
          </w:p>
        </w:tc>
        <w:tc>
          <w:tcPr/>
          <w:p>
            <w:pPr>
              <w:pStyle w:val="Compact"/>
            </w:pPr>
            <w:r>
              <w:t xml:space="preserve">CEO / Management (ISMS top management)</w:t>
            </w:r>
          </w:p>
        </w:tc>
      </w:tr>
      <w:tr>
        <w:tc>
          <w:tcPr/>
          <w:p>
            <w:pPr>
              <w:pStyle w:val="Compact"/>
            </w:pPr>
            <w:r>
              <w:t xml:space="preserve">Classification</w:t>
            </w:r>
          </w:p>
        </w:tc>
        <w:tc>
          <w:tcPr/>
          <w:p>
            <w:pPr>
              <w:pStyle w:val="Compact"/>
            </w:pPr>
            <w:r>
              <w:rPr>
                <w:b/>
                <w:bCs/>
              </w:rPr>
              <w:t xml:space="preserve">Restricted</w:t>
            </w:r>
          </w:p>
        </w:tc>
      </w:tr>
      <w:tr>
        <w:tc>
          <w:tcPr/>
          <w:p>
            <w:pPr>
              <w:pStyle w:val="Compact"/>
            </w:pPr>
            <w:r>
              <w:t xml:space="preserve">Distribution</w:t>
            </w:r>
          </w:p>
        </w:tc>
        <w:tc>
          <w:tcPr/>
          <w:p>
            <w:pPr>
              <w:pStyle w:val="Compact"/>
            </w:pPr>
            <w:r>
              <w:t xml:space="preserve">ISMS steering committee, engineering leadership, external auditors under NDA</w:t>
            </w:r>
          </w:p>
        </w:tc>
      </w:tr>
    </w:tbl>
    <w:bookmarkStart w:id="9" w:name="revision-history"/>
    <w:p>
      <w:pPr>
        <w:pStyle w:val="Heading3"/>
      </w:pPr>
      <w:r>
        <w:t xml:space="preserve">0.1 Revision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w:t>
            </w:r>
          </w:p>
        </w:tc>
      </w:tr>
      <w:tr>
        <w:tc>
          <w:tcPr/>
          <w:p>
            <w:pPr>
              <w:pStyle w:val="Compact"/>
            </w:pPr>
            <w:r>
              <w:t xml:space="preserve">0.1</w:t>
            </w:r>
          </w:p>
        </w:tc>
        <w:tc>
          <w:tcPr/>
          <w:p>
            <w:pPr>
              <w:pStyle w:val="Compact"/>
            </w:pPr>
            <w:r>
              <w:t xml:space="preserve">2026-07-30</w:t>
            </w:r>
          </w:p>
        </w:tc>
        <w:tc>
          <w:tcPr/>
          <w:p>
            <w:pPr>
              <w:pStyle w:val="Compact"/>
            </w:pPr>
            <w:r>
              <w:t xml:space="preserve">CISO</w:t>
            </w:r>
          </w:p>
        </w:tc>
        <w:tc>
          <w:tcPr/>
          <w:p>
            <w:pPr>
              <w:pStyle w:val="Compact"/>
            </w:pPr>
            <w:r>
              <w:t xml:space="preserve">Initial draft — ISMS scope and clause structure</w:t>
            </w:r>
          </w:p>
        </w:tc>
      </w:tr>
      <w:tr>
        <w:tc>
          <w:tcPr/>
          <w:p>
            <w:pPr>
              <w:pStyle w:val="Compact"/>
            </w:pPr>
            <w:r>
              <w:t xml:space="preserve">0.9</w:t>
            </w:r>
          </w:p>
        </w:tc>
        <w:tc>
          <w:tcPr/>
          <w:p>
            <w:pPr>
              <w:pStyle w:val="Compact"/>
            </w:pPr>
            <w:r>
              <w:t xml:space="preserve">2026-08-02</w:t>
            </w:r>
          </w:p>
        </w:tc>
        <w:tc>
          <w:tcPr/>
          <w:p>
            <w:pPr>
              <w:pStyle w:val="Compact"/>
            </w:pPr>
            <w:r>
              <w:t xml:space="preserve">CISO</w:t>
            </w:r>
          </w:p>
        </w:tc>
        <w:tc>
          <w:tcPr/>
          <w:p>
            <w:pPr>
              <w:pStyle w:val="Compact"/>
            </w:pPr>
            <w:r>
              <w:t xml:space="preserve">Added full policy set, privacy management, SOC 2 supplements</w:t>
            </w:r>
          </w:p>
        </w:tc>
      </w:tr>
      <w:tr>
        <w:tc>
          <w:tcPr/>
          <w:p>
            <w:pPr>
              <w:pStyle w:val="Compact"/>
            </w:pPr>
            <w:r>
              <w:t xml:space="preserve">1.0</w:t>
            </w:r>
          </w:p>
        </w:tc>
        <w:tc>
          <w:tcPr/>
          <w:p>
            <w:pPr>
              <w:pStyle w:val="Compact"/>
            </w:pPr>
            <w:r>
              <w:t xml:space="preserve">2026-08-04</w:t>
            </w:r>
          </w:p>
        </w:tc>
        <w:tc>
          <w:tcPr/>
          <w:p>
            <w:pPr>
              <w:pStyle w:val="Compact"/>
            </w:pPr>
            <w:r>
              <w:t xml:space="preserve">CISO</w:t>
            </w:r>
          </w:p>
        </w:tc>
        <w:tc>
          <w:tcPr/>
          <w:p>
            <w:pPr>
              <w:pStyle w:val="Compact"/>
            </w:pPr>
            <w:r>
              <w:t xml:space="preserve">Baselined against</w:t>
            </w:r>
            <w:r>
              <w:t xml:space="preserve"> </w:t>
            </w:r>
            <w:r>
              <w:rPr>
                <w:rStyle w:val="VerbatimChar"/>
              </w:rPr>
              <w:t xml:space="preserve">_AUDIT_BRIEF.md</w:t>
            </w:r>
            <w:r>
              <w:t xml:space="preserve"> </w:t>
            </w:r>
            <w:r>
              <w:t xml:space="preserve">§9 gap analysis; cross-referenced Docs 01–10 and repo controls (SECURITY.md, CODEOWNERS, security-scan.yml, Dependabot, PR template, LICENSE, compliance-sync)</w:t>
            </w:r>
          </w:p>
        </w:tc>
      </w:tr>
    </w:tbl>
    <w:bookmarkEnd w:id="9"/>
    <w:bookmarkStart w:id="10" w:name="how-to-read-this-manual"/>
    <w:p>
      <w:pPr>
        <w:pStyle w:val="Heading3"/>
      </w:pPr>
      <w:r>
        <w:t xml:space="preserve">0.2 How to read this manual</w:t>
      </w:r>
    </w:p>
    <w:p>
      <w:pPr>
        <w:pStyle w:val="FirstParagraph"/>
      </w:pPr>
      <w:r>
        <w:t xml:space="preserve">This single manual is the SwiftLoan ISMS Manual. It is deliberately consolidated (a manual, not twenty separate files). It contains: (§1) the ISMS Manual mapped to ISO/IEC 27001:2022 Clauses 4–10; (§2) the consolidated policy set; (§3) privacy management; (§4) SOC 2 supplements; (§5) the document register. Every policy and clause is tagged with the relevant</w:t>
      </w:r>
      <w:r>
        <w:t xml:space="preserve"> </w:t>
      </w:r>
      <w:r>
        <w:rPr>
          <w:b/>
          <w:bCs/>
        </w:rPr>
        <w:t xml:space="preserve">ISO/IEC 27001:2022 Annex A control(s)</w:t>
      </w:r>
      <w:r>
        <w:t xml:space="preserve"> </w:t>
      </w:r>
      <w:r>
        <w:t xml:space="preserve">and</w:t>
      </w:r>
      <w:r>
        <w:t xml:space="preserve"> </w:t>
      </w:r>
      <w:r>
        <w:rPr>
          <w:b/>
          <w:bCs/>
        </w:rPr>
        <w:t xml:space="preserve">SOC 2 Trust Services Criteria (TSC)</w:t>
      </w:r>
      <w:r>
        <w:t xml:space="preserve">. Where a control is not yet implemented, this manual states the fact and points to the risk treatment plan (Doc 03) and the live status tracker (</w:t>
      </w:r>
      <w:r>
        <w:rPr>
          <w:rStyle w:val="VerbatimChar"/>
        </w:rPr>
        <w:t xml:space="preserve">docs/compliance/COMPLIANCE-STATUS.md</w:t>
      </w:r>
      <w:r>
        <w:t xml:space="preserve">) — it does not overclaim.</w:t>
      </w:r>
    </w:p>
    <w:bookmarkEnd w:id="10"/>
    <w:bookmarkStart w:id="11" w:name="related-documents"/>
    <w:p>
      <w:pPr>
        <w:pStyle w:val="Heading3"/>
      </w:pPr>
      <w:r>
        <w:t xml:space="preserve">0.3 Related documents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Doc</w:t>
            </w:r>
          </w:p>
        </w:tc>
        <w:tc>
          <w:tcPr/>
          <w:p>
            <w:pPr>
              <w:pStyle w:val="Compact"/>
            </w:pPr>
            <w:r>
              <w:t xml:space="preserve">Title</w:t>
            </w:r>
          </w:p>
        </w:tc>
        <w:tc>
          <w:tcPr/>
          <w:p>
            <w:pPr>
              <w:pStyle w:val="Compact"/>
            </w:pPr>
            <w:r>
              <w:t xml:space="preserve">Role relative to this manual</w:t>
            </w:r>
          </w:p>
        </w:tc>
      </w:tr>
      <w:tr>
        <w:tc>
          <w:tcPr/>
          <w:p>
            <w:pPr>
              <w:pStyle w:val="Compact"/>
            </w:pPr>
            <w:r>
              <w:t xml:space="preserve">01</w:t>
            </w:r>
          </w:p>
        </w:tc>
        <w:tc>
          <w:tcPr/>
          <w:p>
            <w:pPr>
              <w:pStyle w:val="Compact"/>
            </w:pPr>
            <w:r>
              <w:t xml:space="preserve">Product Requirements Document</w:t>
            </w:r>
          </w:p>
        </w:tc>
        <w:tc>
          <w:tcPr/>
          <w:p>
            <w:pPr>
              <w:pStyle w:val="Compact"/>
            </w:pPr>
            <w:r>
              <w:t xml:space="preserve">Product scope, user flows</w:t>
            </w:r>
          </w:p>
        </w:tc>
      </w:tr>
      <w:tr>
        <w:tc>
          <w:tcPr/>
          <w:p>
            <w:pPr>
              <w:pStyle w:val="Compact"/>
            </w:pPr>
            <w:r>
              <w:t xml:space="preserve">02</w:t>
            </w:r>
          </w:p>
        </w:tc>
        <w:tc>
          <w:tcPr/>
          <w:p>
            <w:pPr>
              <w:pStyle w:val="Compact"/>
            </w:pPr>
            <w:r>
              <w:t xml:space="preserve">Technical Architecture Document</w:t>
            </w:r>
          </w:p>
        </w:tc>
        <w:tc>
          <w:tcPr/>
          <w:p>
            <w:pPr>
              <w:pStyle w:val="Compact"/>
            </w:pPr>
            <w:r>
              <w:t xml:space="preserve">System boundary, data flows, components</w:t>
            </w:r>
          </w:p>
        </w:tc>
      </w:tr>
      <w:tr>
        <w:tc>
          <w:tcPr/>
          <w:p>
            <w:pPr>
              <w:pStyle w:val="Compact"/>
            </w:pPr>
            <w:r>
              <w:t xml:space="preserve">03</w:t>
            </w:r>
          </w:p>
        </w:tc>
        <w:tc>
          <w:tcPr/>
          <w:p>
            <w:pPr>
              <w:pStyle w:val="Compact"/>
            </w:pPr>
            <w:r>
              <w:t xml:space="preserve">Security &amp; Compliance Document</w:t>
            </w:r>
          </w:p>
        </w:tc>
        <w:tc>
          <w:tcPr/>
          <w:p>
            <w:pPr>
              <w:pStyle w:val="Compact"/>
            </w:pPr>
            <w:r>
              <w:t xml:space="preserve">Risk assessment, risk treatment plan, scope statement</w:t>
            </w:r>
          </w:p>
        </w:tc>
      </w:tr>
      <w:tr>
        <w:tc>
          <w:tcPr/>
          <w:p>
            <w:pPr>
              <w:pStyle w:val="Compact"/>
            </w:pPr>
            <w:r>
              <w:t xml:space="preserve">04</w:t>
            </w:r>
          </w:p>
        </w:tc>
        <w:tc>
          <w:tcPr/>
          <w:p>
            <w:pPr>
              <w:pStyle w:val="Compact"/>
            </w:pPr>
            <w:r>
              <w:t xml:space="preserve">Test Cases Document</w:t>
            </w:r>
          </w:p>
        </w:tc>
        <w:tc>
          <w:tcPr/>
          <w:p>
            <w:pPr>
              <w:pStyle w:val="Compact"/>
            </w:pPr>
            <w:r>
              <w:t xml:space="preserve">Verification evidence</w:t>
            </w:r>
          </w:p>
        </w:tc>
      </w:tr>
      <w:tr>
        <w:tc>
          <w:tcPr/>
          <w:p>
            <w:pPr>
              <w:pStyle w:val="Compact"/>
            </w:pPr>
            <w:r>
              <w:t xml:space="preserve">05</w:t>
            </w:r>
          </w:p>
        </w:tc>
        <w:tc>
          <w:tcPr/>
          <w:p>
            <w:pPr>
              <w:pStyle w:val="Compact"/>
            </w:pPr>
            <w:r>
              <w:t xml:space="preserve">Statement of Applicability (SoA)</w:t>
            </w:r>
          </w:p>
        </w:tc>
        <w:tc>
          <w:tcPr/>
          <w:p>
            <w:pPr>
              <w:pStyle w:val="Compact"/>
            </w:pPr>
            <w:r>
              <w:t xml:space="preserve">Annex A applicability &amp; justification</w:t>
            </w:r>
          </w:p>
        </w:tc>
      </w:tr>
      <w:tr>
        <w:tc>
          <w:tcPr/>
          <w:p>
            <w:pPr>
              <w:pStyle w:val="Compact"/>
            </w:pPr>
            <w:r>
              <w:t xml:space="preserve">06</w:t>
            </w:r>
          </w:p>
        </w:tc>
        <w:tc>
          <w:tcPr/>
          <w:p>
            <w:pPr>
              <w:pStyle w:val="Compact"/>
            </w:pPr>
            <w:r>
              <w:t xml:space="preserve">Compliance Evidence Pack &amp; Claims Matrix</w:t>
            </w:r>
          </w:p>
        </w:tc>
        <w:tc>
          <w:tcPr/>
          <w:p>
            <w:pPr>
              <w:pStyle w:val="Compact"/>
            </w:pPr>
            <w:r>
              <w:t xml:space="preserve">Evidence index, marketing-claims control</w:t>
            </w:r>
          </w:p>
        </w:tc>
      </w:tr>
      <w:tr>
        <w:tc>
          <w:tcPr/>
          <w:p>
            <w:pPr>
              <w:pStyle w:val="Compact"/>
            </w:pPr>
            <w:r>
              <w:t xml:space="preserve">07</w:t>
            </w:r>
          </w:p>
        </w:tc>
        <w:tc>
          <w:tcPr/>
          <w:p>
            <w:pPr>
              <w:pStyle w:val="Compact"/>
            </w:pPr>
            <w:r>
              <w:t xml:space="preserve">SDLC &amp; Change Management Tracker</w:t>
            </w:r>
          </w:p>
        </w:tc>
        <w:tc>
          <w:tcPr/>
          <w:p>
            <w:pPr>
              <w:pStyle w:val="Compact"/>
            </w:pPr>
            <w:r>
              <w:t xml:space="preserve">Change control, CI/CD gates</w:t>
            </w:r>
          </w:p>
        </w:tc>
      </w:tr>
      <w:tr>
        <w:tc>
          <w:tcPr/>
          <w:p>
            <w:pPr>
              <w:pStyle w:val="Compact"/>
            </w:pPr>
            <w:r>
              <w:rPr>
                <w:b/>
                <w:bCs/>
              </w:rPr>
              <w:t xml:space="preserve">08</w:t>
            </w:r>
          </w:p>
        </w:tc>
        <w:tc>
          <w:tcPr/>
          <w:p>
            <w:pPr>
              <w:pStyle w:val="Compact"/>
            </w:pPr>
            <w:r>
              <w:rPr>
                <w:b/>
                <w:bCs/>
              </w:rPr>
              <w:t xml:space="preserve">ISMS Manual, Policies &amp; Governance</w:t>
            </w:r>
          </w:p>
        </w:tc>
        <w:tc>
          <w:tcPr/>
          <w:p>
            <w:pPr>
              <w:pStyle w:val="Compact"/>
            </w:pPr>
            <w:r>
              <w:rPr>
                <w:b/>
                <w:bCs/>
              </w:rPr>
              <w:t xml:space="preserve">This document</w:t>
            </w:r>
          </w:p>
        </w:tc>
      </w:tr>
      <w:tr>
        <w:tc>
          <w:tcPr/>
          <w:p>
            <w:pPr>
              <w:pStyle w:val="Compact"/>
            </w:pPr>
            <w:r>
              <w:t xml:space="preserve">09</w:t>
            </w:r>
          </w:p>
        </w:tc>
        <w:tc>
          <w:tcPr/>
          <w:p>
            <w:pPr>
              <w:pStyle w:val="Compact"/>
            </w:pPr>
            <w:r>
              <w:t xml:space="preserve">Secure-by-Design, Privacy-by-Design &amp; Compliance-by-Design</w:t>
            </w:r>
          </w:p>
        </w:tc>
        <w:tc>
          <w:tcPr/>
          <w:p>
            <w:pPr>
              <w:pStyle w:val="Compact"/>
            </w:pPr>
            <w:r>
              <w:t xml:space="preserve">Principles, threat model, DPIA</w:t>
            </w:r>
          </w:p>
        </w:tc>
      </w:tr>
      <w:tr>
        <w:tc>
          <w:tcPr/>
          <w:p>
            <w:pPr>
              <w:pStyle w:val="Compact"/>
            </w:pPr>
            <w:r>
              <w:t xml:space="preserve">10</w:t>
            </w:r>
          </w:p>
        </w:tc>
        <w:tc>
          <w:tcPr/>
          <w:p>
            <w:pPr>
              <w:pStyle w:val="Compact"/>
            </w:pPr>
            <w:r>
              <w:t xml:space="preserve">ISO 27001 &amp; SOC 2 Certification Readiness &amp; Gap Assessment</w:t>
            </w:r>
          </w:p>
        </w:tc>
        <w:tc>
          <w:tcPr/>
          <w:p>
            <w:pPr>
              <w:pStyle w:val="Compact"/>
            </w:pPr>
            <w:r>
              <w:t xml:space="preserve">Gap &amp; remediation tracking</w:t>
            </w:r>
          </w:p>
        </w:tc>
      </w:tr>
    </w:tbl>
    <w:p>
      <w:r>
        <w:pict>
          <v:rect style="width:0;height:1.5pt" o:hralign="center" o:hrstd="t" o:hr="t"/>
        </w:pict>
      </w:r>
    </w:p>
    <w:bookmarkEnd w:id="11"/>
    <w:bookmarkEnd w:id="12"/>
    <w:bookmarkEnd w:id="13"/>
    <w:bookmarkStart w:id="23" w:name="isms-manual-isoiec-270012022-clauses-410"/>
    <w:p>
      <w:pPr>
        <w:pStyle w:val="Heading1"/>
      </w:pPr>
      <w:r>
        <w:t xml:space="preserve">§1 ISMS Manual — ISO/IEC 27001:2022 Clauses 4–10</w:t>
      </w:r>
    </w:p>
    <w:bookmarkStart w:id="14" w:name="clause-4-context-of-the-organization"/>
    <w:p>
      <w:pPr>
        <w:pStyle w:val="Heading2"/>
      </w:pPr>
      <w:r>
        <w:t xml:space="preserve">Clause 4 — Context of the organization</w:t>
      </w:r>
    </w:p>
    <w:p>
      <w:pPr>
        <w:pStyle w:val="FirstParagraph"/>
      </w:pPr>
      <w:r>
        <w:rPr>
          <w:b/>
          <w:bCs/>
        </w:rPr>
        <w:t xml:space="preserve">4.1 Understanding the organization and its context.</w:t>
      </w:r>
      <w:r>
        <w:t xml:space="preserve"> </w:t>
      </w:r>
      <w:r>
        <w:t xml:space="preserve">SwiftLoan operates a Digital Lending App (DLA) as a Lending Service Provider (LSP)</w:t>
      </w:r>
      <w:r>
        <w:t xml:space="preserve"> </w:t>
      </w:r>
      <w:r>
        <w:rPr>
          <w:i/>
          <w:iCs/>
        </w:rPr>
        <w:t xml:space="preserve">on behalf of</w:t>
      </w:r>
      <w:r>
        <w:t xml:space="preserve"> </w:t>
      </w:r>
      <w:r>
        <w:t xml:space="preserve">RBI-regulated lenders (banks/NBFCs). SwiftLoan does not lend directly and does not decide loan approvals. It handles PII and SPDI (financial data, PAN, Aadhaar last-4, contact data, and — via a third-party voice assistant — voice/biometric-class data). External context: RBI Digital Lending Guidelines 2022, DPDP Act 2023, CERT-In Directions 2022, IT Act 2000 §43A + SPDI Rules 2011, Aadhaar Act, CICRA 2005. Internal context: a small engineering-led organization, cloud-hosted (Render), monorepo, third-party dependencies (Ello/Getello</w:t>
      </w:r>
      <w:r>
        <w:t xml:space="preserve"> </w:t>
      </w:r>
      <w:r>
        <w:t xml:space="preserve">“Ruby”</w:t>
      </w:r>
      <w:r>
        <w:t xml:space="preserve"> </w:t>
      </w:r>
      <w:r>
        <w:t xml:space="preserve">voice AI, lenders).</w:t>
      </w:r>
    </w:p>
    <w:p>
      <w:pPr>
        <w:pStyle w:val="BodyText"/>
      </w:pPr>
      <w:r>
        <w:rPr>
          <w:b/>
          <w:bCs/>
        </w:rPr>
        <w:t xml:space="preserve">4.2 Interested parties and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Interested party</w:t>
            </w:r>
          </w:p>
        </w:tc>
        <w:tc>
          <w:tcPr/>
          <w:p>
            <w:pPr>
              <w:pStyle w:val="Compact"/>
            </w:pPr>
            <w:r>
              <w:t xml:space="preserve">Key requirements</w:t>
            </w:r>
          </w:p>
        </w:tc>
      </w:tr>
      <w:tr>
        <w:tc>
          <w:tcPr/>
          <w:p>
            <w:pPr>
              <w:pStyle w:val="Compact"/>
            </w:pPr>
            <w:r>
              <w:t xml:space="preserve">Data principals (borrowers)</w:t>
            </w:r>
          </w:p>
        </w:tc>
        <w:tc>
          <w:tcPr/>
          <w:p>
            <w:pPr>
              <w:pStyle w:val="Compact"/>
            </w:pPr>
            <w:r>
              <w:t xml:space="preserve">Consent, transparency, data-principal rights, minimal collection, secure handling</w:t>
            </w:r>
          </w:p>
        </w:tc>
      </w:tr>
      <w:tr>
        <w:tc>
          <w:tcPr/>
          <w:p>
            <w:pPr>
              <w:pStyle w:val="Compact"/>
            </w:pPr>
            <w:r>
              <w:t xml:space="preserve">RBI-regulated lender partners</w:t>
            </w:r>
          </w:p>
        </w:tc>
        <w:tc>
          <w:tcPr/>
          <w:p>
            <w:pPr>
              <w:pStyle w:val="Compact"/>
            </w:pPr>
            <w:r>
              <w:t xml:space="preserve">Data localization, KFS, direct disbursal, grievance redressal, secure data sharing</w:t>
            </w:r>
          </w:p>
        </w:tc>
      </w:tr>
      <w:tr>
        <w:tc>
          <w:tcPr/>
          <w:p>
            <w:pPr>
              <w:pStyle w:val="Compact"/>
            </w:pPr>
            <w:r>
              <w:t xml:space="preserve">Regulators (RBI, Data Protection Board, CERT-In)</w:t>
            </w:r>
          </w:p>
        </w:tc>
        <w:tc>
          <w:tcPr/>
          <w:p>
            <w:pPr>
              <w:pStyle w:val="Compact"/>
            </w:pPr>
            <w:r>
              <w:t xml:space="preserve">Compliance with lending, privacy, and breach-notification duties</w:t>
            </w:r>
          </w:p>
        </w:tc>
      </w:tr>
      <w:tr>
        <w:tc>
          <w:tcPr/>
          <w:p>
            <w:pPr>
              <w:pStyle w:val="Compact"/>
            </w:pPr>
            <w:r>
              <w:t xml:space="preserve">Ello/Getello (sub-processor)</w:t>
            </w:r>
          </w:p>
        </w:tc>
        <w:tc>
          <w:tcPr/>
          <w:p>
            <w:pPr>
              <w:pStyle w:val="Compact"/>
            </w:pPr>
            <w:r>
              <w:t xml:space="preserve">DPA, secure integration, redaction of sensitive fields</w:t>
            </w:r>
          </w:p>
        </w:tc>
      </w:tr>
      <w:tr>
        <w:tc>
          <w:tcPr/>
          <w:p>
            <w:pPr>
              <w:pStyle w:val="Compact"/>
            </w:pPr>
            <w:r>
              <w:t xml:space="preserve">Cloud/hosting provider (Render)</w:t>
            </w:r>
          </w:p>
        </w:tc>
        <w:tc>
          <w:tcPr/>
          <w:p>
            <w:pPr>
              <w:pStyle w:val="Compact"/>
            </w:pPr>
            <w:r>
              <w:t xml:space="preserve">Shared-responsibility controls, region/residency</w:t>
            </w:r>
          </w:p>
        </w:tc>
      </w:tr>
      <w:tr>
        <w:tc>
          <w:tcPr/>
          <w:p>
            <w:pPr>
              <w:pStyle w:val="Compact"/>
            </w:pPr>
            <w:r>
              <w:t xml:space="preserve">Employees &amp; contractors</w:t>
            </w:r>
          </w:p>
        </w:tc>
        <w:tc>
          <w:tcPr/>
          <w:p>
            <w:pPr>
              <w:pStyle w:val="Compact"/>
            </w:pPr>
            <w:r>
              <w:t xml:space="preserve">Clear roles, acceptable use, secure working conditions</w:t>
            </w:r>
          </w:p>
        </w:tc>
      </w:tr>
      <w:tr>
        <w:tc>
          <w:tcPr/>
          <w:p>
            <w:pPr>
              <w:pStyle w:val="Compact"/>
            </w:pPr>
            <w:r>
              <w:t xml:space="preserve">Investors / auditors</w:t>
            </w:r>
          </w:p>
        </w:tc>
        <w:tc>
          <w:tcPr/>
          <w:p>
            <w:pPr>
              <w:pStyle w:val="Compact"/>
            </w:pPr>
            <w:r>
              <w:t xml:space="preserve">Demonstrable ISMS, certification readiness</w:t>
            </w:r>
          </w:p>
        </w:tc>
      </w:tr>
    </w:tbl>
    <w:p>
      <w:pPr>
        <w:pStyle w:val="BodyText"/>
      </w:pPr>
      <w:r>
        <w:rPr>
          <w:b/>
          <w:bCs/>
        </w:rPr>
        <w:t xml:space="preserve">4.3 Scope of the ISMS.</w:t>
      </w:r>
      <w:r>
        <w:t xml:space="preserve"> </w:t>
      </w:r>
      <w:r>
        <w:t xml:space="preserve">The ISMS scope is defined in</w:t>
      </w:r>
      <w:r>
        <w:t xml:space="preserve"> </w:t>
      </w:r>
      <w:r>
        <w:rPr>
          <w:b/>
          <w:bCs/>
        </w:rPr>
        <w:t xml:space="preserve">Doc 03 (Security &amp; Compliance Document)</w:t>
      </w:r>
      <w:r>
        <w:t xml:space="preserve"> </w:t>
      </w:r>
      <w:r>
        <w:t xml:space="preserve">and covers: the React Native mobile app (iOS + Android), the Node/Express/Prisma/PostgreSQL backend, the Next.js admin dashboard, the marketing website, the compliance/CI tooling in the repository, and the personnel, processes, and third-party integrations that support them. Physical data-center security is inherited from the cloud provider (carve-out; see §4 SOC 2 supplements).</w:t>
      </w:r>
    </w:p>
    <w:p>
      <w:pPr>
        <w:pStyle w:val="BodyText"/>
      </w:pPr>
      <w:r>
        <w:rPr>
          <w:b/>
          <w:bCs/>
        </w:rPr>
        <w:t xml:space="preserve">4.4 ISMS.</w:t>
      </w:r>
      <w:r>
        <w:t xml:space="preserve"> </w:t>
      </w:r>
      <w:r>
        <w:t xml:space="preserve">SwiftLoan establishes, implements, maintains, and continually improves the ISMS in accordance with ISO/IEC 27001:2022. This manual is the top-level ISMS record.</w:t>
      </w:r>
    </w:p>
    <w:p>
      <w:pPr>
        <w:pStyle w:val="Compact"/>
        <w:numPr>
          <w:ilvl w:val="0"/>
          <w:numId w:val="1001"/>
        </w:numPr>
      </w:pPr>
      <w:r>
        <w:rPr>
          <w:b/>
          <w:bCs/>
        </w:rPr>
        <w:t xml:space="preserve">Annex A:</w:t>
      </w:r>
      <w:r>
        <w:t xml:space="preserve"> </w:t>
      </w:r>
      <w:r>
        <w:t xml:space="preserve">A.5.1, A.5.31, A.5.35 ·</w:t>
      </w:r>
      <w:r>
        <w:t xml:space="preserve"> </w:t>
      </w:r>
      <w:r>
        <w:rPr>
          <w:b/>
          <w:bCs/>
        </w:rPr>
        <w:t xml:space="preserve">SOC 2 TSC:</w:t>
      </w:r>
      <w:r>
        <w:t xml:space="preserve"> </w:t>
      </w:r>
      <w:r>
        <w:t xml:space="preserve">CC1.1, CC2.1, CC3.1</w:t>
      </w:r>
    </w:p>
    <w:p>
      <w:pPr>
        <w:pStyle w:val="Compact"/>
        <w:numPr>
          <w:ilvl w:val="0"/>
          <w:numId w:val="1001"/>
        </w:numPr>
      </w:pPr>
      <w:r>
        <w:rPr>
          <w:b/>
          <w:bCs/>
        </w:rPr>
        <w:t xml:space="preserve">Evidencing artifacts:</w:t>
      </w:r>
      <w:r>
        <w:t xml:space="preserve"> </w:t>
      </w:r>
      <w:r>
        <w:t xml:space="preserve">Doc 03 (scope &amp; risk), this manual §4.2 table, Doc 10 (readiness).</w:t>
      </w:r>
    </w:p>
    <w:bookmarkEnd w:id="14"/>
    <w:bookmarkStart w:id="17" w:name="clause-5-leadership"/>
    <w:p>
      <w:pPr>
        <w:pStyle w:val="Heading2"/>
      </w:pPr>
      <w:r>
        <w:t xml:space="preserve">Clause 5 — Leadership</w:t>
      </w:r>
    </w:p>
    <w:p>
      <w:pPr>
        <w:pStyle w:val="FirstParagraph"/>
      </w:pPr>
      <w:r>
        <w:rPr>
          <w:b/>
          <w:bCs/>
        </w:rPr>
        <w:t xml:space="preserve">5.1 Leadership &amp; commitment.</w:t>
      </w:r>
      <w:r>
        <w:t xml:space="preserve"> </w:t>
      </w:r>
      <w:r>
        <w:t xml:space="preserve">Top management is accountable for the ISMS, allocates resources (Clause 7), integrates ISMS requirements into the SDLC (Doc 07), and reviews performance (Clause 9). Security-, privacy-, and compliance-by-design are mandated as engineering principles (Doc 09).</w:t>
      </w:r>
    </w:p>
    <w:bookmarkStart w:id="15" w:name="X0262ce7c9c4b522a98f2760cd1fdd2b48d256ed"/>
    <w:p>
      <w:pPr>
        <w:pStyle w:val="Heading3"/>
      </w:pPr>
      <w:r>
        <w:t xml:space="preserve">5.2 Information Security Policy (top-level statement)</w:t>
      </w:r>
    </w:p>
    <w:p>
      <w:pPr>
        <w:pStyle w:val="BlockText"/>
      </w:pPr>
      <w:r>
        <w:rPr>
          <w:b/>
          <w:bCs/>
        </w:rPr>
        <w:t xml:space="preserve">SwiftLoan Information Security Policy.</w:t>
      </w:r>
      <w:r>
        <w:t xml:space="preserve"> </w:t>
      </w:r>
      <w:r>
        <w:t xml:space="preserve">SwiftLoan is committed to protecting the confidentiality, integrity, and availability of the personal and financial information entrusted to us by borrowers and lender partners. We operate an Information Security Management System aligned to ISO/IEC 27001:2022 and the SOC 2 Trust Services Criteria, and a Privacy Information Management System aligned to ISO/IEC 27701 and India’s DPDP Act 2023. We apply</w:t>
      </w:r>
      <w:r>
        <w:t xml:space="preserve"> </w:t>
      </w:r>
      <w:r>
        <w:rPr>
          <w:b/>
          <w:bCs/>
        </w:rPr>
        <w:t xml:space="preserve">least privilege, data minimization, secure defaults, fail-closed design, and privacy-by-design</w:t>
      </w:r>
      <w:r>
        <w:t xml:space="preserve">. We comply with applicable legal, regulatory, and contractual obligations, including RBI Digital Lending Guidelines, CERT-In Directions, and the DPDP Act. We manage risk through a documented methodology, set measurable security objectives, respond to incidents within regulatory timelines, and continually improve. Every employee and contractor is responsible for information security within their role. Violations are subject to disciplinary action.</w:t>
      </w:r>
    </w:p>
    <w:p>
      <w:pPr>
        <w:pStyle w:val="BlockText"/>
      </w:pPr>
      <w:r>
        <w:rPr>
          <w:i/>
          <w:iCs/>
        </w:rPr>
        <w:t xml:space="preserve">Approved by top management. Reviewed at least annually.</w:t>
      </w:r>
    </w:p>
    <w:bookmarkEnd w:id="15"/>
    <w:bookmarkStart w:id="16" w:name="X58bf8ac09098e9cbeee1307467350853ed4a0fe"/>
    <w:p>
      <w:pPr>
        <w:pStyle w:val="Heading3"/>
      </w:pPr>
      <w:r>
        <w:t xml:space="preserve">5.3 Organizational roles, responsibilities &amp; authorities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Responsibilities</w:t>
            </w:r>
          </w:p>
        </w:tc>
        <w:tc>
          <w:tcPr/>
          <w:p>
            <w:pPr>
              <w:pStyle w:val="Compact"/>
            </w:pPr>
            <w:r>
              <w:t xml:space="preserve">Authority</w:t>
            </w:r>
          </w:p>
        </w:tc>
      </w:tr>
      <w:tr>
        <w:tc>
          <w:tcPr/>
          <w:p>
            <w:pPr>
              <w:pStyle w:val="Compact"/>
            </w:pPr>
            <w:r>
              <w:rPr>
                <w:b/>
                <w:bCs/>
              </w:rPr>
              <w:t xml:space="preserve">CISO</w:t>
            </w:r>
            <w:r>
              <w:t xml:space="preserve"> </w:t>
            </w:r>
            <w:r>
              <w:t xml:space="preserve">(ISMS owner)</w:t>
            </w:r>
          </w:p>
        </w:tc>
        <w:tc>
          <w:tcPr/>
          <w:p>
            <w:pPr>
              <w:pStyle w:val="Compact"/>
            </w:pPr>
            <w:r>
              <w:t xml:space="preserve">Owns the ISMS, risk register, SoA, policy set; chairs management review; approves risk treatment and exceptions</w:t>
            </w:r>
          </w:p>
        </w:tc>
        <w:tc>
          <w:tcPr/>
          <w:p>
            <w:pPr>
              <w:pStyle w:val="Compact"/>
            </w:pPr>
            <w:r>
              <w:t xml:space="preserve">Accept/reject risk within criteria (§6.2); halt releases on unmitigated critical risk</w:t>
            </w:r>
          </w:p>
        </w:tc>
      </w:tr>
      <w:tr>
        <w:tc>
          <w:tcPr/>
          <w:p>
            <w:pPr>
              <w:pStyle w:val="Compact"/>
            </w:pPr>
            <w:r>
              <w:rPr>
                <w:b/>
                <w:bCs/>
              </w:rPr>
              <w:t xml:space="preserve">DPO / Grievance Officer</w:t>
            </w:r>
          </w:p>
        </w:tc>
        <w:tc>
          <w:tcPr/>
          <w:p>
            <w:pPr>
              <w:pStyle w:val="Compact"/>
            </w:pPr>
            <w:r>
              <w:t xml:space="preserve">Privacy compliance, RoPA, DPIA, DSAR handling, consent governance, breach notice to Data Protection Board and data principals; grievance redressal under RBI DLG</w:t>
            </w:r>
          </w:p>
        </w:tc>
        <w:tc>
          <w:tcPr/>
          <w:p>
            <w:pPr>
              <w:pStyle w:val="Compact"/>
            </w:pPr>
            <w:r>
              <w:t xml:space="preserve">Direct data-processing changes; act as DPDP contact point</w:t>
            </w:r>
          </w:p>
        </w:tc>
      </w:tr>
      <w:tr>
        <w:tc>
          <w:tcPr/>
          <w:p>
            <w:pPr>
              <w:pStyle w:val="Compact"/>
            </w:pPr>
            <w:r>
              <w:rPr>
                <w:b/>
                <w:bCs/>
              </w:rPr>
              <w:t xml:space="preserve">Head of Engineering</w:t>
            </w:r>
          </w:p>
        </w:tc>
        <w:tc>
          <w:tcPr/>
          <w:p>
            <w:pPr>
              <w:pStyle w:val="Compact"/>
            </w:pPr>
            <w:r>
              <w:t xml:space="preserve">Change control, release gates, segregation of duties, deployment approvals (Doc 07)</w:t>
            </w:r>
          </w:p>
        </w:tc>
        <w:tc>
          <w:tcPr/>
          <w:p>
            <w:pPr>
              <w:pStyle w:val="Compact"/>
            </w:pPr>
            <w:r>
              <w:t xml:space="preserve">Block releases failing security/CI gates</w:t>
            </w:r>
          </w:p>
        </w:tc>
      </w:tr>
      <w:tr>
        <w:tc>
          <w:tcPr/>
          <w:p>
            <w:pPr>
              <w:pStyle w:val="Compact"/>
            </w:pPr>
            <w:r>
              <w:rPr>
                <w:b/>
                <w:bCs/>
              </w:rPr>
              <w:t xml:space="preserve">Engineering Lead</w:t>
            </w:r>
          </w:p>
        </w:tc>
        <w:tc>
          <w:tcPr/>
          <w:p>
            <w:pPr>
              <w:pStyle w:val="Compact"/>
            </w:pPr>
            <w:r>
              <w:t xml:space="preserve">Secure development, code ownership (CODEOWNERS), remediation ownership, competence of engineers</w:t>
            </w:r>
          </w:p>
        </w:tc>
        <w:tc>
          <w:tcPr/>
          <w:p>
            <w:pPr>
              <w:pStyle w:val="Compact"/>
            </w:pPr>
            <w:r>
              <w:t xml:space="preserve">Assign remediation; approve/reject PRs in owned areas</w:t>
            </w:r>
          </w:p>
        </w:tc>
      </w:tr>
      <w:tr>
        <w:tc>
          <w:tcPr/>
          <w:p>
            <w:pPr>
              <w:pStyle w:val="Compact"/>
            </w:pPr>
            <w:r>
              <w:rPr>
                <w:b/>
                <w:bCs/>
              </w:rPr>
              <w:t xml:space="preserve">All staff/contractors</w:t>
            </w:r>
          </w:p>
        </w:tc>
        <w:tc>
          <w:tcPr/>
          <w:p>
            <w:pPr>
              <w:pStyle w:val="Compact"/>
            </w:pPr>
            <w:r>
              <w:t xml:space="preserve">Acceptable use, awareness training, incident reporting</w:t>
            </w:r>
          </w:p>
        </w:tc>
        <w:tc>
          <w:tcPr/>
          <w:p>
            <w:pPr>
              <w:pStyle w:val="Compact"/>
            </w:pPr>
            <w:r>
              <w:t xml:space="preserve">—</w:t>
            </w:r>
          </w:p>
        </w:tc>
      </w:tr>
    </w:tbl>
    <w:p>
      <w:pPr>
        <w:pStyle w:val="Compact"/>
        <w:numPr>
          <w:ilvl w:val="0"/>
          <w:numId w:val="1002"/>
        </w:numPr>
      </w:pPr>
      <w:r>
        <w:rPr>
          <w:b/>
          <w:bCs/>
        </w:rPr>
        <w:t xml:space="preserve">Annex A:</w:t>
      </w:r>
      <w:r>
        <w:t xml:space="preserve"> </w:t>
      </w:r>
      <w:r>
        <w:t xml:space="preserve">A.5.1, A.5.2, A.5.3 (SoD), A.5.4, A.6.1 ·</w:t>
      </w:r>
      <w:r>
        <w:t xml:space="preserve"> </w:t>
      </w:r>
      <w:r>
        <w:rPr>
          <w:b/>
          <w:bCs/>
        </w:rPr>
        <w:t xml:space="preserve">SOC 2 TSC:</w:t>
      </w:r>
      <w:r>
        <w:t xml:space="preserve"> </w:t>
      </w:r>
      <w:r>
        <w:t xml:space="preserve">CC1.1–CC1.5, CC2.2</w:t>
      </w:r>
    </w:p>
    <w:p>
      <w:pPr>
        <w:pStyle w:val="Compact"/>
        <w:numPr>
          <w:ilvl w:val="0"/>
          <w:numId w:val="1002"/>
        </w:numPr>
      </w:pPr>
      <w:r>
        <w:rPr>
          <w:b/>
          <w:bCs/>
        </w:rPr>
        <w:t xml:space="preserve">Evidencing artifacts:</w:t>
      </w:r>
      <w:r>
        <w:t xml:space="preserve"> </w:t>
      </w:r>
      <w:r>
        <w:t xml:space="preserve">this policy statement,</w:t>
      </w:r>
      <w:r>
        <w:t xml:space="preserve"> </w:t>
      </w:r>
      <w:r>
        <w:rPr>
          <w:rStyle w:val="VerbatimChar"/>
        </w:rPr>
        <w:t xml:space="preserve">CODEOWNERS</w:t>
      </w:r>
      <w:r>
        <w:t xml:space="preserve">,</w:t>
      </w:r>
      <w:r>
        <w:t xml:space="preserve"> </w:t>
      </w:r>
      <w:r>
        <w:rPr>
          <w:rStyle w:val="VerbatimChar"/>
        </w:rPr>
        <w:t xml:space="preserve">.github/pull_request_template.md</w:t>
      </w:r>
      <w:r>
        <w:t xml:space="preserve"> </w:t>
      </w:r>
      <w:r>
        <w:t xml:space="preserve">(SoD reminder), Doc 07 (release gates),</w:t>
      </w:r>
      <w:r>
        <w:t xml:space="preserve"> </w:t>
      </w:r>
      <w:r>
        <w:rPr>
          <w:rStyle w:val="VerbatimChar"/>
        </w:rPr>
        <w:t xml:space="preserve">SECURITY.md</w:t>
      </w:r>
      <w:r>
        <w:t xml:space="preserve">.</w:t>
      </w:r>
    </w:p>
    <w:bookmarkEnd w:id="16"/>
    <w:bookmarkEnd w:id="17"/>
    <w:bookmarkStart w:id="18" w:name="clause-6-planning"/>
    <w:p>
      <w:pPr>
        <w:pStyle w:val="Heading2"/>
      </w:pPr>
      <w:r>
        <w:t xml:space="preserve">Clause 6 — Planning</w:t>
      </w:r>
    </w:p>
    <w:p>
      <w:pPr>
        <w:pStyle w:val="FirstParagraph"/>
      </w:pPr>
      <w:r>
        <w:rPr>
          <w:b/>
          <w:bCs/>
        </w:rPr>
        <w:t xml:space="preserve">6.1 Actions to address risks and opportunities — risk management methodology.</w:t>
      </w:r>
      <w:r>
        <w:t xml:space="preserve"> </w:t>
      </w:r>
      <w:r>
        <w:t xml:space="preserve">SwiftLoan uses an asset- and threat-based risk methodology documented in</w:t>
      </w:r>
      <w:r>
        <w:t xml:space="preserve"> </w:t>
      </w:r>
      <w:r>
        <w:rPr>
          <w:b/>
          <w:bCs/>
        </w:rPr>
        <w:t xml:space="preserve">Doc 03</w:t>
      </w:r>
      <w:r>
        <w:t xml:space="preserve">:</w:t>
      </w:r>
      <w:r>
        <w:t xml:space="preserve"> </w:t>
      </w:r>
      <w:r>
        <w:t xml:space="preserve">1. Identify assets and data flows (PII/SPDI inventory — see</w:t>
      </w:r>
      <w:r>
        <w:t xml:space="preserve"> </w:t>
      </w:r>
      <w:r>
        <w:rPr>
          <w:rStyle w:val="VerbatimChar"/>
        </w:rPr>
        <w:t xml:space="preserve">_AUDIT_BRIEF.md</w:t>
      </w:r>
      <w:r>
        <w:t xml:space="preserve"> </w:t>
      </w:r>
      <w:r>
        <w:t xml:space="preserve">§3, Doc 02).</w:t>
      </w:r>
      <w:r>
        <w:t xml:space="preserve"> </w:t>
      </w:r>
      <w:r>
        <w:t xml:space="preserve">2. Identify threats/vulnerabilities and existing controls.</w:t>
      </w:r>
      <w:r>
        <w:t xml:space="preserve"> </w:t>
      </w:r>
      <w:r>
        <w:t xml:space="preserve">3. Score</w:t>
      </w:r>
      <w:r>
        <w:t xml:space="preserve"> </w:t>
      </w:r>
      <w:r>
        <w:rPr>
          <w:b/>
          <w:bCs/>
        </w:rPr>
        <w:t xml:space="preserve">Likelihood (1–5) × Impact (1–5) = Risk (1–25)</w:t>
      </w:r>
      <w:r>
        <w:t xml:space="preserve">; impact weighs data sensitivity, regulatory exposure, and customer harm.</w:t>
      </w:r>
      <w:r>
        <w:t xml:space="preserve"> </w:t>
      </w:r>
      <w:r>
        <w:t xml:space="preserve">4. Determine treatment:</w:t>
      </w:r>
      <w:r>
        <w:t xml:space="preserve"> </w:t>
      </w:r>
      <w:r>
        <w:rPr>
          <w:b/>
          <w:bCs/>
        </w:rPr>
        <w:t xml:space="preserve">treat / accept / avoid / transfer</w:t>
      </w:r>
      <w:r>
        <w:t xml:space="preserve">.</w:t>
      </w:r>
      <w:r>
        <w:t xml:space="preserve"> </w:t>
      </w:r>
      <w:r>
        <w:t xml:space="preserve">5. Record in the risk register (Doc 03); map to Annex A via the SoA (Doc 05).</w:t>
      </w:r>
    </w:p>
    <w:p>
      <w:pPr>
        <w:pStyle w:val="BodyText"/>
      </w:pPr>
      <w:r>
        <w:rPr>
          <w:b/>
          <w:bCs/>
        </w:rPr>
        <w:t xml:space="preserve">6.2 Risk acceptance criteria.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 score</w:t>
            </w:r>
          </w:p>
        </w:tc>
        <w:tc>
          <w:tcPr/>
          <w:p>
            <w:pPr>
              <w:pStyle w:val="Compact"/>
            </w:pPr>
            <w:r>
              <w:t xml:space="preserve">Rating</w:t>
            </w:r>
          </w:p>
        </w:tc>
        <w:tc>
          <w:tcPr/>
          <w:p>
            <w:pPr>
              <w:pStyle w:val="Compact"/>
            </w:pPr>
            <w:r>
              <w:t xml:space="preserve">Acceptance rule</w:t>
            </w:r>
          </w:p>
        </w:tc>
      </w:tr>
      <w:tr>
        <w:tc>
          <w:tcPr/>
          <w:p>
            <w:pPr>
              <w:pStyle w:val="Compact"/>
            </w:pPr>
            <w:r>
              <w:t xml:space="preserve">20–25</w:t>
            </w:r>
          </w:p>
        </w:tc>
        <w:tc>
          <w:tcPr/>
          <w:p>
            <w:pPr>
              <w:pStyle w:val="Compact"/>
            </w:pPr>
            <w:r>
              <w:t xml:space="preserve">Critical</w:t>
            </w:r>
          </w:p>
        </w:tc>
        <w:tc>
          <w:tcPr/>
          <w:p>
            <w:pPr>
              <w:pStyle w:val="Compact"/>
            </w:pPr>
            <w:r>
              <w:t xml:space="preserve">Not acceptable. Immediate treatment (P0); CEO + CISO sign-off if temporary exception</w:t>
            </w:r>
          </w:p>
        </w:tc>
      </w:tr>
      <w:tr>
        <w:tc>
          <w:tcPr/>
          <w:p>
            <w:pPr>
              <w:pStyle w:val="Compact"/>
            </w:pPr>
            <w:r>
              <w:t xml:space="preserve">12–19</w:t>
            </w:r>
          </w:p>
        </w:tc>
        <w:tc>
          <w:tcPr/>
          <w:p>
            <w:pPr>
              <w:pStyle w:val="Compact"/>
            </w:pPr>
            <w:r>
              <w:t xml:space="preserve">High</w:t>
            </w:r>
          </w:p>
        </w:tc>
        <w:tc>
          <w:tcPr/>
          <w:p>
            <w:pPr>
              <w:pStyle w:val="Compact"/>
            </w:pPr>
            <w:r>
              <w:t xml:space="preserve">Not acceptable without a time-bound treatment plan (P1); CISO approval</w:t>
            </w:r>
          </w:p>
        </w:tc>
      </w:tr>
      <w:tr>
        <w:tc>
          <w:tcPr/>
          <w:p>
            <w:pPr>
              <w:pStyle w:val="Compact"/>
            </w:pPr>
            <w:r>
              <w:t xml:space="preserve">6–11</w:t>
            </w:r>
          </w:p>
        </w:tc>
        <w:tc>
          <w:tcPr/>
          <w:p>
            <w:pPr>
              <w:pStyle w:val="Compact"/>
            </w:pPr>
            <w:r>
              <w:t xml:space="preserve">Medium</w:t>
            </w:r>
          </w:p>
        </w:tc>
        <w:tc>
          <w:tcPr/>
          <w:p>
            <w:pPr>
              <w:pStyle w:val="Compact"/>
            </w:pPr>
            <w:r>
              <w:t xml:space="preserve">Acceptable with compensating controls and scheduled treatment (P2)</w:t>
            </w:r>
          </w:p>
        </w:tc>
      </w:tr>
      <w:tr>
        <w:tc>
          <w:tcPr/>
          <w:p>
            <w:pPr>
              <w:pStyle w:val="Compact"/>
            </w:pPr>
            <w:r>
              <w:t xml:space="preserve">1–5</w:t>
            </w:r>
          </w:p>
        </w:tc>
        <w:tc>
          <w:tcPr/>
          <w:p>
            <w:pPr>
              <w:pStyle w:val="Compact"/>
            </w:pPr>
            <w:r>
              <w:t xml:space="preserve">Low</w:t>
            </w:r>
          </w:p>
        </w:tc>
        <w:tc>
          <w:tcPr/>
          <w:p>
            <w:pPr>
              <w:pStyle w:val="Compact"/>
            </w:pPr>
            <w:r>
              <w:t xml:space="preserve">Acceptable; monitor (P3)</w:t>
            </w:r>
          </w:p>
        </w:tc>
      </w:tr>
    </w:tbl>
    <w:p>
      <w:pPr>
        <w:pStyle w:val="BodyText"/>
      </w:pPr>
      <w:r>
        <w:t xml:space="preserve">Residual risk above</w:t>
      </w:r>
      <w:r>
        <w:t xml:space="preserve"> </w:t>
      </w:r>
      <w:r>
        <w:t xml:space="preserve">“Medium”</w:t>
      </w:r>
      <w:r>
        <w:t xml:space="preserve"> </w:t>
      </w:r>
      <w:r>
        <w:t xml:space="preserve">requires documented CISO acceptance with expiry. The seeded risk register (C1–C14 in</w:t>
      </w:r>
      <w:r>
        <w:t xml:space="preserve"> </w:t>
      </w:r>
      <w:r>
        <w:rPr>
          <w:rStyle w:val="VerbatimChar"/>
        </w:rPr>
        <w:t xml:space="preserve">_AUDIT_BRIEF.md</w:t>
      </w:r>
      <w:r>
        <w:t xml:space="preserve"> </w:t>
      </w:r>
      <w:r>
        <w:t xml:space="preserve">§5) is the current risk baseline; open items (e.g., C1 PAN plaintext, C2 voice sensitive-field leak, C5 committed key) are in treatment per Doc 03.</w:t>
      </w:r>
    </w:p>
    <w:p>
      <w:pPr>
        <w:pStyle w:val="BodyText"/>
      </w:pPr>
      <w:r>
        <w:rPr>
          <w:b/>
          <w:bCs/>
        </w:rPr>
        <w:t xml:space="preserve">6.2.x Security objectives &amp; KPIs.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Security objective</w:t>
            </w:r>
          </w:p>
        </w:tc>
        <w:tc>
          <w:tcPr/>
          <w:p>
            <w:pPr>
              <w:pStyle w:val="Compact"/>
            </w:pPr>
            <w:r>
              <w:t xml:space="preserve">KPI / metric</w:t>
            </w:r>
          </w:p>
        </w:tc>
        <w:tc>
          <w:tcPr/>
          <w:p>
            <w:pPr>
              <w:pStyle w:val="Compact"/>
            </w:pPr>
            <w:r>
              <w:t xml:space="preserve">Target</w:t>
            </w:r>
          </w:p>
        </w:tc>
        <w:tc>
          <w:tcPr/>
          <w:p>
            <w:pPr>
              <w:pStyle w:val="Compact"/>
            </w:pPr>
            <w:r>
              <w:t xml:space="preserve">Owner</w:t>
            </w:r>
          </w:p>
        </w:tc>
      </w:tr>
      <w:tr>
        <w:tc>
          <w:tcPr/>
          <w:p>
            <w:pPr>
              <w:pStyle w:val="Compact"/>
            </w:pPr>
            <w:r>
              <w:t xml:space="preserve">O1</w:t>
            </w:r>
          </w:p>
        </w:tc>
        <w:tc>
          <w:tcPr/>
          <w:p>
            <w:pPr>
              <w:pStyle w:val="Compact"/>
            </w:pPr>
            <w:r>
              <w:t xml:space="preserve">Eliminate plaintext SPDI at rest</w:t>
            </w:r>
          </w:p>
        </w:tc>
        <w:tc>
          <w:tcPr/>
          <w:p>
            <w:pPr>
              <w:pStyle w:val="Compact"/>
            </w:pPr>
            <w:r>
              <w:t xml:space="preserve">% SPDI fields encrypted/tokenized (PAN)</w:t>
            </w:r>
          </w:p>
        </w:tc>
        <w:tc>
          <w:tcPr/>
          <w:p>
            <w:pPr>
              <w:pStyle w:val="Compact"/>
            </w:pPr>
            <w:r>
              <w:t xml:space="preserve">100%</w:t>
            </w:r>
          </w:p>
        </w:tc>
        <w:tc>
          <w:tcPr/>
          <w:p>
            <w:pPr>
              <w:pStyle w:val="Compact"/>
            </w:pPr>
            <w:r>
              <w:t xml:space="preserve">Eng Lead</w:t>
            </w:r>
          </w:p>
        </w:tc>
      </w:tr>
      <w:tr>
        <w:tc>
          <w:tcPr/>
          <w:p>
            <w:pPr>
              <w:pStyle w:val="Compact"/>
            </w:pPr>
            <w:r>
              <w:t xml:space="preserve">O2</w:t>
            </w:r>
          </w:p>
        </w:tc>
        <w:tc>
          <w:tcPr/>
          <w:p>
            <w:pPr>
              <w:pStyle w:val="Compact"/>
            </w:pPr>
            <w:r>
              <w:t xml:space="preserve">No secrets in source</w:t>
            </w:r>
          </w:p>
        </w:tc>
        <w:tc>
          <w:tcPr/>
          <w:p>
            <w:pPr>
              <w:pStyle w:val="Compact"/>
            </w:pPr>
            <w:r>
              <w:t xml:space="preserve">gitleaks findings on</w:t>
            </w:r>
            <w:r>
              <w:t xml:space="preserve"> </w:t>
            </w:r>
            <w:r>
              <w:rPr>
                <w:rStyle w:val="VerbatimChar"/>
              </w:rPr>
              <w:t xml:space="preserve">main</w:t>
            </w:r>
          </w:p>
        </w:tc>
        <w:tc>
          <w:tcPr/>
          <w:p>
            <w:pPr>
              <w:pStyle w:val="Compact"/>
            </w:pPr>
            <w:r>
              <w:t xml:space="preserve">0</w:t>
            </w:r>
          </w:p>
        </w:tc>
        <w:tc>
          <w:tcPr/>
          <w:p>
            <w:pPr>
              <w:pStyle w:val="Compact"/>
            </w:pPr>
            <w:r>
              <w:t xml:space="preserve">Security</w:t>
            </w:r>
          </w:p>
        </w:tc>
      </w:tr>
      <w:tr>
        <w:tc>
          <w:tcPr/>
          <w:p>
            <w:pPr>
              <w:pStyle w:val="Compact"/>
            </w:pPr>
            <w:r>
              <w:t xml:space="preserve">O3</w:t>
            </w:r>
          </w:p>
        </w:tc>
        <w:tc>
          <w:tcPr/>
          <w:p>
            <w:pPr>
              <w:pStyle w:val="Compact"/>
            </w:pPr>
            <w:r>
              <w:t xml:space="preserve">Timely vulnerability remediation</w:t>
            </w:r>
          </w:p>
        </w:tc>
        <w:tc>
          <w:tcPr/>
          <w:p>
            <w:pPr>
              <w:pStyle w:val="Compact"/>
            </w:pPr>
            <w:r>
              <w:t xml:space="preserve">Critical/High vulns remediated within SLA</w:t>
            </w:r>
          </w:p>
        </w:tc>
        <w:tc>
          <w:tcPr/>
          <w:p>
            <w:pPr>
              <w:pStyle w:val="Compact"/>
            </w:pPr>
            <w:r>
              <w:t xml:space="preserve">100% (≤30 days)</w:t>
            </w:r>
          </w:p>
        </w:tc>
        <w:tc>
          <w:tcPr/>
          <w:p>
            <w:pPr>
              <w:pStyle w:val="Compact"/>
            </w:pPr>
            <w:r>
              <w:t xml:space="preserve">Eng Lead</w:t>
            </w:r>
          </w:p>
        </w:tc>
      </w:tr>
      <w:tr>
        <w:tc>
          <w:tcPr/>
          <w:p>
            <w:pPr>
              <w:pStyle w:val="Compact"/>
            </w:pPr>
            <w:r>
              <w:t xml:space="preserve">O4</w:t>
            </w:r>
          </w:p>
        </w:tc>
        <w:tc>
          <w:tcPr/>
          <w:p>
            <w:pPr>
              <w:pStyle w:val="Compact"/>
            </w:pPr>
            <w:r>
              <w:t xml:space="preserve">Secure change control</w:t>
            </w:r>
          </w:p>
        </w:tc>
        <w:tc>
          <w:tcPr/>
          <w:p>
            <w:pPr>
              <w:pStyle w:val="Compact"/>
            </w:pPr>
            <w:r>
              <w:t xml:space="preserve">% PRs with Code Owner review + passing CI gates</w:t>
            </w:r>
          </w:p>
        </w:tc>
        <w:tc>
          <w:tcPr/>
          <w:p>
            <w:pPr>
              <w:pStyle w:val="Compact"/>
            </w:pPr>
            <w:r>
              <w:t xml:space="preserve">100%</w:t>
            </w:r>
          </w:p>
        </w:tc>
        <w:tc>
          <w:tcPr/>
          <w:p>
            <w:pPr>
              <w:pStyle w:val="Compact"/>
            </w:pPr>
            <w:r>
              <w:t xml:space="preserve">Release Mgr</w:t>
            </w:r>
          </w:p>
        </w:tc>
      </w:tr>
      <w:tr>
        <w:tc>
          <w:tcPr/>
          <w:p>
            <w:pPr>
              <w:pStyle w:val="Compact"/>
            </w:pPr>
            <w:r>
              <w:t xml:space="preserve">O5</w:t>
            </w:r>
          </w:p>
        </w:tc>
        <w:tc>
          <w:tcPr/>
          <w:p>
            <w:pPr>
              <w:pStyle w:val="Compact"/>
            </w:pPr>
            <w:r>
              <w:t xml:space="preserve">Breach reporting readiness</w:t>
            </w:r>
          </w:p>
        </w:tc>
        <w:tc>
          <w:tcPr/>
          <w:p>
            <w:pPr>
              <w:pStyle w:val="Compact"/>
            </w:pPr>
            <w:r>
              <w:t xml:space="preserve">Mean time to CERT-In report</w:t>
            </w:r>
          </w:p>
        </w:tc>
        <w:tc>
          <w:tcPr/>
          <w:p>
            <w:pPr>
              <w:pStyle w:val="Compact"/>
            </w:pPr>
            <w:r>
              <w:t xml:space="preserve">≤6 hours</w:t>
            </w:r>
          </w:p>
        </w:tc>
        <w:tc>
          <w:tcPr/>
          <w:p>
            <w:pPr>
              <w:pStyle w:val="Compact"/>
            </w:pPr>
            <w:r>
              <w:t xml:space="preserve">DPO</w:t>
            </w:r>
          </w:p>
        </w:tc>
      </w:tr>
      <w:tr>
        <w:tc>
          <w:tcPr/>
          <w:p>
            <w:pPr>
              <w:pStyle w:val="Compact"/>
            </w:pPr>
            <w:r>
              <w:t xml:space="preserve">O6</w:t>
            </w:r>
          </w:p>
        </w:tc>
        <w:tc>
          <w:tcPr/>
          <w:p>
            <w:pPr>
              <w:pStyle w:val="Compact"/>
            </w:pPr>
            <w:r>
              <w:t xml:space="preserve">Awareness coverage</w:t>
            </w:r>
          </w:p>
        </w:tc>
        <w:tc>
          <w:tcPr/>
          <w:p>
            <w:pPr>
              <w:pStyle w:val="Compact"/>
            </w:pPr>
            <w:r>
              <w:t xml:space="preserve">Staff completing annual security+privacy training</w:t>
            </w:r>
          </w:p>
        </w:tc>
        <w:tc>
          <w:tcPr/>
          <w:p>
            <w:pPr>
              <w:pStyle w:val="Compact"/>
            </w:pPr>
            <w:r>
              <w:t xml:space="preserve">100%</w:t>
            </w:r>
          </w:p>
        </w:tc>
        <w:tc>
          <w:tcPr/>
          <w:p>
            <w:pPr>
              <w:pStyle w:val="Compact"/>
            </w:pPr>
            <w:r>
              <w:t xml:space="preserve">CISO</w:t>
            </w:r>
          </w:p>
        </w:tc>
      </w:tr>
      <w:tr>
        <w:tc>
          <w:tcPr/>
          <w:p>
            <w:pPr>
              <w:pStyle w:val="Compact"/>
            </w:pPr>
            <w:r>
              <w:t xml:space="preserve">O7</w:t>
            </w:r>
          </w:p>
        </w:tc>
        <w:tc>
          <w:tcPr/>
          <w:p>
            <w:pPr>
              <w:pStyle w:val="Compact"/>
            </w:pPr>
            <w:r>
              <w:t xml:space="preserve">Dependency hygiene</w:t>
            </w:r>
          </w:p>
        </w:tc>
        <w:tc>
          <w:tcPr/>
          <w:p>
            <w:pPr>
              <w:pStyle w:val="Compact"/>
            </w:pPr>
            <w:r>
              <w:t xml:space="preserve">Dependabot High/Critical PRs merged on time</w:t>
            </w:r>
          </w:p>
        </w:tc>
        <w:tc>
          <w:tcPr/>
          <w:p>
            <w:pPr>
              <w:pStyle w:val="Compact"/>
            </w:pPr>
            <w:r>
              <w:t xml:space="preserve">≥95%</w:t>
            </w:r>
          </w:p>
        </w:tc>
        <w:tc>
          <w:tcPr/>
          <w:p>
            <w:pPr>
              <w:pStyle w:val="Compact"/>
            </w:pPr>
            <w:r>
              <w:t xml:space="preserve">Eng Lead</w:t>
            </w:r>
          </w:p>
        </w:tc>
      </w:tr>
      <w:tr>
        <w:tc>
          <w:tcPr/>
          <w:p>
            <w:pPr>
              <w:pStyle w:val="Compact"/>
            </w:pPr>
            <w:r>
              <w:t xml:space="preserve">O8</w:t>
            </w:r>
          </w:p>
        </w:tc>
        <w:tc>
          <w:tcPr/>
          <w:p>
            <w:pPr>
              <w:pStyle w:val="Compact"/>
            </w:pPr>
            <w:r>
              <w:t xml:space="preserve">DSAR responsiveness</w:t>
            </w:r>
          </w:p>
        </w:tc>
        <w:tc>
          <w:tcPr/>
          <w:p>
            <w:pPr>
              <w:pStyle w:val="Compact"/>
            </w:pPr>
            <w:r>
              <w:t xml:space="preserve">DSARs fulfilled within DPDP timeline</w:t>
            </w:r>
          </w:p>
        </w:tc>
        <w:tc>
          <w:tcPr/>
          <w:p>
            <w:pPr>
              <w:pStyle w:val="Compact"/>
            </w:pPr>
            <w:r>
              <w:t xml:space="preserve">100%</w:t>
            </w:r>
          </w:p>
        </w:tc>
        <w:tc>
          <w:tcPr/>
          <w:p>
            <w:pPr>
              <w:pStyle w:val="Compact"/>
            </w:pPr>
            <w:r>
              <w:t xml:space="preserve">DPO</w:t>
            </w:r>
          </w:p>
        </w:tc>
      </w:tr>
    </w:tbl>
    <w:p>
      <w:pPr>
        <w:pStyle w:val="BodyText"/>
      </w:pPr>
      <w:r>
        <w:rPr>
          <w:b/>
          <w:bCs/>
        </w:rPr>
        <w:t xml:space="preserve">6.3 Planning of changes.</w:t>
      </w:r>
      <w:r>
        <w:t xml:space="preserve"> </w:t>
      </w:r>
      <w:r>
        <w:t xml:space="preserve">Changes to the ISMS are planned and controlled (Doc 07; §3 Change Management policy).</w:t>
      </w:r>
    </w:p>
    <w:p>
      <w:pPr>
        <w:pStyle w:val="Compact"/>
        <w:numPr>
          <w:ilvl w:val="0"/>
          <w:numId w:val="1003"/>
        </w:numPr>
      </w:pPr>
      <w:r>
        <w:rPr>
          <w:b/>
          <w:bCs/>
        </w:rPr>
        <w:t xml:space="preserve">Statement of Applicability:</w:t>
      </w:r>
      <w:r>
        <w:t xml:space="preserve"> </w:t>
      </w:r>
      <w:r>
        <w:rPr>
          <w:b/>
          <w:bCs/>
        </w:rPr>
        <w:t xml:space="preserve">Doc 05</w:t>
      </w:r>
      <w:r>
        <w:t xml:space="preserve"> </w:t>
      </w:r>
      <w:r>
        <w:t xml:space="preserve">·</w:t>
      </w:r>
      <w:r>
        <w:t xml:space="preserve"> </w:t>
      </w:r>
      <w:r>
        <w:rPr>
          <w:b/>
          <w:bCs/>
        </w:rPr>
        <w:t xml:space="preserve">Risk treatment plan:</w:t>
      </w:r>
      <w:r>
        <w:t xml:space="preserve"> </w:t>
      </w:r>
      <w:r>
        <w:rPr>
          <w:b/>
          <w:bCs/>
        </w:rPr>
        <w:t xml:space="preserve">Doc 03</w:t>
      </w:r>
    </w:p>
    <w:p>
      <w:pPr>
        <w:pStyle w:val="Compact"/>
        <w:numPr>
          <w:ilvl w:val="0"/>
          <w:numId w:val="1003"/>
        </w:numPr>
      </w:pPr>
      <w:r>
        <w:rPr>
          <w:b/>
          <w:bCs/>
        </w:rPr>
        <w:t xml:space="preserve">Annex A:</w:t>
      </w:r>
      <w:r>
        <w:t xml:space="preserve"> </w:t>
      </w:r>
      <w:r>
        <w:t xml:space="preserve">A.5.7 (threat intel), A.8.8 ·</w:t>
      </w:r>
      <w:r>
        <w:t xml:space="preserve"> </w:t>
      </w:r>
      <w:r>
        <w:rPr>
          <w:b/>
          <w:bCs/>
        </w:rPr>
        <w:t xml:space="preserve">SOC 2 TSC:</w:t>
      </w:r>
      <w:r>
        <w:t xml:space="preserve"> </w:t>
      </w:r>
      <w:r>
        <w:t xml:space="preserve">CC3.1–CC3.4, CC4.1, CC5.1</w:t>
      </w:r>
    </w:p>
    <w:p>
      <w:pPr>
        <w:pStyle w:val="Compact"/>
        <w:numPr>
          <w:ilvl w:val="0"/>
          <w:numId w:val="1003"/>
        </w:numPr>
      </w:pPr>
      <w:r>
        <w:rPr>
          <w:b/>
          <w:bCs/>
        </w:rPr>
        <w:t xml:space="preserve">Evidencing artifacts:</w:t>
      </w:r>
      <w:r>
        <w:t xml:space="preserve"> </w:t>
      </w:r>
      <w:r>
        <w:t xml:space="preserve">Doc 03 (risk register + treatment), Doc 05 (SoA),</w:t>
      </w:r>
      <w:r>
        <w:t xml:space="preserve"> </w:t>
      </w:r>
      <w:r>
        <w:rPr>
          <w:rStyle w:val="VerbatimChar"/>
        </w:rPr>
        <w:t xml:space="preserve">COMPLIANCE-STATUS.md</w:t>
      </w:r>
      <w:r>
        <w:t xml:space="preserve"> </w:t>
      </w:r>
      <w:r>
        <w:t xml:space="preserve">(live objective tracking).</w:t>
      </w:r>
    </w:p>
    <w:bookmarkEnd w:id="18"/>
    <w:bookmarkStart w:id="19" w:name="clause-7-support"/>
    <w:p>
      <w:pPr>
        <w:pStyle w:val="Heading2"/>
      </w:pPr>
      <w:r>
        <w:t xml:space="preserve">Clause 7 — Support</w:t>
      </w:r>
    </w:p>
    <w:p>
      <w:pPr>
        <w:pStyle w:val="FirstParagraph"/>
      </w:pPr>
      <w:r>
        <w:rPr>
          <w:b/>
          <w:bCs/>
        </w:rPr>
        <w:t xml:space="preserve">7.1 Resources.</w:t>
      </w:r>
      <w:r>
        <w:t xml:space="preserve"> </w:t>
      </w:r>
      <w:r>
        <w:t xml:space="preserve">Top management provides tooling (CI/CD, CodeQL, gitleaks, Dependabot), cloud infrastructure, and personnel to operate the ISMS.</w:t>
      </w:r>
    </w:p>
    <w:p>
      <w:pPr>
        <w:pStyle w:val="BodyText"/>
      </w:pPr>
      <w:r>
        <w:rPr>
          <w:b/>
          <w:bCs/>
        </w:rPr>
        <w:t xml:space="preserve">7.2 Competence.</w:t>
      </w:r>
      <w:r>
        <w:t xml:space="preserve"> </w:t>
      </w:r>
      <w:r>
        <w:t xml:space="preserve">Engineers are expected to be competent in secure coding, OWASP risks, and privacy-by-design. Competence is maintained via onboarding, code review (CODEOWNERS), and training; gaps are treated as nonconformities (Clause 10).</w:t>
      </w:r>
    </w:p>
    <w:p>
      <w:pPr>
        <w:pStyle w:val="BodyText"/>
      </w:pPr>
      <w:r>
        <w:rPr>
          <w:b/>
          <w:bCs/>
        </w:rPr>
        <w:t xml:space="preserve">7.3 Awareness &amp; training program.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Audience</w:t>
            </w:r>
          </w:p>
        </w:tc>
        <w:tc>
          <w:tcPr/>
          <w:p>
            <w:pPr>
              <w:pStyle w:val="Compact"/>
            </w:pPr>
            <w:r>
              <w:t xml:space="preserve">Content</w:t>
            </w:r>
          </w:p>
        </w:tc>
        <w:tc>
          <w:tcPr/>
          <w:p>
            <w:pPr>
              <w:pStyle w:val="Compact"/>
            </w:pPr>
            <w:r>
              <w:t xml:space="preserve">Cadence</w:t>
            </w:r>
          </w:p>
        </w:tc>
        <w:tc>
          <w:tcPr/>
          <w:p>
            <w:pPr>
              <w:pStyle w:val="Compact"/>
            </w:pPr>
            <w:r>
              <w:t xml:space="preserve">Evidence</w:t>
            </w:r>
          </w:p>
        </w:tc>
      </w:tr>
      <w:tr>
        <w:tc>
          <w:tcPr/>
          <w:p>
            <w:pPr>
              <w:pStyle w:val="Compact"/>
            </w:pPr>
            <w:r>
              <w:t xml:space="preserve">All staff</w:t>
            </w:r>
          </w:p>
        </w:tc>
        <w:tc>
          <w:tcPr/>
          <w:p>
            <w:pPr>
              <w:pStyle w:val="Compact"/>
            </w:pPr>
            <w:r>
              <w:t xml:space="preserve">Security &amp; privacy fundamentals, DPDP, phishing, incident reporting, acceptable use</w:t>
            </w:r>
          </w:p>
        </w:tc>
        <w:tc>
          <w:tcPr/>
          <w:p>
            <w:pPr>
              <w:pStyle w:val="Compact"/>
            </w:pPr>
            <w:r>
              <w:t xml:space="preserve">On hire + annual</w:t>
            </w:r>
          </w:p>
        </w:tc>
        <w:tc>
          <w:tcPr/>
          <w:p>
            <w:pPr>
              <w:pStyle w:val="Compact"/>
            </w:pPr>
            <w:r>
              <w:t xml:space="preserve">Training register</w:t>
            </w:r>
          </w:p>
        </w:tc>
      </w:tr>
      <w:tr>
        <w:tc>
          <w:tcPr/>
          <w:p>
            <w:pPr>
              <w:pStyle w:val="Compact"/>
            </w:pPr>
            <w:r>
              <w:t xml:space="preserve">Engineers</w:t>
            </w:r>
          </w:p>
        </w:tc>
        <w:tc>
          <w:tcPr/>
          <w:p>
            <w:pPr>
              <w:pStyle w:val="Compact"/>
            </w:pPr>
            <w:r>
              <w:t xml:space="preserve">Secure SDLC, OWASP Top 10, secrets handling, data classification, PR/CI gates</w:t>
            </w:r>
          </w:p>
        </w:tc>
        <w:tc>
          <w:tcPr/>
          <w:p>
            <w:pPr>
              <w:pStyle w:val="Compact"/>
            </w:pPr>
            <w:r>
              <w:t xml:space="preserve">On hire + annual + on major change</w:t>
            </w:r>
          </w:p>
        </w:tc>
        <w:tc>
          <w:tcPr/>
          <w:p>
            <w:pPr>
              <w:pStyle w:val="Compact"/>
            </w:pPr>
            <w:r>
              <w:t xml:space="preserve">Training register, PR reviews</w:t>
            </w:r>
          </w:p>
        </w:tc>
      </w:tr>
      <w:tr>
        <w:tc>
          <w:tcPr/>
          <w:p>
            <w:pPr>
              <w:pStyle w:val="Compact"/>
            </w:pPr>
            <w:r>
              <w:t xml:space="preserve">Support/ops</w:t>
            </w:r>
          </w:p>
        </w:tc>
        <w:tc>
          <w:tcPr/>
          <w:p>
            <w:pPr>
              <w:pStyle w:val="Compact"/>
            </w:pPr>
            <w:r>
              <w:t xml:space="preserve">DSAR handling, grievance redressal, breach escalation</w:t>
            </w:r>
          </w:p>
        </w:tc>
        <w:tc>
          <w:tcPr/>
          <w:p>
            <w:pPr>
              <w:pStyle w:val="Compact"/>
            </w:pPr>
            <w:r>
              <w:t xml:space="preserve">On hire + annual</w:t>
            </w:r>
          </w:p>
        </w:tc>
        <w:tc>
          <w:tcPr/>
          <w:p>
            <w:pPr>
              <w:pStyle w:val="Compact"/>
            </w:pPr>
            <w:r>
              <w:t xml:space="preserve">Training register</w:t>
            </w:r>
          </w:p>
        </w:tc>
      </w:tr>
      <w:tr>
        <w:tc>
          <w:tcPr/>
          <w:p>
            <w:pPr>
              <w:pStyle w:val="Compact"/>
            </w:pPr>
            <w:r>
              <w:t xml:space="preserve">Incident responders</w:t>
            </w:r>
          </w:p>
        </w:tc>
        <w:tc>
          <w:tcPr/>
          <w:p>
            <w:pPr>
              <w:pStyle w:val="Compact"/>
            </w:pPr>
            <w:r>
              <w:t xml:space="preserve">IR plan tabletop / drill</w:t>
            </w:r>
          </w:p>
        </w:tc>
        <w:tc>
          <w:tcPr/>
          <w:p>
            <w:pPr>
              <w:pStyle w:val="Compact"/>
            </w:pPr>
            <w:r>
              <w:t xml:space="preserve">Annual</w:t>
            </w:r>
          </w:p>
        </w:tc>
        <w:tc>
          <w:tcPr/>
          <w:p>
            <w:pPr>
              <w:pStyle w:val="Compact"/>
            </w:pPr>
            <w:r>
              <w:t xml:space="preserve">Drill report</w:t>
            </w:r>
          </w:p>
        </w:tc>
      </w:tr>
    </w:tbl>
    <w:p>
      <w:pPr>
        <w:pStyle w:val="BodyText"/>
      </w:pPr>
      <w:r>
        <w:rPr>
          <w:b/>
          <w:bCs/>
        </w:rPr>
        <w:t xml:space="preserve">7.4 Communication.</w:t>
      </w:r>
      <w:r>
        <w:t xml:space="preserve"> </w:t>
      </w:r>
      <w:r>
        <w:t xml:space="preserve">Internal: ISMS steering channel, release notes, security advisories. External:</w:t>
      </w:r>
      <w:r>
        <w:t xml:space="preserve"> </w:t>
      </w:r>
      <w:r>
        <w:rPr>
          <w:rStyle w:val="VerbatimChar"/>
        </w:rPr>
        <w:t xml:space="preserve">SECURITY.md</w:t>
      </w:r>
      <w:r>
        <w:t xml:space="preserve"> </w:t>
      </w:r>
      <w:r>
        <w:t xml:space="preserve">(vulnerability disclosure), privacy notice, grievance officer contact, breach notices to CERT-In / Data Protection Board / data principals.</w:t>
      </w:r>
    </w:p>
    <w:p>
      <w:pPr>
        <w:pStyle w:val="BodyText"/>
      </w:pPr>
      <w:r>
        <w:rPr>
          <w:b/>
          <w:bCs/>
        </w:rPr>
        <w:t xml:space="preserve">7.5 Control of documented information — document register.</w:t>
      </w:r>
      <w:r>
        <w:t xml:space="preserve"> </w:t>
      </w:r>
      <w:r>
        <w:t xml:space="preserve">All ISMS documents are version-controlled in the repository under</w:t>
      </w:r>
      <w:r>
        <w:t xml:space="preserve"> </w:t>
      </w:r>
      <w:r>
        <w:rPr>
          <w:rStyle w:val="VerbatimChar"/>
        </w:rPr>
        <w:t xml:space="preserve">docs/compliance/</w:t>
      </w:r>
      <w:r>
        <w:t xml:space="preserve">, owned per the register in §5, classified, and reviewed at least annually. Changes follow change control (Doc 07). The full document register is in</w:t>
      </w:r>
      <w:r>
        <w:t xml:space="preserve"> </w:t>
      </w:r>
      <w:r>
        <w:rPr>
          <w:b/>
          <w:bCs/>
        </w:rPr>
        <w:t xml:space="preserve">§5 of this manual</w:t>
      </w:r>
      <w:r>
        <w:t xml:space="preserve">. Auto-generated status (</w:t>
      </w:r>
      <w:r>
        <w:rPr>
          <w:rStyle w:val="VerbatimChar"/>
        </w:rPr>
        <w:t xml:space="preserve">COMPLIANCE-STATUS.md</w:t>
      </w:r>
      <w:r>
        <w:t xml:space="preserve">) is produced by</w:t>
      </w:r>
      <w:r>
        <w:t xml:space="preserve"> </w:t>
      </w:r>
      <w:r>
        <w:rPr>
          <w:rStyle w:val="VerbatimChar"/>
        </w:rPr>
        <w:t xml:space="preserve">scripts/compliance/compliance_sync.py</w:t>
      </w:r>
      <w:r>
        <w:t xml:space="preserve"> </w:t>
      </w:r>
      <w:r>
        <w:t xml:space="preserve">and must not be hand-edited.</w:t>
      </w:r>
    </w:p>
    <w:p>
      <w:pPr>
        <w:pStyle w:val="Compact"/>
        <w:numPr>
          <w:ilvl w:val="0"/>
          <w:numId w:val="1004"/>
        </w:numPr>
      </w:pPr>
      <w:r>
        <w:rPr>
          <w:b/>
          <w:bCs/>
        </w:rPr>
        <w:t xml:space="preserve">Annex A:</w:t>
      </w:r>
      <w:r>
        <w:t xml:space="preserve"> </w:t>
      </w:r>
      <w:r>
        <w:t xml:space="preserve">A.5.10, A.5.37, A.6.3 (awareness), A.7.7 ·</w:t>
      </w:r>
      <w:r>
        <w:t xml:space="preserve"> </w:t>
      </w:r>
      <w:r>
        <w:rPr>
          <w:b/>
          <w:bCs/>
        </w:rPr>
        <w:t xml:space="preserve">SOC 2 TSC:</w:t>
      </w:r>
      <w:r>
        <w:t xml:space="preserve"> </w:t>
      </w:r>
      <w:r>
        <w:t xml:space="preserve">CC1.4, CC2.1–CC2.3, CC5.3</w:t>
      </w:r>
    </w:p>
    <w:p>
      <w:pPr>
        <w:pStyle w:val="Compact"/>
        <w:numPr>
          <w:ilvl w:val="0"/>
          <w:numId w:val="1004"/>
        </w:numPr>
      </w:pPr>
      <w:r>
        <w:rPr>
          <w:b/>
          <w:bCs/>
        </w:rPr>
        <w:t xml:space="preserve">Evidencing artifacts:</w:t>
      </w:r>
      <w:r>
        <w:t xml:space="preserve"> </w:t>
      </w:r>
      <w:r>
        <w:t xml:space="preserve">training register,</w:t>
      </w:r>
      <w:r>
        <w:t xml:space="preserve"> </w:t>
      </w:r>
      <w:r>
        <w:rPr>
          <w:rStyle w:val="VerbatimChar"/>
        </w:rPr>
        <w:t xml:space="preserve">SECURITY.md</w:t>
      </w:r>
      <w:r>
        <w:t xml:space="preserve">, this manual’s document register, the</w:t>
      </w:r>
      <w:r>
        <w:t xml:space="preserve"> </w:t>
      </w:r>
      <w:r>
        <w:rPr>
          <w:rStyle w:val="VerbatimChar"/>
        </w:rPr>
        <w:t xml:space="preserve">compliance-doc-sync</w:t>
      </w:r>
      <w:r>
        <w:t xml:space="preserve"> </w:t>
      </w:r>
      <w:r>
        <w:t xml:space="preserve">skill +</w:t>
      </w:r>
      <w:r>
        <w:t xml:space="preserve"> </w:t>
      </w:r>
      <w:r>
        <w:rPr>
          <w:rStyle w:val="VerbatimChar"/>
        </w:rPr>
        <w:t xml:space="preserve">scripts/compliance/compliance_sync.py</w:t>
      </w:r>
      <w:r>
        <w:t xml:space="preserve">.</w:t>
      </w:r>
    </w:p>
    <w:bookmarkEnd w:id="19"/>
    <w:bookmarkStart w:id="20" w:name="clause-8-operation"/>
    <w:p>
      <w:pPr>
        <w:pStyle w:val="Heading2"/>
      </w:pPr>
      <w:r>
        <w:t xml:space="preserve">Clause 8 — Operation</w:t>
      </w:r>
    </w:p>
    <w:p>
      <w:pPr>
        <w:pStyle w:val="FirstParagraph"/>
      </w:pPr>
      <w:r>
        <w:rPr>
          <w:b/>
          <w:bCs/>
        </w:rPr>
        <w:t xml:space="preserve">8.1 Operational planning and control.</w:t>
      </w:r>
      <w:r>
        <w:t xml:space="preserve"> </w:t>
      </w:r>
      <w:r>
        <w:t xml:space="preserve">SwiftLoan plans and controls the processes needed to meet ISMS requirements and to implement risk treatment. Operational security is executed through the policy set (§3), the SDLC and change-management controls (Doc 07), the technical architecture and data-flow controls (Doc 02), and the risk treatment plan (Doc 03). CI security gates (CodeQL, gitleaks, npm audit, Dependabot) run on every push/PR and on a weekly schedule.</w:t>
      </w:r>
    </w:p>
    <w:p>
      <w:pPr>
        <w:pStyle w:val="BodyText"/>
      </w:pPr>
      <w:r>
        <w:rPr>
          <w:b/>
          <w:bCs/>
        </w:rPr>
        <w:t xml:space="preserve">8.2 Information security risk assessment.</w:t>
      </w:r>
      <w:r>
        <w:t xml:space="preserve"> </w:t>
      </w:r>
      <w:r>
        <w:t xml:space="preserve">Performed at planned intervals and on significant change (see Doc 03; results feed Clause 9 and Clause 10).</w:t>
      </w:r>
    </w:p>
    <w:p>
      <w:pPr>
        <w:pStyle w:val="BodyText"/>
      </w:pPr>
      <w:r>
        <w:rPr>
          <w:b/>
          <w:bCs/>
        </w:rPr>
        <w:t xml:space="preserve">8.3 Information security risk treatment.</w:t>
      </w:r>
      <w:r>
        <w:t xml:space="preserve"> </w:t>
      </w:r>
      <w:r>
        <w:t xml:space="preserve">Executed per the risk treatment plan (Doc 03); status tracked in</w:t>
      </w:r>
      <w:r>
        <w:t xml:space="preserve"> </w:t>
      </w:r>
      <w:r>
        <w:rPr>
          <w:rStyle w:val="VerbatimChar"/>
        </w:rPr>
        <w:t xml:space="preserve">COMPLIANCE-STATUS.md</w:t>
      </w:r>
      <w:r>
        <w:t xml:space="preserve"> </w:t>
      </w:r>
      <w:r>
        <w:t xml:space="preserve">and Doc 10.</w:t>
      </w:r>
    </w:p>
    <w:p>
      <w:pPr>
        <w:pStyle w:val="Compact"/>
        <w:numPr>
          <w:ilvl w:val="0"/>
          <w:numId w:val="1005"/>
        </w:numPr>
      </w:pPr>
      <w:r>
        <w:rPr>
          <w:b/>
          <w:bCs/>
        </w:rPr>
        <w:t xml:space="preserve">References:</w:t>
      </w:r>
      <w:r>
        <w:t xml:space="preserve"> </w:t>
      </w:r>
      <w:r>
        <w:t xml:space="preserve">Docs 03 (risk), 07 (SDLC/change), 09 (secure-by-design), 02 (architecture)</w:t>
      </w:r>
    </w:p>
    <w:p>
      <w:pPr>
        <w:pStyle w:val="Compact"/>
        <w:numPr>
          <w:ilvl w:val="0"/>
          <w:numId w:val="1005"/>
        </w:numPr>
      </w:pPr>
      <w:r>
        <w:rPr>
          <w:b/>
          <w:bCs/>
        </w:rPr>
        <w:t xml:space="preserve">Annex A:</w:t>
      </w:r>
      <w:r>
        <w:t xml:space="preserve"> </w:t>
      </w:r>
      <w:r>
        <w:t xml:space="preserve">A.8.* (technological controls), A.5.8 (security in project mgmt) ·</w:t>
      </w:r>
      <w:r>
        <w:t xml:space="preserve"> </w:t>
      </w:r>
      <w:r>
        <w:rPr>
          <w:b/>
          <w:bCs/>
        </w:rPr>
        <w:t xml:space="preserve">SOC 2 TSC:</w:t>
      </w:r>
      <w:r>
        <w:t xml:space="preserve"> </w:t>
      </w:r>
      <w:r>
        <w:t xml:space="preserve">CC5.1–CC5.3, CC7.1, CC8.1</w:t>
      </w:r>
    </w:p>
    <w:p>
      <w:pPr>
        <w:pStyle w:val="Compact"/>
        <w:numPr>
          <w:ilvl w:val="0"/>
          <w:numId w:val="1005"/>
        </w:numPr>
      </w:pPr>
      <w:r>
        <w:rPr>
          <w:b/>
          <w:bCs/>
        </w:rPr>
        <w:t xml:space="preserve">Evidencing artifacts:</w:t>
      </w:r>
      <w:r>
        <w:t xml:space="preserve"> </w:t>
      </w:r>
      <w:r>
        <w:rPr>
          <w:rStyle w:val="VerbatimChar"/>
        </w:rPr>
        <w:t xml:space="preserve">.github/workflows/security-scan.yml</w:t>
      </w:r>
      <w:r>
        <w:t xml:space="preserve">,</w:t>
      </w:r>
      <w:r>
        <w:t xml:space="preserve"> </w:t>
      </w:r>
      <w:r>
        <w:rPr>
          <w:rStyle w:val="VerbatimChar"/>
        </w:rPr>
        <w:t xml:space="preserve">.github/dependabot.yml</w:t>
      </w:r>
      <w:r>
        <w:t xml:space="preserve">, Doc 07 tracker.</w:t>
      </w:r>
    </w:p>
    <w:bookmarkEnd w:id="20"/>
    <w:bookmarkStart w:id="21" w:name="clause-9-performance-evaluation"/>
    <w:p>
      <w:pPr>
        <w:pStyle w:val="Heading2"/>
      </w:pPr>
      <w:r>
        <w:t xml:space="preserve">Clause 9 — Performance evaluation</w:t>
      </w:r>
    </w:p>
    <w:p>
      <w:pPr>
        <w:pStyle w:val="FirstParagraph"/>
      </w:pPr>
      <w:r>
        <w:rPr>
          <w:b/>
          <w:bCs/>
        </w:rPr>
        <w:t xml:space="preserve">9.1 Monitoring, measurement, analysis &amp; evaluation.</w:t>
      </w:r>
      <w:r>
        <w:t xml:space="preserve"> </w:t>
      </w:r>
      <w:r>
        <w:t xml:space="preserve">Metrics from the KPI table (§6.2.x) are collected and reviewed. Automated signals: CI gate pass/fail, gitleaks/CodeQL/npm-audit findings, Dependabot alerts,</w:t>
      </w:r>
      <w:r>
        <w:t xml:space="preserve"> </w:t>
      </w:r>
      <w:r>
        <w:rPr>
          <w:rStyle w:val="VerbatimChar"/>
        </w:rPr>
        <w:t xml:space="preserve">COMPLIANCE-STATUS.md</w:t>
      </w:r>
      <w:r>
        <w:t xml:space="preserve"> </w:t>
      </w:r>
      <w:r>
        <w:t xml:space="preserve">control counts. Manual signals: DSAR turnaround, incident MTTR, training completion.</w:t>
      </w:r>
    </w:p>
    <w:p>
      <w:pPr>
        <w:pStyle w:val="BodyText"/>
      </w:pPr>
      <w:r>
        <w:rPr>
          <w:b/>
          <w:bCs/>
        </w:rPr>
        <w:t xml:space="preserve">9.2 Internal audit program &amp; schedule.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Audit</w:t>
            </w:r>
          </w:p>
        </w:tc>
        <w:tc>
          <w:tcPr/>
          <w:p>
            <w:pPr>
              <w:pStyle w:val="Compact"/>
            </w:pPr>
            <w:r>
              <w:t xml:space="preserve">Scope</w:t>
            </w:r>
          </w:p>
        </w:tc>
        <w:tc>
          <w:tcPr/>
          <w:p>
            <w:pPr>
              <w:pStyle w:val="Compact"/>
            </w:pPr>
            <w:r>
              <w:t xml:space="preserve">Frequency</w:t>
            </w:r>
          </w:p>
        </w:tc>
        <w:tc>
          <w:tcPr/>
          <w:p>
            <w:pPr>
              <w:pStyle w:val="Compact"/>
            </w:pPr>
            <w:r>
              <w:t xml:space="preserve">Auditor (independent of area)</w:t>
            </w:r>
          </w:p>
        </w:tc>
      </w:tr>
      <w:tr>
        <w:tc>
          <w:tcPr/>
          <w:p>
            <w:pPr>
              <w:pStyle w:val="Compact"/>
            </w:pPr>
            <w:r>
              <w:t xml:space="preserve">Full ISMS internal audit</w:t>
            </w:r>
          </w:p>
        </w:tc>
        <w:tc>
          <w:tcPr/>
          <w:p>
            <w:pPr>
              <w:pStyle w:val="Compact"/>
            </w:pPr>
            <w:r>
              <w:t xml:space="preserve">All clauses + Annex A via SoA</w:t>
            </w:r>
          </w:p>
        </w:tc>
        <w:tc>
          <w:tcPr/>
          <w:p>
            <w:pPr>
              <w:pStyle w:val="Compact"/>
            </w:pPr>
            <w:r>
              <w:t xml:space="preserve">Annual (pre-certification and each cycle)</w:t>
            </w:r>
          </w:p>
        </w:tc>
        <w:tc>
          <w:tcPr/>
          <w:p>
            <w:pPr>
              <w:pStyle w:val="Compact"/>
            </w:pPr>
            <w:r>
              <w:t xml:space="preserve">Internal auditor / external consultant</w:t>
            </w:r>
          </w:p>
        </w:tc>
      </w:tr>
      <w:tr>
        <w:tc>
          <w:tcPr/>
          <w:p>
            <w:pPr>
              <w:pStyle w:val="Compact"/>
            </w:pPr>
            <w:r>
              <w:t xml:space="preserve">Access review</w:t>
            </w:r>
          </w:p>
        </w:tc>
        <w:tc>
          <w:tcPr/>
          <w:p>
            <w:pPr>
              <w:pStyle w:val="Compact"/>
            </w:pPr>
            <w:r>
              <w:t xml:space="preserve">User/admin/RBAC access, least privilege</w:t>
            </w:r>
          </w:p>
        </w:tc>
        <w:tc>
          <w:tcPr/>
          <w:p>
            <w:pPr>
              <w:pStyle w:val="Compact"/>
            </w:pPr>
            <w:r>
              <w:t xml:space="preserve">Quarterly</w:t>
            </w:r>
          </w:p>
        </w:tc>
        <w:tc>
          <w:tcPr/>
          <w:p>
            <w:pPr>
              <w:pStyle w:val="Compact"/>
            </w:pPr>
            <w:r>
              <w:t xml:space="preserve">Security</w:t>
            </w:r>
          </w:p>
        </w:tc>
      </w:tr>
      <w:tr>
        <w:tc>
          <w:tcPr/>
          <w:p>
            <w:pPr>
              <w:pStyle w:val="Compact"/>
            </w:pPr>
            <w:r>
              <w:t xml:space="preserve">Change/CI-gate audit</w:t>
            </w:r>
          </w:p>
        </w:tc>
        <w:tc>
          <w:tcPr/>
          <w:p>
            <w:pPr>
              <w:pStyle w:val="Compact"/>
            </w:pPr>
            <w:r>
              <w:t xml:space="preserve">PRs, Code Owner reviews, release approvals</w:t>
            </w:r>
          </w:p>
        </w:tc>
        <w:tc>
          <w:tcPr/>
          <w:p>
            <w:pPr>
              <w:pStyle w:val="Compact"/>
            </w:pPr>
            <w:r>
              <w:t xml:space="preserve">Quarterly</w:t>
            </w:r>
          </w:p>
        </w:tc>
        <w:tc>
          <w:tcPr/>
          <w:p>
            <w:pPr>
              <w:pStyle w:val="Compact"/>
            </w:pPr>
            <w:r>
              <w:t xml:space="preserve">Head of Engineering peer</w:t>
            </w:r>
          </w:p>
        </w:tc>
      </w:tr>
      <w:tr>
        <w:tc>
          <w:tcPr/>
          <w:p>
            <w:pPr>
              <w:pStyle w:val="Compact"/>
            </w:pPr>
            <w:r>
              <w:t xml:space="preserve">Privacy audit</w:t>
            </w:r>
          </w:p>
        </w:tc>
        <w:tc>
          <w:tcPr/>
          <w:p>
            <w:pPr>
              <w:pStyle w:val="Compact"/>
            </w:pPr>
            <w:r>
              <w:t xml:space="preserve">RoPA, consent, DSAR, retention</w:t>
            </w:r>
          </w:p>
        </w:tc>
        <w:tc>
          <w:tcPr/>
          <w:p>
            <w:pPr>
              <w:pStyle w:val="Compact"/>
            </w:pPr>
            <w:r>
              <w:t xml:space="preserve">Semi-annual</w:t>
            </w:r>
          </w:p>
        </w:tc>
        <w:tc>
          <w:tcPr/>
          <w:p>
            <w:pPr>
              <w:pStyle w:val="Compact"/>
            </w:pPr>
            <w:r>
              <w:t xml:space="preserve">DPO</w:t>
            </w:r>
          </w:p>
        </w:tc>
      </w:tr>
      <w:tr>
        <w:tc>
          <w:tcPr/>
          <w:p>
            <w:pPr>
              <w:pStyle w:val="Compact"/>
            </w:pPr>
            <w:r>
              <w:t xml:space="preserve">Supplier review</w:t>
            </w:r>
          </w:p>
        </w:tc>
        <w:tc>
          <w:tcPr/>
          <w:p>
            <w:pPr>
              <w:pStyle w:val="Compact"/>
            </w:pPr>
            <w:r>
              <w:t xml:space="preserve">Ello/Getello, lenders, Render — DPAs &amp; controls</w:t>
            </w:r>
          </w:p>
        </w:tc>
        <w:tc>
          <w:tcPr/>
          <w:p>
            <w:pPr>
              <w:pStyle w:val="Compact"/>
            </w:pPr>
            <w:r>
              <w:t xml:space="preserve">Annual</w:t>
            </w:r>
          </w:p>
        </w:tc>
        <w:tc>
          <w:tcPr/>
          <w:p>
            <w:pPr>
              <w:pStyle w:val="Compact"/>
            </w:pPr>
            <w:r>
              <w:t xml:space="preserve">DPO + Security</w:t>
            </w:r>
          </w:p>
        </w:tc>
      </w:tr>
    </w:tbl>
    <w:p>
      <w:pPr>
        <w:pStyle w:val="BodyText"/>
      </w:pPr>
      <w:r>
        <w:t xml:space="preserve">Findings are logged as nonconformities (Clause 10). Auditors must be independent of the audited activity.</w:t>
      </w:r>
    </w:p>
    <w:p>
      <w:pPr>
        <w:pStyle w:val="BodyText"/>
      </w:pPr>
      <w:r>
        <w:rPr>
          <w:b/>
          <w:bCs/>
        </w:rPr>
        <w:t xml:space="preserve">9.3 Management review.</w:t>
      </w:r>
    </w:p>
    <w:p>
      <w:pPr>
        <w:numPr>
          <w:ilvl w:val="0"/>
          <w:numId w:val="1006"/>
        </w:numPr>
      </w:pPr>
      <w:r>
        <w:rPr>
          <w:b/>
          <w:bCs/>
        </w:rPr>
        <w:t xml:space="preserve">Cadence:</w:t>
      </w:r>
      <w:r>
        <w:t xml:space="preserve"> </w:t>
      </w:r>
      <w:r>
        <w:t xml:space="preserve">at least semi-annually, plus after any major incident or significant change.</w:t>
      </w:r>
    </w:p>
    <w:p>
      <w:pPr>
        <w:numPr>
          <w:ilvl w:val="0"/>
          <w:numId w:val="1006"/>
        </w:numPr>
      </w:pPr>
      <w:r>
        <w:rPr>
          <w:b/>
          <w:bCs/>
        </w:rPr>
        <w:t xml:space="preserve">Inputs:</w:t>
      </w:r>
      <w:r>
        <w:t xml:space="preserve"> </w:t>
      </w:r>
      <w:r>
        <w:t xml:space="preserve">status of prior actions; changes in internal/external context and interested-party requirements; ISMS performance (KPIs, nonconformities, corrective actions, monitoring results, audit results); risk assessment/treatment status; adequacy of resources; supplier performance; opportunities for improvement.</w:t>
      </w:r>
    </w:p>
    <w:p>
      <w:pPr>
        <w:numPr>
          <w:ilvl w:val="0"/>
          <w:numId w:val="1006"/>
        </w:numPr>
      </w:pPr>
      <w:r>
        <w:rPr>
          <w:b/>
          <w:bCs/>
        </w:rPr>
        <w:t xml:space="preserve">Outputs:</w:t>
      </w:r>
      <w:r>
        <w:t xml:space="preserve"> </w:t>
      </w:r>
      <w:r>
        <w:t xml:space="preserve">decisions on continual improvement, changes to the ISMS, resource needs, updated objectives, and risk-acceptance decisions.</w:t>
      </w:r>
    </w:p>
    <w:p>
      <w:pPr>
        <w:numPr>
          <w:ilvl w:val="0"/>
          <w:numId w:val="1006"/>
        </w:numPr>
      </w:pPr>
      <w:r>
        <w:rPr>
          <w:b/>
          <w:bCs/>
        </w:rPr>
        <w:t xml:space="preserve">Records:</w:t>
      </w:r>
      <w:r>
        <w:t xml:space="preserve"> </w:t>
      </w:r>
      <w:r>
        <w:t xml:space="preserve">management-review minutes retained as ISMS records.</w:t>
      </w:r>
    </w:p>
    <w:p>
      <w:pPr>
        <w:numPr>
          <w:ilvl w:val="0"/>
          <w:numId w:val="1006"/>
        </w:numPr>
      </w:pPr>
      <w:r>
        <w:rPr>
          <w:b/>
          <w:bCs/>
        </w:rPr>
        <w:t xml:space="preserve">Annex A:</w:t>
      </w:r>
      <w:r>
        <w:t xml:space="preserve"> </w:t>
      </w:r>
      <w:r>
        <w:t xml:space="preserve">A.5.35 (independent review), A.5.36, A.8.15 (logging), A.8.16 (monitoring) ·</w:t>
      </w:r>
      <w:r>
        <w:t xml:space="preserve"> </w:t>
      </w:r>
      <w:r>
        <w:rPr>
          <w:b/>
          <w:bCs/>
        </w:rPr>
        <w:t xml:space="preserve">SOC 2 TSC:</w:t>
      </w:r>
      <w:r>
        <w:t xml:space="preserve"> </w:t>
      </w:r>
      <w:r>
        <w:t xml:space="preserve">CC4.1, CC4.2, CC3.1</w:t>
      </w:r>
    </w:p>
    <w:p>
      <w:pPr>
        <w:numPr>
          <w:ilvl w:val="0"/>
          <w:numId w:val="1006"/>
        </w:numPr>
      </w:pPr>
      <w:r>
        <w:rPr>
          <w:b/>
          <w:bCs/>
        </w:rPr>
        <w:t xml:space="preserve">Evidencing artifacts:</w:t>
      </w:r>
      <w:r>
        <w:t xml:space="preserve"> </w:t>
      </w:r>
      <w:r>
        <w:t xml:space="preserve">internal audit reports, management-review minutes,</w:t>
      </w:r>
      <w:r>
        <w:t xml:space="preserve"> </w:t>
      </w:r>
      <w:r>
        <w:rPr>
          <w:rStyle w:val="VerbatimChar"/>
        </w:rPr>
        <w:t xml:space="preserve">COMPLIANCE-STATUS.md</w:t>
      </w:r>
      <w:r>
        <w:t xml:space="preserve">, Doc 10.</w:t>
      </w:r>
    </w:p>
    <w:bookmarkEnd w:id="21"/>
    <w:bookmarkStart w:id="22" w:name="clause-10-improvement"/>
    <w:p>
      <w:pPr>
        <w:pStyle w:val="Heading2"/>
      </w:pPr>
      <w:r>
        <w:t xml:space="preserve">Clause 10 — Improvement</w:t>
      </w:r>
    </w:p>
    <w:p>
      <w:pPr>
        <w:pStyle w:val="FirstParagraph"/>
      </w:pPr>
      <w:r>
        <w:rPr>
          <w:b/>
          <w:bCs/>
        </w:rPr>
        <w:t xml:space="preserve">10.1 Continual improvement.</w:t>
      </w:r>
      <w:r>
        <w:t xml:space="preserve"> </w:t>
      </w:r>
      <w:r>
        <w:t xml:space="preserve">The ISMS is continually improved through the risk, audit, management-review, and incident cycles. Improvements are tracked to closure.</w:t>
      </w:r>
    </w:p>
    <w:p>
      <w:pPr>
        <w:pStyle w:val="BodyText"/>
      </w:pPr>
      <w:r>
        <w:rPr>
          <w:b/>
          <w:bCs/>
        </w:rPr>
        <w:t xml:space="preserve">10.2 Nonconformity &amp; corrective action (CAPA) procedure.</w:t>
      </w:r>
      <w:r>
        <w:t xml:space="preserve"> </w:t>
      </w:r>
      <w:r>
        <w:t xml:space="preserve">1.</w:t>
      </w:r>
      <w:r>
        <w:t xml:space="preserve"> </w:t>
      </w:r>
      <w:r>
        <w:rPr>
          <w:b/>
          <w:bCs/>
        </w:rPr>
        <w:t xml:space="preserve">Identify &amp; record</w:t>
      </w:r>
      <w:r>
        <w:t xml:space="preserve"> </w:t>
      </w:r>
      <w:r>
        <w:t xml:space="preserve">the nonconformity (source: audit, incident, monitoring, CI gate, DSAR miss).</w:t>
      </w:r>
      <w:r>
        <w:t xml:space="preserve"> </w:t>
      </w:r>
      <w:r>
        <w:t xml:space="preserve">2.</w:t>
      </w:r>
      <w:r>
        <w:t xml:space="preserve"> </w:t>
      </w:r>
      <w:r>
        <w:rPr>
          <w:b/>
          <w:bCs/>
        </w:rPr>
        <w:t xml:space="preserve">Contain</w:t>
      </w:r>
      <w:r>
        <w:t xml:space="preserve"> </w:t>
      </w:r>
      <w:r>
        <w:t xml:space="preserve">— react to control and correct consequences.</w:t>
      </w:r>
      <w:r>
        <w:t xml:space="preserve"> </w:t>
      </w:r>
      <w:r>
        <w:t xml:space="preserve">3.</w:t>
      </w:r>
      <w:r>
        <w:t xml:space="preserve"> </w:t>
      </w:r>
      <w:r>
        <w:rPr>
          <w:b/>
          <w:bCs/>
        </w:rPr>
        <w:t xml:space="preserve">Root-cause analysis</w:t>
      </w:r>
      <w:r>
        <w:t xml:space="preserve"> </w:t>
      </w:r>
      <w:r>
        <w:t xml:space="preserve">— determine why it occurred and whether it exists elsewhere.</w:t>
      </w:r>
      <w:r>
        <w:t xml:space="preserve"> </w:t>
      </w:r>
      <w:r>
        <w:t xml:space="preserve">4.</w:t>
      </w:r>
      <w:r>
        <w:t xml:space="preserve"> </w:t>
      </w:r>
      <w:r>
        <w:rPr>
          <w:b/>
          <w:bCs/>
        </w:rPr>
        <w:t xml:space="preserve">Corrective action</w:t>
      </w:r>
      <w:r>
        <w:t xml:space="preserve"> </w:t>
      </w:r>
      <w:r>
        <w:t xml:space="preserve">— implement, assign owner and due date.</w:t>
      </w:r>
      <w:r>
        <w:t xml:space="preserve"> </w:t>
      </w:r>
      <w:r>
        <w:t xml:space="preserve">5.</w:t>
      </w:r>
      <w:r>
        <w:t xml:space="preserve"> </w:t>
      </w:r>
      <w:r>
        <w:rPr>
          <w:b/>
          <w:bCs/>
        </w:rPr>
        <w:t xml:space="preserve">Verify effectiveness</w:t>
      </w:r>
      <w:r>
        <w:t xml:space="preserve">; update risk register / SoA / policies as needed.</w:t>
      </w:r>
      <w:r>
        <w:t xml:space="preserve"> </w:t>
      </w:r>
      <w:r>
        <w:t xml:space="preserve">6.</w:t>
      </w:r>
      <w:r>
        <w:t xml:space="preserve"> </w:t>
      </w:r>
      <w:r>
        <w:rPr>
          <w:b/>
          <w:bCs/>
        </w:rPr>
        <w:t xml:space="preserve">Close</w:t>
      </w:r>
      <w:r>
        <w:t xml:space="preserve"> </w:t>
      </w:r>
      <w:r>
        <w:t xml:space="preserve">and record.</w:t>
      </w:r>
    </w:p>
    <w:p>
      <w:pPr>
        <w:pStyle w:val="BodyText"/>
      </w:pPr>
      <w:r>
        <w:rPr>
          <w:b/>
          <w:bCs/>
        </w:rPr>
        <w:t xml:space="preserve">CAPA register template.</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t xml:space="preserve">CAPA ID</w:t>
            </w:r>
          </w:p>
        </w:tc>
        <w:tc>
          <w:tcPr/>
          <w:p>
            <w:pPr>
              <w:pStyle w:val="Compact"/>
            </w:pPr>
            <w:r>
              <w:t xml:space="preserve">Date raised</w:t>
            </w:r>
          </w:p>
        </w:tc>
        <w:tc>
          <w:tcPr/>
          <w:p>
            <w:pPr>
              <w:pStyle w:val="Compact"/>
            </w:pPr>
            <w:r>
              <w:t xml:space="preserve">Source</w:t>
            </w:r>
          </w:p>
        </w:tc>
        <w:tc>
          <w:tcPr/>
          <w:p>
            <w:pPr>
              <w:pStyle w:val="Compact"/>
            </w:pPr>
            <w:r>
              <w:t xml:space="preserve">Nonconformity</w:t>
            </w:r>
          </w:p>
        </w:tc>
        <w:tc>
          <w:tcPr/>
          <w:p>
            <w:pPr>
              <w:pStyle w:val="Compact"/>
            </w:pPr>
            <w:r>
              <w:t xml:space="preserve">Severity</w:t>
            </w:r>
          </w:p>
        </w:tc>
        <w:tc>
          <w:tcPr/>
          <w:p>
            <w:pPr>
              <w:pStyle w:val="Compact"/>
            </w:pPr>
            <w:r>
              <w:t xml:space="preserve">Root cause</w:t>
            </w:r>
          </w:p>
        </w:tc>
        <w:tc>
          <w:tcPr/>
          <w:p>
            <w:pPr>
              <w:pStyle w:val="Compact"/>
            </w:pPr>
            <w:r>
              <w:t xml:space="preserve">Corrective action</w:t>
            </w:r>
          </w:p>
        </w:tc>
        <w:tc>
          <w:tcPr/>
          <w:p>
            <w:pPr>
              <w:pStyle w:val="Compact"/>
            </w:pPr>
            <w:r>
              <w:t xml:space="preserve">Owner</w:t>
            </w:r>
          </w:p>
        </w:tc>
        <w:tc>
          <w:tcPr/>
          <w:p>
            <w:pPr>
              <w:pStyle w:val="Compact"/>
            </w:pPr>
            <w:r>
              <w:t xml:space="preserve">Due</w:t>
            </w:r>
          </w:p>
        </w:tc>
        <w:tc>
          <w:tcPr/>
          <w:p>
            <w:pPr>
              <w:pStyle w:val="Compact"/>
            </w:pPr>
            <w:r>
              <w:t xml:space="preserve">Status</w:t>
            </w:r>
          </w:p>
        </w:tc>
        <w:tc>
          <w:tcPr/>
          <w:p>
            <w:pPr>
              <w:pStyle w:val="Compact"/>
            </w:pPr>
            <w:r>
              <w:t xml:space="preserve">Effectiveness verified</w:t>
            </w:r>
          </w:p>
        </w:tc>
      </w:tr>
      <w:tr>
        <w:tc>
          <w:tcPr/>
          <w:p>
            <w:pPr>
              <w:pStyle w:val="Compact"/>
            </w:pPr>
            <w:r>
              <w:t xml:space="preserve">CAPA-YYYY-NNN</w:t>
            </w:r>
          </w:p>
        </w:tc>
        <w:tc>
          <w:tcPr/>
          <w:p>
            <w:pPr>
              <w:pStyle w:val="Compact"/>
            </w:pPr>
          </w:p>
        </w:tc>
        <w:tc>
          <w:tcPr/>
          <w:p>
            <w:pPr>
              <w:pStyle w:val="Compact"/>
            </w:pPr>
            <w:r>
              <w:t xml:space="preserve">Audit/Incident/CI/DSAR</w:t>
            </w:r>
          </w:p>
        </w:tc>
        <w:tc>
          <w:tcPr/>
          <w:p>
            <w:pPr>
              <w:pStyle w:val="Compact"/>
            </w:pPr>
          </w:p>
        </w:tc>
        <w:tc>
          <w:tcPr/>
          <w:p>
            <w:pPr>
              <w:pStyle w:val="Compact"/>
            </w:pPr>
            <w:r>
              <w:t xml:space="preserve">Critical/High/Med/Low</w:t>
            </w:r>
          </w:p>
        </w:tc>
        <w:tc>
          <w:tcPr/>
          <w:p>
            <w:pPr>
              <w:pStyle w:val="Compact"/>
            </w:pPr>
          </w:p>
        </w:tc>
        <w:tc>
          <w:tcPr/>
          <w:p>
            <w:pPr>
              <w:pStyle w:val="Compact"/>
            </w:pPr>
          </w:p>
        </w:tc>
        <w:tc>
          <w:tcPr/>
          <w:p>
            <w:pPr>
              <w:pStyle w:val="Compact"/>
            </w:pPr>
          </w:p>
        </w:tc>
        <w:tc>
          <w:tcPr/>
          <w:p>
            <w:pPr>
              <w:pStyle w:val="Compact"/>
            </w:pPr>
          </w:p>
        </w:tc>
        <w:tc>
          <w:tcPr/>
          <w:p>
            <w:pPr>
              <w:pStyle w:val="Compact"/>
            </w:pPr>
            <w:r>
              <w:t xml:space="preserve">Open/In-progress/Closed</w:t>
            </w:r>
          </w:p>
        </w:tc>
        <w:tc>
          <w:tcPr/>
          <w:p>
            <w:pPr>
              <w:pStyle w:val="Compact"/>
            </w:pPr>
            <w:r>
              <w:t xml:space="preserve">Yes/No</w:t>
            </w:r>
          </w:p>
        </w:tc>
      </w:tr>
    </w:tbl>
    <w:p>
      <w:pPr>
        <w:pStyle w:val="BodyText"/>
      </w:pPr>
      <w:r>
        <w:t xml:space="preserve">Seed CAPA candidates map directly to open risks (e.g., C1 PAN plaintext, C5 committed Ello key, C3 demo-OTP in prod) per</w:t>
      </w:r>
      <w:r>
        <w:t xml:space="preserve"> </w:t>
      </w:r>
      <w:r>
        <w:rPr>
          <w:rStyle w:val="VerbatimChar"/>
        </w:rPr>
        <w:t xml:space="preserve">_AUDIT_BRIEF.md</w:t>
      </w:r>
      <w:r>
        <w:t xml:space="preserve"> </w:t>
      </w:r>
      <w:r>
        <w:t xml:space="preserve">§5 and</w:t>
      </w:r>
      <w:r>
        <w:t xml:space="preserve"> </w:t>
      </w:r>
      <w:r>
        <w:rPr>
          <w:rStyle w:val="VerbatimChar"/>
        </w:rPr>
        <w:t xml:space="preserve">COMPLIANCE-STATUS.md</w:t>
      </w:r>
      <w:r>
        <w:t xml:space="preserve">.</w:t>
      </w:r>
    </w:p>
    <w:p>
      <w:pPr>
        <w:pStyle w:val="Compact"/>
        <w:numPr>
          <w:ilvl w:val="0"/>
          <w:numId w:val="1007"/>
        </w:numPr>
      </w:pPr>
      <w:r>
        <w:rPr>
          <w:b/>
          <w:bCs/>
        </w:rPr>
        <w:t xml:space="preserve">Annex A:</w:t>
      </w:r>
      <w:r>
        <w:t xml:space="preserve"> </w:t>
      </w:r>
      <w:r>
        <w:t xml:space="preserve">A.5.27 (learning from incidents), A.5.36 ·</w:t>
      </w:r>
      <w:r>
        <w:t xml:space="preserve"> </w:t>
      </w:r>
      <w:r>
        <w:rPr>
          <w:b/>
          <w:bCs/>
        </w:rPr>
        <w:t xml:space="preserve">SOC 2 TSC:</w:t>
      </w:r>
      <w:r>
        <w:t xml:space="preserve"> </w:t>
      </w:r>
      <w:r>
        <w:t xml:space="preserve">CC4.2, CC5.3, CC7.4, CC7.5</w:t>
      </w:r>
    </w:p>
    <w:p>
      <w:pPr>
        <w:pStyle w:val="Compact"/>
        <w:numPr>
          <w:ilvl w:val="0"/>
          <w:numId w:val="1007"/>
        </w:numPr>
      </w:pPr>
      <w:r>
        <w:rPr>
          <w:b/>
          <w:bCs/>
        </w:rPr>
        <w:t xml:space="preserve">Evidencing artifacts:</w:t>
      </w:r>
      <w:r>
        <w:t xml:space="preserve"> </w:t>
      </w:r>
      <w:r>
        <w:t xml:space="preserve">CAPA register, incident post-mortems, updated Doc 03/05.</w:t>
      </w:r>
    </w:p>
    <w:p>
      <w:r>
        <w:pict>
          <v:rect style="width:0;height:1.5pt" o:hralign="center" o:hrstd="t" o:hr="t"/>
        </w:pict>
      </w:r>
    </w:p>
    <w:bookmarkEnd w:id="22"/>
    <w:bookmarkEnd w:id="23"/>
    <w:bookmarkStart w:id="42" w:name="policy-set"/>
    <w:p>
      <w:pPr>
        <w:pStyle w:val="Heading1"/>
      </w:pPr>
      <w:r>
        <w:t xml:space="preserve">§2 Policy Set</w:t>
      </w:r>
    </w:p>
    <w:p>
      <w:pPr>
        <w:pStyle w:val="BlockText"/>
      </w:pPr>
      <w:r>
        <w:t xml:space="preserve">Each policy is intentionally concise (this is a manual, not separate files) and states</w:t>
      </w:r>
      <w:r>
        <w:t xml:space="preserve"> </w:t>
      </w:r>
      <w:r>
        <w:rPr>
          <w:b/>
          <w:bCs/>
        </w:rPr>
        <w:t xml:space="preserve">Purpose · Scope · Policy statements · Control refs</w:t>
      </w:r>
      <w:r>
        <w:t xml:space="preserve">. Scope for every policy = the ISMS scope in Clause 4.3 unless narrowed.</w:t>
      </w:r>
    </w:p>
    <w:bookmarkStart w:id="24" w:name="access-control-policy"/>
    <w:p>
      <w:pPr>
        <w:pStyle w:val="Heading2"/>
      </w:pPr>
      <w:r>
        <w:t xml:space="preserve">2.1 Access Control Policy</w:t>
      </w:r>
    </w:p>
    <w:p>
      <w:pPr>
        <w:pStyle w:val="FirstParagraph"/>
      </w:pPr>
      <w:r>
        <w:rPr>
          <w:b/>
          <w:bCs/>
        </w:rPr>
        <w:t xml:space="preserve">Purpose:</w:t>
      </w:r>
      <w:r>
        <w:t xml:space="preserve"> </w:t>
      </w:r>
      <w:r>
        <w:t xml:space="preserve">Ensure only authorized identities access systems and data.</w:t>
      </w:r>
      <w:r>
        <w:t xml:space="preserve"> </w:t>
      </w:r>
      <w:r>
        <w:rPr>
          <w:b/>
          <w:bCs/>
        </w:rPr>
        <w:t xml:space="preserve">Policy:</w:t>
      </w:r>
      <w:r>
        <w:t xml:space="preserve"> </w:t>
      </w:r>
      <w:r>
        <w:t xml:space="preserve">Least privilege and need-to-know; unique named accounts (no shared/default credentials — remediating C4 default admin); RBAC for admin dashboard; MFA required for admin/privileged access; access granted via approval and reviewed quarterly; revoked on offboarding within 24h; secrets fail-closed (no</w:t>
      </w:r>
      <w:r>
        <w:t xml:space="preserve"> </w:t>
      </w:r>
      <w:r>
        <w:rPr>
          <w:rStyle w:val="VerbatimChar"/>
        </w:rPr>
        <w:t xml:space="preserve">dev-access</w:t>
      </w:r>
      <w:r>
        <w:t xml:space="preserve">/</w:t>
      </w:r>
      <w:r>
        <w:rPr>
          <w:rStyle w:val="VerbatimChar"/>
        </w:rPr>
        <w:t xml:space="preserve">dev-refresh</w:t>
      </w:r>
      <w:r>
        <w:t xml:space="preserve"> </w:t>
      </w:r>
      <w:r>
        <w:t xml:space="preserve">fallbacks — remediating C6); admin session tokens to move from</w:t>
      </w:r>
      <w:r>
        <w:t xml:space="preserve"> </w:t>
      </w:r>
      <w:r>
        <w:rPr>
          <w:rStyle w:val="VerbatimChar"/>
        </w:rPr>
        <w:t xml:space="preserve">localStorage</w:t>
      </w:r>
      <w:r>
        <w:t xml:space="preserve"> </w:t>
      </w:r>
      <w:r>
        <w:t xml:space="preserve">to httpOnly cookies (remediating C11).</w:t>
      </w:r>
      <w:r>
        <w:t xml:space="preserve"> </w:t>
      </w:r>
      <w:r>
        <w:rPr>
          <w:b/>
          <w:bCs/>
        </w:rPr>
        <w:t xml:space="preserve">Annex A:</w:t>
      </w:r>
      <w:r>
        <w:t xml:space="preserve"> </w:t>
      </w:r>
      <w:r>
        <w:t xml:space="preserve">A.5.15, A.5.16, A.5.17, A.5.18, A.8.2, A.8.3, A.8.5 ·</w:t>
      </w:r>
      <w:r>
        <w:t xml:space="preserve"> </w:t>
      </w:r>
      <w:r>
        <w:rPr>
          <w:b/>
          <w:bCs/>
        </w:rPr>
        <w:t xml:space="preserve">SOC 2:</w:t>
      </w:r>
      <w:r>
        <w:t xml:space="preserve"> </w:t>
      </w:r>
      <w:r>
        <w:t xml:space="preserve">CC6.1, CC6.2, CC6.3.</w:t>
      </w:r>
    </w:p>
    <w:bookmarkEnd w:id="24"/>
    <w:bookmarkStart w:id="25" w:name="cryptography-key-management-policy"/>
    <w:p>
      <w:pPr>
        <w:pStyle w:val="Heading2"/>
      </w:pPr>
      <w:r>
        <w:t xml:space="preserve">2.2 Cryptography &amp; Key Management Policy</w:t>
      </w:r>
    </w:p>
    <w:p>
      <w:pPr>
        <w:pStyle w:val="FirstParagraph"/>
      </w:pPr>
      <w:r>
        <w:rPr>
          <w:b/>
          <w:bCs/>
        </w:rPr>
        <w:t xml:space="preserve">Purpose:</w:t>
      </w:r>
      <w:r>
        <w:t xml:space="preserve"> </w:t>
      </w:r>
      <w:r>
        <w:t xml:space="preserve">Protect confidentiality/integrity via approved cryptography.</w:t>
      </w:r>
      <w:r>
        <w:t xml:space="preserve"> </w:t>
      </w:r>
      <w:r>
        <w:rPr>
          <w:b/>
          <w:bCs/>
        </w:rPr>
        <w:t xml:space="preserve">Policy:</w:t>
      </w:r>
      <w:r>
        <w:t xml:space="preserve"> </w:t>
      </w:r>
      <w:r>
        <w:t xml:space="preserve">TLS 1.2+ in transit everywhere (ATS enforced on iOS, cleartext disallowed on Android; voice transport to be wss/https only — remediating C13); passwords bcrypt; OTP/refresh tokens hashed (SHA-256/bcrypt); SPDI at rest (PAN) to be field-encrypted/tokenized (remediating C1); DB encryption-at-rest and encrypted backups in an India region (remediating C12); keys stored in a secrets manager, never in source (remediating C5); key rotation on suspected compromise and at defined intervals; approved algorithms only.</w:t>
      </w:r>
      <w:r>
        <w:t xml:space="preserve"> </w:t>
      </w:r>
      <w:r>
        <w:rPr>
          <w:b/>
          <w:bCs/>
        </w:rPr>
        <w:t xml:space="preserve">Annex A:</w:t>
      </w:r>
      <w:r>
        <w:t xml:space="preserve"> </w:t>
      </w:r>
      <w:r>
        <w:t xml:space="preserve">A.8.24, A.8.20, A.8.26 ·</w:t>
      </w:r>
      <w:r>
        <w:t xml:space="preserve"> </w:t>
      </w:r>
      <w:r>
        <w:rPr>
          <w:b/>
          <w:bCs/>
        </w:rPr>
        <w:t xml:space="preserve">SOC 2:</w:t>
      </w:r>
      <w:r>
        <w:t xml:space="preserve"> </w:t>
      </w:r>
      <w:r>
        <w:t xml:space="preserve">CC6.1, CC6.7, C1.1.</w:t>
      </w:r>
    </w:p>
    <w:bookmarkEnd w:id="25"/>
    <w:bookmarkStart w:id="26" w:name="data-classification-handling-policy"/>
    <w:p>
      <w:pPr>
        <w:pStyle w:val="Heading2"/>
      </w:pPr>
      <w:r>
        <w:t xml:space="preserve">2.3 Data Classification &amp; Handling Policy</w:t>
      </w:r>
    </w:p>
    <w:p>
      <w:pPr>
        <w:pStyle w:val="FirstParagraph"/>
      </w:pPr>
      <w:r>
        <w:rPr>
          <w:b/>
          <w:bCs/>
        </w:rPr>
        <w:t xml:space="preserve">Purpose:</w:t>
      </w:r>
      <w:r>
        <w:t xml:space="preserve"> </w:t>
      </w:r>
      <w:r>
        <w:t xml:space="preserve">Handle data per sensitivity.</w:t>
      </w:r>
      <w:r>
        <w:t xml:space="preserve"> </w:t>
      </w:r>
      <w:r>
        <w:rPr>
          <w:b/>
          <w:bCs/>
        </w:rPr>
        <w:t xml:space="preserve">Classification tiers:</w:t>
      </w:r>
      <w:r>
        <w:t xml:space="preserve"> </w:t>
      </w:r>
      <w:r>
        <w:t xml:space="preserve">Public · Internal · Confidential ·</w:t>
      </w:r>
      <w:r>
        <w:t xml:space="preserve"> </w:t>
      </w:r>
      <w:r>
        <w:rPr>
          <w:b/>
          <w:bCs/>
        </w:rPr>
        <w:t xml:space="preserve">Restricted/SPDI</w:t>
      </w:r>
      <w:r>
        <w:t xml:space="preserve"> </w:t>
      </w:r>
      <w:r>
        <w:t xml:space="preserve">(PAN, Aadhaar, financial, biometric/voice, credentials).</w:t>
      </w:r>
      <w:r>
        <w:t xml:space="preserve"> </w:t>
      </w:r>
      <w:r>
        <w:rPr>
          <w:b/>
          <w:bCs/>
        </w:rPr>
        <w:t xml:space="preserve">Policy:</w:t>
      </w:r>
      <w:r>
        <w:t xml:space="preserve"> </w:t>
      </w:r>
      <w:r>
        <w:t xml:space="preserve">Label and handle per tier; minimize collection (Aadhaar/bank stored last-4 only — keep); mask SPDI in UI and logs (secure input + PAN masking — remediating C14); redact SPDI before third-party egress, incl. voice</w:t>
      </w:r>
      <w:r>
        <w:t xml:space="preserve"> </w:t>
      </w:r>
      <w:r>
        <w:rPr>
          <w:rStyle w:val="VerbatimChar"/>
        </w:rPr>
        <w:t xml:space="preserve">page_context</w:t>
      </w:r>
      <w:r>
        <w:t xml:space="preserve">/</w:t>
      </w:r>
      <w:r>
        <w:rPr>
          <w:rStyle w:val="VerbatimChar"/>
        </w:rPr>
        <w:t xml:space="preserve">read_screen</w:t>
      </w:r>
      <w:r>
        <w:t xml:space="preserve"> </w:t>
      </w:r>
      <w:r>
        <w:t xml:space="preserve">(remediating C2); no SPDI in URLs, tracking metadata (remediating C8), or fixtures.</w:t>
      </w:r>
      <w:r>
        <w:t xml:space="preserve"> </w:t>
      </w:r>
      <w:r>
        <w:rPr>
          <w:b/>
          <w:bCs/>
        </w:rPr>
        <w:t xml:space="preserve">Annex A:</w:t>
      </w:r>
      <w:r>
        <w:t xml:space="preserve"> </w:t>
      </w:r>
      <w:r>
        <w:t xml:space="preserve">A.5.12, A.5.13, A.8.11 (masking), A.8.12 (DLP) ·</w:t>
      </w:r>
      <w:r>
        <w:t xml:space="preserve"> </w:t>
      </w:r>
      <w:r>
        <w:rPr>
          <w:b/>
          <w:bCs/>
        </w:rPr>
        <w:t xml:space="preserve">SOC 2:</w:t>
      </w:r>
      <w:r>
        <w:t xml:space="preserve"> </w:t>
      </w:r>
      <w:r>
        <w:t xml:space="preserve">C1.1, P4, CC6.1.</w:t>
      </w:r>
    </w:p>
    <w:bookmarkEnd w:id="26"/>
    <w:bookmarkStart w:id="27" w:name="data-retention-disposal-policy"/>
    <w:p>
      <w:pPr>
        <w:pStyle w:val="Heading2"/>
      </w:pPr>
      <w:r>
        <w:t xml:space="preserve">2.4 Data Retention &amp; Disposal Policy</w:t>
      </w:r>
    </w:p>
    <w:p>
      <w:pPr>
        <w:pStyle w:val="FirstParagraph"/>
      </w:pPr>
      <w:r>
        <w:rPr>
          <w:b/>
          <w:bCs/>
        </w:rPr>
        <w:t xml:space="preserve">Purpose:</w:t>
      </w:r>
      <w:r>
        <w:t xml:space="preserve"> </w:t>
      </w:r>
      <w:r>
        <w:t xml:space="preserve">Retain personal data only as long as needed; dispose securely.</w:t>
      </w:r>
      <w:r>
        <w:t xml:space="preserve"> </w:t>
      </w:r>
      <w:r>
        <w:rPr>
          <w:b/>
          <w:bCs/>
        </w:rPr>
        <w:t xml:space="preserve">Policy:</w:t>
      </w:r>
      <w:r>
        <w:t xml:space="preserve"> </w:t>
      </w:r>
      <w:r>
        <w:t xml:space="preserve">Enforce retention TTLs and purge jobs, including orphan PII (AnonymousLead, ContextSession, Notification.body — remediating C9); secure deletion via cascade on user delete (existing</w:t>
      </w:r>
      <w:r>
        <w:t xml:space="preserve"> </w:t>
      </w:r>
      <w:r>
        <w:rPr>
          <w:rStyle w:val="VerbatimChar"/>
        </w:rPr>
        <w:t xml:space="preserve">DELETE /me</w:t>
      </w:r>
      <w:r>
        <w:t xml:space="preserve">) extended to orphan records; logs retained ≥180 days (CERT-In); disposal logged.</w:t>
      </w:r>
    </w:p>
    <w:p>
      <w:pPr>
        <w:pStyle w:val="BodyText"/>
      </w:pPr>
      <w:r>
        <w:rPr>
          <w:b/>
          <w:bCs/>
        </w:rPr>
        <w:t xml:space="preserve">Retention schedule.</w:t>
      </w:r>
      <w:r>
        <w:t xml:space="preserve"> </w:t>
      </w:r>
      <w:r>
        <w:t xml:space="preserve">| Data category | Retention | Basis | Disposal |</w:t>
      </w:r>
      <w:r>
        <w:t xml:space="preserve"> </w:t>
      </w:r>
      <w:r>
        <w:t xml:space="preserve">|—|—|—|—|</w:t>
      </w:r>
      <w:r>
        <w:t xml:space="preserve"> </w:t>
      </w:r>
      <w:r>
        <w:t xml:space="preserve">| Active borrower account (User) | Life of relationship + regulatory hold | Contract / RBI-KYC | Cascade hard-delete on request |</w:t>
      </w:r>
      <w:r>
        <w:t xml:space="preserve"> </w:t>
      </w:r>
      <w:r>
        <w:t xml:space="preserve">| KYC records (Aadhaar last-4, PAN token) | Per RBI/CKYC retention | Legal obligation | Secure erase |</w:t>
      </w:r>
      <w:r>
        <w:t xml:space="preserve"> </w:t>
      </w:r>
      <w:r>
        <w:t xml:space="preserve">| Loan/application records | Per lender + RBI requirements | Legal obligation | Secure erase after hold |</w:t>
      </w:r>
      <w:r>
        <w:t xml:space="preserve"> </w:t>
      </w:r>
      <w:r>
        <w:t xml:space="preserve">| Anonymous leads / ContextSession | ≤90 days (proposed TTL) | Legitimate use, minimization | Automated purge |</w:t>
      </w:r>
      <w:r>
        <w:t xml:space="preserve"> </w:t>
      </w:r>
      <w:r>
        <w:t xml:space="preserve">| OTP tokens | Short-lived (minutes) | Security | Expiry/purge |</w:t>
      </w:r>
      <w:r>
        <w:t xml:space="preserve"> </w:t>
      </w:r>
      <w:r>
        <w:t xml:space="preserve">| Application &amp; access logs | ≥180 days, ≤ defined max | CERT-In | Rotate &amp; delete |</w:t>
      </w:r>
      <w:r>
        <w:t xml:space="preserve"> </w:t>
      </w:r>
      <w:r>
        <w:t xml:space="preserve">| Marketing/comms consent records | Until withdrawn + evidence period | Consent | Erase on withdrawal |</w:t>
      </w:r>
    </w:p>
    <w:p>
      <w:pPr>
        <w:pStyle w:val="BodyText"/>
      </w:pPr>
      <w:r>
        <w:rPr>
          <w:b/>
          <w:bCs/>
        </w:rPr>
        <w:t xml:space="preserve">Annex A:</w:t>
      </w:r>
      <w:r>
        <w:t xml:space="preserve"> </w:t>
      </w:r>
      <w:r>
        <w:t xml:space="preserve">A.5.33, A.5.34, A.8.10 (deletion), A.8.13 ·</w:t>
      </w:r>
      <w:r>
        <w:t xml:space="preserve"> </w:t>
      </w:r>
      <w:r>
        <w:rPr>
          <w:b/>
          <w:bCs/>
        </w:rPr>
        <w:t xml:space="preserve">SOC 2:</w:t>
      </w:r>
      <w:r>
        <w:t xml:space="preserve"> </w:t>
      </w:r>
      <w:r>
        <w:t xml:space="preserve">C1.2, P4, P6.</w:t>
      </w:r>
    </w:p>
    <w:bookmarkEnd w:id="27"/>
    <w:bookmarkStart w:id="28" w:name="backup-recovery-policy"/>
    <w:p>
      <w:pPr>
        <w:pStyle w:val="Heading2"/>
      </w:pPr>
      <w:r>
        <w:t xml:space="preserve">2.5 Backup &amp; Recovery Policy</w:t>
      </w:r>
    </w:p>
    <w:p>
      <w:pPr>
        <w:pStyle w:val="FirstParagraph"/>
      </w:pPr>
      <w:r>
        <w:rPr>
          <w:b/>
          <w:bCs/>
        </w:rPr>
        <w:t xml:space="preserve">Purpose:</w:t>
      </w:r>
      <w:r>
        <w:t xml:space="preserve"> </w:t>
      </w:r>
      <w:r>
        <w:t xml:space="preserve">Ensure recoverability.</w:t>
      </w:r>
      <w:r>
        <w:t xml:space="preserve"> </w:t>
      </w:r>
      <w:r>
        <w:rPr>
          <w:b/>
          <w:bCs/>
        </w:rPr>
        <w:t xml:space="preserve">Policy:</w:t>
      </w:r>
      <w:r>
        <w:t xml:space="preserve"> </w:t>
      </w:r>
      <w:r>
        <w:t xml:space="preserve">Automated encrypted backups of the PostgreSQL database in the India region; defined backup frequency; periodic restore tests; backups access-controlled and retained per schedule; recovery aligned to BCDR RTO/RPO (§2.12).</w:t>
      </w:r>
      <w:r>
        <w:t xml:space="preserve"> </w:t>
      </w:r>
      <w:r>
        <w:rPr>
          <w:b/>
          <w:bCs/>
        </w:rPr>
        <w:t xml:space="preserve">Annex A:</w:t>
      </w:r>
      <w:r>
        <w:t xml:space="preserve"> </w:t>
      </w:r>
      <w:r>
        <w:t xml:space="preserve">A.8.13, A.8.14 ·</w:t>
      </w:r>
      <w:r>
        <w:t xml:space="preserve"> </w:t>
      </w:r>
      <w:r>
        <w:rPr>
          <w:b/>
          <w:bCs/>
        </w:rPr>
        <w:t xml:space="preserve">SOC 2:</w:t>
      </w:r>
      <w:r>
        <w:t xml:space="preserve"> </w:t>
      </w:r>
      <w:r>
        <w:t xml:space="preserve">A1.2, A1.3, CC7.5.</w:t>
      </w:r>
    </w:p>
    <w:bookmarkEnd w:id="28"/>
    <w:bookmarkStart w:id="29" w:name="logging-monitoring-policy"/>
    <w:p>
      <w:pPr>
        <w:pStyle w:val="Heading2"/>
      </w:pPr>
      <w:r>
        <w:t xml:space="preserve">2.6 Logging &amp; Monitoring Policy</w:t>
      </w:r>
    </w:p>
    <w:p>
      <w:pPr>
        <w:pStyle w:val="FirstParagraph"/>
      </w:pPr>
      <w:r>
        <w:rPr>
          <w:b/>
          <w:bCs/>
        </w:rPr>
        <w:t xml:space="preserve">Purpose:</w:t>
      </w:r>
      <w:r>
        <w:t xml:space="preserve"> </w:t>
      </w:r>
      <w:r>
        <w:t xml:space="preserve">Detect and investigate security events.</w:t>
      </w:r>
      <w:r>
        <w:t xml:space="preserve"> </w:t>
      </w:r>
      <w:r>
        <w:rPr>
          <w:b/>
          <w:bCs/>
        </w:rPr>
        <w:t xml:space="preserve">Policy:</w:t>
      </w:r>
      <w:r>
        <w:t xml:space="preserve"> </w:t>
      </w:r>
      <w:r>
        <w:t xml:space="preserve">Structured logs with PII masked; write the existing</w:t>
      </w:r>
      <w:r>
        <w:t xml:space="preserve"> </w:t>
      </w:r>
      <w:r>
        <w:rPr>
          <w:rStyle w:val="VerbatimChar"/>
        </w:rPr>
        <w:t xml:space="preserve">AuditLog</w:t>
      </w:r>
      <w:r>
        <w:t xml:space="preserve"> </w:t>
      </w:r>
      <w:r>
        <w:t xml:space="preserve">model on PII access/admin actions (currently not written — remediating C10); NTP-synced clocks and ≥180-day retention (CERT-In); alerting on anomalies; CI security findings (CodeQL/gitleaks/npm audit) monitored; logs protected from tampering.</w:t>
      </w:r>
      <w:r>
        <w:t xml:space="preserve"> </w:t>
      </w:r>
      <w:r>
        <w:rPr>
          <w:b/>
          <w:bCs/>
        </w:rPr>
        <w:t xml:space="preserve">Annex A:</w:t>
      </w:r>
      <w:r>
        <w:t xml:space="preserve"> </w:t>
      </w:r>
      <w:r>
        <w:t xml:space="preserve">A.8.15, A.8.16, A.8.17 ·</w:t>
      </w:r>
      <w:r>
        <w:t xml:space="preserve"> </w:t>
      </w:r>
      <w:r>
        <w:rPr>
          <w:b/>
          <w:bCs/>
        </w:rPr>
        <w:t xml:space="preserve">SOC 2:</w:t>
      </w:r>
      <w:r>
        <w:t xml:space="preserve"> </w:t>
      </w:r>
      <w:r>
        <w:t xml:space="preserve">CC7.1, CC7.2, CC7.3.</w:t>
      </w:r>
    </w:p>
    <w:bookmarkEnd w:id="29"/>
    <w:bookmarkStart w:id="30" w:name="vulnerability-patch-management-policy"/>
    <w:p>
      <w:pPr>
        <w:pStyle w:val="Heading2"/>
      </w:pPr>
      <w:r>
        <w:t xml:space="preserve">2.7 Vulnerability &amp; Patch Management Policy</w:t>
      </w:r>
    </w:p>
    <w:p>
      <w:pPr>
        <w:pStyle w:val="FirstParagraph"/>
      </w:pPr>
      <w:r>
        <w:rPr>
          <w:b/>
          <w:bCs/>
        </w:rPr>
        <w:t xml:space="preserve">Purpose:</w:t>
      </w:r>
      <w:r>
        <w:t xml:space="preserve"> </w:t>
      </w:r>
      <w:r>
        <w:t xml:space="preserve">Manage technical vulnerabilities.</w:t>
      </w:r>
      <w:r>
        <w:t xml:space="preserve"> </w:t>
      </w:r>
      <w:r>
        <w:rPr>
          <w:b/>
          <w:bCs/>
        </w:rPr>
        <w:t xml:space="preserve">Policy:</w:t>
      </w:r>
      <w:r>
        <w:t xml:space="preserve"> </w:t>
      </w:r>
      <w:r>
        <w:t xml:space="preserve">SAST (CodeQL) and secret scanning (gitleaks) on every push/PR + weekly; Dependabot weekly across all package ecosystems;</w:t>
      </w:r>
      <w:r>
        <w:t xml:space="preserve"> </w:t>
      </w:r>
      <w:r>
        <w:rPr>
          <w:rStyle w:val="VerbatimChar"/>
        </w:rPr>
        <w:t xml:space="preserve">npm audit</w:t>
      </w:r>
      <w:r>
        <w:t xml:space="preserve"> </w:t>
      </w:r>
      <w:r>
        <w:t xml:space="preserve">(high+) in CI; remediation SLAs — Critical ≤7d, High ≤30d, Medium ≤90d; independent VAPT before major releases; findings tracked as CAPA.</w:t>
      </w:r>
      <w:r>
        <w:t xml:space="preserve"> </w:t>
      </w:r>
      <w:r>
        <w:rPr>
          <w:b/>
          <w:bCs/>
        </w:rPr>
        <w:t xml:space="preserve">Implemented artifacts:</w:t>
      </w:r>
      <w:r>
        <w:t xml:space="preserve"> </w:t>
      </w:r>
      <w:r>
        <w:rPr>
          <w:rStyle w:val="VerbatimChar"/>
        </w:rPr>
        <w:t xml:space="preserve">.github/workflows/security-scan.yml</w:t>
      </w:r>
      <w:r>
        <w:t xml:space="preserve">,</w:t>
      </w:r>
      <w:r>
        <w:t xml:space="preserve"> </w:t>
      </w:r>
      <w:r>
        <w:rPr>
          <w:rStyle w:val="VerbatimChar"/>
        </w:rPr>
        <w:t xml:space="preserve">.github/dependabot.yml</w:t>
      </w:r>
      <w:r>
        <w:t xml:space="preserve">.</w:t>
      </w:r>
      <w:r>
        <w:t xml:space="preserve"> </w:t>
      </w:r>
      <w:r>
        <w:rPr>
          <w:b/>
          <w:bCs/>
        </w:rPr>
        <w:t xml:space="preserve">Annex A:</w:t>
      </w:r>
      <w:r>
        <w:t xml:space="preserve"> </w:t>
      </w:r>
      <w:r>
        <w:t xml:space="preserve">A.8.8, A.8.9 ·</w:t>
      </w:r>
      <w:r>
        <w:t xml:space="preserve"> </w:t>
      </w:r>
      <w:r>
        <w:rPr>
          <w:b/>
          <w:bCs/>
        </w:rPr>
        <w:t xml:space="preserve">SOC 2:</w:t>
      </w:r>
      <w:r>
        <w:t xml:space="preserve"> </w:t>
      </w:r>
      <w:r>
        <w:t xml:space="preserve">CC7.1, CC8.1.</w:t>
      </w:r>
    </w:p>
    <w:bookmarkEnd w:id="30"/>
    <w:bookmarkStart w:id="31" w:name="secure-development-policy"/>
    <w:p>
      <w:pPr>
        <w:pStyle w:val="Heading2"/>
      </w:pPr>
      <w:r>
        <w:t xml:space="preserve">2.8 Secure Development Policy</w:t>
      </w:r>
    </w:p>
    <w:p>
      <w:pPr>
        <w:pStyle w:val="FirstParagraph"/>
      </w:pPr>
      <w:r>
        <w:rPr>
          <w:b/>
          <w:bCs/>
        </w:rPr>
        <w:t xml:space="preserve">Purpose:</w:t>
      </w:r>
      <w:r>
        <w:t xml:space="preserve"> </w:t>
      </w:r>
      <w:r>
        <w:t xml:space="preserve">Build security in.</w:t>
      </w:r>
      <w:r>
        <w:t xml:space="preserve"> </w:t>
      </w:r>
      <w:r>
        <w:rPr>
          <w:b/>
          <w:bCs/>
        </w:rPr>
        <w:t xml:space="preserve">Policy:</w:t>
      </w:r>
      <w:r>
        <w:t xml:space="preserve"> </w:t>
      </w:r>
      <w:r>
        <w:t xml:space="preserve">Security-, privacy-, and compliance-by-design (Doc 09); secure defaults, fail-closed, least privilege, data minimization; threat modeling for significant features; mandatory Code Owner review (CODEOWNERS) for security/privacy-sensitive paths; PR security/compliance checklist (</w:t>
      </w:r>
      <w:r>
        <w:rPr>
          <w:rStyle w:val="VerbatimChar"/>
        </w:rPr>
        <w:t xml:space="preserve">.github/pull_request_template.md</w:t>
      </w:r>
      <w:r>
        <w:t xml:space="preserve">); no secrets in code; separate dev/prod config; source-code access controlled.</w:t>
      </w:r>
      <w:r>
        <w:t xml:space="preserve"> </w:t>
      </w:r>
      <w:r>
        <w:rPr>
          <w:b/>
          <w:bCs/>
        </w:rPr>
        <w:t xml:space="preserve">Annex A:</w:t>
      </w:r>
      <w:r>
        <w:t xml:space="preserve"> </w:t>
      </w:r>
      <w:r>
        <w:t xml:space="preserve">A.8.25, A.8.26, A.8.27, A.8.28, A.8.4, A.8.31 ·</w:t>
      </w:r>
      <w:r>
        <w:t xml:space="preserve"> </w:t>
      </w:r>
      <w:r>
        <w:rPr>
          <w:b/>
          <w:bCs/>
        </w:rPr>
        <w:t xml:space="preserve">SOC 2:</w:t>
      </w:r>
      <w:r>
        <w:t xml:space="preserve"> </w:t>
      </w:r>
      <w:r>
        <w:t xml:space="preserve">CC8.1, CC5.2.</w:t>
      </w:r>
    </w:p>
    <w:bookmarkEnd w:id="31"/>
    <w:bookmarkStart w:id="32" w:name="change-management-policy"/>
    <w:p>
      <w:pPr>
        <w:pStyle w:val="Heading2"/>
      </w:pPr>
      <w:r>
        <w:t xml:space="preserve">2.9 Change Management Policy</w:t>
      </w:r>
    </w:p>
    <w:p>
      <w:pPr>
        <w:pStyle w:val="FirstParagraph"/>
      </w:pPr>
      <w:r>
        <w:rPr>
          <w:b/>
          <w:bCs/>
        </w:rPr>
        <w:t xml:space="preserve">Purpose:</w:t>
      </w:r>
      <w:r>
        <w:t xml:space="preserve"> </w:t>
      </w:r>
      <w:r>
        <w:t xml:space="preserve">Control changes to production.</w:t>
      </w:r>
      <w:r>
        <w:t xml:space="preserve"> </w:t>
      </w:r>
      <w:r>
        <w:rPr>
          <w:b/>
          <w:bCs/>
        </w:rPr>
        <w:t xml:space="preserve">Policy:</w:t>
      </w:r>
      <w:r>
        <w:t xml:space="preserve"> </w:t>
      </w:r>
      <w:r>
        <w:t xml:space="preserve">All changes via version control and pull request; branch protection on</w:t>
      </w:r>
      <w:r>
        <w:t xml:space="preserve"> </w:t>
      </w:r>
      <w:r>
        <w:rPr>
          <w:rStyle w:val="VerbatimChar"/>
        </w:rPr>
        <w:t xml:space="preserve">main</w:t>
      </w:r>
      <w:r>
        <w:t xml:space="preserve"> </w:t>
      </w:r>
      <w:r>
        <w:t xml:space="preserve">(require PR review + Code Owners + passing status checks); segregation of duties (author ≠ approver ≠ deployer per PR template reminder); release approvals and rollback plans; emergency-change process with retroactive review. Full procedure and evidence in</w:t>
      </w:r>
      <w:r>
        <w:t xml:space="preserve"> </w:t>
      </w:r>
      <w:r>
        <w:rPr>
          <w:b/>
          <w:bCs/>
        </w:rPr>
        <w:t xml:space="preserve">Doc 07 (SDLC &amp; Change Management Tracker)</w:t>
      </w:r>
      <w:r>
        <w:t xml:space="preserve">.</w:t>
      </w:r>
      <w:r>
        <w:t xml:space="preserve"> </w:t>
      </w:r>
      <w:r>
        <w:rPr>
          <w:b/>
          <w:bCs/>
        </w:rPr>
        <w:t xml:space="preserve">Annex A:</w:t>
      </w:r>
      <w:r>
        <w:t xml:space="preserve"> </w:t>
      </w:r>
      <w:r>
        <w:t xml:space="preserve">A.8.32, A.8.9, A.5.3 (SoD) ·</w:t>
      </w:r>
      <w:r>
        <w:t xml:space="preserve"> </w:t>
      </w:r>
      <w:r>
        <w:rPr>
          <w:b/>
          <w:bCs/>
        </w:rPr>
        <w:t xml:space="preserve">SOC 2:</w:t>
      </w:r>
      <w:r>
        <w:t xml:space="preserve"> </w:t>
      </w:r>
      <w:r>
        <w:t xml:space="preserve">CC8.1.</w:t>
      </w:r>
    </w:p>
    <w:bookmarkEnd w:id="32"/>
    <w:bookmarkStart w:id="33" w:name="supplier-third-party-management-policy"/>
    <w:p>
      <w:pPr>
        <w:pStyle w:val="Heading2"/>
      </w:pPr>
      <w:r>
        <w:t xml:space="preserve">2.10 Supplier / Third-Party Management Policy</w:t>
      </w:r>
    </w:p>
    <w:p>
      <w:pPr>
        <w:pStyle w:val="FirstParagraph"/>
      </w:pPr>
      <w:r>
        <w:rPr>
          <w:b/>
          <w:bCs/>
        </w:rPr>
        <w:t xml:space="preserve">Purpose:</w:t>
      </w:r>
      <w:r>
        <w:t xml:space="preserve"> </w:t>
      </w:r>
      <w:r>
        <w:t xml:space="preserve">Manage risk from suppliers and sub-processors.</w:t>
      </w:r>
      <w:r>
        <w:t xml:space="preserve"> </w:t>
      </w:r>
      <w:r>
        <w:rPr>
          <w:b/>
          <w:bCs/>
        </w:rPr>
        <w:t xml:space="preserve">Policy:</w:t>
      </w:r>
      <w:r>
        <w:t xml:space="preserve"> </w:t>
      </w:r>
      <w:r>
        <w:t xml:space="preserve">Maintain a supplier register; execute Data Processing Agreements (DPAs) with all processors before data sharing; assess security posture; define data flows and residency; monitor annually.</w:t>
      </w:r>
      <w:r>
        <w:t xml:space="preserve"> </w:t>
      </w:r>
      <w:r>
        <w:t xml:space="preserve">| Supplier | Role | Key controls required |</w:t>
      </w:r>
      <w:r>
        <w:t xml:space="preserve"> </w:t>
      </w:r>
      <w:r>
        <w:t xml:space="preserve">|—|—|—|</w:t>
      </w:r>
      <w:r>
        <w:t xml:space="preserve"> </w:t>
      </w:r>
      <w:r>
        <w:t xml:space="preserve">| Ello / Getello (</w:t>
      </w:r>
      <w:r>
        <w:t xml:space="preserve">“Ruby”</w:t>
      </w:r>
      <w:r>
        <w:t xml:space="preserve"> </w:t>
      </w:r>
      <w:r>
        <w:t xml:space="preserve">voice AI) | Sub-processor of voice/biometric-class + screen data | DPA; redaction of SPDI from</w:t>
      </w:r>
      <w:r>
        <w:t xml:space="preserve"> </w:t>
      </w:r>
      <w:r>
        <w:rPr>
          <w:rStyle w:val="VerbatimChar"/>
        </w:rPr>
        <w:t xml:space="preserve">page_context</w:t>
      </w:r>
      <w:r>
        <w:t xml:space="preserve">; wss/https only; key rotation; retention limits |</w:t>
      </w:r>
      <w:r>
        <w:t xml:space="preserve"> </w:t>
      </w:r>
      <w:r>
        <w:t xml:space="preserve">| Lender partners (banks/NBFCs) | Joint/independent controllers for lending | DPA/data-sharing agreement; consent-gated sharing; localization; KFS |</w:t>
      </w:r>
      <w:r>
        <w:t xml:space="preserve"> </w:t>
      </w:r>
      <w:r>
        <w:t xml:space="preserve">| Render (hosting) | Sub-service organization (infrastructure) | Shared-responsibility; region/residency; encryption-at-rest; carve-out (SOC 2) |</w:t>
      </w:r>
      <w:r>
        <w:t xml:space="preserve"> </w:t>
      </w:r>
      <w:r>
        <w:rPr>
          <w:b/>
          <w:bCs/>
        </w:rPr>
        <w:t xml:space="preserve">Annex A:</w:t>
      </w:r>
      <w:r>
        <w:t xml:space="preserve"> </w:t>
      </w:r>
      <w:r>
        <w:t xml:space="preserve">A.5.19, A.5.20, A.5.21, A.5.22, A.5.23 ·</w:t>
      </w:r>
      <w:r>
        <w:t xml:space="preserve"> </w:t>
      </w:r>
      <w:r>
        <w:rPr>
          <w:b/>
          <w:bCs/>
        </w:rPr>
        <w:t xml:space="preserve">SOC 2:</w:t>
      </w:r>
      <w:r>
        <w:t xml:space="preserve"> </w:t>
      </w:r>
      <w:r>
        <w:t xml:space="preserve">CC9.2, CC3.4.</w:t>
      </w:r>
    </w:p>
    <w:bookmarkEnd w:id="33"/>
    <w:bookmarkStart w:id="34" w:name="incident-response-plan"/>
    <w:p>
      <w:pPr>
        <w:pStyle w:val="Heading2"/>
      </w:pPr>
      <w:r>
        <w:t xml:space="preserve">2.11 Incident Response Plan</w:t>
      </w:r>
    </w:p>
    <w:p>
      <w:pPr>
        <w:pStyle w:val="FirstParagraph"/>
      </w:pPr>
      <w:r>
        <w:rPr>
          <w:b/>
          <w:bCs/>
        </w:rPr>
        <w:t xml:space="preserve">Purpose:</w:t>
      </w:r>
      <w:r>
        <w:t xml:space="preserve"> </w:t>
      </w:r>
      <w:r>
        <w:t xml:space="preserve">Detect, respond to, and report security incidents.</w:t>
      </w:r>
      <w:r>
        <w:t xml:space="preserve"> </w:t>
      </w:r>
      <w:r>
        <w:rPr>
          <w:b/>
          <w:bCs/>
        </w:rPr>
        <w:t xml:space="preserve">Severity levels:</w:t>
      </w:r>
      <w:r>
        <w:t xml:space="preserve"> </w:t>
      </w:r>
      <w:r>
        <w:rPr>
          <w:b/>
          <w:bCs/>
        </w:rPr>
        <w:t xml:space="preserve">SEV-1</w:t>
      </w:r>
      <w:r>
        <w:t xml:space="preserve"> </w:t>
      </w:r>
      <w:r>
        <w:t xml:space="preserve">(confirmed SPDI/personal-data breach or system compromise) ·</w:t>
      </w:r>
      <w:r>
        <w:t xml:space="preserve"> </w:t>
      </w:r>
      <w:r>
        <w:rPr>
          <w:b/>
          <w:bCs/>
        </w:rPr>
        <w:t xml:space="preserve">SEV-2</w:t>
      </w:r>
      <w:r>
        <w:t xml:space="preserve"> </w:t>
      </w:r>
      <w:r>
        <w:t xml:space="preserve">(significant security event, limited exposure) ·</w:t>
      </w:r>
      <w:r>
        <w:t xml:space="preserve"> </w:t>
      </w:r>
      <w:r>
        <w:rPr>
          <w:b/>
          <w:bCs/>
        </w:rPr>
        <w:t xml:space="preserve">SEV-3</w:t>
      </w:r>
      <w:r>
        <w:t xml:space="preserve"> </w:t>
      </w:r>
      <w:r>
        <w:t xml:space="preserve">(minor/potential) ·</w:t>
      </w:r>
      <w:r>
        <w:t xml:space="preserve"> </w:t>
      </w:r>
      <w:r>
        <w:rPr>
          <w:b/>
          <w:bCs/>
        </w:rPr>
        <w:t xml:space="preserve">SEV-4</w:t>
      </w:r>
      <w:r>
        <w:t xml:space="preserve"> </w:t>
      </w:r>
      <w:r>
        <w:t xml:space="preserve">(informational).</w:t>
      </w:r>
      <w:r>
        <w:t xml:space="preserve"> </w:t>
      </w:r>
      <w:r>
        <w:rPr>
          <w:b/>
          <w:bCs/>
        </w:rPr>
        <w:t xml:space="preserve">Steps:</w:t>
      </w:r>
      <w:r>
        <w:t xml:space="preserve"> </w:t>
      </w:r>
      <w:r>
        <w:t xml:space="preserve">Detect → Triage &amp; classify → Contain → Eradicate → Recover → Notify → Post-incident review (CAPA).</w:t>
      </w:r>
      <w:r>
        <w:t xml:space="preserve"> </w:t>
      </w:r>
      <w:r>
        <w:rPr>
          <w:b/>
          <w:bCs/>
        </w:rPr>
        <w:t xml:space="preserve">Regulatory notification:</w:t>
      </w:r>
      <w:r>
        <w:t xml:space="preserve"> </w:t>
      </w:r>
      <w:r>
        <w:t xml:space="preserve">report to</w:t>
      </w:r>
      <w:r>
        <w:t xml:space="preserve"> </w:t>
      </w:r>
      <w:r>
        <w:rPr>
          <w:b/>
          <w:bCs/>
        </w:rPr>
        <w:t xml:space="preserve">CERT-In within 6 hours</w:t>
      </w:r>
      <w:r>
        <w:t xml:space="preserve"> </w:t>
      </w:r>
      <w:r>
        <w:t xml:space="preserve">of noticing a reportable cyber incident; for personal-data breaches, notify the</w:t>
      </w:r>
      <w:r>
        <w:t xml:space="preserve"> </w:t>
      </w:r>
      <w:r>
        <w:rPr>
          <w:b/>
          <w:bCs/>
        </w:rPr>
        <w:t xml:space="preserve">Data Protection Board and affected data principals per the DPDP Act 2023</w:t>
      </w:r>
      <w:r>
        <w:t xml:space="preserve"> </w:t>
      </w:r>
      <w:r>
        <w:t xml:space="preserve">without undue delay; grievance officer informs affected borrowers. Contacts and reporting channel are in</w:t>
      </w:r>
      <w:r>
        <w:t xml:space="preserve"> </w:t>
      </w:r>
      <w:r>
        <w:rPr>
          <w:rStyle w:val="VerbatimChar"/>
        </w:rPr>
        <w:t xml:space="preserve">SECURITY.md</w:t>
      </w:r>
      <w:r>
        <w:t xml:space="preserve">. Annual tabletop drills.</w:t>
      </w:r>
      <w:r>
        <w:t xml:space="preserve"> </w:t>
      </w:r>
      <w:r>
        <w:rPr>
          <w:b/>
          <w:bCs/>
        </w:rPr>
        <w:t xml:space="preserve">Annex A:</w:t>
      </w:r>
      <w:r>
        <w:t xml:space="preserve"> </w:t>
      </w:r>
      <w:r>
        <w:t xml:space="preserve">A.5.24, A.5.25, A.5.26, A.5.27, A.5.28, A.6.8 ·</w:t>
      </w:r>
      <w:r>
        <w:t xml:space="preserve"> </w:t>
      </w:r>
      <w:r>
        <w:rPr>
          <w:b/>
          <w:bCs/>
        </w:rPr>
        <w:t xml:space="preserve">SOC 2:</w:t>
      </w:r>
      <w:r>
        <w:t xml:space="preserve"> </w:t>
      </w:r>
      <w:r>
        <w:t xml:space="preserve">CC7.3, CC7.4, CC7.5.</w:t>
      </w:r>
    </w:p>
    <w:bookmarkEnd w:id="34"/>
    <w:bookmarkStart w:id="35" w:name="X90bf2ad6638b6de8a20ce4b32f9847cf48ba534"/>
    <w:p>
      <w:pPr>
        <w:pStyle w:val="Heading2"/>
      </w:pPr>
      <w:r>
        <w:t xml:space="preserve">2.12 Business Continuity &amp; Disaster Recovery Policy</w:t>
      </w:r>
    </w:p>
    <w:p>
      <w:pPr>
        <w:pStyle w:val="FirstParagraph"/>
      </w:pPr>
      <w:r>
        <w:rPr>
          <w:b/>
          <w:bCs/>
        </w:rPr>
        <w:t xml:space="preserve">Purpose:</w:t>
      </w:r>
      <w:r>
        <w:t xml:space="preserve"> </w:t>
      </w:r>
      <w:r>
        <w:t xml:space="preserve">Maintain/restore service after disruption.</w:t>
      </w:r>
      <w:r>
        <w:t xml:space="preserve"> </w:t>
      </w:r>
      <w:r>
        <w:rPr>
          <w:b/>
          <w:bCs/>
        </w:rPr>
        <w:t xml:space="preserve">Policy:</w:t>
      </w:r>
      <w:r>
        <w:t xml:space="preserve"> </w:t>
      </w:r>
      <w:r>
        <w:t xml:space="preserve">Documented BCDR with defined</w:t>
      </w:r>
      <w:r>
        <w:t xml:space="preserve"> </w:t>
      </w:r>
      <w:r>
        <w:rPr>
          <w:b/>
          <w:bCs/>
        </w:rPr>
        <w:t xml:space="preserve">RTO ≤ 4 hours</w:t>
      </w:r>
      <w:r>
        <w:t xml:space="preserve"> </w:t>
      </w:r>
      <w:r>
        <w:t xml:space="preserve">and</w:t>
      </w:r>
      <w:r>
        <w:t xml:space="preserve"> </w:t>
      </w:r>
      <w:r>
        <w:rPr>
          <w:b/>
          <w:bCs/>
        </w:rPr>
        <w:t xml:space="preserve">RPO ≤ 1 hour</w:t>
      </w:r>
      <w:r>
        <w:t xml:space="preserve"> </w:t>
      </w:r>
      <w:r>
        <w:t xml:space="preserve">for the core lending API and database (targets; validated by restore tests); redundant cloud infrastructure; encrypted off-instance backups (§2.5); annual DR test; dependency on cloud-provider availability documented in the shared-responsibility model.</w:t>
      </w:r>
      <w:r>
        <w:t xml:space="preserve"> </w:t>
      </w:r>
      <w:r>
        <w:rPr>
          <w:b/>
          <w:bCs/>
        </w:rPr>
        <w:t xml:space="preserve">Annex A:</w:t>
      </w:r>
      <w:r>
        <w:t xml:space="preserve"> </w:t>
      </w:r>
      <w:r>
        <w:t xml:space="preserve">A.5.29, A.5.30, A.8.14 ·</w:t>
      </w:r>
      <w:r>
        <w:t xml:space="preserve"> </w:t>
      </w:r>
      <w:r>
        <w:rPr>
          <w:b/>
          <w:bCs/>
        </w:rPr>
        <w:t xml:space="preserve">SOC 2:</w:t>
      </w:r>
      <w:r>
        <w:t xml:space="preserve"> </w:t>
      </w:r>
      <w:r>
        <w:t xml:space="preserve">A1.1, A1.2, A1.3.</w:t>
      </w:r>
    </w:p>
    <w:bookmarkEnd w:id="35"/>
    <w:bookmarkStart w:id="36" w:name="hr-security-policy"/>
    <w:p>
      <w:pPr>
        <w:pStyle w:val="Heading2"/>
      </w:pPr>
      <w:r>
        <w:t xml:space="preserve">2.13 HR Security Policy</w:t>
      </w:r>
    </w:p>
    <w:p>
      <w:pPr>
        <w:pStyle w:val="FirstParagraph"/>
      </w:pPr>
      <w:r>
        <w:rPr>
          <w:b/>
          <w:bCs/>
        </w:rPr>
        <w:t xml:space="preserve">Purpose:</w:t>
      </w:r>
      <w:r>
        <w:t xml:space="preserve"> </w:t>
      </w:r>
      <w:r>
        <w:t xml:space="preserve">Reduce personnel risk.</w:t>
      </w:r>
      <w:r>
        <w:t xml:space="preserve"> </w:t>
      </w:r>
      <w:r>
        <w:rPr>
          <w:b/>
          <w:bCs/>
        </w:rPr>
        <w:t xml:space="preserve">Policy:</w:t>
      </w:r>
      <w:r>
        <w:t xml:space="preserve"> </w:t>
      </w:r>
      <w:r>
        <w:t xml:space="preserve">Background/reference screening before hire (proportionate to role and law); signed NDA and acceptable-use acknowledgment at onboarding; role-based access provisioning; security &amp; privacy training on hire; disciplinary process for violations; offboarding checklist revokes all access and recovers assets within 24h.</w:t>
      </w:r>
      <w:r>
        <w:t xml:space="preserve"> </w:t>
      </w:r>
      <w:r>
        <w:rPr>
          <w:b/>
          <w:bCs/>
        </w:rPr>
        <w:t xml:space="preserve">Annex A:</w:t>
      </w:r>
      <w:r>
        <w:t xml:space="preserve"> </w:t>
      </w:r>
      <w:r>
        <w:t xml:space="preserve">A.6.1, A.6.2, A.6.4, A.6.5, A.6.6 ·</w:t>
      </w:r>
      <w:r>
        <w:t xml:space="preserve"> </w:t>
      </w:r>
      <w:r>
        <w:rPr>
          <w:b/>
          <w:bCs/>
        </w:rPr>
        <w:t xml:space="preserve">SOC 2:</w:t>
      </w:r>
      <w:r>
        <w:t xml:space="preserve"> </w:t>
      </w:r>
      <w:r>
        <w:t xml:space="preserve">CC1.4, CC1.5.</w:t>
      </w:r>
    </w:p>
    <w:bookmarkEnd w:id="36"/>
    <w:bookmarkStart w:id="37" w:name="acceptable-use-policy"/>
    <w:p>
      <w:pPr>
        <w:pStyle w:val="Heading2"/>
      </w:pPr>
      <w:r>
        <w:t xml:space="preserve">2.14 Acceptable Use Policy</w:t>
      </w:r>
    </w:p>
    <w:p>
      <w:pPr>
        <w:pStyle w:val="FirstParagraph"/>
      </w:pPr>
      <w:r>
        <w:rPr>
          <w:b/>
          <w:bCs/>
        </w:rPr>
        <w:t xml:space="preserve">Purpose:</w:t>
      </w:r>
      <w:r>
        <w:t xml:space="preserve"> </w:t>
      </w:r>
      <w:r>
        <w:t xml:space="preserve">Define acceptable use of assets and data.</w:t>
      </w:r>
      <w:r>
        <w:t xml:space="preserve"> </w:t>
      </w:r>
      <w:r>
        <w:rPr>
          <w:b/>
          <w:bCs/>
        </w:rPr>
        <w:t xml:space="preserve">Policy:</w:t>
      </w:r>
      <w:r>
        <w:t xml:space="preserve"> </w:t>
      </w:r>
      <w:r>
        <w:t xml:space="preserve">Assets used for authorized business only; no storage of production SPDI on local devices; approved tools only; no sharing of credentials; report suspected misuse; comply with all policies in this manual.</w:t>
      </w:r>
      <w:r>
        <w:t xml:space="preserve"> </w:t>
      </w:r>
      <w:r>
        <w:rPr>
          <w:b/>
          <w:bCs/>
        </w:rPr>
        <w:t xml:space="preserve">Annex A:</w:t>
      </w:r>
      <w:r>
        <w:t xml:space="preserve"> </w:t>
      </w:r>
      <w:r>
        <w:t xml:space="preserve">A.5.10, A.8.1 ·</w:t>
      </w:r>
      <w:r>
        <w:t xml:space="preserve"> </w:t>
      </w:r>
      <w:r>
        <w:rPr>
          <w:b/>
          <w:bCs/>
        </w:rPr>
        <w:t xml:space="preserve">SOC 2:</w:t>
      </w:r>
      <w:r>
        <w:t xml:space="preserve"> </w:t>
      </w:r>
      <w:r>
        <w:t xml:space="preserve">CC1.1, CC2.2.</w:t>
      </w:r>
    </w:p>
    <w:bookmarkEnd w:id="37"/>
    <w:bookmarkStart w:id="38" w:name="password-authentication-policy"/>
    <w:p>
      <w:pPr>
        <w:pStyle w:val="Heading2"/>
      </w:pPr>
      <w:r>
        <w:t xml:space="preserve">2.15 Password &amp; Authentication Policy</w:t>
      </w:r>
    </w:p>
    <w:p>
      <w:pPr>
        <w:pStyle w:val="FirstParagraph"/>
      </w:pPr>
      <w:r>
        <w:rPr>
          <w:b/>
          <w:bCs/>
        </w:rPr>
        <w:t xml:space="preserve">Purpose:</w:t>
      </w:r>
      <w:r>
        <w:t xml:space="preserve"> </w:t>
      </w:r>
      <w:r>
        <w:t xml:space="preserve">Ensure strong authentication.</w:t>
      </w:r>
      <w:r>
        <w:t xml:space="preserve"> </w:t>
      </w:r>
      <w:r>
        <w:rPr>
          <w:b/>
          <w:bCs/>
        </w:rPr>
        <w:t xml:space="preserve">Policy:</w:t>
      </w:r>
      <w:r>
        <w:t xml:space="preserve"> </w:t>
      </w:r>
      <w:r>
        <w:t xml:space="preserve">No default/shared credentials (remediating C4); enforced password complexity and bcrypt storage; MFA for admin/privileged and remote access; OTP hashed and short-lived with demo/fixed-OTP bypass disabled in production (remediating C3); session tokens with rotation and secure storage (httpOnly cookies for admin — remediating C11); lockout on repeated failures.</w:t>
      </w:r>
      <w:r>
        <w:t xml:space="preserve"> </w:t>
      </w:r>
      <w:r>
        <w:rPr>
          <w:b/>
          <w:bCs/>
        </w:rPr>
        <w:t xml:space="preserve">Annex A:</w:t>
      </w:r>
      <w:r>
        <w:t xml:space="preserve"> </w:t>
      </w:r>
      <w:r>
        <w:t xml:space="preserve">A.5.17, A.8.5 ·</w:t>
      </w:r>
      <w:r>
        <w:t xml:space="preserve"> </w:t>
      </w:r>
      <w:r>
        <w:rPr>
          <w:b/>
          <w:bCs/>
        </w:rPr>
        <w:t xml:space="preserve">SOC 2:</w:t>
      </w:r>
      <w:r>
        <w:t xml:space="preserve"> </w:t>
      </w:r>
      <w:r>
        <w:t xml:space="preserve">CC6.1.</w:t>
      </w:r>
    </w:p>
    <w:bookmarkEnd w:id="38"/>
    <w:bookmarkStart w:id="39" w:name="remote-working-policy"/>
    <w:p>
      <w:pPr>
        <w:pStyle w:val="Heading2"/>
      </w:pPr>
      <w:r>
        <w:t xml:space="preserve">2.16 Remote Working Policy</w:t>
      </w:r>
    </w:p>
    <w:p>
      <w:pPr>
        <w:pStyle w:val="FirstParagraph"/>
      </w:pPr>
      <w:r>
        <w:rPr>
          <w:b/>
          <w:bCs/>
        </w:rPr>
        <w:t xml:space="preserve">Purpose:</w:t>
      </w:r>
      <w:r>
        <w:t xml:space="preserve"> </w:t>
      </w:r>
      <w:r>
        <w:t xml:space="preserve">Secure work outside the office.</w:t>
      </w:r>
      <w:r>
        <w:t xml:space="preserve"> </w:t>
      </w:r>
      <w:r>
        <w:rPr>
          <w:b/>
          <w:bCs/>
        </w:rPr>
        <w:t xml:space="preserve">Policy:</w:t>
      </w:r>
      <w:r>
        <w:t xml:space="preserve"> </w:t>
      </w:r>
      <w:r>
        <w:t xml:space="preserve">Company-managed or hardened endpoints; full-disk encryption; VPN/secure access for admin functions; no public/unsecured networks for production access; screen lock; comply with data-classification handling.</w:t>
      </w:r>
      <w:r>
        <w:t xml:space="preserve"> </w:t>
      </w:r>
      <w:r>
        <w:rPr>
          <w:b/>
          <w:bCs/>
        </w:rPr>
        <w:t xml:space="preserve">Annex A:</w:t>
      </w:r>
      <w:r>
        <w:t xml:space="preserve"> </w:t>
      </w:r>
      <w:r>
        <w:t xml:space="preserve">A.6.7, A.8.1 ·</w:t>
      </w:r>
      <w:r>
        <w:t xml:space="preserve"> </w:t>
      </w:r>
      <w:r>
        <w:rPr>
          <w:b/>
          <w:bCs/>
        </w:rPr>
        <w:t xml:space="preserve">SOC 2:</w:t>
      </w:r>
      <w:r>
        <w:t xml:space="preserve"> </w:t>
      </w:r>
      <w:r>
        <w:t xml:space="preserve">CC6.6, CC6.7.</w:t>
      </w:r>
    </w:p>
    <w:bookmarkEnd w:id="39"/>
    <w:bookmarkStart w:id="40" w:name="Xd0223a85cdad7a31ab6b745577d512ee6dc1ecb"/>
    <w:p>
      <w:pPr>
        <w:pStyle w:val="Heading2"/>
      </w:pPr>
      <w:r>
        <w:t xml:space="preserve">2.17 Physical &amp; Environmental Security Policy (cloud-provider inherited)</w:t>
      </w:r>
    </w:p>
    <w:p>
      <w:pPr>
        <w:pStyle w:val="FirstParagraph"/>
      </w:pPr>
      <w:r>
        <w:rPr>
          <w:b/>
          <w:bCs/>
        </w:rPr>
        <w:t xml:space="preserve">Purpose:</w:t>
      </w:r>
      <w:r>
        <w:t xml:space="preserve"> </w:t>
      </w:r>
      <w:r>
        <w:t xml:space="preserve">Protect physical facilities and equipment.</w:t>
      </w:r>
      <w:r>
        <w:t xml:space="preserve"> </w:t>
      </w:r>
      <w:r>
        <w:rPr>
          <w:b/>
          <w:bCs/>
        </w:rPr>
        <w:t xml:space="preserve">Policy:</w:t>
      </w:r>
      <w:r>
        <w:t xml:space="preserve"> </w:t>
      </w:r>
      <w:r>
        <w:t xml:space="preserve">Data-center physical and environmental controls (secure areas, power, fire, media handling) are</w:t>
      </w:r>
      <w:r>
        <w:t xml:space="preserve"> </w:t>
      </w:r>
      <w:r>
        <w:rPr>
          <w:b/>
          <w:bCs/>
        </w:rPr>
        <w:t xml:space="preserve">inherited from the cloud/hosting provider (Render)</w:t>
      </w:r>
      <w:r>
        <w:t xml:space="preserve"> </w:t>
      </w:r>
      <w:r>
        <w:t xml:space="preserve">and validated via the provider’s certifications/attestations — treated as a</w:t>
      </w:r>
      <w:r>
        <w:t xml:space="preserve"> </w:t>
      </w:r>
      <w:r>
        <w:rPr>
          <w:b/>
          <w:bCs/>
        </w:rPr>
        <w:t xml:space="preserve">carve-out sub-service organization</w:t>
      </w:r>
      <w:r>
        <w:t xml:space="preserve"> </w:t>
      </w:r>
      <w:r>
        <w:t xml:space="preserve">for SOC 2. Office endpoints follow endpoint and acceptable-use controls; media containing SPDI is securely wiped or destroyed before disposal.</w:t>
      </w:r>
      <w:r>
        <w:t xml:space="preserve"> </w:t>
      </w:r>
      <w:r>
        <w:rPr>
          <w:b/>
          <w:bCs/>
        </w:rPr>
        <w:t xml:space="preserve">Annex A:</w:t>
      </w:r>
      <w:r>
        <w:t xml:space="preserve"> </w:t>
      </w:r>
      <w:r>
        <w:t xml:space="preserve">A.7.1–A.7.14 (inherited where cloud), A.7.10 (media), A.7.14 (secure disposal) ·</w:t>
      </w:r>
      <w:r>
        <w:t xml:space="preserve"> </w:t>
      </w:r>
      <w:r>
        <w:rPr>
          <w:b/>
          <w:bCs/>
        </w:rPr>
        <w:t xml:space="preserve">SOC 2:</w:t>
      </w:r>
      <w:r>
        <w:t xml:space="preserve"> </w:t>
      </w:r>
      <w:r>
        <w:t xml:space="preserve">CC6.4, CC6.5.</w:t>
      </w:r>
    </w:p>
    <w:bookmarkEnd w:id="40"/>
    <w:bookmarkStart w:id="41" w:name="asset-management-policy"/>
    <w:p>
      <w:pPr>
        <w:pStyle w:val="Heading2"/>
      </w:pPr>
      <w:r>
        <w:t xml:space="preserve">2.18 Asset Management Policy</w:t>
      </w:r>
    </w:p>
    <w:p>
      <w:pPr>
        <w:pStyle w:val="FirstParagraph"/>
      </w:pPr>
      <w:r>
        <w:rPr>
          <w:b/>
          <w:bCs/>
        </w:rPr>
        <w:t xml:space="preserve">Purpose:</w:t>
      </w:r>
      <w:r>
        <w:t xml:space="preserve"> </w:t>
      </w:r>
      <w:r>
        <w:t xml:space="preserve">Know and protect assets.</w:t>
      </w:r>
      <w:r>
        <w:t xml:space="preserve"> </w:t>
      </w:r>
      <w:r>
        <w:rPr>
          <w:b/>
          <w:bCs/>
        </w:rPr>
        <w:t xml:space="preserve">Policy:</w:t>
      </w:r>
      <w:r>
        <w:t xml:space="preserve"> </w:t>
      </w:r>
      <w:r>
        <w:t xml:space="preserve">Maintain an inventory of information assets, systems, repositories, and data stores with assigned owners and classification; ownership enforced via CODEOWNERS; assets returned on offboarding; acceptable-use rules apply; source code protected (A.8.4) and IP asserted via</w:t>
      </w:r>
      <w:r>
        <w:t xml:space="preserve"> </w:t>
      </w:r>
      <w:r>
        <w:rPr>
          <w:rStyle w:val="VerbatimChar"/>
        </w:rPr>
        <w:t xml:space="preserve">LICENSE</w:t>
      </w:r>
      <w:r>
        <w:t xml:space="preserve">.</w:t>
      </w:r>
      <w:r>
        <w:t xml:space="preserve"> </w:t>
      </w:r>
      <w:r>
        <w:rPr>
          <w:b/>
          <w:bCs/>
        </w:rPr>
        <w:t xml:space="preserve">Annex A:</w:t>
      </w:r>
      <w:r>
        <w:t xml:space="preserve"> </w:t>
      </w:r>
      <w:r>
        <w:t xml:space="preserve">A.5.9, A.5.10, A.5.11, A.5.32 (IP), A.8.4 ·</w:t>
      </w:r>
      <w:r>
        <w:t xml:space="preserve"> </w:t>
      </w:r>
      <w:r>
        <w:rPr>
          <w:b/>
          <w:bCs/>
        </w:rPr>
        <w:t xml:space="preserve">SOC 2:</w:t>
      </w:r>
      <w:r>
        <w:t xml:space="preserve"> </w:t>
      </w:r>
      <w:r>
        <w:t xml:space="preserve">CC6.1, CC3.2.</w:t>
      </w:r>
    </w:p>
    <w:p>
      <w:r>
        <w:pict>
          <v:rect style="width:0;height:1.5pt" o:hralign="center" o:hrstd="t" o:hr="t"/>
        </w:pict>
      </w:r>
    </w:p>
    <w:bookmarkEnd w:id="41"/>
    <w:bookmarkEnd w:id="42"/>
    <w:bookmarkStart w:id="48" w:name="X2c65da02011c5154e4370fa321df4558d70af5a"/>
    <w:p>
      <w:pPr>
        <w:pStyle w:val="Heading1"/>
      </w:pPr>
      <w:r>
        <w:t xml:space="preserve">§3 Privacy Management (DPDP Act 2023 · ISO/IEC 27701)</w:t>
      </w:r>
    </w:p>
    <w:bookmarkStart w:id="43" w:name="privacy-policy-notice-summary"/>
    <w:p>
      <w:pPr>
        <w:pStyle w:val="Heading2"/>
      </w:pPr>
      <w:r>
        <w:t xml:space="preserve">3.1 Privacy Policy &amp; Notice (summary)</w:t>
      </w:r>
    </w:p>
    <w:p>
      <w:pPr>
        <w:pStyle w:val="FirstParagraph"/>
      </w:pPr>
      <w:r>
        <w:t xml:space="preserve">SwiftLoan acts as a</w:t>
      </w:r>
      <w:r>
        <w:t xml:space="preserve"> </w:t>
      </w:r>
      <w:r>
        <w:rPr>
          <w:b/>
          <w:bCs/>
        </w:rPr>
        <w:t xml:space="preserve">Data Fiduciary</w:t>
      </w:r>
      <w:r>
        <w:t xml:space="preserve"> </w:t>
      </w:r>
      <w:r>
        <w:t xml:space="preserve">(and, for lender-directed processing, a processor/joint arrangement). The privacy notice discloses: identity and contact of the fiduciary and</w:t>
      </w:r>
      <w:r>
        <w:t xml:space="preserve"> </w:t>
      </w:r>
      <w:r>
        <w:rPr>
          <w:b/>
          <w:bCs/>
        </w:rPr>
        <w:t xml:space="preserve">DPO/Grievance Officer</w:t>
      </w:r>
      <w:r>
        <w:t xml:space="preserve">; categories of personal data collected (phone, name, DOB, income, PAN, Aadhaar last-4, bank last-4, email/pincode, credit score, voice via Ello); purposes (loan discovery, KYC facilitation, lender matching, communications); legal basis (consent / legitimate use / legal obligation); recipients (lender partners, Ello sub-processor); retention (per §2.4); cross-border transfer posture; and data-principal rights and how to exercise them. Notice is presented before/at collection in clear language.</w:t>
      </w:r>
      <w:r>
        <w:t xml:space="preserve"> </w:t>
      </w:r>
      <w:r>
        <w:rPr>
          <w:b/>
          <w:bCs/>
        </w:rPr>
        <w:t xml:space="preserve">Maps to:</w:t>
      </w:r>
      <w:r>
        <w:t xml:space="preserve"> </w:t>
      </w:r>
      <w:r>
        <w:t xml:space="preserve">DPDP §5 (notice), §6 (consent) · ISO 27701 clauses on notice ·</w:t>
      </w:r>
      <w:r>
        <w:t xml:space="preserve"> </w:t>
      </w:r>
      <w:r>
        <w:rPr>
          <w:b/>
          <w:bCs/>
        </w:rPr>
        <w:t xml:space="preserve">Annex A</w:t>
      </w:r>
      <w:r>
        <w:t xml:space="preserve"> </w:t>
      </w:r>
      <w:r>
        <w:t xml:space="preserve">A.5.34 ·</w:t>
      </w:r>
      <w:r>
        <w:t xml:space="preserve"> </w:t>
      </w:r>
      <w:r>
        <w:rPr>
          <w:b/>
          <w:bCs/>
        </w:rPr>
        <w:t xml:space="preserve">SOC 2</w:t>
      </w:r>
      <w:r>
        <w:t xml:space="preserve"> </w:t>
      </w:r>
      <w:r>
        <w:t xml:space="preserve">P1, P2.</w:t>
      </w:r>
    </w:p>
    <w:bookmarkEnd w:id="43"/>
    <w:bookmarkStart w:id="44" w:name="consent-management"/>
    <w:p>
      <w:pPr>
        <w:pStyle w:val="Heading2"/>
      </w:pPr>
      <w:r>
        <w:t xml:space="preserve">3.2 Consent Management</w:t>
      </w:r>
    </w:p>
    <w:p>
      <w:pPr>
        <w:pStyle w:val="FirstParagraph"/>
      </w:pPr>
      <w:r>
        <w:t xml:space="preserve">Consent is</w:t>
      </w:r>
      <w:r>
        <w:t xml:space="preserve"> </w:t>
      </w:r>
      <w:r>
        <w:rPr>
          <w:b/>
          <w:bCs/>
        </w:rPr>
        <w:t xml:space="preserve">free, specific, informed, unambiguous, and withdrawable</w:t>
      </w:r>
      <w:r>
        <w:t xml:space="preserve">. The</w:t>
      </w:r>
      <w:r>
        <w:t xml:space="preserve"> </w:t>
      </w:r>
      <w:r>
        <w:rPr>
          <w:rStyle w:val="VerbatimChar"/>
        </w:rPr>
        <w:t xml:space="preserve">Consent</w:t>
      </w:r>
      <w:r>
        <w:t xml:space="preserve"> </w:t>
      </w:r>
      <w:r>
        <w:t xml:space="preserve">model (terms / soft_pull / data_sharing / communications) is the record of consent. Consent must be captured and</w:t>
      </w:r>
      <w:r>
        <w:t xml:space="preserve"> </w:t>
      </w:r>
      <w:r>
        <w:rPr>
          <w:b/>
          <w:bCs/>
        </w:rPr>
        <w:t xml:space="preserve">checked before any partner/CIBIL bureau share or voice processing</w:t>
      </w:r>
      <w:r>
        <w:t xml:space="preserve"> </w:t>
      </w:r>
      <w:r>
        <w:t xml:space="preserve">(end-to-end wiring is a P1 remediation). Withdrawal is as easy as granting; withdrawal stops further processing and triggers retention/erasure where applicable.</w:t>
      </w:r>
      <w:r>
        <w:t xml:space="preserve"> </w:t>
      </w:r>
      <w:r>
        <w:rPr>
          <w:b/>
          <w:bCs/>
        </w:rPr>
        <w:t xml:space="preserve">Maps to:</w:t>
      </w:r>
      <w:r>
        <w:t xml:space="preserve"> </w:t>
      </w:r>
      <w:r>
        <w:t xml:space="preserve">DPDP §6, §7 (withdrawal), CICRA (bureau-pull consent) ·</w:t>
      </w:r>
      <w:r>
        <w:t xml:space="preserve"> </w:t>
      </w:r>
      <w:r>
        <w:rPr>
          <w:b/>
          <w:bCs/>
        </w:rPr>
        <w:t xml:space="preserve">Annex A</w:t>
      </w:r>
      <w:r>
        <w:t xml:space="preserve"> </w:t>
      </w:r>
      <w:r>
        <w:t xml:space="preserve">A.5.34 ·</w:t>
      </w:r>
      <w:r>
        <w:t xml:space="preserve"> </w:t>
      </w:r>
      <w:r>
        <w:rPr>
          <w:b/>
          <w:bCs/>
        </w:rPr>
        <w:t xml:space="preserve">SOC 2</w:t>
      </w:r>
      <w:r>
        <w:t xml:space="preserve"> </w:t>
      </w:r>
      <w:r>
        <w:t xml:space="preserve">P2, P3.</w:t>
      </w:r>
    </w:p>
    <w:bookmarkEnd w:id="44"/>
    <w:bookmarkStart w:id="45" w:name="dsar-data-principal-rights-procedure"/>
    <w:p>
      <w:pPr>
        <w:pStyle w:val="Heading2"/>
      </w:pPr>
      <w:r>
        <w:t xml:space="preserve">3.3 DSAR / Data-Principal-Rights procedure</w:t>
      </w:r>
    </w:p>
    <w:p>
      <w:pPr>
        <w:pStyle w:val="FirstParagraph"/>
      </w:pPr>
      <w:r>
        <w:t xml:space="preserve">Rights supported:</w:t>
      </w:r>
      <w:r>
        <w:t xml:space="preserve"> </w:t>
      </w:r>
      <w:r>
        <w:rPr>
          <w:b/>
          <w:bCs/>
        </w:rPr>
        <w:t xml:space="preserve">access, correction, completion, update, erasure, and grievance redressal</w:t>
      </w:r>
      <w:r>
        <w:t xml:space="preserve">; nomination per DPDP. Procedure: authenticate requester → log request → fulfill within the DPDP timeline → cover</w:t>
      </w:r>
      <w:r>
        <w:t xml:space="preserve"> </w:t>
      </w:r>
      <w:r>
        <w:rPr>
          <w:b/>
          <w:bCs/>
        </w:rPr>
        <w:t xml:space="preserve">all</w:t>
      </w:r>
      <w:r>
        <w:t xml:space="preserve"> </w:t>
      </w:r>
      <w:r>
        <w:t xml:space="preserve">stores including orphan PII (leads, ContextSession) and write to</w:t>
      </w:r>
      <w:r>
        <w:t xml:space="preserve"> </w:t>
      </w:r>
      <w:r>
        <w:rPr>
          <w:rStyle w:val="VerbatimChar"/>
        </w:rPr>
        <w:t xml:space="preserve">AuditLog</w:t>
      </w:r>
      <w:r>
        <w:t xml:space="preserve">. Current state: only user self-delete exists (</w:t>
      </w:r>
      <w:r>
        <w:rPr>
          <w:rStyle w:val="VerbatimChar"/>
        </w:rPr>
        <w:t xml:space="preserve">DELETE /me</w:t>
      </w:r>
      <w:r>
        <w:t xml:space="preserve">); export/correct/erase for leads/context and audit logging are</w:t>
      </w:r>
      <w:r>
        <w:t xml:space="preserve"> </w:t>
      </w:r>
      <w:r>
        <w:rPr>
          <w:b/>
          <w:bCs/>
        </w:rPr>
        <w:t xml:space="preserve">P2 remediations (C10)</w:t>
      </w:r>
      <w:r>
        <w:t xml:space="preserve">. Grievance Officer is the escalation and DPDP contact point.</w:t>
      </w:r>
      <w:r>
        <w:t xml:space="preserve"> </w:t>
      </w:r>
      <w:r>
        <w:rPr>
          <w:b/>
          <w:bCs/>
        </w:rPr>
        <w:t xml:space="preserve">Maps to:</w:t>
      </w:r>
      <w:r>
        <w:t xml:space="preserve"> </w:t>
      </w:r>
      <w:r>
        <w:t xml:space="preserve">DPDP §11–§13 (rights, grievance) ·</w:t>
      </w:r>
      <w:r>
        <w:t xml:space="preserve"> </w:t>
      </w:r>
      <w:r>
        <w:rPr>
          <w:b/>
          <w:bCs/>
        </w:rPr>
        <w:t xml:space="preserve">Annex A</w:t>
      </w:r>
      <w:r>
        <w:t xml:space="preserve"> </w:t>
      </w:r>
      <w:r>
        <w:t xml:space="preserve">A.5.34 ·</w:t>
      </w:r>
      <w:r>
        <w:t xml:space="preserve"> </w:t>
      </w:r>
      <w:r>
        <w:rPr>
          <w:b/>
          <w:bCs/>
        </w:rPr>
        <w:t xml:space="preserve">SOC 2</w:t>
      </w:r>
      <w:r>
        <w:t xml:space="preserve"> </w:t>
      </w:r>
      <w:r>
        <w:t xml:space="preserve">P5, P6, P7.</w:t>
      </w:r>
    </w:p>
    <w:bookmarkEnd w:id="45"/>
    <w:bookmarkStart w:id="46" w:name="records-of-processing-activities-ropa"/>
    <w:p>
      <w:pPr>
        <w:pStyle w:val="Heading2"/>
      </w:pPr>
      <w:r>
        <w:t xml:space="preserve">3.4 Records of Processing Activities (RoPA)</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Processing activity</w:t>
            </w:r>
          </w:p>
        </w:tc>
        <w:tc>
          <w:tcPr/>
          <w:p>
            <w:pPr>
              <w:pStyle w:val="Compact"/>
            </w:pPr>
            <w:r>
              <w:t xml:space="preserve">Purpose</w:t>
            </w:r>
          </w:p>
        </w:tc>
        <w:tc>
          <w:tcPr/>
          <w:p>
            <w:pPr>
              <w:pStyle w:val="Compact"/>
            </w:pPr>
            <w:r>
              <w:t xml:space="preserve">Data categories</w:t>
            </w:r>
          </w:p>
        </w:tc>
        <w:tc>
          <w:tcPr/>
          <w:p>
            <w:pPr>
              <w:pStyle w:val="Compact"/>
            </w:pPr>
            <w:r>
              <w:t xml:space="preserve">Legal basis</w:t>
            </w:r>
          </w:p>
        </w:tc>
        <w:tc>
          <w:tcPr/>
          <w:p>
            <w:pPr>
              <w:pStyle w:val="Compact"/>
            </w:pPr>
            <w:r>
              <w:t xml:space="preserve">Recipients</w:t>
            </w:r>
          </w:p>
        </w:tc>
        <w:tc>
          <w:tcPr/>
          <w:p>
            <w:pPr>
              <w:pStyle w:val="Compact"/>
            </w:pPr>
            <w:r>
              <w:t xml:space="preserve">Retention</w:t>
            </w:r>
          </w:p>
        </w:tc>
        <w:tc>
          <w:tcPr/>
          <w:p>
            <w:pPr>
              <w:pStyle w:val="Compact"/>
            </w:pPr>
            <w:r>
              <w:t xml:space="preserve">Transfers</w:t>
            </w:r>
          </w:p>
        </w:tc>
      </w:tr>
      <w:tr>
        <w:tc>
          <w:tcPr/>
          <w:p>
            <w:pPr>
              <w:pStyle w:val="Compact"/>
            </w:pPr>
            <w:r>
              <w:t xml:space="preserve">Account creation &amp; auth</w:t>
            </w:r>
          </w:p>
        </w:tc>
        <w:tc>
          <w:tcPr/>
          <w:p>
            <w:pPr>
              <w:pStyle w:val="Compact"/>
            </w:pPr>
            <w:r>
              <w:t xml:space="preserve">Identify user, secure login</w:t>
            </w:r>
          </w:p>
        </w:tc>
        <w:tc>
          <w:tcPr/>
          <w:p>
            <w:pPr>
              <w:pStyle w:val="Compact"/>
            </w:pPr>
            <w:r>
              <w:t xml:space="preserve">Phone, name, DOB, hashed OTP</w:t>
            </w:r>
          </w:p>
        </w:tc>
        <w:tc>
          <w:tcPr/>
          <w:p>
            <w:pPr>
              <w:pStyle w:val="Compact"/>
            </w:pPr>
            <w:r>
              <w:t xml:space="preserve">Consent / contract</w:t>
            </w:r>
          </w:p>
        </w:tc>
        <w:tc>
          <w:tcPr/>
          <w:p>
            <w:pPr>
              <w:pStyle w:val="Compact"/>
            </w:pPr>
            <w:r>
              <w:t xml:space="preserve">Internal</w:t>
            </w:r>
          </w:p>
        </w:tc>
        <w:tc>
          <w:tcPr/>
          <w:p>
            <w:pPr>
              <w:pStyle w:val="Compact"/>
            </w:pPr>
            <w:r>
              <w:t xml:space="preserve">Life of relationship</w:t>
            </w:r>
          </w:p>
        </w:tc>
        <w:tc>
          <w:tcPr/>
          <w:p>
            <w:pPr>
              <w:pStyle w:val="Compact"/>
            </w:pPr>
            <w:r>
              <w:t xml:space="preserve">None</w:t>
            </w:r>
          </w:p>
        </w:tc>
      </w:tr>
      <w:tr>
        <w:tc>
          <w:tcPr/>
          <w:p>
            <w:pPr>
              <w:pStyle w:val="Compact"/>
            </w:pPr>
            <w:r>
              <w:t xml:space="preserve">Loan eligibility &amp; matching</w:t>
            </w:r>
          </w:p>
        </w:tc>
        <w:tc>
          <w:tcPr/>
          <w:p>
            <w:pPr>
              <w:pStyle w:val="Compact"/>
            </w:pPr>
            <w:r>
              <w:t xml:space="preserve">Recommend lender offers</w:t>
            </w:r>
          </w:p>
        </w:tc>
        <w:tc>
          <w:tcPr/>
          <w:p>
            <w:pPr>
              <w:pStyle w:val="Compact"/>
            </w:pPr>
            <w:r>
              <w:t xml:space="preserve">Income, employment, pincode, PAN, credit score</w:t>
            </w:r>
          </w:p>
        </w:tc>
        <w:tc>
          <w:tcPr/>
          <w:p>
            <w:pPr>
              <w:pStyle w:val="Compact"/>
            </w:pPr>
            <w:r>
              <w:t xml:space="preserve">Consent / legitimate use</w:t>
            </w:r>
          </w:p>
        </w:tc>
        <w:tc>
          <w:tcPr/>
          <w:p>
            <w:pPr>
              <w:pStyle w:val="Compact"/>
            </w:pPr>
            <w:r>
              <w:t xml:space="preserve">Lender partners</w:t>
            </w:r>
          </w:p>
        </w:tc>
        <w:tc>
          <w:tcPr/>
          <w:p>
            <w:pPr>
              <w:pStyle w:val="Compact"/>
            </w:pPr>
            <w:r>
              <w:t xml:space="preserve">Per lender + RBI</w:t>
            </w:r>
          </w:p>
        </w:tc>
        <w:tc>
          <w:tcPr/>
          <w:p>
            <w:pPr>
              <w:pStyle w:val="Compact"/>
            </w:pPr>
            <w:r>
              <w:t xml:space="preserve">India-region hosting</w:t>
            </w:r>
          </w:p>
        </w:tc>
      </w:tr>
      <w:tr>
        <w:tc>
          <w:tcPr/>
          <w:p>
            <w:pPr>
              <w:pStyle w:val="Compact"/>
            </w:pPr>
            <w:r>
              <w:t xml:space="preserve">KYC facilitation</w:t>
            </w:r>
          </w:p>
        </w:tc>
        <w:tc>
          <w:tcPr/>
          <w:p>
            <w:pPr>
              <w:pStyle w:val="Compact"/>
            </w:pPr>
            <w:r>
              <w:t xml:space="preserve">Support lender KYC</w:t>
            </w:r>
          </w:p>
        </w:tc>
        <w:tc>
          <w:tcPr/>
          <w:p>
            <w:pPr>
              <w:pStyle w:val="Compact"/>
            </w:pPr>
            <w:r>
              <w:t xml:space="preserve">PAN (to be tokenized), Aadhaar last-4, bank last-4, selfie (stub)</w:t>
            </w:r>
          </w:p>
        </w:tc>
        <w:tc>
          <w:tcPr/>
          <w:p>
            <w:pPr>
              <w:pStyle w:val="Compact"/>
            </w:pPr>
            <w:r>
              <w:t xml:space="preserve">Legal obligation (KYC)</w:t>
            </w:r>
          </w:p>
        </w:tc>
        <w:tc>
          <w:tcPr/>
          <w:p>
            <w:pPr>
              <w:pStyle w:val="Compact"/>
            </w:pPr>
            <w:r>
              <w:t xml:space="preserve">Lender partners</w:t>
            </w:r>
          </w:p>
        </w:tc>
        <w:tc>
          <w:tcPr/>
          <w:p>
            <w:pPr>
              <w:pStyle w:val="Compact"/>
            </w:pPr>
            <w:r>
              <w:t xml:space="preserve">Per RBI/CKYC</w:t>
            </w:r>
          </w:p>
        </w:tc>
        <w:tc>
          <w:tcPr/>
          <w:p>
            <w:pPr>
              <w:pStyle w:val="Compact"/>
            </w:pPr>
            <w:r>
              <w:t xml:space="preserve">India-region</w:t>
            </w:r>
          </w:p>
        </w:tc>
      </w:tr>
      <w:tr>
        <w:tc>
          <w:tcPr/>
          <w:p>
            <w:pPr>
              <w:pStyle w:val="Compact"/>
            </w:pPr>
            <w:r>
              <w:t xml:space="preserve">Voice assistant (</w:t>
            </w:r>
            <w:r>
              <w:t xml:space="preserve">“Ruby”</w:t>
            </w:r>
            <w:r>
              <w:t xml:space="preserve">)</w:t>
            </w:r>
          </w:p>
        </w:tc>
        <w:tc>
          <w:tcPr/>
          <w:p>
            <w:pPr>
              <w:pStyle w:val="Compact"/>
            </w:pPr>
            <w:r>
              <w:t xml:space="preserve">Conversational help</w:t>
            </w:r>
          </w:p>
        </w:tc>
        <w:tc>
          <w:tcPr/>
          <w:p>
            <w:pPr>
              <w:pStyle w:val="Compact"/>
            </w:pPr>
            <w:r>
              <w:t xml:space="preserve">Voice/biometric-class, screen context</w:t>
            </w:r>
          </w:p>
        </w:tc>
        <w:tc>
          <w:tcPr/>
          <w:p>
            <w:pPr>
              <w:pStyle w:val="Compact"/>
            </w:pPr>
            <w:r>
              <w:t xml:space="preserve">Consent (must be gated)</w:t>
            </w:r>
          </w:p>
        </w:tc>
        <w:tc>
          <w:tcPr/>
          <w:p>
            <w:pPr>
              <w:pStyle w:val="Compact"/>
            </w:pPr>
            <w:r>
              <w:t xml:space="preserve">Ello/Getello (sub-processor)</w:t>
            </w:r>
          </w:p>
        </w:tc>
        <w:tc>
          <w:tcPr/>
          <w:p>
            <w:pPr>
              <w:pStyle w:val="Compact"/>
            </w:pPr>
            <w:r>
              <w:t xml:space="preserve">Per DPA (to minimize)</w:t>
            </w:r>
          </w:p>
        </w:tc>
        <w:tc>
          <w:tcPr/>
          <w:p>
            <w:pPr>
              <w:pStyle w:val="Compact"/>
            </w:pPr>
            <w:r>
              <w:t xml:space="preserve">Egress to Ello</w:t>
            </w:r>
          </w:p>
        </w:tc>
      </w:tr>
      <w:tr>
        <w:tc>
          <w:tcPr/>
          <w:p>
            <w:pPr>
              <w:pStyle w:val="Compact"/>
            </w:pPr>
            <w:r>
              <w:t xml:space="preserve">Communications</w:t>
            </w:r>
          </w:p>
        </w:tc>
        <w:tc>
          <w:tcPr/>
          <w:p>
            <w:pPr>
              <w:pStyle w:val="Compact"/>
            </w:pPr>
            <w:r>
              <w:t xml:space="preserve">Notify user</w:t>
            </w:r>
          </w:p>
        </w:tc>
        <w:tc>
          <w:tcPr/>
          <w:p>
            <w:pPr>
              <w:pStyle w:val="Compact"/>
            </w:pPr>
            <w:r>
              <w:t xml:space="preserve">Phone, email, notification body</w:t>
            </w:r>
          </w:p>
        </w:tc>
        <w:tc>
          <w:tcPr/>
          <w:p>
            <w:pPr>
              <w:pStyle w:val="Compact"/>
            </w:pPr>
            <w:r>
              <w:t xml:space="preserve">Consent</w:t>
            </w:r>
          </w:p>
        </w:tc>
        <w:tc>
          <w:tcPr/>
          <w:p>
            <w:pPr>
              <w:pStyle w:val="Compact"/>
            </w:pPr>
            <w:r>
              <w:t xml:space="preserve">Internal / comms provider</w:t>
            </w:r>
          </w:p>
        </w:tc>
        <w:tc>
          <w:tcPr/>
          <w:p>
            <w:pPr>
              <w:pStyle w:val="Compact"/>
            </w:pPr>
            <w:r>
              <w:t xml:space="preserve">Until withdrawn</w:t>
            </w:r>
          </w:p>
        </w:tc>
        <w:tc>
          <w:tcPr/>
          <w:p>
            <w:pPr>
              <w:pStyle w:val="Compact"/>
            </w:pPr>
            <w:r>
              <w:t xml:space="preserve">None</w:t>
            </w:r>
          </w:p>
        </w:tc>
      </w:tr>
      <w:tr>
        <w:tc>
          <w:tcPr/>
          <w:p>
            <w:pPr>
              <w:pStyle w:val="Compact"/>
            </w:pPr>
            <w:r>
              <w:t xml:space="preserve">Analytics/tracking</w:t>
            </w:r>
          </w:p>
        </w:tc>
        <w:tc>
          <w:tcPr/>
          <w:p>
            <w:pPr>
              <w:pStyle w:val="Compact"/>
            </w:pPr>
            <w:r>
              <w:t xml:space="preserve">Product improvement</w:t>
            </w:r>
          </w:p>
        </w:tc>
        <w:tc>
          <w:tcPr/>
          <w:p>
            <w:pPr>
              <w:pStyle w:val="Compact"/>
            </w:pPr>
            <w:r>
              <w:t xml:space="preserve">Event metadata (must exclude PII — C8)</w:t>
            </w:r>
          </w:p>
        </w:tc>
        <w:tc>
          <w:tcPr/>
          <w:p>
            <w:pPr>
              <w:pStyle w:val="Compact"/>
            </w:pPr>
            <w:r>
              <w:t xml:space="preserve">Legitimate use</w:t>
            </w:r>
          </w:p>
        </w:tc>
        <w:tc>
          <w:tcPr/>
          <w:p>
            <w:pPr>
              <w:pStyle w:val="Compact"/>
            </w:pPr>
            <w:r>
              <w:t xml:space="preserve">Internal</w:t>
            </w:r>
          </w:p>
        </w:tc>
        <w:tc>
          <w:tcPr/>
          <w:p>
            <w:pPr>
              <w:pStyle w:val="Compact"/>
            </w:pPr>
            <w:r>
              <w:t xml:space="preserve">≤ defined TTL</w:t>
            </w:r>
          </w:p>
        </w:tc>
        <w:tc>
          <w:tcPr/>
          <w:p>
            <w:pPr>
              <w:pStyle w:val="Compact"/>
            </w:pPr>
            <w:r>
              <w:t xml:space="preserve">None</w:t>
            </w:r>
          </w:p>
        </w:tc>
      </w:tr>
      <w:tr>
        <w:tc>
          <w:tcPr/>
          <w:p>
            <w:pPr>
              <w:pStyle w:val="Compact"/>
            </w:pPr>
            <w:r>
              <w:t xml:space="preserve">Lead capture (web/deep-link)</w:t>
            </w:r>
          </w:p>
        </w:tc>
        <w:tc>
          <w:tcPr/>
          <w:p>
            <w:pPr>
              <w:pStyle w:val="Compact"/>
            </w:pPr>
            <w:r>
              <w:t xml:space="preserve">Pre-onboarding</w:t>
            </w:r>
          </w:p>
        </w:tc>
        <w:tc>
          <w:tcPr/>
          <w:p>
            <w:pPr>
              <w:pStyle w:val="Compact"/>
            </w:pPr>
            <w:r>
              <w:t xml:space="preserve">Name, phone, city</w:t>
            </w:r>
          </w:p>
        </w:tc>
        <w:tc>
          <w:tcPr/>
          <w:p>
            <w:pPr>
              <w:pStyle w:val="Compact"/>
            </w:pPr>
            <w:r>
              <w:t xml:space="preserve">Consent / legitimate use</w:t>
            </w:r>
          </w:p>
        </w:tc>
        <w:tc>
          <w:tcPr/>
          <w:p>
            <w:pPr>
              <w:pStyle w:val="Compact"/>
            </w:pPr>
            <w:r>
              <w:t xml:space="preserve">Internal</w:t>
            </w:r>
          </w:p>
        </w:tc>
        <w:tc>
          <w:tcPr/>
          <w:p>
            <w:pPr>
              <w:pStyle w:val="Compact"/>
            </w:pPr>
            <w:r>
              <w:t xml:space="preserve">≤90 days (proposed)</w:t>
            </w:r>
          </w:p>
        </w:tc>
        <w:tc>
          <w:tcPr/>
          <w:p>
            <w:pPr>
              <w:pStyle w:val="Compact"/>
            </w:pPr>
            <w:r>
              <w:t xml:space="preserve">None</w:t>
            </w:r>
          </w:p>
        </w:tc>
      </w:tr>
    </w:tbl>
    <w:bookmarkEnd w:id="46"/>
    <w:bookmarkStart w:id="47" w:name="dpia"/>
    <w:p>
      <w:pPr>
        <w:pStyle w:val="Heading2"/>
      </w:pPr>
      <w:r>
        <w:t xml:space="preserve">3.5 DPIA</w:t>
      </w:r>
    </w:p>
    <w:p>
      <w:pPr>
        <w:pStyle w:val="FirstParagraph"/>
      </w:pPr>
      <w:r>
        <w:t xml:space="preserve">A Data Protection Impact Assessment is required for high-risk processing (SPDI, biometric/voice egress, bureau pulls). The DPIA is maintained in</w:t>
      </w:r>
      <w:r>
        <w:t xml:space="preserve"> </w:t>
      </w:r>
      <w:r>
        <w:rPr>
          <w:b/>
          <w:bCs/>
        </w:rPr>
        <w:t xml:space="preserve">Doc 09 (Secure/Privacy/Compliance-by-Design)</w:t>
      </w:r>
      <w:r>
        <w:t xml:space="preserve"> </w:t>
      </w:r>
      <w:r>
        <w:t xml:space="preserve">and referenced here; DPIA-by-default is a stated principle. High-risk items (C1 PAN, C2 voice egress, C12 residency/DPA) are DPIA inputs.</w:t>
      </w:r>
      <w:r>
        <w:t xml:space="preserve"> </w:t>
      </w:r>
      <w:r>
        <w:rPr>
          <w:b/>
          <w:bCs/>
        </w:rPr>
        <w:t xml:space="preserve">Maps to:</w:t>
      </w:r>
      <w:r>
        <w:t xml:space="preserve"> </w:t>
      </w:r>
      <w:r>
        <w:t xml:space="preserve">DPDP (Significant Data Fiduciary duties) · ISO 27701 ·</w:t>
      </w:r>
      <w:r>
        <w:t xml:space="preserve"> </w:t>
      </w:r>
      <w:r>
        <w:rPr>
          <w:b/>
          <w:bCs/>
        </w:rPr>
        <w:t xml:space="preserve">Annex A</w:t>
      </w:r>
      <w:r>
        <w:t xml:space="preserve"> </w:t>
      </w:r>
      <w:r>
        <w:t xml:space="preserve">A.5.34 ·</w:t>
      </w:r>
      <w:r>
        <w:t xml:space="preserve"> </w:t>
      </w:r>
      <w:r>
        <w:rPr>
          <w:b/>
          <w:bCs/>
        </w:rPr>
        <w:t xml:space="preserve">SOC 2</w:t>
      </w:r>
      <w:r>
        <w:t xml:space="preserve"> </w:t>
      </w:r>
      <w:r>
        <w:t xml:space="preserve">P.</w:t>
      </w:r>
    </w:p>
    <w:p>
      <w:r>
        <w:pict>
          <v:rect style="width:0;height:1.5pt" o:hralign="center" o:hrstd="t" o:hr="t"/>
        </w:pict>
      </w:r>
    </w:p>
    <w:bookmarkEnd w:id="47"/>
    <w:bookmarkEnd w:id="48"/>
    <w:bookmarkStart w:id="53" w:name="soc-2-supplements"/>
    <w:p>
      <w:pPr>
        <w:pStyle w:val="Heading1"/>
      </w:pPr>
      <w:r>
        <w:t xml:space="preserve">§4 SOC 2 Supplements</w:t>
      </w:r>
    </w:p>
    <w:bookmarkStart w:id="49" w:name="system-description-formal"/>
    <w:p>
      <w:pPr>
        <w:pStyle w:val="Heading2"/>
      </w:pPr>
      <w:r>
        <w:t xml:space="preserve">4.1 System Description (formal)</w:t>
      </w:r>
    </w:p>
    <w:p>
      <w:pPr>
        <w:pStyle w:val="FirstParagraph"/>
      </w:pPr>
      <w:r>
        <w:rPr>
          <w:b/>
          <w:bCs/>
        </w:rPr>
        <w:t xml:space="preserve">Services provided.</w:t>
      </w:r>
      <w:r>
        <w:t xml:space="preserve"> </w:t>
      </w:r>
      <w:r>
        <w:t xml:space="preserve">SwiftLoan operates a digital lending marketplace/recommendation service (a DLA/LSP) enabling borrowers to discover and be matched to loan offers from RBI-regulated lenders. It does not lend or approve loans.</w:t>
      </w:r>
      <w:r>
        <w:t xml:space="preserve"> </w:t>
      </w:r>
      <w:r>
        <w:rPr>
          <w:b/>
          <w:bCs/>
        </w:rPr>
        <w:t xml:space="preserve">System components.</w:t>
      </w:r>
      <w:r>
        <w:t xml:space="preserve"> </w:t>
      </w:r>
      <w:r>
        <w:t xml:space="preserve">(a)</w:t>
      </w:r>
      <w:r>
        <w:t xml:space="preserve"> </w:t>
      </w:r>
      <w:r>
        <w:rPr>
          <w:b/>
          <w:bCs/>
        </w:rPr>
        <w:t xml:space="preserve">Infrastructure:</w:t>
      </w:r>
      <w:r>
        <w:t xml:space="preserve"> </w:t>
      </w:r>
      <w:r>
        <w:t xml:space="preserve">cloud hosting (Render), PostgreSQL database, CI/CD (GitHub Actions). (b)</w:t>
      </w:r>
      <w:r>
        <w:t xml:space="preserve"> </w:t>
      </w:r>
      <w:r>
        <w:rPr>
          <w:b/>
          <w:bCs/>
        </w:rPr>
        <w:t xml:space="preserve">Software:</w:t>
      </w:r>
      <w:r>
        <w:t xml:space="preserve"> </w:t>
      </w:r>
      <w:r>
        <w:t xml:space="preserve">React Native mobile app, Node/Express/Prisma backend, Next.js admin dashboard, marketing website. (c)</w:t>
      </w:r>
      <w:r>
        <w:t xml:space="preserve"> </w:t>
      </w:r>
      <w:r>
        <w:rPr>
          <w:b/>
          <w:bCs/>
        </w:rPr>
        <w:t xml:space="preserve">People:</w:t>
      </w:r>
      <w:r>
        <w:t xml:space="preserve"> </w:t>
      </w:r>
      <w:r>
        <w:t xml:space="preserve">engineering, security (CISO), privacy (DPO/Grievance Officer), release management, support. (d)</w:t>
      </w:r>
      <w:r>
        <w:t xml:space="preserve"> </w:t>
      </w:r>
      <w:r>
        <w:rPr>
          <w:b/>
          <w:bCs/>
        </w:rPr>
        <w:t xml:space="preserve">Data:</w:t>
      </w:r>
      <w:r>
        <w:t xml:space="preserve"> </w:t>
      </w:r>
      <w:r>
        <w:t xml:space="preserve">PII/SPDI per the inventory (</w:t>
      </w:r>
      <w:r>
        <w:rPr>
          <w:rStyle w:val="VerbatimChar"/>
        </w:rPr>
        <w:t xml:space="preserve">_AUDIT_BRIEF.md</w:t>
      </w:r>
      <w:r>
        <w:t xml:space="preserve"> </w:t>
      </w:r>
      <w:r>
        <w:t xml:space="preserve">§3). (e)</w:t>
      </w:r>
      <w:r>
        <w:t xml:space="preserve"> </w:t>
      </w:r>
      <w:r>
        <w:rPr>
          <w:b/>
          <w:bCs/>
        </w:rPr>
        <w:t xml:space="preserve">Processes:</w:t>
      </w:r>
      <w:r>
        <w:t xml:space="preserve"> </w:t>
      </w:r>
      <w:r>
        <w:t xml:space="preserve">SDLC/change management (Doc 07), incident response, access management, monitoring.</w:t>
      </w:r>
      <w:r>
        <w:t xml:space="preserve"> </w:t>
      </w:r>
      <w:r>
        <w:rPr>
          <w:b/>
          <w:bCs/>
        </w:rPr>
        <w:t xml:space="preserve">Boundaries.</w:t>
      </w:r>
      <w:r>
        <w:t xml:space="preserve"> </w:t>
      </w:r>
      <w:r>
        <w:t xml:space="preserve">In scope: the four applications, backend, database, and CI/compliance tooling. Out of scope / carved out: cloud-provider physical infrastructure; third-party voice AI (Ello) internal operations.</w:t>
      </w:r>
      <w:r>
        <w:t xml:space="preserve"> </w:t>
      </w:r>
      <w:r>
        <w:rPr>
          <w:b/>
          <w:bCs/>
        </w:rPr>
        <w:t xml:space="preserve">Principal service commitments &amp; system requirements:</w:t>
      </w:r>
      <w:r>
        <w:t xml:space="preserve"> </w:t>
      </w:r>
      <w:r>
        <w:t xml:space="preserve">confidentiality of SPDI, availability of the lending API (RTO/RPO §2.12), processing integrity of matching, and privacy per DPDP.</w:t>
      </w:r>
      <w:r>
        <w:t xml:space="preserve"> </w:t>
      </w:r>
      <w:r>
        <w:rPr>
          <w:b/>
          <w:bCs/>
        </w:rPr>
        <w:t xml:space="preserve">Relevant TSC:</w:t>
      </w:r>
      <w:r>
        <w:t xml:space="preserve"> </w:t>
      </w:r>
      <w:r>
        <w:t xml:space="preserve">Security (CC), Availability (A), Confidentiality (C), Processing Integrity (PI), Privacy (P).</w:t>
      </w:r>
    </w:p>
    <w:bookmarkEnd w:id="49"/>
    <w:bookmarkStart w:id="50" w:name="complementary-user-entity-controls-cuecs"/>
    <w:p>
      <w:pPr>
        <w:pStyle w:val="Heading2"/>
      </w:pPr>
      <w:r>
        <w:t xml:space="preserve">4.2 Complementary User Entity Controls (CUECs)</w:t>
      </w:r>
    </w:p>
    <w:p>
      <w:pPr>
        <w:pStyle w:val="FirstParagraph"/>
      </w:pPr>
      <w:r>
        <w:t xml:space="preserve">Controls that</w:t>
      </w:r>
      <w:r>
        <w:t xml:space="preserve"> </w:t>
      </w:r>
      <w:r>
        <w:rPr>
          <w:b/>
          <w:bCs/>
        </w:rPr>
        <w:t xml:space="preserve">lender partners / integrating entities</w:t>
      </w:r>
      <w:r>
        <w:t xml:space="preserve"> </w:t>
      </w:r>
      <w:r>
        <w:t xml:space="preserve">are responsible for:</w:t>
      </w:r>
      <w:r>
        <w:t xml:space="preserve"> </w:t>
      </w:r>
      <w:r>
        <w:t xml:space="preserve">- Protecting API credentials/keys issued to them and rotating on suspected compromise.</w:t>
      </w:r>
      <w:r>
        <w:t xml:space="preserve"> </w:t>
      </w:r>
      <w:r>
        <w:t xml:space="preserve">- Obtaining and honoring their own borrower consents where they act as controllers.</w:t>
      </w:r>
      <w:r>
        <w:t xml:space="preserve"> </w:t>
      </w:r>
      <w:r>
        <w:t xml:space="preserve">- Validating and securely handling data received from SwiftLoan; enforcing their own KYC/AML.</w:t>
      </w:r>
      <w:r>
        <w:t xml:space="preserve"> </w:t>
      </w:r>
      <w:r>
        <w:t xml:space="preserve">- Restricting access to SwiftLoan integrations to authorized personnel.</w:t>
      </w:r>
      <w:r>
        <w:t xml:space="preserve"> </w:t>
      </w:r>
      <w:r>
        <w:t xml:space="preserve">- Reporting suspected security/privacy incidents involving shared data promptly.</w:t>
      </w:r>
    </w:p>
    <w:bookmarkEnd w:id="50"/>
    <w:bookmarkStart w:id="51" w:name="sub-service-organizations-method"/>
    <w:p>
      <w:pPr>
        <w:pStyle w:val="Heading2"/>
      </w:pPr>
      <w:r>
        <w:t xml:space="preserve">4.3 Sub-service organizations &amp; method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Sub-service org</w:t>
            </w:r>
          </w:p>
        </w:tc>
        <w:tc>
          <w:tcPr/>
          <w:p>
            <w:pPr>
              <w:pStyle w:val="Compact"/>
            </w:pPr>
            <w:r>
              <w:t xml:space="preserve">Service</w:t>
            </w:r>
          </w:p>
        </w:tc>
        <w:tc>
          <w:tcPr/>
          <w:p>
            <w:pPr>
              <w:pStyle w:val="Compact"/>
            </w:pPr>
            <w:r>
              <w:t xml:space="preserve">Method</w:t>
            </w:r>
          </w:p>
        </w:tc>
        <w:tc>
          <w:tcPr/>
          <w:p>
            <w:pPr>
              <w:pStyle w:val="Compact"/>
            </w:pPr>
            <w:r>
              <w:t xml:space="preserve">Rationale</w:t>
            </w:r>
          </w:p>
        </w:tc>
      </w:tr>
      <w:tr>
        <w:tc>
          <w:tcPr/>
          <w:p>
            <w:pPr>
              <w:pStyle w:val="Compact"/>
            </w:pPr>
            <w:r>
              <w:t xml:space="preserve">Render (hosting)</w:t>
            </w:r>
          </w:p>
        </w:tc>
        <w:tc>
          <w:tcPr/>
          <w:p>
            <w:pPr>
              <w:pStyle w:val="Compact"/>
            </w:pPr>
            <w:r>
              <w:t xml:space="preserve">Infrastructure, physical/environmental, encryption-at-rest</w:t>
            </w:r>
          </w:p>
        </w:tc>
        <w:tc>
          <w:tcPr/>
          <w:p>
            <w:pPr>
              <w:pStyle w:val="Compact"/>
            </w:pPr>
            <w:r>
              <w:rPr>
                <w:b/>
                <w:bCs/>
              </w:rPr>
              <w:t xml:space="preserve">Carve-out</w:t>
            </w:r>
          </w:p>
        </w:tc>
        <w:tc>
          <w:tcPr/>
          <w:p>
            <w:pPr>
              <w:pStyle w:val="Compact"/>
            </w:pPr>
            <w:r>
              <w:t xml:space="preserve">Physical controls fully inherited; validated via provider attestations</w:t>
            </w:r>
          </w:p>
        </w:tc>
      </w:tr>
      <w:tr>
        <w:tc>
          <w:tcPr/>
          <w:p>
            <w:pPr>
              <w:pStyle w:val="Compact"/>
            </w:pPr>
            <w:r>
              <w:t xml:space="preserve">Ello / Getello (</w:t>
            </w:r>
            <w:r>
              <w:t xml:space="preserve">“Ruby”</w:t>
            </w:r>
            <w:r>
              <w:t xml:space="preserve">)</w:t>
            </w:r>
          </w:p>
        </w:tc>
        <w:tc>
          <w:tcPr/>
          <w:p>
            <w:pPr>
              <w:pStyle w:val="Compact"/>
            </w:pPr>
            <w:r>
              <w:t xml:space="preserve">Voice AI processing of voice/screen context</w:t>
            </w:r>
          </w:p>
        </w:tc>
        <w:tc>
          <w:tcPr/>
          <w:p>
            <w:pPr>
              <w:pStyle w:val="Compact"/>
            </w:pPr>
            <w:r>
              <w:rPr>
                <w:b/>
                <w:bCs/>
              </w:rPr>
              <w:t xml:space="preserve">Carve-out</w:t>
            </w:r>
          </w:p>
        </w:tc>
        <w:tc>
          <w:tcPr/>
          <w:p>
            <w:pPr>
              <w:pStyle w:val="Compact"/>
            </w:pPr>
            <w:r>
              <w:t xml:space="preserve">Independent processor under DPA; controls out of SwiftLoan’s operation</w:t>
            </w:r>
          </w:p>
        </w:tc>
      </w:tr>
    </w:tbl>
    <w:p>
      <w:pPr>
        <w:pStyle w:val="BodyText"/>
      </w:pPr>
      <w:r>
        <w:t xml:space="preserve">Complementary sub-service organization controls (CSOCs) — e.g., provider physical security, environmental controls, host encryption — are relied upon and monitored via annual review of the sub-service organizations’ certifications/reports.</w:t>
      </w:r>
    </w:p>
    <w:bookmarkEnd w:id="51"/>
    <w:bookmarkStart w:id="52" w:name="continuous-control-monitoring"/>
    <w:p>
      <w:pPr>
        <w:pStyle w:val="Heading2"/>
      </w:pPr>
      <w:r>
        <w:t xml:space="preserve">4.4 Continuous control monitoring</w:t>
      </w:r>
    </w:p>
    <w:p>
      <w:pPr>
        <w:pStyle w:val="FirstParagraph"/>
      </w:pPr>
      <w:r>
        <w:t xml:space="preserve">Automated, continuous evidence: CI security gates (CodeQL, gitleaks, npm audit) on every push/PR + weekly schedule; Dependabot alerts; branch protection status checks;</w:t>
      </w:r>
      <w:r>
        <w:t xml:space="preserve"> </w:t>
      </w:r>
      <w:r>
        <w:rPr>
          <w:rStyle w:val="VerbatimChar"/>
        </w:rPr>
        <w:t xml:space="preserve">scripts/compliance/compliance_sync.py</w:t>
      </w:r>
      <w:r>
        <w:t xml:space="preserve"> </w:t>
      </w:r>
      <w:r>
        <w:t xml:space="preserve">regenerating</w:t>
      </w:r>
      <w:r>
        <w:t xml:space="preserve"> </w:t>
      </w:r>
      <w:r>
        <w:rPr>
          <w:rStyle w:val="VerbatimChar"/>
        </w:rPr>
        <w:t xml:space="preserve">COMPLIANCE-STATUS.md</w:t>
      </w:r>
      <w:r>
        <w:t xml:space="preserve"> </w:t>
      </w:r>
      <w:r>
        <w:t xml:space="preserve">from repo state; access reviews (quarterly); log monitoring. Exceptions are raised as CAPA and reviewed at management review.</w:t>
      </w:r>
      <w:r>
        <w:t xml:space="preserve"> </w:t>
      </w:r>
      <w:r>
        <w:rPr>
          <w:b/>
          <w:bCs/>
        </w:rPr>
        <w:t xml:space="preserve">TSC:</w:t>
      </w:r>
      <w:r>
        <w:t xml:space="preserve"> </w:t>
      </w:r>
      <w:r>
        <w:t xml:space="preserve">CC4.1, CC4.2, CC7.1, CC8.1.</w:t>
      </w:r>
    </w:p>
    <w:p>
      <w:r>
        <w:pict>
          <v:rect style="width:0;height:1.5pt" o:hralign="center" o:hrstd="t" o:hr="t"/>
        </w:pict>
      </w:r>
    </w:p>
    <w:bookmarkEnd w:id="52"/>
    <w:bookmarkEnd w:id="53"/>
    <w:bookmarkStart w:id="55" w:name="document-register"/>
    <w:p>
      <w:pPr>
        <w:pStyle w:val="Heading1"/>
      </w:pPr>
      <w:r>
        <w:t xml:space="preserve">§5 Document Register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Doc</w:t>
            </w:r>
          </w:p>
        </w:tc>
        <w:tc>
          <w:tcPr/>
          <w:p>
            <w:pPr>
              <w:pStyle w:val="Compact"/>
            </w:pPr>
            <w:r>
              <w:t xml:space="preserve">Title</w:t>
            </w:r>
          </w:p>
        </w:tc>
        <w:tc>
          <w:tcPr/>
          <w:p>
            <w:pPr>
              <w:pStyle w:val="Compact"/>
            </w:pPr>
            <w:r>
              <w:t xml:space="preserve">Owner</w:t>
            </w:r>
          </w:p>
        </w:tc>
        <w:tc>
          <w:tcPr/>
          <w:p>
            <w:pPr>
              <w:pStyle w:val="Compact"/>
            </w:pPr>
            <w:r>
              <w:t xml:space="preserve">Classification</w:t>
            </w:r>
          </w:p>
        </w:tc>
      </w:tr>
      <w:tr>
        <w:tc>
          <w:tcPr/>
          <w:p>
            <w:pPr>
              <w:pStyle w:val="Compact"/>
            </w:pPr>
            <w:r>
              <w:t xml:space="preserve">01</w:t>
            </w:r>
          </w:p>
        </w:tc>
        <w:tc>
          <w:tcPr/>
          <w:p>
            <w:pPr>
              <w:pStyle w:val="Compact"/>
            </w:pPr>
            <w:r>
              <w:t xml:space="preserve">Product Requirements Document</w:t>
            </w:r>
          </w:p>
        </w:tc>
        <w:tc>
          <w:tcPr/>
          <w:p>
            <w:pPr>
              <w:pStyle w:val="Compact"/>
            </w:pPr>
            <w:r>
              <w:t xml:space="preserve">Product Lead</w:t>
            </w:r>
          </w:p>
        </w:tc>
        <w:tc>
          <w:tcPr/>
          <w:p>
            <w:pPr>
              <w:pStyle w:val="Compact"/>
            </w:pPr>
            <w:r>
              <w:t xml:space="preserve">Internal</w:t>
            </w:r>
          </w:p>
        </w:tc>
      </w:tr>
      <w:tr>
        <w:tc>
          <w:tcPr/>
          <w:p>
            <w:pPr>
              <w:pStyle w:val="Compact"/>
            </w:pPr>
            <w:r>
              <w:t xml:space="preserve">02</w:t>
            </w:r>
          </w:p>
        </w:tc>
        <w:tc>
          <w:tcPr/>
          <w:p>
            <w:pPr>
              <w:pStyle w:val="Compact"/>
            </w:pPr>
            <w:r>
              <w:t xml:space="preserve">Technical Architecture Document</w:t>
            </w:r>
          </w:p>
        </w:tc>
        <w:tc>
          <w:tcPr/>
          <w:p>
            <w:pPr>
              <w:pStyle w:val="Compact"/>
            </w:pPr>
            <w:r>
              <w:t xml:space="preserve">Engineering Lead</w:t>
            </w:r>
          </w:p>
        </w:tc>
        <w:tc>
          <w:tcPr/>
          <w:p>
            <w:pPr>
              <w:pStyle w:val="Compact"/>
            </w:pPr>
            <w:r>
              <w:t xml:space="preserve">Confidential</w:t>
            </w:r>
          </w:p>
        </w:tc>
      </w:tr>
      <w:tr>
        <w:tc>
          <w:tcPr/>
          <w:p>
            <w:pPr>
              <w:pStyle w:val="Compact"/>
            </w:pPr>
            <w:r>
              <w:t xml:space="preserve">03</w:t>
            </w:r>
          </w:p>
        </w:tc>
        <w:tc>
          <w:tcPr/>
          <w:p>
            <w:pPr>
              <w:pStyle w:val="Compact"/>
            </w:pPr>
            <w:r>
              <w:t xml:space="preserve">Security &amp; Compliance Document</w:t>
            </w:r>
          </w:p>
        </w:tc>
        <w:tc>
          <w:tcPr/>
          <w:p>
            <w:pPr>
              <w:pStyle w:val="Compact"/>
            </w:pPr>
            <w:r>
              <w:t xml:space="preserve">CISO</w:t>
            </w:r>
          </w:p>
        </w:tc>
        <w:tc>
          <w:tcPr/>
          <w:p>
            <w:pPr>
              <w:pStyle w:val="Compact"/>
            </w:pPr>
            <w:r>
              <w:t xml:space="preserve">Restricted</w:t>
            </w:r>
          </w:p>
        </w:tc>
      </w:tr>
      <w:tr>
        <w:tc>
          <w:tcPr/>
          <w:p>
            <w:pPr>
              <w:pStyle w:val="Compact"/>
            </w:pPr>
            <w:r>
              <w:t xml:space="preserve">04</w:t>
            </w:r>
          </w:p>
        </w:tc>
        <w:tc>
          <w:tcPr/>
          <w:p>
            <w:pPr>
              <w:pStyle w:val="Compact"/>
            </w:pPr>
            <w:r>
              <w:t xml:space="preserve">Test Cases Document</w:t>
            </w:r>
          </w:p>
        </w:tc>
        <w:tc>
          <w:tcPr/>
          <w:p>
            <w:pPr>
              <w:pStyle w:val="Compact"/>
            </w:pPr>
            <w:r>
              <w:t xml:space="preserve">QA Lead</w:t>
            </w:r>
          </w:p>
        </w:tc>
        <w:tc>
          <w:tcPr/>
          <w:p>
            <w:pPr>
              <w:pStyle w:val="Compact"/>
            </w:pPr>
            <w:r>
              <w:t xml:space="preserve">Internal</w:t>
            </w:r>
          </w:p>
        </w:tc>
      </w:tr>
      <w:tr>
        <w:tc>
          <w:tcPr/>
          <w:p>
            <w:pPr>
              <w:pStyle w:val="Compact"/>
            </w:pPr>
            <w:r>
              <w:t xml:space="preserve">05</w:t>
            </w:r>
          </w:p>
        </w:tc>
        <w:tc>
          <w:tcPr/>
          <w:p>
            <w:pPr>
              <w:pStyle w:val="Compact"/>
            </w:pPr>
            <w:r>
              <w:t xml:space="preserve">Statement of Applicability (SoA)</w:t>
            </w:r>
          </w:p>
        </w:tc>
        <w:tc>
          <w:tcPr/>
          <w:p>
            <w:pPr>
              <w:pStyle w:val="Compact"/>
            </w:pPr>
            <w:r>
              <w:t xml:space="preserve">CISO</w:t>
            </w:r>
          </w:p>
        </w:tc>
        <w:tc>
          <w:tcPr/>
          <w:p>
            <w:pPr>
              <w:pStyle w:val="Compact"/>
            </w:pPr>
            <w:r>
              <w:t xml:space="preserve">Restricted</w:t>
            </w:r>
          </w:p>
        </w:tc>
      </w:tr>
      <w:tr>
        <w:tc>
          <w:tcPr/>
          <w:p>
            <w:pPr>
              <w:pStyle w:val="Compact"/>
            </w:pPr>
            <w:r>
              <w:t xml:space="preserve">06</w:t>
            </w:r>
          </w:p>
        </w:tc>
        <w:tc>
          <w:tcPr/>
          <w:p>
            <w:pPr>
              <w:pStyle w:val="Compact"/>
            </w:pPr>
            <w:r>
              <w:t xml:space="preserve">Compliance Evidence Pack &amp; Claims Matrix</w:t>
            </w:r>
          </w:p>
        </w:tc>
        <w:tc>
          <w:tcPr/>
          <w:p>
            <w:pPr>
              <w:pStyle w:val="Compact"/>
            </w:pPr>
            <w:r>
              <w:t xml:space="preserve">CISO</w:t>
            </w:r>
          </w:p>
        </w:tc>
        <w:tc>
          <w:tcPr/>
          <w:p>
            <w:pPr>
              <w:pStyle w:val="Compact"/>
            </w:pPr>
            <w:r>
              <w:t xml:space="preserve">Restricted</w:t>
            </w:r>
          </w:p>
        </w:tc>
      </w:tr>
      <w:tr>
        <w:tc>
          <w:tcPr/>
          <w:p>
            <w:pPr>
              <w:pStyle w:val="Compact"/>
            </w:pPr>
            <w:r>
              <w:t xml:space="preserve">07</w:t>
            </w:r>
          </w:p>
        </w:tc>
        <w:tc>
          <w:tcPr/>
          <w:p>
            <w:pPr>
              <w:pStyle w:val="Compact"/>
            </w:pPr>
            <w:r>
              <w:t xml:space="preserve">SDLC &amp; Change Management Tracker</w:t>
            </w:r>
          </w:p>
        </w:tc>
        <w:tc>
          <w:tcPr/>
          <w:p>
            <w:pPr>
              <w:pStyle w:val="Compact"/>
            </w:pPr>
            <w:r>
              <w:t xml:space="preserve">Head of Engineering</w:t>
            </w:r>
          </w:p>
        </w:tc>
        <w:tc>
          <w:tcPr/>
          <w:p>
            <w:pPr>
              <w:pStyle w:val="Compact"/>
            </w:pPr>
            <w:r>
              <w:t xml:space="preserve">Confidential</w:t>
            </w:r>
          </w:p>
        </w:tc>
      </w:tr>
      <w:tr>
        <w:tc>
          <w:tcPr/>
          <w:p>
            <w:pPr>
              <w:pStyle w:val="Compact"/>
            </w:pPr>
            <w:r>
              <w:t xml:space="preserve">08</w:t>
            </w:r>
          </w:p>
        </w:tc>
        <w:tc>
          <w:tcPr/>
          <w:p>
            <w:pPr>
              <w:pStyle w:val="Compact"/>
            </w:pPr>
            <w:r>
              <w:t xml:space="preserve">ISMS Manual, Policies &amp; Governance (this document)</w:t>
            </w:r>
          </w:p>
        </w:tc>
        <w:tc>
          <w:tcPr/>
          <w:p>
            <w:pPr>
              <w:pStyle w:val="Compact"/>
            </w:pPr>
            <w:r>
              <w:t xml:space="preserve">CISO</w:t>
            </w:r>
          </w:p>
        </w:tc>
        <w:tc>
          <w:tcPr/>
          <w:p>
            <w:pPr>
              <w:pStyle w:val="Compact"/>
            </w:pPr>
            <w:r>
              <w:t xml:space="preserve">Restricted</w:t>
            </w:r>
          </w:p>
        </w:tc>
      </w:tr>
      <w:tr>
        <w:tc>
          <w:tcPr/>
          <w:p>
            <w:pPr>
              <w:pStyle w:val="Compact"/>
            </w:pPr>
            <w:r>
              <w:t xml:space="preserve">09</w:t>
            </w:r>
          </w:p>
        </w:tc>
        <w:tc>
          <w:tcPr/>
          <w:p>
            <w:pPr>
              <w:pStyle w:val="Compact"/>
            </w:pPr>
            <w:r>
              <w:t xml:space="preserve">Secure-/Privacy-/Compliance-by-Design Principles</w:t>
            </w:r>
          </w:p>
        </w:tc>
        <w:tc>
          <w:tcPr/>
          <w:p>
            <w:pPr>
              <w:pStyle w:val="Compact"/>
            </w:pPr>
            <w:r>
              <w:t xml:space="preserve">CISO</w:t>
            </w:r>
          </w:p>
        </w:tc>
        <w:tc>
          <w:tcPr/>
          <w:p>
            <w:pPr>
              <w:pStyle w:val="Compact"/>
            </w:pPr>
            <w:r>
              <w:t xml:space="preserve">Restricted</w:t>
            </w:r>
          </w:p>
        </w:tc>
      </w:tr>
      <w:tr>
        <w:tc>
          <w:tcPr/>
          <w:p>
            <w:pPr>
              <w:pStyle w:val="Compact"/>
            </w:pPr>
            <w:r>
              <w:t xml:space="preserve">10</w:t>
            </w:r>
          </w:p>
        </w:tc>
        <w:tc>
          <w:tcPr/>
          <w:p>
            <w:pPr>
              <w:pStyle w:val="Compact"/>
            </w:pPr>
            <w:r>
              <w:t xml:space="preserve">ISO 27001 &amp; SOC 2 Certification Readiness &amp; Gap Assessment</w:t>
            </w:r>
          </w:p>
        </w:tc>
        <w:tc>
          <w:tcPr/>
          <w:p>
            <w:pPr>
              <w:pStyle w:val="Compact"/>
            </w:pPr>
            <w:r>
              <w:t xml:space="preserve">CISO</w:t>
            </w:r>
          </w:p>
        </w:tc>
        <w:tc>
          <w:tcPr/>
          <w:p>
            <w:pPr>
              <w:pStyle w:val="Compact"/>
            </w:pPr>
            <w:r>
              <w:t xml:space="preserve">Restricted</w:t>
            </w:r>
          </w:p>
        </w:tc>
      </w:tr>
    </w:tbl>
    <w:p>
      <w:r>
        <w:pict>
          <v:rect style="width:0;height:1.5pt" o:hralign="center" o:hrstd="t" o:hr="t"/>
        </w:pict>
      </w:r>
    </w:p>
    <w:bookmarkStart w:id="54" w:name="X3076570200183bd1f3aaa96b28dccb581ca8c3d"/>
    <w:p>
      <w:pPr>
        <w:pStyle w:val="Heading2"/>
      </w:pPr>
      <w:r>
        <w:t xml:space="preserve">Appendix A — Control-to-clause/policy tag index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ISO 27001:2022 theme</w:t>
            </w:r>
          </w:p>
        </w:tc>
        <w:tc>
          <w:tcPr/>
          <w:p>
            <w:pPr>
              <w:pStyle w:val="Compact"/>
            </w:pPr>
            <w:r>
              <w:t xml:space="preserve">Covered by</w:t>
            </w:r>
          </w:p>
        </w:tc>
      </w:tr>
      <w:tr>
        <w:tc>
          <w:tcPr/>
          <w:p>
            <w:pPr>
              <w:pStyle w:val="Compact"/>
            </w:pPr>
            <w:r>
              <w:t xml:space="preserve">A.5 Organizational</w:t>
            </w:r>
          </w:p>
        </w:tc>
        <w:tc>
          <w:tcPr/>
          <w:p>
            <w:pPr>
              <w:pStyle w:val="Compact"/>
            </w:pPr>
            <w:r>
              <w:t xml:space="preserve">Clauses 4–6, §2.1, §2.9, §2.10, §2.11, §2.13, §2.18, §3</w:t>
            </w:r>
          </w:p>
        </w:tc>
      </w:tr>
      <w:tr>
        <w:tc>
          <w:tcPr/>
          <w:p>
            <w:pPr>
              <w:pStyle w:val="Compact"/>
            </w:pPr>
            <w:r>
              <w:t xml:space="preserve">A.6 People</w:t>
            </w:r>
          </w:p>
        </w:tc>
        <w:tc>
          <w:tcPr/>
          <w:p>
            <w:pPr>
              <w:pStyle w:val="Compact"/>
            </w:pPr>
            <w:r>
              <w:t xml:space="preserve">Clause 7, §2.13, §2.16, §2.11</w:t>
            </w:r>
          </w:p>
        </w:tc>
      </w:tr>
      <w:tr>
        <w:tc>
          <w:tcPr/>
          <w:p>
            <w:pPr>
              <w:pStyle w:val="Compact"/>
            </w:pPr>
            <w:r>
              <w:t xml:space="preserve">A.7 Physical</w:t>
            </w:r>
          </w:p>
        </w:tc>
        <w:tc>
          <w:tcPr/>
          <w:p>
            <w:pPr>
              <w:pStyle w:val="Compact"/>
            </w:pPr>
            <w:r>
              <w:t xml:space="preserve">§2.17 (cloud-inherited / carve-out)</w:t>
            </w:r>
          </w:p>
        </w:tc>
      </w:tr>
      <w:tr>
        <w:tc>
          <w:tcPr/>
          <w:p>
            <w:pPr>
              <w:pStyle w:val="Compact"/>
            </w:pPr>
            <w:r>
              <w:t xml:space="preserve">A.8 Technological</w:t>
            </w:r>
          </w:p>
        </w:tc>
        <w:tc>
          <w:tcPr/>
          <w:p>
            <w:pPr>
              <w:pStyle w:val="Compact"/>
            </w:pPr>
            <w:r>
              <w:t xml:space="preserve">Clause 8, §2.1–§2.8, §2.15, §2.6, §2.7</w:t>
            </w:r>
          </w:p>
        </w:tc>
      </w:tr>
    </w:tbl>
    <w:p>
      <w:pPr>
        <w:pStyle w:val="BodyText"/>
      </w:pPr>
      <w:r>
        <w:rPr>
          <w:b/>
          <w:bCs/>
        </w:rPr>
        <w:t xml:space="preserve">SOC 2 TSC coverage:</w:t>
      </w:r>
      <w:r>
        <w:t xml:space="preserve"> </w:t>
      </w:r>
      <w:r>
        <w:t xml:space="preserve">CC1–CC9 across Clauses 5–10 and the policy set;</w:t>
      </w:r>
      <w:r>
        <w:t xml:space="preserve"> </w:t>
      </w:r>
      <w:r>
        <w:rPr>
          <w:b/>
          <w:bCs/>
        </w:rPr>
        <w:t xml:space="preserve">A</w:t>
      </w:r>
      <w:r>
        <w:t xml:space="preserve"> </w:t>
      </w:r>
      <w:r>
        <w:t xml:space="preserve">(§2.5, §2.12);</w:t>
      </w:r>
      <w:r>
        <w:t xml:space="preserve"> </w:t>
      </w:r>
      <w:r>
        <w:rPr>
          <w:b/>
          <w:bCs/>
        </w:rPr>
        <w:t xml:space="preserve">C</w:t>
      </w:r>
      <w:r>
        <w:t xml:space="preserve"> </w:t>
      </w:r>
      <w:r>
        <w:t xml:space="preserve">(§2.2, §2.3, §2.4);</w:t>
      </w:r>
      <w:r>
        <w:t xml:space="preserve"> </w:t>
      </w:r>
      <w:r>
        <w:rPr>
          <w:b/>
          <w:bCs/>
        </w:rPr>
        <w:t xml:space="preserve">PI</w:t>
      </w:r>
      <w:r>
        <w:t xml:space="preserve"> </w:t>
      </w:r>
      <w:r>
        <w:t xml:space="preserve">(§4.1);</w:t>
      </w:r>
      <w:r>
        <w:t xml:space="preserve"> </w:t>
      </w:r>
      <w:r>
        <w:rPr>
          <w:b/>
          <w:bCs/>
        </w:rPr>
        <w:t xml:space="preserve">P</w:t>
      </w:r>
      <w:r>
        <w:t xml:space="preserve"> </w:t>
      </w:r>
      <w:r>
        <w:t xml:space="preserve">(§3, §2.3, §2.4).</w:t>
      </w:r>
    </w:p>
    <w:p>
      <w:pPr>
        <w:pStyle w:val="BodyText"/>
      </w:pPr>
      <w:r>
        <w:rPr>
          <w:i/>
          <w:iCs/>
        </w:rPr>
        <w:t xml:space="preserve">End of Doc 08 — ISMS Manual, Policies &amp; Governance. Maintained under change control; see Doc 07.</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2026-08-05T12:18:23Z</dcterms:created>
  <dcterms:modified xsi:type="dcterms:W3CDTF">2026-08-05T12:18:23Z</dcterms:modified>
</cp:coreProperties>
</file>

<file path=docProps/custom.xml><?xml version="1.0" encoding="utf-8"?>
<Properties xmlns="http://schemas.openxmlformats.org/officeDocument/2006/custom-properties" xmlns:vt="http://schemas.openxmlformats.org/officeDocument/2006/docPropsVTypes"/>
</file>