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6B4A"/>
          <w:sz w:val="56"/>
          <w:szCs w:val="56"/>
        </w:rPr>
        <w:t xml:space="preserve">HomeoOpinion</w:t>
      </w:r>
    </w:p>
    <w:p>
      <w:pPr>
        <w:spacing w:after="80"/>
        <w:jc w:val="center"/>
      </w:pPr>
      <w:r>
        <w:rPr>
          <w:color w:val="555555"/>
          <w:sz w:val="28"/>
          <w:szCs w:val="28"/>
        </w:rPr>
        <w:t xml:space="preserve">AI-Powered Homoeopathic Second Opinion Portal</w:t>
      </w:r>
    </w:p>
    <w:p>
      <w:pPr>
        <w:pBdr>
          <w:bottom w:val="single" w:color="1B6B4A" w:sz="4" w:space="8"/>
        </w:pBdr>
        <w:spacing w:after="400"/>
        <w:jc w:val="center"/>
      </w:pPr>
      <w:r>
        <w:rPr>
          <w:color w:val="888888"/>
          <w:sz w:val="22"/>
          <w:szCs w:val="22"/>
        </w:rPr>
        <w:t xml:space="preserve">Enriched Product Requirements Document</w:t>
      </w:r>
    </w:p>
    <w:p>
      <w:pPr>
        <w:spacing w:after="1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May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Draft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Classification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Confidential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sz w:val="22"/>
          <w:szCs w:val="22"/>
        </w:rPr>
        <w:t xml:space="preserve">HomeoOpinion is a digital health portal designed to democratise access to qualified homoeopathic second opinions. The platform connects patients who are seeking alternative or supplementary medical perspectives with BHMS/MD(Hom.) registered practitioners across India and globally. Patients upload lab reports, describe symptoms and medical history using structured homoeopathic intake forms, and receive an AI-generated preliminary case analysis. Licensed homoeopathic doctors then review the AI report, add their expert commentary, and offer follow-up consultations (online or in-clinic). An administrative layer handles doctor onboarding, case routing, compliance, and analytics.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The portal is purpose-built for homoeopathy, incorporating domain-specific concepts such as constitutional case-taking, miasmatic assessment, modality capture, mental-emotional symptom profiling, and repertorization support — none of which exist in generic telemedicine platforms.</w:t>
      </w:r>
    </w:p>
    <w:p>
      <w:pPr>
        <w:pBdr>
          <w:bottom w:val="single" w:color="1B6B4A" w:sz="2" w:space="8"/>
        </w:pBdr>
        <w:spacing w:after="200" w:before="200"/>
      </w:pPr>
    </w:p>
    <w:p>
      <w:pPr>
        <w:pStyle w:val="Heading1"/>
      </w:pPr>
      <w:r>
        <w:t xml:space="preserve">2. Market Context and Opportunity</w:t>
      </w:r>
    </w:p>
    <w:p>
      <w:pPr>
        <w:spacing w:after="120"/>
      </w:pPr>
      <w:r>
        <w:rPr>
          <w:sz w:val="22"/>
          <w:szCs w:val="22"/>
        </w:rPr>
        <w:t xml:space="preserve">India has over 2,24,000 registered homoeopathic doctors, 195 undergraduate and 43 postgraduate colleges, and more than 7,800 government dispensaries offering homoeopathic services. Despite this vast infrastructure, patients in tier-2 and tier-3 cities often struggle to access specialist homoeopathic opinion, particularly in branches like psychiatry, paediatrics, and constitutional prescribing.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The global medical second opinion market is experiencing rapid growth, with approximately 38% of patients now using virtual consultations for second opinions. AI-powered diagnostic support is improving clinical precision by up to 20%, and 20% of clinicians already consult large language models for supplementary opinions. The Indian government’s Telemedicine Practice Guidelines (2020) explicitly cover Registered Homoeopathic Practitioners (RHPs), providing a clear regulatory framework. This convergence of digital health adoption, regulatory clarity, and an underserved patient population creates a strong opportunity for a homoeopathy-focused second opinion portal.</w:t>
      </w:r>
    </w:p>
    <w:p>
      <w:pPr>
        <w:pBdr>
          <w:bottom w:val="single" w:color="1B6B4A" w:sz="2" w:space="8"/>
        </w:pBdr>
        <w:spacing w:after="200" w:before="200"/>
      </w:pPr>
    </w:p>
    <w:p>
      <w:pPr>
        <w:pStyle w:val="Heading1"/>
      </w:pPr>
      <w:r>
        <w:t xml:space="preserve">3. Platform Architecture Overview</w:t>
      </w:r>
    </w:p>
    <w:p>
      <w:pPr>
        <w:pStyle w:val="Heading2"/>
      </w:pPr>
      <w:r>
        <w:t xml:space="preserve">3.1 System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Authentication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Patient (User)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Seeks homoeopathic second opinion by uploading reports, describing symptoms, and optionally booking consultations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Google OAuth 2.0, optional email/phone OTP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Doctor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Licensed BHMS/MD(Hom.) practitioner who reviews cases, adds expert analysis, and conducts consultations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Credential-based login or Google OAuth with admin-verified registration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Admin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Platform operator who onboards doctors, manages case routing, monitors dashboards, and enforces compliance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Credential-based login with MFA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3.2 High-Level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Patient registers/logs in and creates a new case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Patient fills structured homoeopathic intake form and uploads lab reports/documents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 engine generates a preliminary case analysis report (symptom extraction, possible rubrics, constitutional indicators)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Case is routed to qualified doctors based on speciality tags and filters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Doctor reviews the AI report plus uploaded documents, adds expert comments and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Patient receives notification that the report is ready (WhatsApp/email/SMS)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Patient reviews the report; if deeper consultation is desired, patient pays and books an appointment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Doctor conducts consultation (video/audio/in-clinic), prescribes remedy, and documents follow-up 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Patient can return for follow-up appointments with the same doctor on the same case</w:t>
      </w:r>
    </w:p>
    <w:p>
      <w:pPr>
        <w:pBdr>
          <w:bottom w:val="single" w:color="1B6B4A" w:sz="2" w:space="8"/>
        </w:pBdr>
        <w:spacing w:after="200" w:before="200"/>
      </w:pPr>
    </w:p>
    <w:p>
      <w:pPr>
        <w:pStyle w:val="Heading1"/>
      </w:pPr>
      <w:r>
        <w:t xml:space="preserve">4. User (Patient) Module</w:t>
      </w:r>
    </w:p>
    <w:p>
      <w:pPr>
        <w:pStyle w:val="Heading2"/>
      </w:pPr>
      <w:r>
        <w:t xml:space="preserve">4.1 Registration and Authentication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Primary login via Google OAuth 2.0 for frictionless onboarding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Optional email or mobile OTP-based login for users without Google accounts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Profile creation: name, age, gender, city, preferred language (English, Hindi, regional)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Terms of service and informed consent for telemedicine (as per CCH Telemedicine Practice Guidelines 2020)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Optional: link Aadhaar or ABHA (Ayushman Bharat Health Account) for future ABDM integration</w:t>
      </w:r>
    </w:p>
    <w:p>
      <w:pPr>
        <w:spacing w:after="100"/>
      </w:pPr>
    </w:p>
    <w:p>
      <w:pPr>
        <w:pStyle w:val="Heading2"/>
      </w:pPr>
      <w:r>
        <w:t xml:space="preserve">4.2 Homoeopathy-Specific Case Intake Form</w:t>
      </w:r>
    </w:p>
    <w:p>
      <w:pPr>
        <w:spacing w:after="120"/>
      </w:pPr>
      <w:r>
        <w:rPr>
          <w:sz w:val="22"/>
          <w:szCs w:val="22"/>
        </w:rPr>
        <w:t xml:space="preserve">Unlike generic medical platforms, HomeoOpinion captures data essential for homoeopathic case analysis. The intake form is structured across the following sections:</w:t>
      </w:r>
    </w:p>
    <w:p>
      <w:pPr>
        <w:spacing w:after="100"/>
      </w:pPr>
    </w:p>
    <w:p>
      <w:pPr>
        <w:pStyle w:val="Heading3"/>
      </w:pPr>
      <w:r>
        <w:t xml:space="preserve">4.2.1 Chief Complaint and History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Free-text description of current problem (what, when, how it started)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Duration and progression of symptoms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Any previous allopathic/homoeopathic/ayurvedic treatment taken and its effects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Family medical history (hereditary tendencies — relevant for miasmatic assessment)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Past significant illnesses, surgeries, vaccinations</w:t>
      </w:r>
    </w:p>
    <w:p>
      <w:pPr>
        <w:spacing w:after="100"/>
      </w:pPr>
    </w:p>
    <w:p>
      <w:pPr>
        <w:pStyle w:val="Heading3"/>
      </w:pPr>
      <w:r>
        <w:t xml:space="preserve">4.2.2 Constitutional and Mental-Emotional Profile</w:t>
      </w:r>
    </w:p>
    <w:p>
      <w:pPr>
        <w:spacing w:after="120"/>
      </w:pPr>
      <w:r>
        <w:rPr>
          <w:sz w:val="22"/>
          <w:szCs w:val="22"/>
        </w:rPr>
        <w:t xml:space="preserve">This section captures the holistic picture that homoeopathic case-taking requires, going beyond just physical symptoms: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Temperament and disposition (anxious, irritable, weepy, reserved, sociable, etc.)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Fears and phobias (darkness, being alone, heights, disease, death, thunder, etc.)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Sleep patterns: position, dreams (recurring themes), quality, disturbances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Emotional triggers and coping style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Response to consolation, sympathy, contradiction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Food cravings and aversions (salt, sweet, sour, spicy, eggs, meat, milk, etc.)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Thermal preference: chilly or warm-blooded patient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Thirst pattern: quantity, frequency, temperature preference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Perspiration: location, timing, odour</w:t>
      </w:r>
    </w:p>
    <w:p>
      <w:pPr>
        <w:spacing w:after="100"/>
      </w:pPr>
    </w:p>
    <w:p>
      <w:pPr>
        <w:pStyle w:val="Heading3"/>
      </w:pPr>
      <w:r>
        <w:t xml:space="preserve">4.2.3 Modalities (Aggravating and Ameliorating Factors)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Time modalities: symptoms worse/better morning, evening, night, specific hours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Weather modalities: effect of heat, cold, humidity, storm, season change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Position modalities: sitting, standing, lying down, specific side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Activity: rest vs. motion, before/during/after exertion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Other: eating, pressure, touch, bathing, clothing</w:t>
      </w:r>
    </w:p>
    <w:p>
      <w:pPr>
        <w:spacing w:after="100"/>
      </w:pPr>
    </w:p>
    <w:p>
      <w:pPr>
        <w:pStyle w:val="Heading3"/>
      </w:pPr>
      <w:r>
        <w:t xml:space="preserve">4.2.4 Speciality Tags and Routing</w:t>
      </w:r>
    </w:p>
    <w:p>
      <w:pPr>
        <w:spacing w:after="120"/>
      </w:pPr>
      <w:r>
        <w:rPr>
          <w:sz w:val="22"/>
          <w:szCs w:val="22"/>
        </w:rPr>
        <w:t xml:space="preserve">Users select one or more speciality tags to route their case to appropriately qualified doctors. The tag taxonomy is aligned with MD(Hom.) specialisations recognised by the Central Council of Homoeopathy: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Clinical Speciality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Academic Alignment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Example Conditions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General / Constitutional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Organon &amp; Philosophy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Chronic constitutional cases, miasmatic treatment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Skin &amp; Dermatology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Practice of Medicine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Eczema, psoriasis, urticaria, warts, acne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Paediatrics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 Paediatrics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Childhood asthma, behavioural issues, ADHD, growth concerns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Mental Health / Psychiatry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 Psychiatry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Anxiety, depression, OCD, insomnia, phobias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Women’s Health / Gynaecology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Practice of Medicine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PCOS, menstrual disorders, menopause, infertility support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Respiratory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Practice of Medicine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Allergic rhinitis, asthma, recurrent sinusitis, bronchitis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Gastroenterology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Practice of Medicine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IBS, acid reflux, chronic constipation, liver disorders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Musculoskeletal / Rheumatology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Practice of Medicine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Arthritis, spondylitis, sciatica, fibromyalgia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Autoimmune Disorders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Practice of Medicine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Thyroid disorders, lupus, vitiligo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Oncology Support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Practice of Medicine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Supportive/palliative care alongside conventional treatment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4.2.5 Document and Report Upload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Supported formats: PDF, JPEG, PNG, DICOM (for radiology images)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File size limit: 25 MB per file, 100 MB total per case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Document types: blood reports (CBC, LFT, KFT, thyroid panel, lipid profile, etc.), imaging reports (X-ray, MRI, USG), previous prescriptions, discharge summaries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AI-powered OCR for extracting structured data from scanned lab reports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Drag-and-drop upload with preview and annotation capabilities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Document tagging: users can label each upload (e.g., “Blood Test – March 2026”, “Previous Homoeopathic Prescription”)</w:t>
      </w:r>
    </w:p>
    <w:p>
      <w:pPr>
        <w:spacing w:after="100"/>
      </w:pPr>
    </w:p>
    <w:p>
      <w:pPr>
        <w:pStyle w:val="Heading2"/>
      </w:pPr>
      <w:r>
        <w:t xml:space="preserve">4.3 AI-Generated Preliminary Report</w:t>
      </w:r>
    </w:p>
    <w:p>
      <w:pPr>
        <w:spacing w:after="120"/>
      </w:pPr>
      <w:r>
        <w:rPr>
          <w:sz w:val="22"/>
          <w:szCs w:val="22"/>
        </w:rPr>
        <w:t xml:space="preserve">The AI engine processes the intake form and uploaded documents to generate a preliminary analysis. This is explicitly positioned as a decision-support tool, not a diagnosis, in compliance with regulatory guidelines:</w:t>
      </w:r>
    </w:p>
    <w:p>
      <w:pPr>
        <w:spacing w:after="100"/>
      </w:pP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Symptom Extraction and Structuring: Converts free-text narrative into structured symptom categories (mental, general, particular) following Kent’s hierarchy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Lab Report Parsing: Extracts key biomarkers, flags abnormal values, and presents them alongside homoeopathic relevance notes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Rubric Suggestions: Maps reported symptoms to potential repertory rubrics (using standard rubric language from Kent’s Repertory)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Constitutional Indicators: Based on the mental-emotional profile, food preferences, thermal state, and modalities, suggests possible constitutional types for the doctor’s consideration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Miasmatic Tendency: Based on family history and symptom patterns, indicates possible predominant miasm (Psora, Sycosis, Syphilis, Tubercular)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Red Flag Alerts: Identifies symptoms requiring urgent conventional medical attention, ensuring patient safety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Disclaimer prominently displayed: “This AI-generated report is a preliminary analysis tool to assist qualified homoeopathic practitioners. It is not a diagnosis or prescription. All clinical decisions rest with the reviewing doctor.”</w:t>
      </w:r>
    </w:p>
    <w:p>
      <w:pPr>
        <w:spacing w:after="100"/>
      </w:pPr>
    </w:p>
    <w:p>
      <w:pPr>
        <w:pStyle w:val="Heading2"/>
      </w:pPr>
      <w:r>
        <w:t xml:space="preserve">4.4 Notification and Waiting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After submission, the user sees an estimated time for report readiness (configurable by admin; default: 24–48 hours)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Push notification channels: WhatsApp (via Business API), email, SMS, in-app notification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Status tracking: Submitted → Under AI Processing → Awaiting Doctor Review → Report Ready → Consultation Booked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User can check real-time status on their dashboard</w:t>
      </w:r>
    </w:p>
    <w:p>
      <w:pPr>
        <w:spacing w:after="100"/>
      </w:pPr>
    </w:p>
    <w:p>
      <w:pPr>
        <w:pStyle w:val="Heading2"/>
      </w:pPr>
      <w:r>
        <w:t xml:space="preserve">4.5 Viewing Report and Booking Consultation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Report is presented in a clean, readable format with sections for AI analysis and doctor’s expert comments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User reviews the report at no charge (or at a nominal platform fee — configurable)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If the user wants a live consultation, they proceed to payment and appointment booking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Payment gateway integration: Razorpay/PayU/Stripe with UPI, credit/debit card, net banking, wallet support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Appointment types: video call (via integrated WebRTC or Jitsi), audio call, or in-clinic visit (if doctor offers offline consultations)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Slot selection from the doctor’s available calendar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Consultation fees displayed upfront (set by doctor, optionally with platform commission)</w:t>
      </w:r>
    </w:p>
    <w:p>
      <w:pPr>
        <w:spacing w:after="100"/>
      </w:pPr>
    </w:p>
    <w:p>
      <w:pPr>
        <w:pStyle w:val="Heading2"/>
      </w:pPr>
      <w:r>
        <w:t xml:space="preserve">4.6 Follow-Up and Case Continuity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Patient can return and book follow-up appointments on the same case with the same doctor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Complete case history is maintained: all reports, doctor comments, prescriptions, and consultation notes are chronologically threaded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Doctor can request updated lab reports or symptom updates before follow-up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Follow-up pricing can differ from initial consultation (configurable by doctor)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Prescription history with remedy name, potency, dosage, and repetition schedule</w:t>
      </w:r>
    </w:p>
    <w:p>
      <w:pPr>
        <w:pBdr>
          <w:bottom w:val="single" w:color="1B6B4A" w:sz="2" w:space="8"/>
        </w:pBdr>
        <w:spacing w:after="200" w:before="200"/>
      </w:pPr>
    </w:p>
    <w:p>
      <w:pPr>
        <w:pStyle w:val="Heading1"/>
      </w:pPr>
      <w:r>
        <w:t xml:space="preserve">5. Doctor Module</w:t>
      </w:r>
    </w:p>
    <w:p>
      <w:pPr>
        <w:pStyle w:val="Heading2"/>
      </w:pPr>
      <w:r>
        <w:t xml:space="preserve">5.1 Registration and Onboarding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Login via credentials (email + password) or Google OAuth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Registration requires admin verification before account activation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Required onboarding documents: BHMS degree certificate, MD(Hom.) certificate (if applicable), CCH/State Board registration number, valid ID proof, passport-size photograph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Admin verifies registration number against the National Register of Homoeopaths (NRH) maintained by CCH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Doctor signs a platform agreement covering code of conduct, fee structure, and data privacy obligations</w:t>
      </w:r>
    </w:p>
    <w:p>
      <w:pPr>
        <w:spacing w:after="100"/>
      </w:pPr>
    </w:p>
    <w:p>
      <w:pPr>
        <w:pStyle w:val="Heading2"/>
      </w:pPr>
      <w:r>
        <w:t xml:space="preserve">5.2 Doctor Profile and Speciality Configuration</w:t>
      </w:r>
    </w:p>
    <w:p>
      <w:pPr>
        <w:spacing w:after="120"/>
      </w:pPr>
      <w:r>
        <w:rPr>
          <w:sz w:val="22"/>
          <w:szCs w:val="22"/>
        </w:rPr>
        <w:t xml:space="preserve">Each doctor’s profile serves as both a public-facing credential page and an internal routing filter: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Profile Field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Qualifications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BHMS, MD(Hom.) with specialisation branch, any additional certifications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Speciality Tags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Multiple selectable from the same taxonomy used in patient intake (skin, psychiatry, paediatrics, etc.)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Prescribing Approach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Classical/Unicist, Pluralist, Complex, Organ-specific (for patient transparency)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Experience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Years of practice, notable case areas, institutional affiliations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Languages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Languages spoken for consultation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Consultation Modes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Online (video/audio), offline (clinic address with map pin), or both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Availability Calendar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Weekly slot configuration with buffer time between appointments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Consultation Fees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Initial consultation fee, follow-up fee (set by doctor)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Ratings and Reviews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Aggregated patient ratings post-consultation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5.3 Case Dashboard and Review Workflow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t xml:space="preserve">Doctor sees a filtered queue of incoming cases matching their speciality tags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t xml:space="preserve">Each case card shows: patient demographics (anonymised until accepted), chief complaint summary, speciality tags, AI confidence score, submission timestamp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t xml:space="preserve">Doctor can preview the AI-generated report and uploaded documents before accepting the case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t xml:space="preserve">Upon accepting, the doctor gets full access to the patient’s case file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t xml:space="preserve">Doctor studies the case, cross-references with materia medica knowledge, and adds structured comments: agreement/disagreement with AI suggestions, additional rubrics identified, recommended remedies (with potency and rationale), suggested investigations or lifestyle modifications, red flag observations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t xml:space="preserve">Doctor dispatches the completed report back to the patient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t xml:space="preserve">Case status updates to “Report Ready” and patient is notified</w:t>
      </w:r>
    </w:p>
    <w:p>
      <w:pPr>
        <w:spacing w:after="100"/>
      </w:pPr>
    </w:p>
    <w:p>
      <w:pPr>
        <w:pStyle w:val="Heading2"/>
      </w:pPr>
      <w:r>
        <w:t xml:space="preserve">5.4 Consultation Management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Accept/decline appointment requests based on availability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Video consultation powered by WebRTC/Jitsi with screen sharing for reviewing reports together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Consultation notes template with homoeopathic fields: remedy prescribed, potency, dosage schedule, expected aggravation period, dietary restrictions, follow-up timeline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E-prescription generation compliant with CCH telemedicine guidelines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Digital prescription includes: patient name, age, date, remedy name in standard nomenclature, potency, dose, frequency, duration, doctor’s registration number and digital signature</w:t>
      </w:r>
    </w:p>
    <w:p>
      <w:pPr>
        <w:spacing w:after="100"/>
      </w:pPr>
    </w:p>
    <w:p>
      <w:pPr>
        <w:pStyle w:val="Heading2"/>
      </w:pPr>
      <w:r>
        <w:t xml:space="preserve">5.5 Patient Search and Case History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Search patients by name, case ID, date range, speciality, or case status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View complete longitudinal case history for returning patients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Add ongoing notes to a patient’s case file across multiple consultations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Track treatment progress: symptom evolution timeline showing which symptoms improved, appeared, or intensified after each prescription</w:t>
      </w:r>
    </w:p>
    <w:p>
      <w:pPr>
        <w:spacing w:after="100"/>
      </w:pPr>
    </w:p>
    <w:p>
      <w:pPr>
        <w:pStyle w:val="Heading2"/>
      </w:pPr>
      <w:r>
        <w:t xml:space="preserve">5.6 Earnings and Payouts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Earnings credited upon completion of each consultation (not at booking — protects patients)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Transparent earnings dashboard: per-consultation earnings, platform commission deducted, net payout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Payout schedule: weekly or bi-weekly bank transfer via NEFT/IMPS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GST invoice generation for doctors (as applicable under Indian tax law)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Refund handling: if consultation does not occur due to doctor no-show, payment is fully refunded to patient</w:t>
      </w:r>
    </w:p>
    <w:p>
      <w:pPr>
        <w:pBdr>
          <w:bottom w:val="single" w:color="1B6B4A" w:sz="2" w:space="8"/>
        </w:pBdr>
        <w:spacing w:after="200" w:before="200"/>
      </w:pPr>
    </w:p>
    <w:p>
      <w:pPr>
        <w:pStyle w:val="Heading1"/>
      </w:pPr>
      <w:r>
        <w:t xml:space="preserve">6. Admin Module</w:t>
      </w:r>
    </w:p>
    <w:p>
      <w:pPr>
        <w:pStyle w:val="Heading2"/>
      </w:pPr>
      <w:r>
        <w:t xml:space="preserve">6.1 Doctor Lifecycle Management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2"/>
          <w:szCs w:val="22"/>
        </w:rPr>
        <w:t xml:space="preserve">Onboarding: review submitted credentials, verify against NRH/State Board records, approve or reject with reason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2"/>
          <w:szCs w:val="22"/>
        </w:rPr>
        <w:t xml:space="preserve">Active monitoring: track each doctor’s response time, case acceptance rate, patient ratings, and complaint history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2"/>
          <w:szCs w:val="22"/>
        </w:rPr>
        <w:t xml:space="preserve">Off-boarding: suspend or permanently remove doctors with documented reasons; handle pending cases and patient communication</w:t>
      </w:r>
    </w:p>
    <w:p>
      <w:pPr>
        <w:spacing w:after="100"/>
      </w:pPr>
    </w:p>
    <w:p>
      <w:pPr>
        <w:pStyle w:val="Heading2"/>
      </w:pPr>
      <w:r>
        <w:t xml:space="preserve">6.2 Case Visibility and Routing Controls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Admin can control which doctors see which cases (e.g., restrict sensitive cases, route to senior practitioners)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Auto-routing rules engine: match case speciality tags to doctor speciality tags with configurable weighting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Manual override: admin can reassign a case to a specific doctor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Escalation workflow: if no doctor accepts a case within the SLA window, admin is alerted to intervene</w:t>
      </w:r>
    </w:p>
    <w:p>
      <w:pPr>
        <w:spacing w:after="100"/>
      </w:pPr>
    </w:p>
    <w:p>
      <w:pPr>
        <w:pStyle w:val="Heading2"/>
      </w:pPr>
      <w:r>
        <w:t xml:space="preserve">6.3 Analytics Dashboard</w:t>
      </w:r>
    </w:p>
    <w:p>
      <w:pPr>
        <w:spacing w:after="120"/>
      </w:pPr>
      <w:r>
        <w:rPr>
          <w:sz w:val="22"/>
          <w:szCs w:val="22"/>
        </w:rPr>
        <w:t xml:space="preserve">The admin dashboard provides real-time and historical views across the following metrics: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Metric Category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Key Indicators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Case Volume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Total cases submitted, cases by speciality, cases by geography, daily/weekly/monthly trends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Resolution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Cases reviewed by doctors, average review time, cases pending, cases escalated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Consultation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Total consultations booked, completed, cancelled, no-shows; online vs. offline split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Financial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Total revenue, platform commission earned, doctor payouts, refunds processed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Engagement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Active users, returning users, drop-off rates at each funnel stage, NPS scores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Doctor Performance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Avg. response time, acceptance rate, patient ratings, cases per doctor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AI Performance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AI report accuracy (based on doctor agreement rate), rubric suggestion relevance, red flag detection rate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6.4 User and Doctor Management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Block/suspend users for abuse, fake reports, or terms violation; with email notification and appeal process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Block/suspend doctors for misconduct, consistently poor reviews, credential issues; with formal notice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Bulk communication: send announcements, policy updates, or feature notifications to all users or doctors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Content moderation: flag and review inappropriate comments or uploads</w:t>
      </w:r>
    </w:p>
    <w:p>
      <w:pPr>
        <w:pBdr>
          <w:bottom w:val="single" w:color="1B6B4A" w:sz="2" w:space="8"/>
        </w:pBdr>
        <w:spacing w:after="200" w:before="200"/>
      </w:pPr>
    </w:p>
    <w:p>
      <w:pPr>
        <w:pStyle w:val="Heading1"/>
      </w:pPr>
      <w:r>
        <w:t xml:space="preserve">7. AI Engine Specifications</w:t>
      </w:r>
    </w:p>
    <w:p>
      <w:pPr>
        <w:spacing w:after="120"/>
      </w:pPr>
      <w:r>
        <w:rPr>
          <w:sz w:val="22"/>
          <w:szCs w:val="22"/>
        </w:rPr>
        <w:t xml:space="preserve">The AI layer is the core differentiator of HomeoOpinion. It is purpose-trained for homoeopathic contexts, not a generic medical AI:</w:t>
      </w:r>
    </w:p>
    <w:p>
      <w:pPr>
        <w:spacing w:after="100"/>
      </w:pPr>
    </w:p>
    <w:p>
      <w:pPr>
        <w:pStyle w:val="Heading2"/>
      </w:pPr>
      <w:r>
        <w:t xml:space="preserve">7.1 Capabilities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sz w:val="22"/>
          <w:szCs w:val="22"/>
        </w:rPr>
        <w:t xml:space="preserve">Lab Report OCR and Parser: Extract structured data from scanned blood/imaging reports using computer vision and NLP. Handle Indian lab formats (Thyrocare, SRL, Dr Lal PathLabs, etc.).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sz w:val="22"/>
          <w:szCs w:val="22"/>
        </w:rPr>
        <w:t xml:space="preserve">Symptom-to-Rubric Mapping: Map patient-described symptoms to standard homoeopathic repertory rubrics. Support Kent’s Repertory rubric language as the baseline, with extensibility for Synthesis and Complete Repertory.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sz w:val="22"/>
          <w:szCs w:val="22"/>
        </w:rPr>
        <w:t xml:space="preserve">Constitutional Profiling: Based on mental, general, and particular symptoms, suggest possible constitutional remedy groups for the doctor’s consideration.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sz w:val="22"/>
          <w:szCs w:val="22"/>
        </w:rPr>
        <w:t xml:space="preserve">Miasmatic Analysis: Analyse family history patterns and current symptom characteristics to suggest predominant miasmatic tendency (Psora, Sycosis, Syphilis, Tubercular).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sz w:val="22"/>
          <w:szCs w:val="22"/>
        </w:rPr>
        <w:t xml:space="preserve">Red Flag Detection: Identify emergency or serious symptoms (chest pain, neurological deficits, suspected malignancies) that require urgent conventional medical attention, regardless of the homoeopathic context.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sz w:val="22"/>
          <w:szCs w:val="22"/>
        </w:rPr>
        <w:t xml:space="preserve">Multi-lingual Support: Process intake forms in English, Hindi, and major regional languages; output reports in the user’s preferred language.</w:t>
      </w:r>
    </w:p>
    <w:p>
      <w:pPr>
        <w:spacing w:after="100"/>
      </w:pPr>
    </w:p>
    <w:p>
      <w:pPr>
        <w:pStyle w:val="Heading2"/>
      </w:pPr>
      <w:r>
        <w:t xml:space="preserve">7.2 Guardrails and Compliance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AI output is always labelled as “preliminary analysis” and “for practitioner review only”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AI never prescribes remedies or potencies directly to patients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Confidence scores accompany every AI suggestion, allowing doctors to gauge reliability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All AI outputs are logged and auditable for quality assurance and model improvement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Model bias monitoring: regular evaluation to ensure balanced performance across demographics</w:t>
      </w:r>
    </w:p>
    <w:p>
      <w:pPr>
        <w:pBdr>
          <w:bottom w:val="single" w:color="1B6B4A" w:sz="2" w:space="8"/>
        </w:pBdr>
        <w:spacing w:after="200" w:before="200"/>
      </w:pPr>
    </w:p>
    <w:p>
      <w:pPr>
        <w:pStyle w:val="Heading1"/>
      </w:pPr>
      <w:r>
        <w:t xml:space="preserve">8. Regulatory and Compliance Framework</w:t>
      </w:r>
    </w:p>
    <w:p>
      <w:pPr>
        <w:pStyle w:val="Heading2"/>
      </w:pPr>
      <w:r>
        <w:t xml:space="preserve">8.1 Indian Regulations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CCH Telemedicine Practice Guidelines (2020) for Registered Homoeopathic Practitioners: Governs all teleconsultation activity on the platform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Information Technology Act 2000 and IT Rules 2011: Data protection and intermediary liability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Digital Personal Data Protection Act 2023 (DPDPA): Consent management, data minimisation, purpose limitation, breach notification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Drugs and Cosmetics Act 1940: E-prescription compliance for homoeopathic medicines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Clinical Establishments Act 2010: If applicable to partner clinics offering offline consultations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ABDM (Ayushman Bharat Digital Mission) standards: Future integration with national health ID ecosystem</w:t>
      </w:r>
    </w:p>
    <w:p>
      <w:pPr>
        <w:spacing w:after="100"/>
      </w:pPr>
    </w:p>
    <w:p>
      <w:pPr>
        <w:pStyle w:val="Heading2"/>
      </w:pPr>
      <w:r>
        <w:t xml:space="preserve">8.2 Data Protection Measures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All patient health information (PHI) encrypted at rest (AES-256) and in transit (TLS 1.3)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Role-based access control (RBAC): doctors see only cases assigned to them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Audit trails for all data access, modifications, and exports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Data residency: all primary data stored within India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Right to erasure: patients can request deletion of their data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Anonymisation for analytics and AI training datasets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Regular third-party security audits and penetration testing</w:t>
      </w:r>
    </w:p>
    <w:p>
      <w:pPr>
        <w:pBdr>
          <w:bottom w:val="single" w:color="1B6B4A" w:sz="2" w:space="8"/>
        </w:pBdr>
        <w:spacing w:after="200" w:before="200"/>
      </w:pPr>
    </w:p>
    <w:p>
      <w:pPr>
        <w:pStyle w:val="Heading1"/>
      </w:pPr>
      <w:r>
        <w:t xml:space="preserve">9. Suggested Technical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Technology Options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Frontend (Web)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React.js / Next.js with Tailwind CSS; responsive PWA for mobile-first experience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Frontend (Mobile)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React Native or Flutter for cross-platform iOS/Android apps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 API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Node.js (Express/NestJS) or Python (FastAPI/Django REST Framework)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PostgreSQL (primary), Redis (caching and session), MongoDB (document/report storage)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AI/ML Pipeline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Python (LangChain/LlamaIndex for LLM orchestration), fine-tuned models for homoeopathic NLP, OCR (Tesseract/Google Vision API)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Video Consultation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Jitsi Meet (self-hosted, open source) or Twilio Video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File Storage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AWS S3 / GCP Cloud Storage with server-side encryption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Notifications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WhatsApp Business API (Gupshup/Twilio), Firebase Cloud Messaging, SendGrid (email), MSG91 (SMS)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Payment Gateway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Razorpay / PayU with UPI, cards, net banking, wallets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Authentication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Firebase Auth / Auth0 with Google OAuth, JWT tokens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Hosting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AWS (Mumbai region) / GCP (asia-south1) for data residency compliance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CI/CD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GitHub Actions / GitLab CI with Docker containers, Kubernetes orchestration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Monitoring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Grafana + Prometheus (infrastructure), Sentry (error tracking), Mixpanel (product analytics)</w:t>
            </w:r>
          </w:p>
        </w:tc>
      </w:tr>
    </w:tbl>
    <w:p>
      <w:pPr>
        <w:pBdr>
          <w:bottom w:val="single" w:color="1B6B4A" w:sz="2" w:space="8"/>
        </w:pBdr>
        <w:spacing w:after="200" w:before="200"/>
      </w:pPr>
    </w:p>
    <w:p>
      <w:pPr>
        <w:pStyle w:val="Heading1"/>
      </w:pPr>
      <w:r>
        <w:t xml:space="preserve">10.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Page load &lt; 2s; API response &lt; 500ms (p95); AI report generation &lt; 5 minutes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 10,000 concurrent users at launch, horizontally scalable to 100K+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Availability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99.9% uptime SLA; multi-AZ deployment; automated failover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Accessibility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WCAG 2.1 AA compliance; multi-language UI; voice input support for intake forms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OWASP Top 10 compliance; annual VAPT; encrypted PHI; MFA for admin/doctor roles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Disaster Recovery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RPO &lt; 1 hour; RTO &lt; 4 hours; daily automated backups with cross-region replication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Audit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Complete audit log for all PHI access; tamper-proof log storage; 7-year retention</w:t>
            </w:r>
          </w:p>
        </w:tc>
      </w:tr>
    </w:tbl>
    <w:p>
      <w:pPr>
        <w:pBdr>
          <w:bottom w:val="single" w:color="1B6B4A" w:sz="2" w:space="8"/>
        </w:pBdr>
        <w:spacing w:after="200" w:before="200"/>
      </w:pPr>
    </w:p>
    <w:p>
      <w:pPr>
        <w:pStyle w:val="Heading1"/>
      </w:pPr>
      <w:r>
        <w:t xml:space="preserve">11. Phased Delivery Roadmap</w:t>
      </w:r>
    </w:p>
    <w:p>
      <w:pPr>
        <w:pStyle w:val="Heading2"/>
      </w:pPr>
      <w:r>
        <w:t xml:space="preserve">Phase 1: MVP (Months 1–4)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Patient registration (Google OAuth) and basic case intake form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Document upload with basic AI report generation (symptom extraction + lab parsing)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Doctor onboarding (admin-verified) and case review workflow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WhatsApp/email notifications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Payment integration and basic video consultation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Admin dashboard with core metrics</w:t>
      </w:r>
    </w:p>
    <w:p>
      <w:pPr>
        <w:spacing w:after="100"/>
      </w:pPr>
    </w:p>
    <w:p>
      <w:pPr>
        <w:pStyle w:val="Heading2"/>
      </w:pPr>
      <w:r>
        <w:t xml:space="preserve">Phase 2: Enhanced AI and Engagement (Months 5–8)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Full homoeopathic intake form (constitutional, mental-emotional, modalities)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Rubric suggestion engine and miasmatic analysis in AI reports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Doctor mobile app (React Native/Flutter)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Follow-up appointment and case continuity features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E-prescription generation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Multi-language support (Hindi + 2 regional languages)</w:t>
      </w:r>
    </w:p>
    <w:p>
      <w:pPr>
        <w:spacing w:after="100"/>
      </w:pPr>
    </w:p>
    <w:p>
      <w:pPr>
        <w:pStyle w:val="Heading2"/>
      </w:pPr>
      <w:r>
        <w:t xml:space="preserve">Phase 3: Scale and Ecosystem (Months 9–12)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Advanced AI: constitutional profiling, red flag detection, treatment progress tracking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ABDM/ABHA integration for national health ID linkage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Patient mobile app with appointment reminders and remedy tracking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Doctor rating and review system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API marketplace for integration with homoeopathic pharmacy delivery services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Community features: anonymised case studies for doctor learning circles</w:t>
      </w:r>
    </w:p>
    <w:p>
      <w:pPr>
        <w:pBdr>
          <w:bottom w:val="single" w:color="1B6B4A" w:sz="2" w:space="8"/>
        </w:pBdr>
        <w:spacing w:after="200" w:before="200"/>
      </w:pPr>
    </w:p>
    <w:p>
      <w:pPr>
        <w:pStyle w:val="Heading1"/>
      </w:pPr>
      <w:r>
        <w:t xml:space="preserve">12. Risk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39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Likelihood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Doctor adoption too slow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Early engagement with homoeopathic associations (IHO, LIGA); seed with respected practitioners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AI report inaccuracy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Mandatory doctor review before patient sees report; continuous feedback loop for model improvement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Regulatory ambiguity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Legal counsel specialised in AYUSH regulation; design for CCH guideline compliance from day 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breach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Critical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Encryption, RBAC, regular security audits, cyber insurance, incident response plan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Patient misuse of AI report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Clear disclaimers; AI never prescribes directly; report gated behind doctor review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Payment disputes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Low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Clear refund policy; escrow-style payment release only after consultation completion</w:t>
            </w:r>
          </w:p>
        </w:tc>
      </w:tr>
    </w:tbl>
    <w:p>
      <w:pPr>
        <w:pBdr>
          <w:bottom w:val="single" w:color="1B6B4A" w:sz="2" w:space="8"/>
        </w:pBdr>
        <w:spacing w:after="200" w:before="200"/>
      </w:pPr>
    </w:p>
    <w:p>
      <w:pPr>
        <w:pStyle w:val="Heading1"/>
      </w:pPr>
      <w:r>
        <w:t xml:space="preserve">13. Success Metrics (First 12 Months)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Registered patients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10,000+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Onboarded doctors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200+ verified BHMS/MD(Hom.)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Cases submitted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5,000+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Doctor report turnaround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&lt; 48 hours (avg.)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Consultations completed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2,000+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Patient satisfaction (NPS)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&gt; 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Repeat consultation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&gt; 30%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AI report doctor agreement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&gt; 70% rubric relevance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pBdr>
          <w:top w:val="single" w:color="1B6B4A" w:sz="4" w:space="12"/>
        </w:pBdr>
        <w:spacing w:before="400"/>
        <w:jc w:val="center"/>
      </w:pPr>
      <w:r>
        <w:rPr>
          <w:i/>
          <w:iCs/>
          <w:color w:val="888888"/>
          <w:sz w:val="20"/>
          <w:szCs w:val="20"/>
        </w:rPr>
        <w:t xml:space="preserve">End of Document — HomeoOpinion Product Requirements Document v2.0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color w:val="888888"/>
        <w:sz w:val="16"/>
        <w:szCs w:val="16"/>
      </w:rPr>
      <w:t xml:space="preserve">Confidential  |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6B4A" w:sz="4" w:space="4"/>
      </w:pBdr>
    </w:pPr>
    <w:r>
      <w:rPr>
        <w:b/>
        <w:bCs/>
        <w:color w:val="1B6B4A"/>
        <w:sz w:val="18"/>
        <w:szCs w:val="18"/>
      </w:rPr>
      <w:t xml:space="preserve">HomeoOpinion Portal</w:t>
    </w:r>
    <w:r>
      <w:rPr>
        <w:color w:val="888888"/>
        <w:sz w:val="18"/>
        <w:szCs w:val="18"/>
      </w:rPr>
      <w:t xml:space="preserve">   |   Product Requirements Document   |  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6B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D8B5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A9D6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2026-05-17T05:43:53.654Z</dcterms:created>
  <dcterms:modified xsi:type="dcterms:W3CDTF">2026-05-17T05:43:53.655Z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