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STAPLE WELLNESS  /  STRATEGIC RESEARCH</w:t>
      </w:r>
    </w:p>
    <w:p>
      <w:pPr>
        <w:pStyle w:val="Title"/>
      </w:pPr>
      <w:r>
        <w:t>Market Research Summary</w:t>
      </w:r>
    </w:p>
    <w:p>
      <w:pPr>
        <w:spacing w:after="160"/>
      </w:pPr>
      <w:r>
        <w:rPr>
          <w:b/>
          <w:color w:val="5E7184"/>
          <w:sz w:val="30"/>
        </w:rPr>
        <w:t>Competitive Landscape &amp; Strategic Opportunity Scan</w:t>
      </w:r>
    </w:p>
    <w:p>
      <w:pPr>
        <w:spacing w:after="360"/>
      </w:pPr>
      <w:r>
        <w:rPr>
          <w:color w:val="1F6FEB"/>
          <w:sz w:val="16"/>
        </w:rPr>
        <w:t>━━━━━━━━━━━━━━━━━━━━━━━━━━━━━━━━━━━━━━━━━━━━━━━━</w:t>
      </w:r>
    </w:p>
    <w:tbl>
      <w:tblPr>
        <w:tblStyle w:val="TableGrid"/>
        <w:tblW w:type="auto" w:w="0"/>
        <w:jc w:val="left"/>
        <w:tblLook w:firstColumn="1" w:firstRow="1" w:lastColumn="0" w:lastRow="0" w:noHBand="0" w:noVBand="1" w:val="04A0"/>
      </w:tblPr>
      <w:tblGrid>
        <w:gridCol w:w="5112"/>
        <w:gridCol w:w="5112"/>
      </w:tblGrid>
      <w:tr>
        <w:tc>
          <w:tcPr>
            <w:tcW w:type="dxa" w:w="5112"/>
            <w:vAlign w:val="center"/>
            <w:shd w:fill="EEF3F7"/>
          </w:tcPr>
          <w:p>
            <w:pPr>
              <w:spacing w:after="0"/>
            </w:pPr>
            <w:r/>
            <w:r>
              <w:rPr>
                <w:rFonts w:ascii="Aptos" w:hAnsi="Aptos"/>
                <w:b/>
                <w:color w:val="5E7184"/>
                <w:sz w:val="18"/>
              </w:rPr>
              <w:t>Prepared for</w:t>
            </w:r>
          </w:p>
        </w:tc>
        <w:tc>
          <w:tcPr>
            <w:tcW w:type="dxa" w:w="5112"/>
            <w:vAlign w:val="center"/>
            <w:shd w:fill="FFFFFF"/>
          </w:tcPr>
          <w:p>
            <w:pPr>
              <w:spacing w:after="0"/>
            </w:pPr>
            <w:r/>
            <w:r>
              <w:rPr>
                <w:rFonts w:ascii="Aptos" w:hAnsi="Aptos"/>
                <w:b w:val="0"/>
                <w:color w:val="17212B"/>
                <w:sz w:val="18"/>
              </w:rPr>
              <w:t>Stapple Wellness</w:t>
            </w:r>
          </w:p>
        </w:tc>
      </w:tr>
      <w:tr>
        <w:tc>
          <w:tcPr>
            <w:tcW w:type="dxa" w:w="5112"/>
            <w:vAlign w:val="center"/>
            <w:shd w:fill="EEF3F7"/>
          </w:tcPr>
          <w:p>
            <w:pPr>
              <w:spacing w:after="0"/>
            </w:pPr>
            <w:r/>
            <w:r>
              <w:rPr>
                <w:rFonts w:ascii="Aptos" w:hAnsi="Aptos"/>
                <w:b/>
                <w:color w:val="5E7184"/>
                <w:sz w:val="18"/>
              </w:rPr>
              <w:t>Completed</w:t>
            </w:r>
          </w:p>
        </w:tc>
        <w:tc>
          <w:tcPr>
            <w:tcW w:type="dxa" w:w="5112"/>
            <w:vAlign w:val="center"/>
            <w:shd w:fill="FFFFFF"/>
          </w:tcPr>
          <w:p>
            <w:pPr>
              <w:spacing w:after="0"/>
            </w:pPr>
            <w:r/>
            <w:r>
              <w:rPr>
                <w:rFonts w:ascii="Aptos" w:hAnsi="Aptos"/>
                <w:b w:val="0"/>
                <w:color w:val="17212B"/>
                <w:sz w:val="18"/>
              </w:rPr>
              <w:t>8 September 2026</w:t>
            </w:r>
          </w:p>
        </w:tc>
      </w:tr>
      <w:tr>
        <w:tc>
          <w:tcPr>
            <w:tcW w:type="dxa" w:w="5112"/>
            <w:vAlign w:val="center"/>
            <w:shd w:fill="EEF3F7"/>
          </w:tcPr>
          <w:p>
            <w:pPr>
              <w:spacing w:after="0"/>
            </w:pPr>
            <w:r/>
            <w:r>
              <w:rPr>
                <w:rFonts w:ascii="Aptos" w:hAnsi="Aptos"/>
                <w:b/>
                <w:color w:val="5E7184"/>
                <w:sz w:val="18"/>
              </w:rPr>
              <w:t>Scope</w:t>
            </w:r>
          </w:p>
        </w:tc>
        <w:tc>
          <w:tcPr>
            <w:tcW w:type="dxa" w:w="5112"/>
            <w:vAlign w:val="center"/>
            <w:shd w:fill="FFFFFF"/>
          </w:tcPr>
          <w:p>
            <w:pPr>
              <w:spacing w:after="0"/>
            </w:pPr>
            <w:r/>
            <w:r>
              <w:rPr>
                <w:rFonts w:ascii="Aptos" w:hAnsi="Aptos"/>
                <w:b w:val="0"/>
                <w:color w:val="17212B"/>
                <w:sz w:val="18"/>
              </w:rPr>
              <w:t>Institutional-grade competitive teardown of six Indian D2C nutraceutical brands</w:t>
            </w:r>
          </w:p>
        </w:tc>
      </w:tr>
    </w:tbl>
    <w:p/>
    <w:p>
      <w:pPr>
        <w:spacing w:before="560"/>
      </w:pPr>
      <w:r>
        <w:rPr>
          <w:b/>
          <w:color w:val="17324D"/>
          <w:sz w:val="22"/>
        </w:rPr>
        <w:t>Purpose</w:t>
      </w:r>
    </w:p>
    <w:p>
      <w:pPr>
        <w:spacing w:after="360"/>
      </w:pPr>
      <w:r>
        <w:t>This report consolidates the supplied market and competitive research into a client-ready format. It is intended to support Stapple Wellness in evaluating category dynamics, competitor positioning, product opportunity, pricing logic and early go-to-market choices.</w:t>
      </w:r>
    </w:p>
    <w:p>
      <w:r>
        <w:rPr>
          <w:b/>
          <w:color w:val="17324D"/>
        </w:rPr>
        <w:t xml:space="preserve">Research basis: </w:t>
      </w:r>
      <w:r>
        <w:t>The findings and figures in this document are drawn from the underlying research referenced in the supplied Markdown summary. Estimates and parent-company figures are retained as reported and are not independently re-validated in this document.</w:t>
      </w:r>
    </w:p>
    <w:p>
      <w:r>
        <w:br w:type="page"/>
      </w:r>
    </w:p>
    <w:p>
      <w:pPr>
        <w:pStyle w:val="Heading1"/>
      </w:pPr>
      <w:r>
        <w:t>Executive Summary</w:t>
      </w:r>
    </w:p>
    <w:p>
      <w:r>
        <w:t>The research indicates a competitive Indian nutraceutical market in which scale, product innovation, formulation credibility and brand trust are distributed across different players. The current six-brand benchmark suggests a potential strategic opening for Stapple Wellness at the intersection of high product potency and radical transparency.</w:t>
      </w:r>
    </w:p>
    <w:tbl>
      <w:tblPr>
        <w:tblW w:type="auto" w:w="0"/>
        <w:jc w:val="center"/>
        <w:tblLook w:firstColumn="1" w:firstRow="1" w:lastColumn="0" w:lastRow="0" w:noHBand="0" w:noVBand="1" w:val="04A0"/>
      </w:tblPr>
      <w:tblGrid>
        <w:gridCol w:w="5112"/>
        <w:gridCol w:w="5112"/>
      </w:tblGrid>
      <w:tr>
        <w:tc>
          <w:tcPr>
            <w:tcW w:type="dxa" w:w="5112"/>
            <w:shd w:fill="F5F8FA"/>
          </w:tcPr>
          <w:p>
            <w:pPr>
              <w:spacing w:after="60"/>
            </w:pPr>
            <w:r/>
            <w:r>
              <w:rPr>
                <w:b/>
                <w:color w:val="1F6FEB"/>
                <w:sz w:val="18"/>
              </w:rPr>
              <w:t>MARKET</w:t>
            </w:r>
          </w:p>
          <w:p>
            <w:pPr>
              <w:spacing w:after="40" w:line="240" w:lineRule="auto"/>
            </w:pPr>
            <w:r>
              <w:t>The research reports a broad market-size range of $8.9–38.8B, alongside notable regulatory and quick-commerce dynamics.</w:t>
            </w:r>
          </w:p>
        </w:tc>
        <w:tc>
          <w:tcPr>
            <w:tcW w:type="dxa" w:w="5112"/>
            <w:shd w:fill="F5F8FA"/>
          </w:tcPr>
          <w:p>
            <w:pPr>
              <w:spacing w:after="60"/>
            </w:pPr>
            <w:r/>
            <w:r>
              <w:rPr>
                <w:b/>
                <w:color w:val="1F6FEB"/>
                <w:sz w:val="18"/>
              </w:rPr>
              <w:t>COMPETITION</w:t>
            </w:r>
          </w:p>
          <w:p>
            <w:pPr>
              <w:spacing w:after="40" w:line="240" w:lineRule="auto"/>
            </w:pPr>
            <w:r>
              <w:t>Large incumbents possess scale and distribution, while smaller challengers compete through formulation, niche positioning or brand credibility.</w:t>
            </w:r>
          </w:p>
        </w:tc>
      </w:tr>
      <w:tr>
        <w:tc>
          <w:tcPr>
            <w:tcW w:type="dxa" w:w="5112"/>
            <w:shd w:fill="F5F8FA"/>
          </w:tcPr>
          <w:p>
            <w:pPr>
              <w:spacing w:after="60"/>
            </w:pPr>
            <w:r/>
            <w:r>
              <w:rPr>
                <w:b/>
                <w:color w:val="1F6FEB"/>
                <w:sz w:val="18"/>
              </w:rPr>
              <w:t>WHITESPACE</w:t>
            </w:r>
          </w:p>
          <w:p>
            <w:pPr>
              <w:spacing w:after="40" w:line="240" w:lineRule="auto"/>
            </w:pPr>
            <w:r>
              <w:t>The research identifies “High-Potency + Radical Transparency” as a potential whitespace across Omega-3, Magnesium and Gut Health.</w:t>
            </w:r>
          </w:p>
        </w:tc>
        <w:tc>
          <w:tcPr>
            <w:tcW w:type="dxa" w:w="5112"/>
            <w:shd w:fill="F5F8FA"/>
          </w:tcPr>
          <w:p>
            <w:pPr>
              <w:spacing w:after="60"/>
            </w:pPr>
            <w:r/>
            <w:r>
              <w:rPr>
                <w:b/>
                <w:color w:val="1F6FEB"/>
                <w:sz w:val="18"/>
              </w:rPr>
              <w:t>IMPLICATION</w:t>
            </w:r>
          </w:p>
          <w:p>
            <w:pPr>
              <w:spacing w:after="40" w:line="240" w:lineRule="auto"/>
            </w:pPr>
            <w:r>
              <w:t>Stapple can potentially differentiate through transparent formulation disclosure and stronger elemental potency, provided the proposition is validated with Indian consumers.</w:t>
            </w:r>
          </w:p>
        </w:tc>
      </w:tr>
    </w:tbl>
    <w:p/>
    <w:p>
      <w:pPr>
        <w:pStyle w:val="Heading2"/>
      </w:pPr>
      <w:r>
        <w:t>Strategic takeaway</w:t>
      </w:r>
    </w:p>
    <w:p>
      <w:r>
        <w:rPr>
          <w:b/>
        </w:rPr>
        <w:t xml:space="preserve">The competitive evidence does not point to a single dominant model. </w:t>
      </w:r>
      <w:r>
        <w:t>Instead, it suggests an opportunity to combine strong formulation with a transparency-led trust proposition, while entering through a capital-efficient channel sequence.</w:t>
      </w:r>
    </w:p>
    <w:p>
      <w:pPr>
        <w:pStyle w:val="Heading1"/>
      </w:pPr>
      <w:r>
        <w:t>1. Competitive Landscape</w:t>
      </w:r>
    </w:p>
    <w:p>
      <w:r>
        <w:t>The six benchmark brands display distinct advantages in scale, formulation, brand equity and niche specialization. The comparison below preserves the supplied research conclusions and reported figures.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24D"/>
          </w:tcPr>
          <w:p>
            <w:pPr>
              <w:spacing w:after="0"/>
            </w:pPr>
            <w:r/>
            <w:r>
              <w:rPr>
                <w:rFonts w:ascii="Aptos" w:hAnsi="Aptos"/>
                <w:b/>
                <w:color w:val="FFFFFF"/>
                <w:sz w:val="15"/>
              </w:rPr>
              <w:t>Brand</w:t>
            </w:r>
          </w:p>
        </w:tc>
        <w:tc>
          <w:tcPr>
            <w:tcW w:type="dxa" w:w="2045"/>
            <w:vAlign w:val="center"/>
            <w:shd w:fill="17324D"/>
          </w:tcPr>
          <w:p>
            <w:pPr>
              <w:spacing w:after="0"/>
            </w:pPr>
            <w:r/>
            <w:r>
              <w:rPr>
                <w:rFonts w:ascii="Aptos" w:hAnsi="Aptos"/>
                <w:b/>
                <w:color w:val="FFFFFF"/>
                <w:sz w:val="15"/>
              </w:rPr>
              <w:t>Funding</w:t>
            </w:r>
          </w:p>
        </w:tc>
        <w:tc>
          <w:tcPr>
            <w:tcW w:type="dxa" w:w="2045"/>
            <w:vAlign w:val="center"/>
            <w:shd w:fill="17324D"/>
          </w:tcPr>
          <w:p>
            <w:pPr>
              <w:spacing w:after="0"/>
            </w:pPr>
            <w:r/>
            <w:r>
              <w:rPr>
                <w:rFonts w:ascii="Aptos" w:hAnsi="Aptos"/>
                <w:b/>
                <w:color w:val="FFFFFF"/>
                <w:sz w:val="15"/>
              </w:rPr>
              <w:t>FY25 Revenue</w:t>
            </w:r>
          </w:p>
        </w:tc>
        <w:tc>
          <w:tcPr>
            <w:tcW w:type="dxa" w:w="2045"/>
            <w:vAlign w:val="center"/>
            <w:shd w:fill="17324D"/>
          </w:tcPr>
          <w:p>
            <w:pPr>
              <w:spacing w:after="0"/>
            </w:pPr>
            <w:r/>
            <w:r>
              <w:rPr>
                <w:rFonts w:ascii="Aptos" w:hAnsi="Aptos"/>
                <w:b/>
                <w:color w:val="FFFFFF"/>
                <w:sz w:val="15"/>
              </w:rPr>
              <w:t>Biggest Moat</w:t>
            </w:r>
          </w:p>
        </w:tc>
        <w:tc>
          <w:tcPr>
            <w:tcW w:type="dxa" w:w="2045"/>
            <w:vAlign w:val="center"/>
            <w:shd w:fill="17324D"/>
          </w:tcPr>
          <w:p>
            <w:pPr>
              <w:spacing w:after="0"/>
            </w:pPr>
            <w:r/>
            <w:r>
              <w:rPr>
                <w:rFonts w:ascii="Aptos" w:hAnsi="Aptos"/>
                <w:b/>
                <w:color w:val="FFFFFF"/>
                <w:sz w:val="15"/>
              </w:rPr>
              <w:t>Biggest Vulnerability</w:t>
            </w:r>
          </w:p>
        </w:tc>
      </w:tr>
      <w:tr>
        <w:tc>
          <w:tcPr>
            <w:tcW w:type="dxa" w:w="2045"/>
            <w:vAlign w:val="center"/>
            <w:shd w:fill="F5F8FA"/>
          </w:tcPr>
          <w:p>
            <w:pPr>
              <w:spacing w:after="0"/>
            </w:pPr>
            <w:r/>
            <w:r>
              <w:rPr>
                <w:rFonts w:ascii="Aptos" w:hAnsi="Aptos"/>
                <w:b w:val="0"/>
                <w:color w:val="17212B"/>
                <w:sz w:val="15"/>
              </w:rPr>
              <w:t>HK Vitals</w:t>
            </w:r>
          </w:p>
        </w:tc>
        <w:tc>
          <w:tcPr>
            <w:tcW w:type="dxa" w:w="2045"/>
            <w:vAlign w:val="center"/>
            <w:shd w:fill="F5F8FA"/>
          </w:tcPr>
          <w:p>
            <w:pPr>
              <w:spacing w:after="0"/>
            </w:pPr>
            <w:r/>
            <w:r>
              <w:rPr>
                <w:rFonts w:ascii="Aptos" w:hAnsi="Aptos"/>
                <w:b w:val="0"/>
                <w:color w:val="17212B"/>
                <w:sz w:val="15"/>
              </w:rPr>
              <w:t>$349–382M</w:t>
            </w:r>
          </w:p>
        </w:tc>
        <w:tc>
          <w:tcPr>
            <w:tcW w:type="dxa" w:w="2045"/>
            <w:vAlign w:val="center"/>
            <w:shd w:fill="F5F8FA"/>
          </w:tcPr>
          <w:p>
            <w:pPr>
              <w:spacing w:after="0"/>
            </w:pPr>
            <w:r/>
            <w:r>
              <w:rPr>
                <w:rFonts w:ascii="Aptos" w:hAnsi="Aptos"/>
                <w:b w:val="0"/>
                <w:color w:val="17212B"/>
                <w:sz w:val="15"/>
              </w:rPr>
              <w:t>₹1,313 Cr (parent)</w:t>
            </w:r>
          </w:p>
        </w:tc>
        <w:tc>
          <w:tcPr>
            <w:tcW w:type="dxa" w:w="2045"/>
            <w:vAlign w:val="center"/>
            <w:shd w:fill="F5F8FA"/>
          </w:tcPr>
          <w:p>
            <w:pPr>
              <w:spacing w:after="0"/>
            </w:pPr>
            <w:r/>
            <w:r>
              <w:rPr>
                <w:rFonts w:ascii="Aptos" w:hAnsi="Aptos"/>
                <w:b w:val="0"/>
                <w:color w:val="17212B"/>
                <w:sz w:val="15"/>
              </w:rPr>
              <w:t>₹1,300 Cr ecosystem + 100 stores</w:t>
            </w:r>
          </w:p>
        </w:tc>
        <w:tc>
          <w:tcPr>
            <w:tcW w:type="dxa" w:w="2045"/>
            <w:vAlign w:val="center"/>
            <w:shd w:fill="F5F8FA"/>
          </w:tcPr>
          <w:p>
            <w:pPr>
              <w:spacing w:after="0"/>
            </w:pPr>
            <w:r/>
            <w:r>
              <w:rPr>
                <w:rFonts w:ascii="Aptos" w:hAnsi="Aptos"/>
                <w:b w:val="0"/>
                <w:color w:val="17212B"/>
                <w:sz w:val="15"/>
              </w:rPr>
              <w:t>Low potency (300mg Omega-3); Ethyl Ester form</w:t>
            </w:r>
          </w:p>
        </w:tc>
      </w:tr>
      <w:tr>
        <w:tc>
          <w:tcPr>
            <w:tcW w:type="dxa" w:w="2045"/>
            <w:vAlign w:val="center"/>
          </w:tcPr>
          <w:p>
            <w:pPr>
              <w:spacing w:after="0"/>
            </w:pPr>
            <w:r/>
            <w:r>
              <w:rPr>
                <w:rFonts w:ascii="Aptos" w:hAnsi="Aptos"/>
                <w:b w:val="0"/>
                <w:color w:val="17212B"/>
                <w:sz w:val="15"/>
              </w:rPr>
              <w:t>Wellbeing Nutrition</w:t>
            </w:r>
          </w:p>
        </w:tc>
        <w:tc>
          <w:tcPr>
            <w:tcW w:type="dxa" w:w="2045"/>
            <w:vAlign w:val="center"/>
          </w:tcPr>
          <w:p>
            <w:pPr>
              <w:spacing w:after="0"/>
            </w:pPr>
            <w:r/>
            <w:r>
              <w:rPr>
                <w:rFonts w:ascii="Aptos" w:hAnsi="Aptos"/>
                <w:b w:val="0"/>
                <w:color w:val="17212B"/>
                <w:sz w:val="15"/>
              </w:rPr>
              <w:t>$14–25.6M</w:t>
            </w:r>
          </w:p>
        </w:tc>
        <w:tc>
          <w:tcPr>
            <w:tcW w:type="dxa" w:w="2045"/>
            <w:vAlign w:val="center"/>
          </w:tcPr>
          <w:p>
            <w:pPr>
              <w:spacing w:after="0"/>
            </w:pPr>
            <w:r/>
            <w:r>
              <w:rPr>
                <w:rFonts w:ascii="Aptos" w:hAnsi="Aptos"/>
                <w:b w:val="0"/>
                <w:color w:val="17212B"/>
                <w:sz w:val="15"/>
              </w:rPr>
              <w:t>₹170 Cr</w:t>
            </w:r>
          </w:p>
        </w:tc>
        <w:tc>
          <w:tcPr>
            <w:tcW w:type="dxa" w:w="2045"/>
            <w:vAlign w:val="center"/>
          </w:tcPr>
          <w:p>
            <w:pPr>
              <w:spacing w:after="0"/>
            </w:pPr>
            <w:r/>
            <w:r>
              <w:rPr>
                <w:rFonts w:ascii="Aptos" w:hAnsi="Aptos"/>
                <w:b w:val="0"/>
                <w:color w:val="17212B"/>
                <w:sz w:val="15"/>
              </w:rPr>
              <w:t>Melts® strip technology + USV pharma backing</w:t>
            </w:r>
          </w:p>
        </w:tc>
        <w:tc>
          <w:tcPr>
            <w:tcW w:type="dxa" w:w="2045"/>
            <w:vAlign w:val="center"/>
          </w:tcPr>
          <w:p>
            <w:pPr>
              <w:spacing w:after="0"/>
            </w:pPr>
            <w:r/>
            <w:r>
              <w:rPr>
                <w:rFonts w:ascii="Aptos" w:hAnsi="Aptos"/>
                <w:b w:val="0"/>
                <w:color w:val="17212B"/>
                <w:sz w:val="15"/>
              </w:rPr>
              <w:t>Still -₹30 Cr loss; format limits dosing</w:t>
            </w:r>
          </w:p>
        </w:tc>
      </w:tr>
      <w:tr>
        <w:tc>
          <w:tcPr>
            <w:tcW w:type="dxa" w:w="2045"/>
            <w:vAlign w:val="center"/>
            <w:shd w:fill="F5F8FA"/>
          </w:tcPr>
          <w:p>
            <w:pPr>
              <w:spacing w:after="0"/>
            </w:pPr>
            <w:r/>
            <w:r>
              <w:rPr>
                <w:rFonts w:ascii="Aptos" w:hAnsi="Aptos"/>
                <w:b w:val="0"/>
                <w:color w:val="17212B"/>
                <w:sz w:val="15"/>
              </w:rPr>
              <w:t>Earthful</w:t>
            </w:r>
          </w:p>
        </w:tc>
        <w:tc>
          <w:tcPr>
            <w:tcW w:type="dxa" w:w="2045"/>
            <w:vAlign w:val="center"/>
            <w:shd w:fill="F5F8FA"/>
          </w:tcPr>
          <w:p>
            <w:pPr>
              <w:spacing w:after="0"/>
            </w:pPr>
            <w:r/>
            <w:r>
              <w:rPr>
                <w:rFonts w:ascii="Aptos" w:hAnsi="Aptos"/>
                <w:b w:val="0"/>
                <w:color w:val="17212B"/>
                <w:sz w:val="15"/>
              </w:rPr>
              <w:t>~$4M</w:t>
            </w:r>
          </w:p>
        </w:tc>
        <w:tc>
          <w:tcPr>
            <w:tcW w:type="dxa" w:w="2045"/>
            <w:vAlign w:val="center"/>
            <w:shd w:fill="F5F8FA"/>
          </w:tcPr>
          <w:p>
            <w:pPr>
              <w:spacing w:after="0"/>
            </w:pPr>
            <w:r/>
            <w:r>
              <w:rPr>
                <w:rFonts w:ascii="Aptos" w:hAnsi="Aptos"/>
                <w:b w:val="0"/>
                <w:color w:val="17212B"/>
                <w:sz w:val="15"/>
              </w:rPr>
              <w:t>₹15–30 Cr (est.)</w:t>
            </w:r>
          </w:p>
        </w:tc>
        <w:tc>
          <w:tcPr>
            <w:tcW w:type="dxa" w:w="2045"/>
            <w:vAlign w:val="center"/>
            <w:shd w:fill="F5F8FA"/>
          </w:tcPr>
          <w:p>
            <w:pPr>
              <w:spacing w:after="0"/>
            </w:pPr>
            <w:r/>
            <w:r>
              <w:rPr>
                <w:rFonts w:ascii="Aptos" w:hAnsi="Aptos"/>
                <w:b w:val="0"/>
                <w:color w:val="17212B"/>
                <w:sz w:val="15"/>
              </w:rPr>
              <w:t>Clean-label + Shark Tank + women’s health</w:t>
            </w:r>
          </w:p>
        </w:tc>
        <w:tc>
          <w:tcPr>
            <w:tcW w:type="dxa" w:w="2045"/>
            <w:vAlign w:val="center"/>
            <w:shd w:fill="F5F8FA"/>
          </w:tcPr>
          <w:p>
            <w:pPr>
              <w:spacing w:after="0"/>
            </w:pPr>
            <w:r/>
            <w:r>
              <w:rPr>
                <w:rFonts w:ascii="Aptos" w:hAnsi="Aptos"/>
                <w:b w:val="0"/>
                <w:color w:val="17212B"/>
                <w:sz w:val="15"/>
              </w:rPr>
              <w:t>“Natural” limits potency claims; limited capital</w:t>
            </w:r>
          </w:p>
        </w:tc>
      </w:tr>
      <w:tr>
        <w:tc>
          <w:tcPr>
            <w:tcW w:type="dxa" w:w="2045"/>
            <w:vAlign w:val="center"/>
          </w:tcPr>
          <w:p>
            <w:pPr>
              <w:spacing w:after="0"/>
            </w:pPr>
            <w:r/>
            <w:r>
              <w:rPr>
                <w:rFonts w:ascii="Aptos" w:hAnsi="Aptos"/>
                <w:b w:val="0"/>
                <w:color w:val="17212B"/>
                <w:sz w:val="15"/>
              </w:rPr>
              <w:t>Ace Blend</w:t>
            </w:r>
          </w:p>
        </w:tc>
        <w:tc>
          <w:tcPr>
            <w:tcW w:type="dxa" w:w="2045"/>
            <w:vAlign w:val="center"/>
          </w:tcPr>
          <w:p>
            <w:pPr>
              <w:spacing w:after="0"/>
            </w:pPr>
            <w:r/>
            <w:r>
              <w:rPr>
                <w:rFonts w:ascii="Aptos" w:hAnsi="Aptos"/>
                <w:b w:val="0"/>
                <w:color w:val="17212B"/>
                <w:sz w:val="15"/>
              </w:rPr>
              <w:t>$4.48M</w:t>
            </w:r>
          </w:p>
        </w:tc>
        <w:tc>
          <w:tcPr>
            <w:tcW w:type="dxa" w:w="2045"/>
            <w:vAlign w:val="center"/>
          </w:tcPr>
          <w:p>
            <w:pPr>
              <w:spacing w:after="0"/>
            </w:pPr>
            <w:r/>
            <w:r>
              <w:rPr>
                <w:rFonts w:ascii="Aptos" w:hAnsi="Aptos"/>
                <w:b w:val="0"/>
                <w:color w:val="17212B"/>
                <w:sz w:val="15"/>
              </w:rPr>
              <w:t>₹12–40 Cr</w:t>
            </w:r>
          </w:p>
        </w:tc>
        <w:tc>
          <w:tcPr>
            <w:tcW w:type="dxa" w:w="2045"/>
            <w:vAlign w:val="center"/>
          </w:tcPr>
          <w:p>
            <w:pPr>
              <w:spacing w:after="0"/>
            </w:pPr>
            <w:r/>
            <w:r>
              <w:rPr>
                <w:rFonts w:ascii="Aptos" w:hAnsi="Aptos"/>
                <w:b w:val="0"/>
                <w:color w:val="17212B"/>
                <w:sz w:val="15"/>
              </w:rPr>
              <w:t>Highest Omega-3 potency (1271mg EPA+DHA)</w:t>
            </w:r>
          </w:p>
        </w:tc>
        <w:tc>
          <w:tcPr>
            <w:tcW w:type="dxa" w:w="2045"/>
            <w:vAlign w:val="center"/>
          </w:tcPr>
          <w:p>
            <w:pPr>
              <w:spacing w:after="0"/>
            </w:pPr>
            <w:r/>
            <w:r>
              <w:rPr>
                <w:rFonts w:ascii="Aptos" w:hAnsi="Aptos"/>
                <w:b w:val="0"/>
                <w:color w:val="17212B"/>
                <w:sz w:val="15"/>
              </w:rPr>
              <w:t>Small scale; no Mg/Gut products; unprofitable</w:t>
            </w:r>
          </w:p>
        </w:tc>
      </w:tr>
      <w:tr>
        <w:tc>
          <w:tcPr>
            <w:tcW w:type="dxa" w:w="2045"/>
            <w:vAlign w:val="center"/>
            <w:shd w:fill="F5F8FA"/>
          </w:tcPr>
          <w:p>
            <w:pPr>
              <w:spacing w:after="0"/>
            </w:pPr>
            <w:r/>
            <w:r>
              <w:rPr>
                <w:rFonts w:ascii="Aptos" w:hAnsi="Aptos"/>
                <w:b w:val="0"/>
                <w:color w:val="17212B"/>
                <w:sz w:val="15"/>
              </w:rPr>
              <w:t>YourHappyLife</w:t>
            </w:r>
          </w:p>
        </w:tc>
        <w:tc>
          <w:tcPr>
            <w:tcW w:type="dxa" w:w="2045"/>
            <w:vAlign w:val="center"/>
            <w:shd w:fill="F5F8FA"/>
          </w:tcPr>
          <w:p>
            <w:pPr>
              <w:spacing w:after="0"/>
            </w:pPr>
            <w:r/>
            <w:r>
              <w:rPr>
                <w:rFonts w:ascii="Aptos" w:hAnsi="Aptos"/>
                <w:b w:val="0"/>
                <w:color w:val="17212B"/>
                <w:sz w:val="15"/>
              </w:rPr>
              <w:t>$910K</w:t>
            </w:r>
          </w:p>
        </w:tc>
        <w:tc>
          <w:tcPr>
            <w:tcW w:type="dxa" w:w="2045"/>
            <w:vAlign w:val="center"/>
            <w:shd w:fill="F5F8FA"/>
          </w:tcPr>
          <w:p>
            <w:pPr>
              <w:spacing w:after="0"/>
            </w:pPr>
            <w:r/>
            <w:r>
              <w:rPr>
                <w:rFonts w:ascii="Aptos" w:hAnsi="Aptos"/>
                <w:b w:val="0"/>
                <w:color w:val="17212B"/>
                <w:sz w:val="15"/>
              </w:rPr>
              <w:t>₹0–10 Cr</w:t>
            </w:r>
          </w:p>
        </w:tc>
        <w:tc>
          <w:tcPr>
            <w:tcW w:type="dxa" w:w="2045"/>
            <w:vAlign w:val="center"/>
            <w:shd w:fill="F5F8FA"/>
          </w:tcPr>
          <w:p>
            <w:pPr>
              <w:spacing w:after="0"/>
            </w:pPr>
            <w:r/>
            <w:r>
              <w:rPr>
                <w:rFonts w:ascii="Aptos" w:hAnsi="Aptos"/>
                <w:b w:val="0"/>
                <w:color w:val="17212B"/>
                <w:sz w:val="15"/>
              </w:rPr>
              <w:t>Niche collagen specialization</w:t>
            </w:r>
          </w:p>
        </w:tc>
        <w:tc>
          <w:tcPr>
            <w:tcW w:type="dxa" w:w="2045"/>
            <w:vAlign w:val="center"/>
            <w:shd w:fill="F5F8FA"/>
          </w:tcPr>
          <w:p>
            <w:pPr>
              <w:spacing w:after="0"/>
            </w:pPr>
            <w:r/>
            <w:r>
              <w:rPr>
                <w:rFonts w:ascii="Aptos" w:hAnsi="Aptos"/>
                <w:b w:val="0"/>
                <w:color w:val="17212B"/>
                <w:sz w:val="15"/>
              </w:rPr>
              <w:t>Severely undercapitalized; single-category</w:t>
            </w:r>
          </w:p>
        </w:tc>
      </w:tr>
      <w:tr>
        <w:tc>
          <w:tcPr>
            <w:tcW w:type="dxa" w:w="2045"/>
            <w:vAlign w:val="center"/>
          </w:tcPr>
          <w:p>
            <w:pPr>
              <w:spacing w:after="0"/>
            </w:pPr>
            <w:r/>
            <w:r>
              <w:rPr>
                <w:rFonts w:ascii="Aptos" w:hAnsi="Aptos"/>
                <w:b w:val="0"/>
                <w:color w:val="17212B"/>
                <w:sz w:val="15"/>
              </w:rPr>
              <w:t>Be Wellness</w:t>
            </w:r>
          </w:p>
        </w:tc>
        <w:tc>
          <w:tcPr>
            <w:tcW w:type="dxa" w:w="2045"/>
            <w:vAlign w:val="center"/>
          </w:tcPr>
          <w:p>
            <w:pPr>
              <w:spacing w:after="0"/>
            </w:pPr>
            <w:r/>
            <w:r>
              <w:rPr>
                <w:rFonts w:ascii="Aptos" w:hAnsi="Aptos"/>
                <w:b w:val="0"/>
                <w:color w:val="17212B"/>
                <w:sz w:val="15"/>
              </w:rPr>
              <w:t>Bootstrapped</w:t>
            </w:r>
          </w:p>
        </w:tc>
        <w:tc>
          <w:tcPr>
            <w:tcW w:type="dxa" w:w="2045"/>
            <w:vAlign w:val="center"/>
          </w:tcPr>
          <w:p>
            <w:pPr>
              <w:spacing w:after="0"/>
            </w:pPr>
            <w:r/>
            <w:r>
              <w:rPr>
                <w:rFonts w:ascii="Aptos" w:hAnsi="Aptos"/>
                <w:b w:val="0"/>
                <w:color w:val="17212B"/>
                <w:sz w:val="15"/>
              </w:rPr>
              <w:t>Sub-₹5 Cr</w:t>
            </w:r>
          </w:p>
        </w:tc>
        <w:tc>
          <w:tcPr>
            <w:tcW w:type="dxa" w:w="2045"/>
            <w:vAlign w:val="center"/>
          </w:tcPr>
          <w:p>
            <w:pPr>
              <w:spacing w:after="0"/>
            </w:pPr>
            <w:r/>
            <w:r>
              <w:rPr>
                <w:rFonts w:ascii="Aptos" w:hAnsi="Aptos"/>
                <w:b w:val="0"/>
                <w:color w:val="17212B"/>
                <w:sz w:val="15"/>
              </w:rPr>
              <w:t>Pharmacist co-founder credibility</w:t>
            </w:r>
          </w:p>
        </w:tc>
        <w:tc>
          <w:tcPr>
            <w:tcW w:type="dxa" w:w="2045"/>
            <w:vAlign w:val="center"/>
          </w:tcPr>
          <w:p>
            <w:pPr>
              <w:spacing w:after="0"/>
            </w:pPr>
            <w:r/>
            <w:r>
              <w:rPr>
                <w:rFonts w:ascii="Aptos" w:hAnsi="Aptos"/>
                <w:b w:val="0"/>
                <w:color w:val="17212B"/>
                <w:sz w:val="15"/>
              </w:rPr>
              <w:t>₹5L capital; brand unknown; 2 years old</w:t>
            </w:r>
          </w:p>
        </w:tc>
      </w:tr>
    </w:tbl>
    <w:p>
      <w:pPr>
        <w:pStyle w:val="Heading1"/>
      </w:pPr>
      <w:r>
        <w:t>2. Identified Strategic Whitespace</w:t>
      </w:r>
    </w:p>
    <w:p>
      <w:r>
        <w:t>The research identifies a potential whitespace described as “High-Potency + Radical Transparency.” The thesis is that the six benchmarked brands do not simultaneously own both attributes across Omega-3, Magnesium and Gut Health.</w:t>
      </w:r>
    </w:p>
    <w:p>
      <w:pPr>
        <w:pStyle w:val="ListBullet"/>
        <w:spacing w:after="60"/>
      </w:pPr>
      <w:r>
        <w:t>HK Vitals has scale but is reported as lower potency on Omega-3.</w:t>
      </w:r>
    </w:p>
    <w:p>
      <w:pPr>
        <w:pStyle w:val="ListBullet"/>
        <w:spacing w:after="60"/>
      </w:pPr>
      <w:r>
        <w:t>Wellbeing Nutrition has format innovation, but the report notes dosing limitations associated with the strip format.</w:t>
      </w:r>
    </w:p>
    <w:p>
      <w:pPr>
        <w:pStyle w:val="ListBullet"/>
        <w:spacing w:after="60"/>
      </w:pPr>
      <w:r>
        <w:t>Earthful has clean-label trust, while the report notes limitations associated with natural sourcing and potency.</w:t>
      </w:r>
    </w:p>
    <w:p>
      <w:pPr>
        <w:pStyle w:val="ListBullet"/>
        <w:spacing w:after="60"/>
      </w:pPr>
      <w:r>
        <w:t>Ace Blend demonstrates high Omega-3 potency but does not currently span Magnesium and Gut Health in the benchmark.</w:t>
      </w:r>
    </w:p>
    <w:p>
      <w:pPr>
        <w:pStyle w:val="ListBullet"/>
        <w:spacing w:after="60"/>
      </w:pPr>
      <w:r>
        <w:t>YourHappyLife is positioned around collagen and remains category-narrow.</w:t>
      </w:r>
    </w:p>
    <w:p>
      <w:pPr>
        <w:pStyle w:val="ListBullet"/>
        <w:spacing w:after="60"/>
      </w:pPr>
      <w:r>
        <w:t>Be Wellness is sufficiently early-stage that the report does not treat it as a scaled benchmark.</w:t>
      </w:r>
    </w:p>
    <w:p>
      <w:pPr>
        <w:pStyle w:val="Heading1"/>
      </w:pPr>
      <w:r>
        <w:t>3. Proposed Stapple Product Territory</w:t>
      </w:r>
    </w:p>
    <w:p>
      <w:r>
        <w:t>The supplied research proposes a product territory built around formulation strength and transparent disclosure. These are strategic hypotheses to be validated, not final product specifications.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pPr>
              <w:spacing w:after="0"/>
            </w:pPr>
            <w:r/>
            <w:r>
              <w:rPr>
                <w:rFonts w:ascii="Aptos" w:hAnsi="Aptos"/>
                <w:b/>
                <w:color w:val="FFFFFF"/>
                <w:sz w:val="16"/>
              </w:rPr>
              <w:t>Category</w:t>
            </w:r>
          </w:p>
        </w:tc>
        <w:tc>
          <w:tcPr>
            <w:tcW w:type="dxa" w:w="3408"/>
            <w:vAlign w:val="center"/>
            <w:shd w:fill="17324D"/>
          </w:tcPr>
          <w:p>
            <w:pPr>
              <w:spacing w:after="0"/>
            </w:pPr>
            <w:r/>
            <w:r>
              <w:rPr>
                <w:rFonts w:ascii="Aptos" w:hAnsi="Aptos"/>
                <w:b/>
                <w:color w:val="FFFFFF"/>
                <w:sz w:val="16"/>
              </w:rPr>
              <w:t>Proposed territory</w:t>
            </w:r>
          </w:p>
        </w:tc>
        <w:tc>
          <w:tcPr>
            <w:tcW w:type="dxa" w:w="3408"/>
            <w:vAlign w:val="center"/>
            <w:shd w:fill="17324D"/>
          </w:tcPr>
          <w:p>
            <w:pPr>
              <w:spacing w:after="0"/>
            </w:pPr>
            <w:r/>
            <w:r>
              <w:rPr>
                <w:rFonts w:ascii="Aptos" w:hAnsi="Aptos"/>
                <w:b/>
                <w:color w:val="FFFFFF"/>
                <w:sz w:val="16"/>
              </w:rPr>
              <w:t>Benchmark contrast</w:t>
            </w:r>
          </w:p>
        </w:tc>
      </w:tr>
      <w:tr>
        <w:tc>
          <w:tcPr>
            <w:tcW w:type="dxa" w:w="3408"/>
            <w:vAlign w:val="center"/>
            <w:shd w:fill="F5F8FA"/>
          </w:tcPr>
          <w:p>
            <w:pPr>
              <w:spacing w:after="0"/>
            </w:pPr>
            <w:r/>
            <w:r>
              <w:rPr>
                <w:rFonts w:ascii="Aptos" w:hAnsi="Aptos"/>
                <w:b w:val="0"/>
                <w:color w:val="17212B"/>
                <w:sz w:val="16"/>
              </w:rPr>
              <w:t>Omega-3</w:t>
            </w:r>
          </w:p>
        </w:tc>
        <w:tc>
          <w:tcPr>
            <w:tcW w:type="dxa" w:w="3408"/>
            <w:vAlign w:val="center"/>
            <w:shd w:fill="F5F8FA"/>
          </w:tcPr>
          <w:p>
            <w:pPr>
              <w:spacing w:after="0"/>
            </w:pPr>
            <w:r/>
            <w:r>
              <w:rPr>
                <w:rFonts w:ascii="Aptos" w:hAnsi="Aptos"/>
                <w:b w:val="0"/>
                <w:color w:val="17212B"/>
                <w:sz w:val="16"/>
              </w:rPr>
              <w:t>rTG form; 1000mg+ elemental EPA+DHA</w:t>
            </w:r>
          </w:p>
        </w:tc>
        <w:tc>
          <w:tcPr>
            <w:tcW w:type="dxa" w:w="3408"/>
            <w:vAlign w:val="center"/>
            <w:shd w:fill="F5F8FA"/>
          </w:tcPr>
          <w:p>
            <w:pPr>
              <w:spacing w:after="0"/>
            </w:pPr>
            <w:r/>
            <w:r>
              <w:rPr>
                <w:rFonts w:ascii="Aptos" w:hAnsi="Aptos"/>
                <w:b w:val="0"/>
                <w:color w:val="17212B"/>
                <w:sz w:val="16"/>
              </w:rPr>
              <w:t>HK Vitals benchmark: 300mg Omega-3; Ethyl Ester form</w:t>
            </w:r>
          </w:p>
        </w:tc>
      </w:tr>
      <w:tr>
        <w:tc>
          <w:tcPr>
            <w:tcW w:type="dxa" w:w="3408"/>
            <w:vAlign w:val="center"/>
          </w:tcPr>
          <w:p>
            <w:pPr>
              <w:spacing w:after="0"/>
            </w:pPr>
            <w:r/>
            <w:r>
              <w:rPr>
                <w:rFonts w:ascii="Aptos" w:hAnsi="Aptos"/>
                <w:b w:val="0"/>
                <w:color w:val="17212B"/>
                <w:sz w:val="16"/>
              </w:rPr>
              <w:t>Magnesium</w:t>
            </w:r>
          </w:p>
        </w:tc>
        <w:tc>
          <w:tcPr>
            <w:tcW w:type="dxa" w:w="3408"/>
            <w:vAlign w:val="center"/>
          </w:tcPr>
          <w:p>
            <w:pPr>
              <w:spacing w:after="0"/>
            </w:pPr>
            <w:r/>
            <w:r>
              <w:rPr>
                <w:rFonts w:ascii="Aptos" w:hAnsi="Aptos"/>
                <w:b w:val="0"/>
                <w:color w:val="17212B"/>
                <w:sz w:val="16"/>
              </w:rPr>
              <w:t>Pure Bisglycinate Chelate; 300mg+ elemental</w:t>
            </w:r>
          </w:p>
        </w:tc>
        <w:tc>
          <w:tcPr>
            <w:tcW w:type="dxa" w:w="3408"/>
            <w:vAlign w:val="center"/>
          </w:tcPr>
          <w:p>
            <w:pPr>
              <w:spacing w:after="0"/>
            </w:pPr>
            <w:r/>
            <w:r>
              <w:rPr>
                <w:rFonts w:ascii="Aptos" w:hAnsi="Aptos"/>
                <w:b w:val="0"/>
                <w:color w:val="17212B"/>
                <w:sz w:val="16"/>
              </w:rPr>
              <w:t>Earthful benchmark: likely Oxide; WN: strip-limited dosing</w:t>
            </w:r>
          </w:p>
        </w:tc>
      </w:tr>
      <w:tr>
        <w:tc>
          <w:tcPr>
            <w:tcW w:type="dxa" w:w="3408"/>
            <w:vAlign w:val="center"/>
            <w:shd w:fill="F5F8FA"/>
          </w:tcPr>
          <w:p>
            <w:pPr>
              <w:spacing w:after="0"/>
            </w:pPr>
            <w:r/>
            <w:r>
              <w:rPr>
                <w:rFonts w:ascii="Aptos" w:hAnsi="Aptos"/>
                <w:b w:val="0"/>
                <w:color w:val="17212B"/>
                <w:sz w:val="16"/>
              </w:rPr>
              <w:t>Gut Health</w:t>
            </w:r>
          </w:p>
        </w:tc>
        <w:tc>
          <w:tcPr>
            <w:tcW w:type="dxa" w:w="3408"/>
            <w:vAlign w:val="center"/>
            <w:shd w:fill="F5F8FA"/>
          </w:tcPr>
          <w:p>
            <w:pPr>
              <w:spacing w:after="0"/>
            </w:pPr>
            <w:r/>
            <w:r>
              <w:rPr>
                <w:rFonts w:ascii="Aptos" w:hAnsi="Aptos"/>
                <w:b w:val="0"/>
                <w:color w:val="17212B"/>
                <w:sz w:val="16"/>
              </w:rPr>
              <w:t>50B+ CFU spore-forming synbiotic</w:t>
            </w:r>
          </w:p>
        </w:tc>
        <w:tc>
          <w:tcPr>
            <w:tcW w:type="dxa" w:w="3408"/>
            <w:vAlign w:val="center"/>
            <w:shd w:fill="F5F8FA"/>
          </w:tcPr>
          <w:p>
            <w:pPr>
              <w:spacing w:after="0"/>
            </w:pPr>
            <w:r/>
            <w:r>
              <w:rPr>
                <w:rFonts w:ascii="Aptos" w:hAnsi="Aptos"/>
                <w:b w:val="0"/>
                <w:color w:val="17212B"/>
                <w:sz w:val="16"/>
              </w:rPr>
              <w:t>WN benchmark: 10B CFU Melts</w:t>
            </w:r>
          </w:p>
        </w:tc>
      </w:tr>
    </w:tbl>
    <w:p>
      <w:pPr>
        <w:pStyle w:val="Heading1"/>
      </w:pPr>
      <w:r>
        <w:t>4. Initial Channel Sequence</w:t>
      </w:r>
    </w:p>
    <w:p>
      <w:r>
        <w:t>The research proposes a staged channel sequence intended to balance reach, capital efficiency and operational complexity: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spacing w:after="0"/>
            </w:pPr>
            <w:r/>
            <w:r>
              <w:rPr>
                <w:rFonts w:ascii="Aptos" w:hAnsi="Aptos"/>
                <w:b/>
                <w:color w:val="FFFFFF"/>
                <w:sz w:val="17"/>
              </w:rPr>
              <w:t>Stage</w:t>
            </w:r>
          </w:p>
        </w:tc>
        <w:tc>
          <w:tcPr>
            <w:tcW w:type="dxa" w:w="5112"/>
            <w:vAlign w:val="center"/>
            <w:shd w:fill="17324D"/>
          </w:tcPr>
          <w:p>
            <w:pPr>
              <w:spacing w:after="0"/>
            </w:pPr>
            <w:r/>
            <w:r>
              <w:rPr>
                <w:rFonts w:ascii="Aptos" w:hAnsi="Aptos"/>
                <w:b/>
                <w:color w:val="FFFFFF"/>
                <w:sz w:val="17"/>
              </w:rPr>
              <w:t>Channel focus</w:t>
            </w:r>
          </w:p>
        </w:tc>
      </w:tr>
      <w:tr>
        <w:tc>
          <w:tcPr>
            <w:tcW w:type="dxa" w:w="5112"/>
            <w:vAlign w:val="center"/>
            <w:shd w:fill="F5F8FA"/>
          </w:tcPr>
          <w:p>
            <w:pPr>
              <w:spacing w:after="0"/>
            </w:pPr>
            <w:r/>
            <w:r>
              <w:rPr>
                <w:rFonts w:ascii="Aptos" w:hAnsi="Aptos"/>
                <w:b w:val="0"/>
                <w:color w:val="17212B"/>
                <w:sz w:val="17"/>
              </w:rPr>
              <w:t>Day 1</w:t>
            </w:r>
          </w:p>
        </w:tc>
        <w:tc>
          <w:tcPr>
            <w:tcW w:type="dxa" w:w="5112"/>
            <w:vAlign w:val="center"/>
            <w:shd w:fill="F5F8FA"/>
          </w:tcPr>
          <w:p>
            <w:pPr>
              <w:spacing w:after="0"/>
            </w:pPr>
            <w:r/>
            <w:r>
              <w:rPr>
                <w:rFonts w:ascii="Aptos" w:hAnsi="Aptos"/>
                <w:b w:val="0"/>
                <w:color w:val="17212B"/>
                <w:sz w:val="17"/>
              </w:rPr>
              <w:t>D2C + Amazon</w:t>
            </w:r>
          </w:p>
        </w:tc>
      </w:tr>
      <w:tr>
        <w:tc>
          <w:tcPr>
            <w:tcW w:type="dxa" w:w="5112"/>
            <w:vAlign w:val="center"/>
          </w:tcPr>
          <w:p>
            <w:pPr>
              <w:spacing w:after="0"/>
            </w:pPr>
            <w:r/>
            <w:r>
              <w:rPr>
                <w:rFonts w:ascii="Aptos" w:hAnsi="Aptos"/>
                <w:b w:val="0"/>
                <w:color w:val="17212B"/>
                <w:sz w:val="17"/>
              </w:rPr>
              <w:t>Day 90</w:t>
            </w:r>
          </w:p>
        </w:tc>
        <w:tc>
          <w:tcPr>
            <w:tcW w:type="dxa" w:w="5112"/>
            <w:vAlign w:val="center"/>
          </w:tcPr>
          <w:p>
            <w:pPr>
              <w:spacing w:after="0"/>
            </w:pPr>
            <w:r/>
            <w:r>
              <w:rPr>
                <w:rFonts w:ascii="Aptos" w:hAnsi="Aptos"/>
                <w:b w:val="0"/>
                <w:color w:val="17212B"/>
                <w:sz w:val="17"/>
              </w:rPr>
              <w:t>Flipkart + Influencers</w:t>
            </w:r>
          </w:p>
        </w:tc>
      </w:tr>
      <w:tr>
        <w:tc>
          <w:tcPr>
            <w:tcW w:type="dxa" w:w="5112"/>
            <w:vAlign w:val="center"/>
            <w:shd w:fill="F5F8FA"/>
          </w:tcPr>
          <w:p>
            <w:pPr>
              <w:spacing w:after="0"/>
            </w:pPr>
            <w:r/>
            <w:r>
              <w:rPr>
                <w:rFonts w:ascii="Aptos" w:hAnsi="Aptos"/>
                <w:b w:val="0"/>
                <w:color w:val="17212B"/>
                <w:sz w:val="17"/>
              </w:rPr>
              <w:t>Day 180</w:t>
            </w:r>
          </w:p>
        </w:tc>
        <w:tc>
          <w:tcPr>
            <w:tcW w:type="dxa" w:w="5112"/>
            <w:vAlign w:val="center"/>
            <w:shd w:fill="F5F8FA"/>
          </w:tcPr>
          <w:p>
            <w:pPr>
              <w:spacing w:after="0"/>
            </w:pPr>
            <w:r/>
            <w:r>
              <w:rPr>
                <w:rFonts w:ascii="Aptos" w:hAnsi="Aptos"/>
                <w:b w:val="0"/>
                <w:color w:val="17212B"/>
                <w:sz w:val="17"/>
              </w:rPr>
              <w:t>Quick Commerce</w:t>
            </w:r>
          </w:p>
        </w:tc>
      </w:tr>
      <w:tr>
        <w:tc>
          <w:tcPr>
            <w:tcW w:type="dxa" w:w="5112"/>
            <w:vAlign w:val="center"/>
          </w:tcPr>
          <w:p>
            <w:pPr>
              <w:spacing w:after="0"/>
            </w:pPr>
            <w:r/>
            <w:r>
              <w:rPr>
                <w:rFonts w:ascii="Aptos" w:hAnsi="Aptos"/>
                <w:b w:val="0"/>
                <w:color w:val="17212B"/>
                <w:sz w:val="17"/>
              </w:rPr>
              <w:t>Day 365</w:t>
            </w:r>
          </w:p>
        </w:tc>
        <w:tc>
          <w:tcPr>
            <w:tcW w:type="dxa" w:w="5112"/>
            <w:vAlign w:val="center"/>
          </w:tcPr>
          <w:p>
            <w:pPr>
              <w:spacing w:after="0"/>
            </w:pPr>
            <w:r/>
            <w:r>
              <w:rPr>
                <w:rFonts w:ascii="Aptos" w:hAnsi="Aptos"/>
                <w:b w:val="0"/>
                <w:color w:val="17212B"/>
                <w:sz w:val="17"/>
              </w:rPr>
              <w:t>Offline Pilot</w:t>
            </w:r>
          </w:p>
        </w:tc>
      </w:tr>
    </w:tbl>
    <w:p>
      <w:pPr>
        <w:pStyle w:val="Heading1"/>
      </w:pPr>
      <w:r>
        <w:t>5. Research Methodology &amp; Source Base</w:t>
      </w:r>
    </w:p>
    <w:p>
      <w:r>
        <w:t>The source summary indicates a multi-source research process spanning financial intelligence, market sizing, regulation, product audits, customer sentiment, marketing analysis and distribution intelligence.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spacing w:after="0"/>
            </w:pPr>
            <w:r/>
            <w:r>
              <w:rPr>
                <w:rFonts w:ascii="Aptos" w:hAnsi="Aptos"/>
                <w:b/>
                <w:color w:val="FFFFFF"/>
                <w:sz w:val="16"/>
              </w:rPr>
              <w:t>Research area</w:t>
            </w:r>
          </w:p>
        </w:tc>
        <w:tc>
          <w:tcPr>
            <w:tcW w:type="dxa" w:w="5112"/>
            <w:vAlign w:val="center"/>
            <w:shd w:fill="17324D"/>
          </w:tcPr>
          <w:p>
            <w:pPr>
              <w:spacing w:after="0"/>
            </w:pPr>
            <w:r/>
            <w:r>
              <w:rPr>
                <w:rFonts w:ascii="Aptos" w:hAnsi="Aptos"/>
                <w:b/>
                <w:color w:val="FFFFFF"/>
                <w:sz w:val="16"/>
              </w:rPr>
              <w:t>Source base cited in the supplied research</w:t>
            </w:r>
          </w:p>
        </w:tc>
      </w:tr>
      <w:tr>
        <w:tc>
          <w:tcPr>
            <w:tcW w:type="dxa" w:w="5112"/>
            <w:vAlign w:val="center"/>
            <w:shd w:fill="F5F8FA"/>
          </w:tcPr>
          <w:p>
            <w:pPr>
              <w:spacing w:after="0"/>
            </w:pPr>
            <w:r/>
            <w:r>
              <w:rPr>
                <w:rFonts w:ascii="Aptos" w:hAnsi="Aptos"/>
                <w:b w:val="0"/>
                <w:color w:val="17212B"/>
                <w:sz w:val="16"/>
              </w:rPr>
              <w:t>Financial data</w:t>
            </w:r>
          </w:p>
        </w:tc>
        <w:tc>
          <w:tcPr>
            <w:tcW w:type="dxa" w:w="5112"/>
            <w:vAlign w:val="center"/>
            <w:shd w:fill="F5F8FA"/>
          </w:tcPr>
          <w:p>
            <w:pPr>
              <w:spacing w:after="0"/>
            </w:pPr>
            <w:r/>
            <w:r>
              <w:rPr>
                <w:rFonts w:ascii="Aptos" w:hAnsi="Aptos"/>
                <w:b w:val="0"/>
                <w:color w:val="17212B"/>
                <w:sz w:val="16"/>
              </w:rPr>
              <w:t>Entrackr; Tracxn; Inc42; MCA filings; Venture Intelligence</w:t>
            </w:r>
          </w:p>
        </w:tc>
      </w:tr>
      <w:tr>
        <w:tc>
          <w:tcPr>
            <w:tcW w:type="dxa" w:w="5112"/>
            <w:vAlign w:val="center"/>
          </w:tcPr>
          <w:p>
            <w:pPr>
              <w:spacing w:after="0"/>
            </w:pPr>
            <w:r/>
            <w:r>
              <w:rPr>
                <w:rFonts w:ascii="Aptos" w:hAnsi="Aptos"/>
                <w:b w:val="0"/>
                <w:color w:val="17212B"/>
                <w:sz w:val="16"/>
              </w:rPr>
              <w:t>Market sizing</w:t>
            </w:r>
          </w:p>
        </w:tc>
        <w:tc>
          <w:tcPr>
            <w:tcW w:type="dxa" w:w="5112"/>
            <w:vAlign w:val="center"/>
          </w:tcPr>
          <w:p>
            <w:pPr>
              <w:spacing w:after="0"/>
            </w:pPr>
            <w:r/>
            <w:r>
              <w:rPr>
                <w:rFonts w:ascii="Aptos" w:hAnsi="Aptos"/>
                <w:b w:val="0"/>
                <w:color w:val="17212B"/>
                <w:sz w:val="16"/>
              </w:rPr>
              <w:t>Grand View Research; IMARC Group; Expert Market Research; Research &amp; Markets</w:t>
            </w:r>
          </w:p>
        </w:tc>
      </w:tr>
      <w:tr>
        <w:tc>
          <w:tcPr>
            <w:tcW w:type="dxa" w:w="5112"/>
            <w:vAlign w:val="center"/>
            <w:shd w:fill="F5F8FA"/>
          </w:tcPr>
          <w:p>
            <w:pPr>
              <w:spacing w:after="0"/>
            </w:pPr>
            <w:r/>
            <w:r>
              <w:rPr>
                <w:rFonts w:ascii="Aptos" w:hAnsi="Aptos"/>
                <w:b w:val="0"/>
                <w:color w:val="17212B"/>
                <w:sz w:val="16"/>
              </w:rPr>
              <w:t>Regulatory analysis</w:t>
            </w:r>
          </w:p>
        </w:tc>
        <w:tc>
          <w:tcPr>
            <w:tcW w:type="dxa" w:w="5112"/>
            <w:vAlign w:val="center"/>
            <w:shd w:fill="F5F8FA"/>
          </w:tcPr>
          <w:p>
            <w:pPr>
              <w:spacing w:after="0"/>
            </w:pPr>
            <w:r/>
            <w:r>
              <w:rPr>
                <w:rFonts w:ascii="Aptos" w:hAnsi="Aptos"/>
                <w:b w:val="0"/>
                <w:color w:val="17212B"/>
                <w:sz w:val="16"/>
              </w:rPr>
              <w:t>FSSAI official regulations (2020 and 2026 amendments)</w:t>
            </w:r>
          </w:p>
        </w:tc>
      </w:tr>
      <w:tr>
        <w:tc>
          <w:tcPr>
            <w:tcW w:type="dxa" w:w="5112"/>
            <w:vAlign w:val="center"/>
          </w:tcPr>
          <w:p>
            <w:pPr>
              <w:spacing w:after="0"/>
            </w:pPr>
            <w:r/>
            <w:r>
              <w:rPr>
                <w:rFonts w:ascii="Aptos" w:hAnsi="Aptos"/>
                <w:b w:val="0"/>
                <w:color w:val="17212B"/>
                <w:sz w:val="16"/>
              </w:rPr>
              <w:t>Product / formulation audit</w:t>
            </w:r>
          </w:p>
        </w:tc>
        <w:tc>
          <w:tcPr>
            <w:tcW w:type="dxa" w:w="5112"/>
            <w:vAlign w:val="center"/>
          </w:tcPr>
          <w:p>
            <w:pPr>
              <w:spacing w:after="0"/>
            </w:pPr>
            <w:r/>
            <w:r>
              <w:rPr>
                <w:rFonts w:ascii="Aptos" w:hAnsi="Aptos"/>
                <w:b w:val="0"/>
                <w:color w:val="17212B"/>
                <w:sz w:val="16"/>
              </w:rPr>
              <w:t>Brand websites; Amazon listings; Unbox Health lab tests; Trustified.in</w:t>
            </w:r>
          </w:p>
        </w:tc>
      </w:tr>
      <w:tr>
        <w:tc>
          <w:tcPr>
            <w:tcW w:type="dxa" w:w="5112"/>
            <w:vAlign w:val="center"/>
            <w:shd w:fill="F5F8FA"/>
          </w:tcPr>
          <w:p>
            <w:pPr>
              <w:spacing w:after="0"/>
            </w:pPr>
            <w:r/>
            <w:r>
              <w:rPr>
                <w:rFonts w:ascii="Aptos" w:hAnsi="Aptos"/>
                <w:b w:val="0"/>
                <w:color w:val="17212B"/>
                <w:sz w:val="16"/>
              </w:rPr>
              <w:t>Consumer sentiment</w:t>
            </w:r>
          </w:p>
        </w:tc>
        <w:tc>
          <w:tcPr>
            <w:tcW w:type="dxa" w:w="5112"/>
            <w:vAlign w:val="center"/>
            <w:shd w:fill="F5F8FA"/>
          </w:tcPr>
          <w:p>
            <w:pPr>
              <w:spacing w:after="0"/>
            </w:pPr>
            <w:r/>
            <w:r>
              <w:rPr>
                <w:rFonts w:ascii="Aptos" w:hAnsi="Aptos"/>
                <w:b w:val="0"/>
                <w:color w:val="17212B"/>
                <w:sz w:val="16"/>
              </w:rPr>
              <w:t>Amazon verified reviews; Reddit communities; Nykaa reviews</w:t>
            </w:r>
          </w:p>
        </w:tc>
      </w:tr>
      <w:tr>
        <w:tc>
          <w:tcPr>
            <w:tcW w:type="dxa" w:w="5112"/>
            <w:vAlign w:val="center"/>
          </w:tcPr>
          <w:p>
            <w:pPr>
              <w:spacing w:after="0"/>
            </w:pPr>
            <w:r/>
            <w:r>
              <w:rPr>
                <w:rFonts w:ascii="Aptos" w:hAnsi="Aptos"/>
                <w:b w:val="0"/>
                <w:color w:val="17212B"/>
                <w:sz w:val="16"/>
              </w:rPr>
              <w:t>Marketing analysis</w:t>
            </w:r>
          </w:p>
        </w:tc>
        <w:tc>
          <w:tcPr>
            <w:tcW w:type="dxa" w:w="5112"/>
            <w:vAlign w:val="center"/>
          </w:tcPr>
          <w:p>
            <w:pPr>
              <w:spacing w:after="0"/>
            </w:pPr>
            <w:r/>
            <w:r>
              <w:rPr>
                <w:rFonts w:ascii="Aptos" w:hAnsi="Aptos"/>
                <w:b w:val="0"/>
                <w:color w:val="17212B"/>
                <w:sz w:val="16"/>
              </w:rPr>
              <w:t>Meta Ad Library insights; brand social profiles; founding team interviews</w:t>
            </w:r>
          </w:p>
        </w:tc>
      </w:tr>
      <w:tr>
        <w:tc>
          <w:tcPr>
            <w:tcW w:type="dxa" w:w="5112"/>
            <w:vAlign w:val="center"/>
            <w:shd w:fill="F5F8FA"/>
          </w:tcPr>
          <w:p>
            <w:pPr>
              <w:spacing w:after="0"/>
            </w:pPr>
            <w:r/>
            <w:r>
              <w:rPr>
                <w:rFonts w:ascii="Aptos" w:hAnsi="Aptos"/>
                <w:b w:val="0"/>
                <w:color w:val="17212B"/>
                <w:sz w:val="16"/>
              </w:rPr>
              <w:t>Channel intelligence</w:t>
            </w:r>
          </w:p>
        </w:tc>
        <w:tc>
          <w:tcPr>
            <w:tcW w:type="dxa" w:w="5112"/>
            <w:vAlign w:val="center"/>
            <w:shd w:fill="F5F8FA"/>
          </w:tcPr>
          <w:p>
            <w:pPr>
              <w:spacing w:after="0"/>
            </w:pPr>
            <w:r/>
            <w:r>
              <w:rPr>
                <w:rFonts w:ascii="Aptos" w:hAnsi="Aptos"/>
                <w:b w:val="0"/>
                <w:color w:val="17212B"/>
                <w:sz w:val="16"/>
              </w:rPr>
              <w:t>Blinkit/Zepto stock checks; Similarweb estimates; industry reports</w:t>
            </w:r>
          </w:p>
        </w:tc>
      </w:tr>
    </w:tbl>
    <w:p>
      <w:pPr>
        <w:pStyle w:val="Heading1"/>
      </w:pPr>
      <w:r>
        <w:t>6. Research Outputs Produced</w:t>
      </w:r>
    </w:p>
    <w:p>
      <w:r>
        <w:t>The supplied Markdown references two underlying research deliverables:</w:t>
      </w:r>
    </w:p>
    <w:p>
      <w:pPr>
        <w:pStyle w:val="ListBullet"/>
        <w:spacing w:after="60"/>
      </w:pPr>
      <w:r>
        <w:t>Comprehensive CSV benchmark data covering capitalization, investors, valuation, channel sales attribution, hero SKU formulations, elemental potency, daily cost, core brand hooks, target ICPs, structural moats and vulnerabilities.</w:t>
      </w:r>
    </w:p>
    <w:p>
      <w:pPr>
        <w:pStyle w:val="ListBullet"/>
        <w:spacing w:after="60"/>
      </w:pPr>
      <w:r>
        <w:t>A publication-grade intelligence report described as 400+ lines, including macro environment and commercial heatmap, six individual brand teardowns, comparative synthesis matrices and a strategic playbook for Stapple Wellness.</w:t>
      </w:r>
    </w:p>
    <w:p>
      <w:pPr>
        <w:pStyle w:val="Heading1"/>
      </w:pPr>
      <w:r>
        <w:t>7. Implications for Stapple Wellness</w:t>
      </w:r>
    </w:p>
    <w:p>
      <w:r>
        <w:t>The current research provides a strong competitive foundation, but the findings should be treated as inputs into the next phases of GTM development rather than as final positioning decisions.</w:t>
      </w:r>
    </w:p>
    <w:p>
      <w:pPr>
        <w:pStyle w:val="ListBullet"/>
        <w:spacing w:after="60"/>
      </w:pPr>
      <w:r>
        <w:t>Validate whether transparency is a sufficiently strong consumer purchase driver in the Indian market.</w:t>
      </w:r>
    </w:p>
    <w:p>
      <w:pPr>
        <w:pStyle w:val="ListBullet"/>
        <w:spacing w:after="60"/>
      </w:pPr>
      <w:r>
        <w:t>Validate whether higher elemental potency materially improves perceived value and willingness to pay.</w:t>
      </w:r>
    </w:p>
    <w:p>
      <w:pPr>
        <w:pStyle w:val="ListBullet"/>
        <w:spacing w:after="60"/>
      </w:pPr>
      <w:r>
        <w:t>Establish Stapple’s Indian price architecture using normalized price-per-serving and price-per-day comparisons.</w:t>
      </w:r>
    </w:p>
    <w:p>
      <w:pPr>
        <w:pStyle w:val="ListBullet"/>
        <w:spacing w:after="60"/>
      </w:pPr>
      <w:r>
        <w:t>Separate competitive strength from market size: scale and funding do not necessarily translate into a defensible consumer proposition.</w:t>
      </w:r>
    </w:p>
    <w:p>
      <w:pPr>
        <w:pStyle w:val="ListBullet"/>
        <w:spacing w:after="60"/>
      </w:pPr>
      <w:r>
        <w:t>Use the competitor evidence to define the customer and need-state research required before finalizing positioning and product architecture.</w:t>
      </w:r>
    </w:p>
    <w:p>
      <w:pPr>
        <w:pStyle w:val="Heading2"/>
      </w:pPr>
      <w:r>
        <w:t>Important Research Note</w:t>
      </w:r>
    </w:p>
    <w:p>
      <w:r>
        <w:t>The source material contains a wide market-size range ($8.9–38.8B) and includes estimates for certain revenue figures. These figures should be reconciled against their underlying definitions, geography, category scope and reporting periods before being used in an investment, board or formal market-sizing decision.</w:t>
      </w:r>
    </w:p>
    <w:p>
      <w:pPr>
        <w:pStyle w:val="Heading1"/>
      </w:pPr>
      <w:r>
        <w:t>Conclusion</w:t>
      </w:r>
    </w:p>
    <w:p>
      <w:r>
        <w:t>The current competitive teardown suggests that Stapple Wellness may have an opportunity to build a differentiated position around product potency and transparency. The most important next step is to test this hypothesis against customer behaviour, price sensitivity and the broader Indian category before locking product, positioning and GTM decisions.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E7184"/>
        <w:sz w:val="16"/>
      </w:rPr>
      <w:t xml:space="preserve">Stapple Wellness | Market Research Summary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B7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1F6FE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Stapple Wellness — Market Research Summary</dc:title>
  <dc:subject>Competitive Landscape &amp; Strategic Opportunity Scan</dc:subject>
  <dc:creator>Stapple Wellness</dc:creator>
  <cp:keywords>Stapple Wellness, nutraceuticals, market research, competitive intelligence, GTM</cp:keywords>
  <dc:description>generated by python-docx</dc:description>
  <cp:lastModifiedBy/>
  <cp:revision>1</cp:revision>
  <dcterms:created xsi:type="dcterms:W3CDTF">2013-12-23T23:15:00Z</dcterms:created>
  <dcterms:modified xsi:type="dcterms:W3CDTF">2013-12-23T23:15:00Z</dcterms:modified>
  <cp:category/>
</cp:coreProperties>
</file>