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87772" w14:textId="1333672F" w:rsidR="00732DA6" w:rsidRDefault="00732DA6" w:rsidP="007039C7">
      <w:r w:rsidRPr="00732DA6">
        <w:t>Population exposure was estimated from the mapped sites. Only sites of at least 500 m² were treated as qualifying, since smaller accumulations are unlikely</w:t>
      </w:r>
      <w:r>
        <w:t xml:space="preserve"> to </w:t>
      </w:r>
      <w:r w:rsidRPr="00732DA6">
        <w:t>sustain the open burning, vector breeding and stagnant water pathways through which nearby residents are affected</w:t>
      </w:r>
      <w:r>
        <w:t xml:space="preserve">. The exposure radius was modelled to monotonically increase with site size. The formulation for modelling is described by: </w:t>
      </w:r>
    </w:p>
    <w:p w14:paraId="7A2A79E2" w14:textId="605E5B7B" w:rsidR="007039C7" w:rsidRDefault="00732DA6" w:rsidP="007039C7">
      <w:r w:rsidRPr="00732DA6">
        <w:t xml:space="preserve">r(A) = </w:t>
      </w:r>
      <w:proofErr w:type="spellStart"/>
      <w:r w:rsidRPr="00732DA6">
        <w:t>r_min</w:t>
      </w:r>
      <w:proofErr w:type="spellEnd"/>
      <w:r w:rsidRPr="00732DA6">
        <w:t xml:space="preserve"> + (</w:t>
      </w:r>
      <w:proofErr w:type="spellStart"/>
      <w:r w:rsidRPr="00732DA6">
        <w:t>r_max</w:t>
      </w:r>
      <w:proofErr w:type="spellEnd"/>
      <w:r w:rsidRPr="00732DA6">
        <w:t xml:space="preserve"> − </w:t>
      </w:r>
      <w:proofErr w:type="spellStart"/>
      <w:r w:rsidRPr="00732DA6">
        <w:t>r_min</w:t>
      </w:r>
      <w:proofErr w:type="spellEnd"/>
      <w:r w:rsidRPr="00732DA6">
        <w:t xml:space="preserve">) × [ln(min(A, </w:t>
      </w:r>
      <w:proofErr w:type="spellStart"/>
      <w:r w:rsidRPr="00732DA6">
        <w:t>A_cap</w:t>
      </w:r>
      <w:proofErr w:type="spellEnd"/>
      <w:r w:rsidRPr="00732DA6">
        <w:t>)) − ln(500)] / [ln(</w:t>
      </w:r>
      <w:proofErr w:type="spellStart"/>
      <w:r w:rsidRPr="00732DA6">
        <w:t>A_cap</w:t>
      </w:r>
      <w:proofErr w:type="spellEnd"/>
      <w:r w:rsidRPr="00732DA6">
        <w:t>) − ln(500)]</w:t>
      </w:r>
      <w:r>
        <w:t xml:space="preserve"> </w:t>
      </w:r>
    </w:p>
    <w:p w14:paraId="7A7CBF89" w14:textId="2FFC6FBA" w:rsidR="002720B0" w:rsidRDefault="00732DA6" w:rsidP="007039C7">
      <w:r w:rsidRPr="00732DA6">
        <w:t xml:space="preserve">where A is site area in m², </w:t>
      </w:r>
      <w:proofErr w:type="spellStart"/>
      <w:r w:rsidRPr="00732DA6">
        <w:t>r_min</w:t>
      </w:r>
      <w:proofErr w:type="spellEnd"/>
      <w:r w:rsidRPr="00732DA6">
        <w:t xml:space="preserve"> = 200 m (the radius at the 500 m² threshold) and </w:t>
      </w:r>
      <w:proofErr w:type="spellStart"/>
      <w:r w:rsidRPr="00732DA6">
        <w:t>r_max</w:t>
      </w:r>
      <w:proofErr w:type="spellEnd"/>
      <w:r w:rsidRPr="00732DA6">
        <w:t xml:space="preserve"> = [2,000] m (the radius of the largest sites).</w:t>
      </w:r>
      <w:r w:rsidR="000A7BF4" w:rsidRPr="000A7BF4">
        <w:rPr>
          <w:rFonts w:ascii="Times New Roman" w:eastAsia="Times New Roman" w:hAnsi="Times New Roman" w:cs="Times New Roman"/>
          <w:kern w:val="0"/>
          <w:sz w:val="24"/>
          <w:szCs w:val="24"/>
          <w:lang w:eastAsia="en-GB"/>
          <w14:ligatures w14:val="none"/>
        </w:rPr>
        <w:t xml:space="preserve"> </w:t>
      </w:r>
      <w:r w:rsidR="0078102F" w:rsidRPr="00F52128">
        <w:rPr>
          <w:rFonts w:eastAsia="Times New Roman" w:cs="Times New Roman"/>
          <w:kern w:val="0"/>
          <w:sz w:val="24"/>
          <w:szCs w:val="24"/>
          <w:lang w:eastAsia="en-GB"/>
          <w14:ligatures w14:val="none"/>
        </w:rPr>
        <w:t xml:space="preserve">The </w:t>
      </w:r>
      <w:r w:rsidR="00F52128" w:rsidRPr="00732DA6">
        <w:t>500 m²</w:t>
      </w:r>
      <w:r w:rsidR="00F52128">
        <w:t xml:space="preserve"> area was assumed as a </w:t>
      </w:r>
      <w:r w:rsidR="007917CD">
        <w:t xml:space="preserve">threshold as this was </w:t>
      </w:r>
      <w:r w:rsidR="008051D2">
        <w:t xml:space="preserve">common size of site associated with adverse health effects are a result of </w:t>
      </w:r>
      <w:r w:rsidR="00C05CB3">
        <w:t>clearing through burning</w:t>
      </w:r>
      <w:r w:rsidR="003D3565">
        <w:t xml:space="preserve">, </w:t>
      </w:r>
      <w:r w:rsidR="009061B0">
        <w:t xml:space="preserve">degradation of the environment (water and air pollution), and </w:t>
      </w:r>
      <w:r w:rsidR="002C0A2B">
        <w:t>vector-</w:t>
      </w:r>
      <w:proofErr w:type="spellStart"/>
      <w:r w:rsidR="002C0A2B">
        <w:t>born</w:t>
      </w:r>
      <w:proofErr w:type="spellEnd"/>
      <w:r w:rsidR="002C0A2B">
        <w:t xml:space="preserve"> diseases </w:t>
      </w:r>
      <w:r w:rsidR="0094335D">
        <w:t>\cite{</w:t>
      </w:r>
      <w:r w:rsidR="0094335D" w:rsidRPr="0094335D">
        <w:t>Mwapasa2026</w:t>
      </w:r>
      <w:r w:rsidR="000D174B">
        <w:t>,</w:t>
      </w:r>
      <w:r w:rsidR="000D174B" w:rsidRPr="000D174B">
        <w:t>cook2026</w:t>
      </w:r>
      <w:r w:rsidR="007C600B">
        <w:t>,</w:t>
      </w:r>
      <w:r w:rsidR="007C600B" w:rsidRPr="007C600B">
        <w:t>Mngeni2025</w:t>
      </w:r>
      <w:r w:rsidR="0094335D">
        <w:t>}</w:t>
      </w:r>
      <w:r w:rsidR="00B01F5A">
        <w:t xml:space="preserve">. </w:t>
      </w:r>
      <w:r w:rsidR="000A7BF4" w:rsidRPr="000A7BF4">
        <w:t>Existing evidence identifies multiple pathways through which waste can affect surrounding populations. At close proximity (0–200 m</w:t>
      </w:r>
      <w:r w:rsidR="003B64C3" w:rsidRPr="003B64C3">
        <w:t xml:space="preserve"> </w:t>
      </w:r>
      <w:r w:rsidR="003B64C3" w:rsidRPr="000A7BF4">
        <w:t xml:space="preserve">exposure to airborne pollutants, odours and bioaerosols has been associated with respiratory symptoms and irritation </w:t>
      </w:r>
      <w:r w:rsidR="003B64C3">
        <w:t>\cite{</w:t>
      </w:r>
      <w:r w:rsidR="0052285D" w:rsidRPr="0052285D">
        <w:t>Angwah2026ARO</w:t>
      </w:r>
      <w:r w:rsidR="008E1072">
        <w:t>,</w:t>
      </w:r>
      <w:r w:rsidR="008E1072" w:rsidRPr="008E1072">
        <w:t>Abiola2021</w:t>
      </w:r>
      <w:r w:rsidR="009C3968">
        <w:t>,</w:t>
      </w:r>
      <w:r w:rsidR="009C3968" w:rsidRPr="009C3968">
        <w:t>Sankoh2013</w:t>
      </w:r>
      <w:r w:rsidR="00051CD8">
        <w:t>,</w:t>
      </w:r>
      <w:r w:rsidR="00051CD8" w:rsidRPr="00051CD8">
        <w:t xml:space="preserve"> </w:t>
      </w:r>
      <w:r w:rsidR="00051CD8" w:rsidRPr="00051CD8">
        <w:t>Khumalo2021</w:t>
      </w:r>
      <w:r w:rsidR="003B64C3">
        <w:t>}</w:t>
      </w:r>
      <w:r w:rsidR="0052285D">
        <w:t>.</w:t>
      </w:r>
      <w:r w:rsidR="000A7BF4" w:rsidRPr="000A7BF4">
        <w:t xml:space="preserve"> At intermediate distances (200–500 m), </w:t>
      </w:r>
      <w:r w:rsidR="008C2A8A">
        <w:t>surface water</w:t>
      </w:r>
      <w:r w:rsidR="009620D8">
        <w:t xml:space="preserve"> causes gastrointestinal illnesses</w:t>
      </w:r>
      <w:r w:rsidR="008C2A8A">
        <w:t xml:space="preserve"> and air pollution</w:t>
      </w:r>
      <w:r w:rsidR="00CF16FA">
        <w:t xml:space="preserve"> (</w:t>
      </w:r>
      <w:r w:rsidR="00CF16FA" w:rsidRPr="000A7BF4">
        <w:t>airborne pollutants, odours and bioaerosols</w:t>
      </w:r>
      <w:r w:rsidR="00CF16FA">
        <w:t>)</w:t>
      </w:r>
      <w:r w:rsidR="008C2A8A">
        <w:t xml:space="preserve"> result in acute respiratory symptoms</w:t>
      </w:r>
      <w:r w:rsidR="00066EBB">
        <w:t xml:space="preserve"> </w:t>
      </w:r>
      <w:r w:rsidR="00066EBB">
        <w:t>\cite{</w:t>
      </w:r>
      <w:r w:rsidR="00066EBB" w:rsidRPr="0052285D">
        <w:t>Angwah2026ARO</w:t>
      </w:r>
      <w:r w:rsidR="0010514F">
        <w:t>,</w:t>
      </w:r>
      <w:r w:rsidR="0010514F" w:rsidRPr="0010514F">
        <w:t>njoku2019</w:t>
      </w:r>
      <w:r w:rsidR="00066EBB">
        <w:t>}.</w:t>
      </w:r>
      <w:r w:rsidR="00066EBB" w:rsidRPr="000A7BF4">
        <w:t xml:space="preserve"> </w:t>
      </w:r>
      <w:r w:rsidR="00615863">
        <w:t xml:space="preserve"> </w:t>
      </w:r>
      <w:r w:rsidR="00647E13" w:rsidRPr="00647E13">
        <w:t xml:space="preserve">Risks can also extend across wider neighbourhoods (up to 2,000 m), with studies documenting respiratory illness, groundwater contamination from landfill leachate and potential adverse birth outcomes </w:t>
      </w:r>
      <w:r w:rsidR="00147BD7">
        <w:t>\cite{</w:t>
      </w:r>
      <w:r w:rsidR="000976D9" w:rsidRPr="000976D9">
        <w:t>Tomita2020</w:t>
      </w:r>
      <w:r w:rsidR="0010514F">
        <w:t>,</w:t>
      </w:r>
      <w:r w:rsidR="0010514F" w:rsidRPr="0010514F">
        <w:t>njoku2019</w:t>
      </w:r>
      <w:r w:rsidR="00A24F0B">
        <w:t>,</w:t>
      </w:r>
      <w:r w:rsidR="00A24F0B" w:rsidRPr="00A24F0B">
        <w:t>Porta2009</w:t>
      </w:r>
      <w:r w:rsidR="00BE6530">
        <w:t>,</w:t>
      </w:r>
      <w:r w:rsidR="00BE6530" w:rsidRPr="00BE6530">
        <w:t>Mattiello2013</w:t>
      </w:r>
      <w:r w:rsidR="00147BD7">
        <w:t>}</w:t>
      </w:r>
      <w:r w:rsidR="000976D9">
        <w:t xml:space="preserve">. </w:t>
      </w:r>
      <w:r w:rsidR="000A7BF4" w:rsidRPr="000A7BF4">
        <w:t xml:space="preserve">Broader population evidence additionally associates proximity to waste sites with asthma and tuberculosis, although these associations have been evaluated over distances extending to 5 km </w:t>
      </w:r>
      <w:r w:rsidR="008E1072">
        <w:t>\cite{</w:t>
      </w:r>
      <w:r w:rsidR="008E1072" w:rsidRPr="000976D9">
        <w:t>Tomita2020</w:t>
      </w:r>
      <w:r w:rsidR="008E1072">
        <w:t>,</w:t>
      </w:r>
      <w:r w:rsidR="008E1072" w:rsidRPr="008E1072">
        <w:t>Abiola2021</w:t>
      </w:r>
      <w:r w:rsidR="008E1072">
        <w:t>}</w:t>
      </w:r>
      <w:r w:rsidR="008E1072">
        <w:t>.</w:t>
      </w:r>
    </w:p>
    <w:p w14:paraId="0F056883" w14:textId="65EAC462" w:rsidR="00732DA6" w:rsidRDefault="00732DA6" w:rsidP="007039C7">
      <w:r w:rsidRPr="00732DA6">
        <w:t>A logarithmic form was used because site areas span several orders of magnitude, and a linear scaling would reach the maximum radius only for a few very large sites.</w:t>
      </w:r>
      <w:r w:rsidR="00EC6682" w:rsidRPr="00EC6682">
        <w:t xml:space="preserve"> </w:t>
      </w:r>
      <w:proofErr w:type="spellStart"/>
      <w:r w:rsidR="00EC6682" w:rsidRPr="00EC6682">
        <w:t>A_cap</w:t>
      </w:r>
      <w:proofErr w:type="spellEnd"/>
      <w:r w:rsidR="00EC6682" w:rsidRPr="00EC6682">
        <w:t xml:space="preserve"> was set to the 99th percentile of site area within each city, pooled across 2016 and 2024, so that radii reflect each city’s own size distribution (99th percentile areas ranged from about [5,200] m² in Kinshasa to [178,000] m² in Nairobi) and are not dominated by a few exceptional accumulations. Sites larger than </w:t>
      </w:r>
      <w:proofErr w:type="spellStart"/>
      <w:r w:rsidR="00EC6682" w:rsidRPr="00EC6682">
        <w:t>A_cap</w:t>
      </w:r>
      <w:proofErr w:type="spellEnd"/>
      <w:r w:rsidR="00EC6682" w:rsidRPr="00EC6682">
        <w:t xml:space="preserve"> were assigned </w:t>
      </w:r>
      <w:proofErr w:type="spellStart"/>
      <w:r w:rsidR="00EC6682" w:rsidRPr="00EC6682">
        <w:t>r_max</w:t>
      </w:r>
      <w:proofErr w:type="spellEnd"/>
      <w:r w:rsidR="00EC6682" w:rsidRPr="00EC6682">
        <w:t xml:space="preserve">. The same </w:t>
      </w:r>
      <w:proofErr w:type="spellStart"/>
      <w:r w:rsidR="00EC6682" w:rsidRPr="00EC6682">
        <w:t>A_cap</w:t>
      </w:r>
      <w:proofErr w:type="spellEnd"/>
      <w:r w:rsidR="00EC6682" w:rsidRPr="00EC6682">
        <w:t xml:space="preserve"> was used in both years, so that changes in exposure reflect changes in sites and population and not in parameterisation.</w:t>
      </w:r>
    </w:p>
    <w:p w14:paraId="03506B5C" w14:textId="69C090D2" w:rsidR="00EC6682" w:rsidRDefault="0042099E" w:rsidP="00723E3C">
      <w:r>
        <w:t xml:space="preserve">Population rasters for 2016 and 2024 were derived from </w:t>
      </w:r>
      <w:proofErr w:type="spellStart"/>
      <w:r w:rsidR="00B72909">
        <w:t>WorldPop</w:t>
      </w:r>
      <w:proofErr w:type="spellEnd"/>
      <w:r w:rsidR="00B72909">
        <w:t xml:space="preserve"> which model population at a 100m resolution.</w:t>
      </w:r>
      <w:r w:rsidR="005327BB">
        <w:t xml:space="preserve"> Residents were considered expo</w:t>
      </w:r>
      <w:r w:rsidR="00FF75AC">
        <w:t xml:space="preserve">sed </w:t>
      </w:r>
      <w:r w:rsidR="00162DA4">
        <w:t xml:space="preserve">if they were within the radius of a </w:t>
      </w:r>
      <w:r w:rsidR="00723E3C">
        <w:t xml:space="preserve">qualifying site. </w:t>
      </w:r>
      <w:r w:rsidR="00026791" w:rsidRPr="00026791">
        <w:t>Exposed population was summed within each city boundary using the 2016 and 2024 population rasters. The radii are a modelling assumption and not a measured impact distance. Because sites below 500 m² are excluded, estimates represent exposure to larger accumulations and are conservative with respect to site size.</w:t>
      </w:r>
    </w:p>
    <w:p w14:paraId="20375CA6" w14:textId="06EA093A" w:rsidR="00EC1A71" w:rsidRDefault="00EC1A71">
      <w:r>
        <w:br w:type="page"/>
      </w:r>
    </w:p>
    <w:p w14:paraId="19141B23" w14:textId="77777777" w:rsidR="006B39F2" w:rsidRPr="006B39F2" w:rsidRDefault="003D35AA" w:rsidP="006B39F2">
      <w:r w:rsidRPr="003D35AA">
        <w:lastRenderedPageBreak/>
        <w:t xml:space="preserve">Population exposure was estimated from mapped unmanaged waste sites of at least 500,m$^2$, focusing on accumulations sufficiently extensive to represent sustained potential sources of environmental contamination and associated health risks. This threshold was adopted to distinguish substantial waste accumulations from smaller, potentially transient deposits, recognising pathways including open burning, water contamination and vector breeding \cite{Mwapasa2026,cook2026,Mngeni2025}. </w:t>
      </w:r>
      <w:r w:rsidR="002545BF" w:rsidRPr="002545BF">
        <w:t xml:space="preserve">Exposure radii were bounded by evidence on how far health effects of waste extend. Within about 200 m, airborne pollutants, odours and bioaerosols have been associated with respiratory symptoms and irritation </w:t>
      </w:r>
      <w:r w:rsidR="00720CC0">
        <w:t>\cite{</w:t>
      </w:r>
      <w:r w:rsidR="002545BF" w:rsidRPr="002545BF">
        <w:t>Angwah2026ARO, Abiola2021, Sankoh2013, Khumalo2021</w:t>
      </w:r>
      <w:r w:rsidR="00720CC0">
        <w:t>}</w:t>
      </w:r>
      <w:r w:rsidR="002545BF" w:rsidRPr="002545BF">
        <w:t xml:space="preserve">. Between 200 and 500 m, contaminated surface water and air pollution have been associated with gastrointestinal illness and acute respiratory symptoms </w:t>
      </w:r>
      <w:r w:rsidR="00720CC0">
        <w:t>\cite{</w:t>
      </w:r>
      <w:r w:rsidR="002545BF" w:rsidRPr="002545BF">
        <w:t>Angwah2026ARO, Njoku2019</w:t>
      </w:r>
      <w:r w:rsidR="00720CC0">
        <w:t>}</w:t>
      </w:r>
      <w:r w:rsidR="002545BF" w:rsidRPr="002545BF">
        <w:t xml:space="preserve">. Up to 2 km, studies document respiratory illness, groundwater contamination from leachate and potential adverse birth outcomes </w:t>
      </w:r>
      <w:r w:rsidR="00720CC0">
        <w:t>\cite{</w:t>
      </w:r>
      <w:r w:rsidR="002545BF" w:rsidRPr="002545BF">
        <w:t>Tomita2020, Njoku2019, Porta2009, Mattiello2013</w:t>
      </w:r>
      <w:r w:rsidR="00720CC0">
        <w:t>}</w:t>
      </w:r>
      <w:r w:rsidR="002545BF" w:rsidRPr="002545BF">
        <w:t xml:space="preserve">. Population studies associate proximity with asthma and tuberculosis at distances up to 5 km </w:t>
      </w:r>
      <w:r w:rsidR="00720CC0">
        <w:t>\cite{</w:t>
      </w:r>
      <w:r w:rsidR="002545BF" w:rsidRPr="002545BF">
        <w:t>Tomita2020, Abiola2021</w:t>
      </w:r>
      <w:r w:rsidR="00720CC0">
        <w:t>}</w:t>
      </w:r>
      <w:r w:rsidR="002545BF" w:rsidRPr="002545BF">
        <w:t>. The smallest qualifying sites were therefore assigned a radius of 200 m and the largest a radius of 2 km, with 5 km tested as a sensitivity bound. Between these limits, radius increased with site area, reflecting the assumption that larger sites</w:t>
      </w:r>
      <w:r w:rsidR="008A34FE">
        <w:t xml:space="preserve"> systematically influence a </w:t>
      </w:r>
      <w:r w:rsidR="00720CC0">
        <w:t xml:space="preserve">wider area. </w:t>
      </w:r>
      <w:r w:rsidR="006B39F2" w:rsidRPr="006B39F2">
        <w:t>Each site's exposure radius increased logarithmically with its mapped area:</w:t>
      </w:r>
    </w:p>
    <w:p w14:paraId="3361BF8B" w14:textId="77777777" w:rsidR="006B39F2" w:rsidRPr="006B39F2" w:rsidRDefault="006B39F2" w:rsidP="006B39F2">
      <w:r w:rsidRPr="006B39F2">
        <w:t>[</w:t>
      </w:r>
      <w:r w:rsidRPr="006B39F2">
        <w:br/>
        <w:t>r(A)=r_{\min}+(r_{\max}-r_{\min})</w:t>
      </w:r>
      <w:r w:rsidRPr="006B39F2">
        <w:br/>
        <w:t>\frac{\ln(\min(A,A_{\</w:t>
      </w:r>
      <w:proofErr w:type="spellStart"/>
      <w:r w:rsidRPr="006B39F2">
        <w:t>mathrm</w:t>
      </w:r>
      <w:proofErr w:type="spellEnd"/>
      <w:r w:rsidRPr="006B39F2">
        <w:t>{cap}}))-\ln(500)}</w:t>
      </w:r>
      <w:r w:rsidRPr="006B39F2">
        <w:br/>
        <w:t>{\ln(A_{\</w:t>
      </w:r>
      <w:proofErr w:type="spellStart"/>
      <w:r w:rsidRPr="006B39F2">
        <w:t>mathrm</w:t>
      </w:r>
      <w:proofErr w:type="spellEnd"/>
      <w:r w:rsidRPr="006B39F2">
        <w:t>{cap}})-\ln(500)},</w:t>
      </w:r>
      <w:r w:rsidRPr="006B39F2">
        <w:br/>
        <w:t>]</w:t>
      </w:r>
    </w:p>
    <w:p w14:paraId="31AD65C5" w14:textId="77777777" w:rsidR="0036099D" w:rsidRPr="0036099D" w:rsidRDefault="0036099D" w:rsidP="0036099D">
      <w:r w:rsidRPr="0036099D">
        <w:t>where $A$ is site area in m$^2$, $r_{\min}=200$,m and $r_{\max}=2{,}000$,m. Logarithmic scaling accommodated the wide variation in site sizes while limiting the influence of exceptionally large accumulations. The upper area limit, $A_{\</w:t>
      </w:r>
      <w:proofErr w:type="spellStart"/>
      <w:r w:rsidRPr="0036099D">
        <w:t>mathrm</w:t>
      </w:r>
      <w:proofErr w:type="spellEnd"/>
      <w:r w:rsidRPr="0036099D">
        <w:t>{cap}}$, was defined separately for each city as the 99th percentile of qualifying site areas pooled across 2016 and 2024. Sites exceeding this limit were assigned the maximum radius.</w:t>
      </w:r>
    </w:p>
    <w:p w14:paraId="2148DB63" w14:textId="77777777" w:rsidR="006E6941" w:rsidRPr="006E6941" w:rsidRDefault="00335DDE" w:rsidP="006E6941">
      <w:r w:rsidRPr="00335DDE">
        <w:t xml:space="preserve">Population exposure was calculated using year-specific </w:t>
      </w:r>
      <w:proofErr w:type="spellStart"/>
      <w:r w:rsidRPr="00335DDE">
        <w:t>WorldPop</w:t>
      </w:r>
      <w:proofErr w:type="spellEnd"/>
      <w:r w:rsidRPr="00335DDE">
        <w:t xml:space="preserve"> population estimates at 100,m resolution, clipped to each city boundary. Residents were classified as potentially exposed when their population-grid location fell within the modelled radius of at least one qualifying site</w:t>
      </w:r>
      <w:r>
        <w:t xml:space="preserve">. </w:t>
      </w:r>
      <w:r w:rsidR="006E6941" w:rsidRPr="006E6941">
        <w:t xml:space="preserve">Exposed populations were summed for each city and year and expressed as absolute headcounts and proportions of the total population. Distances to the nearest qualifying waste site were calculated separately to characterise changes in residential proximity. </w:t>
      </w:r>
    </w:p>
    <w:p w14:paraId="2592AFF2" w14:textId="03152209" w:rsidR="00335DDE" w:rsidRPr="00335DDE" w:rsidRDefault="00335DDE" w:rsidP="00335DDE"/>
    <w:p w14:paraId="3E68BBFE" w14:textId="47FE0951" w:rsidR="003D35AA" w:rsidRPr="003D35AA" w:rsidRDefault="003D35AA" w:rsidP="003D35AA"/>
    <w:p w14:paraId="5B709D08" w14:textId="77777777" w:rsidR="00EC1A71" w:rsidRPr="007039C7" w:rsidRDefault="00EC1A71" w:rsidP="00723E3C"/>
    <w:sectPr w:rsidR="00EC1A71" w:rsidRPr="007039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D07"/>
    <w:rsid w:val="00026791"/>
    <w:rsid w:val="00051CD8"/>
    <w:rsid w:val="00066EBB"/>
    <w:rsid w:val="000960D2"/>
    <w:rsid w:val="000976D9"/>
    <w:rsid w:val="000A7BF4"/>
    <w:rsid w:val="000D174B"/>
    <w:rsid w:val="0010514F"/>
    <w:rsid w:val="00125709"/>
    <w:rsid w:val="00136FF4"/>
    <w:rsid w:val="00147BD7"/>
    <w:rsid w:val="001554E9"/>
    <w:rsid w:val="00162DA4"/>
    <w:rsid w:val="001A59D7"/>
    <w:rsid w:val="001B58F2"/>
    <w:rsid w:val="001C1276"/>
    <w:rsid w:val="002545BF"/>
    <w:rsid w:val="002720B0"/>
    <w:rsid w:val="00277CDC"/>
    <w:rsid w:val="002C0A2B"/>
    <w:rsid w:val="002D4789"/>
    <w:rsid w:val="002D7C85"/>
    <w:rsid w:val="00335DDE"/>
    <w:rsid w:val="0036099D"/>
    <w:rsid w:val="003920C1"/>
    <w:rsid w:val="003B64C3"/>
    <w:rsid w:val="003D3565"/>
    <w:rsid w:val="003D35AA"/>
    <w:rsid w:val="003F626F"/>
    <w:rsid w:val="0042099E"/>
    <w:rsid w:val="004B253A"/>
    <w:rsid w:val="004C52B0"/>
    <w:rsid w:val="004F4F9D"/>
    <w:rsid w:val="0052285D"/>
    <w:rsid w:val="005327BB"/>
    <w:rsid w:val="00533D07"/>
    <w:rsid w:val="00572116"/>
    <w:rsid w:val="005E2E89"/>
    <w:rsid w:val="00615863"/>
    <w:rsid w:val="00647E13"/>
    <w:rsid w:val="006B39F2"/>
    <w:rsid w:val="006E1509"/>
    <w:rsid w:val="006E1639"/>
    <w:rsid w:val="006E6941"/>
    <w:rsid w:val="007039C7"/>
    <w:rsid w:val="00705350"/>
    <w:rsid w:val="00720CC0"/>
    <w:rsid w:val="00723E3C"/>
    <w:rsid w:val="00725CF3"/>
    <w:rsid w:val="00730DAA"/>
    <w:rsid w:val="00732DA6"/>
    <w:rsid w:val="00757C26"/>
    <w:rsid w:val="00757E38"/>
    <w:rsid w:val="00772FF7"/>
    <w:rsid w:val="0078102F"/>
    <w:rsid w:val="007917CD"/>
    <w:rsid w:val="007C1B6F"/>
    <w:rsid w:val="007C338F"/>
    <w:rsid w:val="007C51AC"/>
    <w:rsid w:val="007C600B"/>
    <w:rsid w:val="007F652E"/>
    <w:rsid w:val="008051D2"/>
    <w:rsid w:val="008A34FE"/>
    <w:rsid w:val="008A57B2"/>
    <w:rsid w:val="008B5653"/>
    <w:rsid w:val="008C2A8A"/>
    <w:rsid w:val="008E1072"/>
    <w:rsid w:val="00901928"/>
    <w:rsid w:val="009029EA"/>
    <w:rsid w:val="009061B0"/>
    <w:rsid w:val="0094247B"/>
    <w:rsid w:val="0094335D"/>
    <w:rsid w:val="009620D8"/>
    <w:rsid w:val="009A46ED"/>
    <w:rsid w:val="009B449D"/>
    <w:rsid w:val="009C3968"/>
    <w:rsid w:val="00A05993"/>
    <w:rsid w:val="00A24F0B"/>
    <w:rsid w:val="00A70596"/>
    <w:rsid w:val="00B01F5A"/>
    <w:rsid w:val="00B64A4D"/>
    <w:rsid w:val="00B72909"/>
    <w:rsid w:val="00BE6530"/>
    <w:rsid w:val="00C05CB3"/>
    <w:rsid w:val="00CB77C5"/>
    <w:rsid w:val="00CF16FA"/>
    <w:rsid w:val="00D16F85"/>
    <w:rsid w:val="00D63D7E"/>
    <w:rsid w:val="00E4215F"/>
    <w:rsid w:val="00EA1557"/>
    <w:rsid w:val="00EC1A71"/>
    <w:rsid w:val="00EC6682"/>
    <w:rsid w:val="00F211E3"/>
    <w:rsid w:val="00F30296"/>
    <w:rsid w:val="00F52128"/>
    <w:rsid w:val="00F93982"/>
    <w:rsid w:val="00FB2B60"/>
    <w:rsid w:val="00FF54FC"/>
    <w:rsid w:val="00FF75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1DF16"/>
  <w15:chartTrackingRefBased/>
  <w15:docId w15:val="{C8CA2CBB-B9D5-4A03-B3DB-41B245B1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D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D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D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D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D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D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D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D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D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D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D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D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D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D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D07"/>
    <w:rPr>
      <w:rFonts w:eastAsiaTheme="majorEastAsia" w:cstheme="majorBidi"/>
      <w:color w:val="272727" w:themeColor="text1" w:themeTint="D8"/>
    </w:rPr>
  </w:style>
  <w:style w:type="paragraph" w:styleId="Title">
    <w:name w:val="Title"/>
    <w:basedOn w:val="Normal"/>
    <w:next w:val="Normal"/>
    <w:link w:val="TitleChar"/>
    <w:uiPriority w:val="10"/>
    <w:qFormat/>
    <w:rsid w:val="00533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D07"/>
    <w:pPr>
      <w:spacing w:before="160"/>
      <w:jc w:val="center"/>
    </w:pPr>
    <w:rPr>
      <w:i/>
      <w:iCs/>
      <w:color w:val="404040" w:themeColor="text1" w:themeTint="BF"/>
    </w:rPr>
  </w:style>
  <w:style w:type="character" w:customStyle="1" w:styleId="QuoteChar">
    <w:name w:val="Quote Char"/>
    <w:basedOn w:val="DefaultParagraphFont"/>
    <w:link w:val="Quote"/>
    <w:uiPriority w:val="29"/>
    <w:rsid w:val="00533D07"/>
    <w:rPr>
      <w:i/>
      <w:iCs/>
      <w:color w:val="404040" w:themeColor="text1" w:themeTint="BF"/>
    </w:rPr>
  </w:style>
  <w:style w:type="paragraph" w:styleId="ListParagraph">
    <w:name w:val="List Paragraph"/>
    <w:basedOn w:val="Normal"/>
    <w:uiPriority w:val="34"/>
    <w:qFormat/>
    <w:rsid w:val="00533D07"/>
    <w:pPr>
      <w:ind w:left="720"/>
      <w:contextualSpacing/>
    </w:pPr>
  </w:style>
  <w:style w:type="character" w:styleId="IntenseEmphasis">
    <w:name w:val="Intense Emphasis"/>
    <w:basedOn w:val="DefaultParagraphFont"/>
    <w:uiPriority w:val="21"/>
    <w:qFormat/>
    <w:rsid w:val="00533D07"/>
    <w:rPr>
      <w:i/>
      <w:iCs/>
      <w:color w:val="0F4761" w:themeColor="accent1" w:themeShade="BF"/>
    </w:rPr>
  </w:style>
  <w:style w:type="paragraph" w:styleId="IntenseQuote">
    <w:name w:val="Intense Quote"/>
    <w:basedOn w:val="Normal"/>
    <w:next w:val="Normal"/>
    <w:link w:val="IntenseQuoteChar"/>
    <w:uiPriority w:val="30"/>
    <w:qFormat/>
    <w:rsid w:val="00533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D07"/>
    <w:rPr>
      <w:i/>
      <w:iCs/>
      <w:color w:val="0F4761" w:themeColor="accent1" w:themeShade="BF"/>
    </w:rPr>
  </w:style>
  <w:style w:type="character" w:styleId="IntenseReference">
    <w:name w:val="Intense Reference"/>
    <w:basedOn w:val="DefaultParagraphFont"/>
    <w:uiPriority w:val="32"/>
    <w:qFormat/>
    <w:rsid w:val="00533D07"/>
    <w:rPr>
      <w:b/>
      <w:bCs/>
      <w:smallCaps/>
      <w:color w:val="0F4761" w:themeColor="accent1" w:themeShade="BF"/>
      <w:spacing w:val="5"/>
    </w:rPr>
  </w:style>
  <w:style w:type="paragraph" w:styleId="NormalWeb">
    <w:name w:val="Normal (Web)"/>
    <w:basedOn w:val="Normal"/>
    <w:uiPriority w:val="99"/>
    <w:semiHidden/>
    <w:unhideWhenUsed/>
    <w:rsid w:val="00533D0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Sachit Desa</dc:creator>
  <cp:keywords/>
  <dc:description/>
  <cp:lastModifiedBy>Sachit Desa</cp:lastModifiedBy>
  <cp:revision>69</cp:revision>
  <dcterms:created xsi:type="dcterms:W3CDTF">2026-10-15T08:01:00Z</dcterms:created>
  <dcterms:modified xsi:type="dcterms:W3CDTF">2026-10-16T11:07:00Z</dcterms:modified>
</cp:coreProperties>
</file>