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1E87" w14:textId="6F631D69" w:rsidR="00901928" w:rsidRPr="00957973" w:rsidRDefault="00957973" w:rsidP="00957973">
      <w:pPr>
        <w:pStyle w:val="Heading1"/>
        <w:rPr>
          <w:sz w:val="22"/>
          <w:szCs w:val="22"/>
          <w:lang w:val="en-US"/>
        </w:rPr>
      </w:pPr>
      <w:r w:rsidRPr="00957973">
        <w:rPr>
          <w:sz w:val="22"/>
          <w:szCs w:val="22"/>
          <w:lang w:val="en-US"/>
        </w:rPr>
        <w:t>Inclusion criteria for candidate cities</w:t>
      </w:r>
    </w:p>
    <w:p w14:paraId="7C7C5B59" w14:textId="3C90171B" w:rsidR="00957973" w:rsidRDefault="00957973" w:rsidP="00957973">
      <w:pPr>
        <w:pStyle w:val="Heading2"/>
        <w:rPr>
          <w:sz w:val="22"/>
          <w:szCs w:val="22"/>
          <w:lang w:val="en-US"/>
        </w:rPr>
      </w:pPr>
      <w:r w:rsidRPr="00957973">
        <w:rPr>
          <w:sz w:val="22"/>
          <w:szCs w:val="22"/>
          <w:lang w:val="en-US"/>
        </w:rPr>
        <w:t>Predictor-domain coverage</w:t>
      </w:r>
    </w:p>
    <w:p w14:paraId="2D04E451" w14:textId="414873D6" w:rsidR="00957973" w:rsidRDefault="00A00A20" w:rsidP="00957973">
      <w:pPr>
        <w:rPr>
          <w:lang w:val="en-US"/>
        </w:rPr>
      </w:pPr>
      <w:r w:rsidRPr="00A00A20">
        <w:t>This analysis tests whether candidate cities' combined predictor profiles</w:t>
      </w:r>
      <w:r w:rsidR="005778D1">
        <w:t xml:space="preserve">, </w:t>
      </w:r>
      <w:r w:rsidRPr="00A00A20">
        <w:t>not each variable in isolation</w:t>
      </w:r>
      <w:r w:rsidR="005778D1">
        <w:t xml:space="preserve">, </w:t>
      </w:r>
      <w:r w:rsidRPr="00A00A20">
        <w:t>fall within the joint multivariate support of the training data</w:t>
      </w:r>
      <w:r w:rsidR="00957973">
        <w:rPr>
          <w:lang w:val="en-US"/>
        </w:rPr>
        <w:t xml:space="preserve">. </w:t>
      </w:r>
    </w:p>
    <w:p w14:paraId="0A66A657" w14:textId="24824896" w:rsidR="00957973" w:rsidRDefault="00957973" w:rsidP="00957973">
      <w:pPr>
        <w:rPr>
          <w:lang w:val="en-US"/>
        </w:rPr>
      </w:pPr>
      <w:r>
        <w:rPr>
          <w:lang w:val="en-US"/>
        </w:rPr>
        <w:t xml:space="preserve">At a grid-level to test whether candidate observations fall within the multivariate support of the reference data, the following tests were </w:t>
      </w:r>
      <w:r w:rsidR="00F30410">
        <w:rPr>
          <w:lang w:val="en-US"/>
        </w:rPr>
        <w:t>applied</w:t>
      </w:r>
      <w:r>
        <w:rPr>
          <w:lang w:val="en-US"/>
        </w:rPr>
        <w:t>:</w:t>
      </w:r>
    </w:p>
    <w:p w14:paraId="7F57AD32" w14:textId="5AD78B13" w:rsidR="00957973" w:rsidRPr="000C1071" w:rsidRDefault="00957973" w:rsidP="000C1071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176A6">
        <w:rPr>
          <w:lang w:val="en-US"/>
        </w:rPr>
        <w:t>Mahalanobis</w:t>
      </w:r>
      <w:proofErr w:type="spellEnd"/>
      <w:r w:rsidRPr="00B176A6">
        <w:rPr>
          <w:lang w:val="en-US"/>
        </w:rPr>
        <w:t xml:space="preserve"> distance </w:t>
      </w:r>
      <w:r w:rsidRPr="00957973">
        <w:t>(parametric, assumes elliptical shape)</w:t>
      </w:r>
    </w:p>
    <w:p w14:paraId="4A5DBD78" w14:textId="5822AB7C" w:rsidR="00957973" w:rsidRDefault="00957973" w:rsidP="00B176A6">
      <w:pPr>
        <w:pStyle w:val="ListParagraph"/>
        <w:numPr>
          <w:ilvl w:val="0"/>
          <w:numId w:val="3"/>
        </w:numPr>
      </w:pPr>
      <w:proofErr w:type="spellStart"/>
      <w:r w:rsidRPr="00B176A6">
        <w:rPr>
          <w:lang w:val="en-US"/>
        </w:rPr>
        <w:t>kNN</w:t>
      </w:r>
      <w:proofErr w:type="spellEnd"/>
      <w:r w:rsidRPr="00B176A6">
        <w:rPr>
          <w:lang w:val="en-US"/>
        </w:rPr>
        <w:t xml:space="preserve"> distance </w:t>
      </w:r>
      <w:r w:rsidR="00B176A6" w:rsidRPr="00B176A6">
        <w:t>(density-based, non-parametric)</w:t>
      </w:r>
    </w:p>
    <w:p w14:paraId="7A9DCC7E" w14:textId="458317C1" w:rsidR="00674E32" w:rsidRDefault="00674E32" w:rsidP="00674E32">
      <w:r>
        <w:t>Together, both tests addressed parametric shape and local density</w:t>
      </w:r>
      <w:r w:rsidR="00EA3FBD">
        <w:t>.</w:t>
      </w:r>
      <w:r w:rsidR="00107AA2" w:rsidRPr="00107AA2">
        <w:t xml:space="preserve"> </w:t>
      </w:r>
      <w:r w:rsidR="00107AA2">
        <w:t xml:space="preserve">The methods aimed to test </w:t>
      </w:r>
      <w:r w:rsidR="00A75FF4">
        <w:t>whether a cell is typical of the training domain under different structural assumpt</w:t>
      </w:r>
      <w:r w:rsidR="001B3AC4">
        <w:t xml:space="preserve">ions. </w:t>
      </w:r>
      <w:r w:rsidR="00EA3FBD">
        <w:t>Results were combined</w:t>
      </w:r>
      <w:r w:rsidR="00BB7598">
        <w:t xml:space="preserve">, with </w:t>
      </w:r>
      <w:r w:rsidR="007611F1">
        <w:t>test-specific sensitivity accounted for, to determine which candidate cities had predictor ranges a</w:t>
      </w:r>
      <w:r w:rsidR="00CC2561">
        <w:t xml:space="preserve">ligned with the 10 training cities. </w:t>
      </w:r>
    </w:p>
    <w:p w14:paraId="43AB2CE9" w14:textId="42FE2822" w:rsidR="00127C1D" w:rsidRDefault="00AF0912" w:rsidP="00674E32">
      <w:r w:rsidRPr="00AF0912">
        <w:t>Per-predictor marginal distributions were compared between candidate and training cities using Wasserstein distance, which quantifies the divergence between each candidate city's distribution and its nearest training-city analogue for each of the five predictors independently. This provided a predictor-level complement to the joint multivariate tests (</w:t>
      </w:r>
      <w:proofErr w:type="spellStart"/>
      <w:r w:rsidRPr="00AF0912">
        <w:t>Mahalanobis</w:t>
      </w:r>
      <w:proofErr w:type="spellEnd"/>
      <w:r w:rsidRPr="00AF0912">
        <w:t xml:space="preserve"> distance, k-nearest-neighbour distance), identifying which specific predictor(s) drove a candidate city's departure from the training domain. Ridge plots and standardised bar charts summarising these comparisons for all 41 candidate cities are provided in the supplementary material.</w:t>
      </w:r>
    </w:p>
    <w:p w14:paraId="234DA4E7" w14:textId="3132BC43" w:rsidR="00B176A6" w:rsidRDefault="00B176A6" w:rsidP="00B176A6">
      <w:pPr>
        <w:pStyle w:val="Heading2"/>
        <w:rPr>
          <w:sz w:val="22"/>
          <w:szCs w:val="22"/>
        </w:rPr>
      </w:pPr>
      <w:r w:rsidRPr="00B176A6">
        <w:rPr>
          <w:sz w:val="22"/>
          <w:szCs w:val="22"/>
        </w:rPr>
        <w:t>City-similarity profile</w:t>
      </w:r>
    </w:p>
    <w:p w14:paraId="61017C44" w14:textId="52E4EA07" w:rsidR="008E67E7" w:rsidRDefault="00E00791" w:rsidP="00B176A6">
      <w:r w:rsidRPr="00E00791">
        <w:t xml:space="preserve">This component evaluates similarity between candidate and training cities at the city level, complementing the grid-cell-level multivariate tests </w:t>
      </w:r>
      <w:r w:rsidR="00FF0622">
        <w:t xml:space="preserve">by analysing the city-scale profiles. </w:t>
      </w:r>
    </w:p>
    <w:p w14:paraId="2AD85423" w14:textId="4C49769B" w:rsidR="00FF0622" w:rsidRDefault="005F14E6" w:rsidP="00B176A6">
      <w:r w:rsidRPr="005F14E6">
        <w:t>Candidate and training cities were projected into a two-dimensional space derived from principal component analysis (PCA)</w:t>
      </w:r>
      <w:r>
        <w:t xml:space="preserve"> of the 10 reference cities.</w:t>
      </w:r>
      <w:r w:rsidR="00EA05BE">
        <w:t xml:space="preserve"> This analysis allowed city-level </w:t>
      </w:r>
      <w:r w:rsidR="00716507">
        <w:t xml:space="preserve">covariate profiles to be visualized and compared directly. </w:t>
      </w:r>
    </w:p>
    <w:p w14:paraId="33C4EBA5" w14:textId="6EFBC53F" w:rsidR="00C64EC2" w:rsidRDefault="00C64EC2" w:rsidP="00B176A6">
      <w:r w:rsidRPr="00C64EC2">
        <w:t>The proportion of total predictor variance captured by each principal component quantifies how much of the underlying covariate structure this projection represents.</w:t>
      </w:r>
      <w:r w:rsidR="00EC34BB">
        <w:t xml:space="preserve"> For the </w:t>
      </w:r>
      <w:r w:rsidR="00A406B7">
        <w:t>10 reference cities, the first two dimensions captured 63.4% of total variance (</w:t>
      </w:r>
      <w:r w:rsidR="00933630">
        <w:t>PC1=34.7%  and PC2=</w:t>
      </w:r>
      <w:r w:rsidR="00B90596">
        <w:t>28.7%</w:t>
      </w:r>
      <w:r w:rsidR="00A406B7">
        <w:t>)</w:t>
      </w:r>
      <w:r w:rsidR="002D7900">
        <w:t xml:space="preserve">. </w:t>
      </w:r>
      <w:r w:rsidR="003F4888">
        <w:t xml:space="preserve">The principle components PC3-PC5 captured the remaining </w:t>
      </w:r>
      <w:r w:rsidR="00DB7FFA">
        <w:t xml:space="preserve">variance. </w:t>
      </w:r>
      <w:r w:rsidR="00DC744D">
        <w:t xml:space="preserve">The PC plot is illustrative of </w:t>
      </w:r>
      <w:r w:rsidR="00DC744D" w:rsidRPr="00DC744D">
        <w:t>city-level structure, not the basis for the formal distance thresholds</w:t>
      </w:r>
    </w:p>
    <w:p w14:paraId="1CA2DBE4" w14:textId="6B592DA1" w:rsidR="000B44B4" w:rsidRDefault="00014DFC" w:rsidP="00014DFC">
      <w:proofErr w:type="spellStart"/>
      <w:r w:rsidRPr="00014DFC">
        <w:t>Mahalanobis</w:t>
      </w:r>
      <w:proofErr w:type="spellEnd"/>
      <w:r w:rsidRPr="00014DFC">
        <w:t xml:space="preserve"> distance was then computed within this PC space, providing a formal, quantified measure of each candidate city's departure from the training reference</w:t>
      </w:r>
      <w:r w:rsidR="009D64B7">
        <w:t xml:space="preserve">, </w:t>
      </w:r>
      <w:r w:rsidRPr="00014DFC">
        <w:t>assessed at both a reduced (2-component) and full (5-component) resolution to evaluate how much of the domain-departure signal is captured in the visualised projection versus the complete covariate 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701"/>
      </w:tblGrid>
      <w:tr w:rsidR="008D40F2" w14:paraId="4CD2BDEC" w14:textId="77777777" w:rsidTr="00833B27">
        <w:tc>
          <w:tcPr>
            <w:tcW w:w="1980" w:type="dxa"/>
            <w:shd w:val="clear" w:color="auto" w:fill="D1D1D1" w:themeFill="background2" w:themeFillShade="E6"/>
          </w:tcPr>
          <w:p w14:paraId="32098439" w14:textId="3BA5AA41" w:rsidR="008D40F2" w:rsidRPr="00A16C15" w:rsidRDefault="001C6256" w:rsidP="00014DF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16C15">
              <w:rPr>
                <w:b/>
                <w:bCs/>
                <w:sz w:val="20"/>
                <w:szCs w:val="20"/>
                <w:lang w:val="en-US"/>
              </w:rPr>
              <w:t xml:space="preserve">Principle Component </w:t>
            </w:r>
          </w:p>
        </w:tc>
        <w:tc>
          <w:tcPr>
            <w:tcW w:w="1559" w:type="dxa"/>
            <w:shd w:val="clear" w:color="auto" w:fill="D1D1D1" w:themeFill="background2" w:themeFillShade="E6"/>
          </w:tcPr>
          <w:p w14:paraId="32225926" w14:textId="79254C02" w:rsidR="008D40F2" w:rsidRPr="00A16C15" w:rsidRDefault="001C6256" w:rsidP="00014DF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16C15">
              <w:rPr>
                <w:b/>
                <w:bCs/>
                <w:sz w:val="20"/>
                <w:szCs w:val="20"/>
                <w:lang w:val="en-US"/>
              </w:rPr>
              <w:t>PC explained</w:t>
            </w:r>
            <w:r w:rsidR="00AD6923" w:rsidRPr="00A16C15">
              <w:rPr>
                <w:b/>
                <w:bCs/>
                <w:sz w:val="20"/>
                <w:szCs w:val="20"/>
                <w:lang w:val="en-US"/>
              </w:rPr>
              <w:t xml:space="preserve"> (%)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6AC2C37F" w14:textId="3D120AA9" w:rsidR="008D40F2" w:rsidRPr="00A16C15" w:rsidRDefault="00AD6923" w:rsidP="00014DF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16C15">
              <w:rPr>
                <w:b/>
                <w:bCs/>
                <w:sz w:val="20"/>
                <w:szCs w:val="20"/>
                <w:lang w:val="en-US"/>
              </w:rPr>
              <w:t>Cumulative variance (%)</w:t>
            </w:r>
          </w:p>
        </w:tc>
      </w:tr>
      <w:tr w:rsidR="008D40F2" w14:paraId="62816F27" w14:textId="77777777" w:rsidTr="0012704B">
        <w:tc>
          <w:tcPr>
            <w:tcW w:w="1980" w:type="dxa"/>
          </w:tcPr>
          <w:p w14:paraId="4BCCD7F5" w14:textId="52E6AF84" w:rsidR="008D40F2" w:rsidRPr="00A16C15" w:rsidRDefault="00AD6923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PC1</w:t>
            </w:r>
          </w:p>
        </w:tc>
        <w:tc>
          <w:tcPr>
            <w:tcW w:w="1559" w:type="dxa"/>
          </w:tcPr>
          <w:p w14:paraId="0C85A7F3" w14:textId="61C38838" w:rsidR="008D40F2" w:rsidRPr="00A16C15" w:rsidRDefault="00AE2035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34.7</w:t>
            </w:r>
          </w:p>
        </w:tc>
        <w:tc>
          <w:tcPr>
            <w:tcW w:w="1701" w:type="dxa"/>
          </w:tcPr>
          <w:p w14:paraId="7E88D5DD" w14:textId="6C0F6B0A" w:rsidR="008D40F2" w:rsidRPr="00A16C15" w:rsidRDefault="005E6EF6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34.7</w:t>
            </w:r>
          </w:p>
        </w:tc>
      </w:tr>
      <w:tr w:rsidR="008D40F2" w14:paraId="6ACD9895" w14:textId="77777777" w:rsidTr="0012704B">
        <w:tc>
          <w:tcPr>
            <w:tcW w:w="1980" w:type="dxa"/>
          </w:tcPr>
          <w:p w14:paraId="1A920C5A" w14:textId="44621BE9" w:rsidR="008D40F2" w:rsidRPr="00A16C15" w:rsidRDefault="00AD6923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PC2</w:t>
            </w:r>
          </w:p>
        </w:tc>
        <w:tc>
          <w:tcPr>
            <w:tcW w:w="1559" w:type="dxa"/>
          </w:tcPr>
          <w:p w14:paraId="6FF0A2B9" w14:textId="1BB1C470" w:rsidR="008D40F2" w:rsidRPr="00A16C15" w:rsidRDefault="00AE2035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28.7</w:t>
            </w:r>
          </w:p>
        </w:tc>
        <w:tc>
          <w:tcPr>
            <w:tcW w:w="1701" w:type="dxa"/>
          </w:tcPr>
          <w:p w14:paraId="7D9F7EBA" w14:textId="74077A2D" w:rsidR="008D40F2" w:rsidRPr="00A16C15" w:rsidRDefault="005E6EF6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63.4</w:t>
            </w:r>
          </w:p>
        </w:tc>
      </w:tr>
      <w:tr w:rsidR="008D40F2" w14:paraId="1EACD85F" w14:textId="77777777" w:rsidTr="0012704B">
        <w:tc>
          <w:tcPr>
            <w:tcW w:w="1980" w:type="dxa"/>
          </w:tcPr>
          <w:p w14:paraId="6C63856F" w14:textId="7974E659" w:rsidR="008D40F2" w:rsidRPr="00A16C15" w:rsidRDefault="00AD6923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PC3</w:t>
            </w:r>
          </w:p>
        </w:tc>
        <w:tc>
          <w:tcPr>
            <w:tcW w:w="1559" w:type="dxa"/>
          </w:tcPr>
          <w:p w14:paraId="4102F686" w14:textId="4C81627A" w:rsidR="008D40F2" w:rsidRPr="00A16C15" w:rsidRDefault="000838E6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15.9</w:t>
            </w:r>
          </w:p>
        </w:tc>
        <w:tc>
          <w:tcPr>
            <w:tcW w:w="1701" w:type="dxa"/>
          </w:tcPr>
          <w:p w14:paraId="29B84E9E" w14:textId="2AB1F90D" w:rsidR="008D40F2" w:rsidRPr="00A16C15" w:rsidRDefault="005E6EF6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79.3</w:t>
            </w:r>
          </w:p>
        </w:tc>
      </w:tr>
      <w:tr w:rsidR="00AD6923" w14:paraId="5AF97C42" w14:textId="77777777" w:rsidTr="0012704B">
        <w:tc>
          <w:tcPr>
            <w:tcW w:w="1980" w:type="dxa"/>
          </w:tcPr>
          <w:p w14:paraId="0F7B8EE4" w14:textId="64AACE9A" w:rsidR="00AD6923" w:rsidRPr="00A16C15" w:rsidRDefault="00AD6923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PC4</w:t>
            </w:r>
          </w:p>
        </w:tc>
        <w:tc>
          <w:tcPr>
            <w:tcW w:w="1559" w:type="dxa"/>
          </w:tcPr>
          <w:p w14:paraId="12257595" w14:textId="12A0C844" w:rsidR="00AD6923" w:rsidRPr="00A16C15" w:rsidRDefault="00CF7A24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11.6</w:t>
            </w:r>
          </w:p>
        </w:tc>
        <w:tc>
          <w:tcPr>
            <w:tcW w:w="1701" w:type="dxa"/>
          </w:tcPr>
          <w:p w14:paraId="421C83CF" w14:textId="0E364766" w:rsidR="00AD6923" w:rsidRPr="00A16C15" w:rsidRDefault="005E6EF6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90.0</w:t>
            </w:r>
          </w:p>
        </w:tc>
      </w:tr>
      <w:tr w:rsidR="00AD6923" w14:paraId="4435530C" w14:textId="77777777" w:rsidTr="0012704B">
        <w:tc>
          <w:tcPr>
            <w:tcW w:w="1980" w:type="dxa"/>
          </w:tcPr>
          <w:p w14:paraId="20E18691" w14:textId="61F0771B" w:rsidR="00AD6923" w:rsidRPr="00A16C15" w:rsidRDefault="00AD6923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PC5</w:t>
            </w:r>
          </w:p>
        </w:tc>
        <w:tc>
          <w:tcPr>
            <w:tcW w:w="1559" w:type="dxa"/>
          </w:tcPr>
          <w:p w14:paraId="06F4255F" w14:textId="7C5E07D4" w:rsidR="00AD6923" w:rsidRPr="00A16C15" w:rsidRDefault="00A24D54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9.1</w:t>
            </w:r>
          </w:p>
        </w:tc>
        <w:tc>
          <w:tcPr>
            <w:tcW w:w="1701" w:type="dxa"/>
          </w:tcPr>
          <w:p w14:paraId="5F4A65EE" w14:textId="4957CBD4" w:rsidR="00AD6923" w:rsidRPr="00A16C15" w:rsidRDefault="005E6EF6" w:rsidP="00014DFC">
            <w:pPr>
              <w:rPr>
                <w:sz w:val="20"/>
                <w:szCs w:val="20"/>
                <w:lang w:val="en-US"/>
              </w:rPr>
            </w:pPr>
            <w:r w:rsidRPr="00A16C15">
              <w:rPr>
                <w:sz w:val="20"/>
                <w:szCs w:val="20"/>
                <w:lang w:val="en-US"/>
              </w:rPr>
              <w:t>100.0</w:t>
            </w:r>
          </w:p>
        </w:tc>
      </w:tr>
    </w:tbl>
    <w:p w14:paraId="51A66F36" w14:textId="77777777" w:rsidR="00161238" w:rsidRDefault="00161238" w:rsidP="00161238"/>
    <w:p w14:paraId="57CEADF1" w14:textId="0678DAFB" w:rsidR="00161238" w:rsidRDefault="00161238" w:rsidP="00205C9A">
      <w:r w:rsidRPr="00161238">
        <w:t>As a benchmark, the same centroid-distance metric was computed among the ten training cities themselves, yielding a range of 0.79–1.98 (mean 1.44)</w:t>
      </w:r>
      <w:r>
        <w:t>,</w:t>
      </w:r>
      <w:r w:rsidRPr="00161238">
        <w:t xml:space="preserve"> reflecting the degree of covariate diversity already present within the training domain. </w:t>
      </w:r>
      <w:r w:rsidR="007D01E3">
        <w:t>Candidate cities considered for prediction were within this range</w:t>
      </w:r>
      <w:r w:rsidR="00130418">
        <w:t>, candidate cities outside th</w:t>
      </w:r>
      <w:r w:rsidR="004975EE">
        <w:t xml:space="preserve">e upper limit of this </w:t>
      </w:r>
      <w:r w:rsidR="00130418">
        <w:t xml:space="preserve">range represented </w:t>
      </w:r>
      <w:r w:rsidR="00205C9A" w:rsidRPr="00205C9A">
        <w:t>covariate profiles more extreme than any variation currently represented among the training cities.</w:t>
      </w:r>
    </w:p>
    <w:p w14:paraId="2B6DB74C" w14:textId="54B7D28D" w:rsidR="005D1CBF" w:rsidRDefault="005711B3" w:rsidP="00205C9A">
      <w:r w:rsidRPr="005711B3">
        <w:t>For each candidate city, the nearest training-city analogue was identified via minimum centroid distance in the standardised five-predictor space.</w:t>
      </w:r>
      <w:r>
        <w:t xml:space="preserve"> </w:t>
      </w:r>
      <w:r w:rsidR="002B28B2">
        <w:t>This is a summary of the reference cities that have an analogous</w:t>
      </w:r>
      <w:r w:rsidR="00B74999">
        <w:t>/similar profile city.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985"/>
      </w:tblGrid>
      <w:tr w:rsidR="00B74999" w14:paraId="6140782C" w14:textId="77777777" w:rsidTr="00833B27">
        <w:tc>
          <w:tcPr>
            <w:tcW w:w="2122" w:type="dxa"/>
            <w:shd w:val="clear" w:color="auto" w:fill="D1D1D1" w:themeFill="background2" w:themeFillShade="E6"/>
          </w:tcPr>
          <w:p w14:paraId="591C7BA1" w14:textId="2695EAA3" w:rsidR="00B74999" w:rsidRPr="00A16C15" w:rsidRDefault="00B74999" w:rsidP="00205C9A">
            <w:pPr>
              <w:rPr>
                <w:b/>
                <w:bCs/>
                <w:sz w:val="20"/>
                <w:szCs w:val="20"/>
              </w:rPr>
            </w:pPr>
            <w:r w:rsidRPr="00A16C15">
              <w:rPr>
                <w:b/>
                <w:bCs/>
                <w:sz w:val="20"/>
                <w:szCs w:val="20"/>
              </w:rPr>
              <w:t>Reference city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34BFAE93" w14:textId="10A165F6" w:rsidR="00B74999" w:rsidRPr="00A16C15" w:rsidRDefault="00850BEC" w:rsidP="00205C9A">
            <w:pPr>
              <w:rPr>
                <w:b/>
                <w:bCs/>
                <w:sz w:val="20"/>
                <w:szCs w:val="20"/>
              </w:rPr>
            </w:pPr>
            <w:r w:rsidRPr="00A16C15">
              <w:rPr>
                <w:b/>
                <w:bCs/>
                <w:sz w:val="20"/>
                <w:szCs w:val="20"/>
              </w:rPr>
              <w:t>No. of candidate cities</w:t>
            </w:r>
          </w:p>
        </w:tc>
        <w:tc>
          <w:tcPr>
            <w:tcW w:w="1985" w:type="dxa"/>
            <w:shd w:val="clear" w:color="auto" w:fill="D1D1D1" w:themeFill="background2" w:themeFillShade="E6"/>
          </w:tcPr>
          <w:p w14:paraId="38990423" w14:textId="19847D2B" w:rsidR="00B74999" w:rsidRPr="00A16C15" w:rsidRDefault="005F04AA" w:rsidP="00205C9A">
            <w:pPr>
              <w:rPr>
                <w:b/>
                <w:bCs/>
                <w:sz w:val="20"/>
                <w:szCs w:val="20"/>
              </w:rPr>
            </w:pPr>
            <w:r w:rsidRPr="00A16C15">
              <w:rPr>
                <w:b/>
                <w:bCs/>
                <w:sz w:val="20"/>
                <w:szCs w:val="20"/>
              </w:rPr>
              <w:t>% of candidate cities</w:t>
            </w:r>
          </w:p>
        </w:tc>
      </w:tr>
      <w:tr w:rsidR="00B74999" w14:paraId="1C6F67BA" w14:textId="77777777" w:rsidTr="00833B27">
        <w:tc>
          <w:tcPr>
            <w:tcW w:w="2122" w:type="dxa"/>
          </w:tcPr>
          <w:p w14:paraId="014F1870" w14:textId="5EA560A6" w:rsidR="00B74999" w:rsidRPr="00A16C15" w:rsidRDefault="00B74999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Freetown</w:t>
            </w:r>
          </w:p>
        </w:tc>
        <w:tc>
          <w:tcPr>
            <w:tcW w:w="1984" w:type="dxa"/>
          </w:tcPr>
          <w:p w14:paraId="52693C1B" w14:textId="643CAD7A" w:rsidR="00B74999" w:rsidRPr="00A16C15" w:rsidRDefault="005F04AA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11</w:t>
            </w:r>
          </w:p>
        </w:tc>
        <w:tc>
          <w:tcPr>
            <w:tcW w:w="1985" w:type="dxa"/>
          </w:tcPr>
          <w:p w14:paraId="2A33B339" w14:textId="618134AC" w:rsidR="00B74999" w:rsidRPr="00A16C15" w:rsidRDefault="005F04AA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30.6</w:t>
            </w:r>
          </w:p>
        </w:tc>
      </w:tr>
      <w:tr w:rsidR="00B74999" w14:paraId="310B47FE" w14:textId="77777777" w:rsidTr="00833B27">
        <w:tc>
          <w:tcPr>
            <w:tcW w:w="2122" w:type="dxa"/>
          </w:tcPr>
          <w:p w14:paraId="78EB1220" w14:textId="2C18FFFB" w:rsidR="00B74999" w:rsidRPr="00A16C15" w:rsidRDefault="00B74999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Maputo</w:t>
            </w:r>
          </w:p>
        </w:tc>
        <w:tc>
          <w:tcPr>
            <w:tcW w:w="1984" w:type="dxa"/>
          </w:tcPr>
          <w:p w14:paraId="6D23415F" w14:textId="7F4AA0EB" w:rsidR="00B74999" w:rsidRPr="00A16C15" w:rsidRDefault="005F04AA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8</w:t>
            </w:r>
          </w:p>
        </w:tc>
        <w:tc>
          <w:tcPr>
            <w:tcW w:w="1985" w:type="dxa"/>
          </w:tcPr>
          <w:p w14:paraId="7C8FBB24" w14:textId="1A2ACFC6" w:rsidR="00B74999" w:rsidRPr="00A16C15" w:rsidRDefault="00C537F6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22.2</w:t>
            </w:r>
          </w:p>
        </w:tc>
      </w:tr>
      <w:tr w:rsidR="00B74999" w14:paraId="6ABF6D2A" w14:textId="77777777" w:rsidTr="00833B27">
        <w:tc>
          <w:tcPr>
            <w:tcW w:w="2122" w:type="dxa"/>
          </w:tcPr>
          <w:p w14:paraId="18D5B51D" w14:textId="10EB2373" w:rsidR="00B74999" w:rsidRPr="00A16C15" w:rsidRDefault="00850BEC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Kampala</w:t>
            </w:r>
          </w:p>
        </w:tc>
        <w:tc>
          <w:tcPr>
            <w:tcW w:w="1984" w:type="dxa"/>
          </w:tcPr>
          <w:p w14:paraId="5991EB35" w14:textId="6D0C4703" w:rsidR="00B74999" w:rsidRPr="00A16C15" w:rsidRDefault="005F04AA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8</w:t>
            </w:r>
          </w:p>
        </w:tc>
        <w:tc>
          <w:tcPr>
            <w:tcW w:w="1985" w:type="dxa"/>
          </w:tcPr>
          <w:p w14:paraId="4DF929A5" w14:textId="652F164B" w:rsidR="00B74999" w:rsidRPr="00A16C15" w:rsidRDefault="00C537F6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22.2</w:t>
            </w:r>
          </w:p>
        </w:tc>
      </w:tr>
      <w:tr w:rsidR="00B74999" w14:paraId="16332AA5" w14:textId="77777777" w:rsidTr="00833B27">
        <w:tc>
          <w:tcPr>
            <w:tcW w:w="2122" w:type="dxa"/>
          </w:tcPr>
          <w:p w14:paraId="1CC9BEE7" w14:textId="17CFFD28" w:rsidR="00B74999" w:rsidRPr="00A16C15" w:rsidRDefault="00850BEC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Lagos</w:t>
            </w:r>
          </w:p>
        </w:tc>
        <w:tc>
          <w:tcPr>
            <w:tcW w:w="1984" w:type="dxa"/>
          </w:tcPr>
          <w:p w14:paraId="02AD6FC0" w14:textId="0B0D30CF" w:rsidR="00B74999" w:rsidRPr="00A16C15" w:rsidRDefault="005F04AA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 w14:paraId="52A4C555" w14:textId="2372B84B" w:rsidR="00B74999" w:rsidRPr="00A16C15" w:rsidRDefault="00C537F6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13.9</w:t>
            </w:r>
          </w:p>
        </w:tc>
      </w:tr>
      <w:tr w:rsidR="00850BEC" w14:paraId="40CD2693" w14:textId="77777777" w:rsidTr="00833B27">
        <w:tc>
          <w:tcPr>
            <w:tcW w:w="2122" w:type="dxa"/>
          </w:tcPr>
          <w:p w14:paraId="74CEC523" w14:textId="7A16F675" w:rsidR="00850BEC" w:rsidRPr="00A16C15" w:rsidRDefault="00850BEC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Johannesburg</w:t>
            </w:r>
          </w:p>
        </w:tc>
        <w:tc>
          <w:tcPr>
            <w:tcW w:w="1984" w:type="dxa"/>
          </w:tcPr>
          <w:p w14:paraId="3B6DD89C" w14:textId="14162C46" w:rsidR="00850BEC" w:rsidRPr="00A16C15" w:rsidRDefault="005F04AA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 w14:paraId="001BAD1F" w14:textId="0550A043" w:rsidR="00850BEC" w:rsidRPr="00A16C15" w:rsidRDefault="00C537F6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8.3</w:t>
            </w:r>
          </w:p>
        </w:tc>
      </w:tr>
      <w:tr w:rsidR="00850BEC" w14:paraId="5255DFDC" w14:textId="77777777" w:rsidTr="00833B27">
        <w:tc>
          <w:tcPr>
            <w:tcW w:w="2122" w:type="dxa"/>
          </w:tcPr>
          <w:p w14:paraId="6B6C70A1" w14:textId="13B6AEC4" w:rsidR="00850BEC" w:rsidRPr="00A16C15" w:rsidRDefault="00850BEC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Accra</w:t>
            </w:r>
          </w:p>
        </w:tc>
        <w:tc>
          <w:tcPr>
            <w:tcW w:w="1984" w:type="dxa"/>
          </w:tcPr>
          <w:p w14:paraId="3A29B5DE" w14:textId="31AD4050" w:rsidR="00850BEC" w:rsidRPr="00A16C15" w:rsidRDefault="005F04AA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 w14:paraId="6D32D658" w14:textId="0ABF73E4" w:rsidR="00850BEC" w:rsidRPr="00A16C15" w:rsidRDefault="00C537F6" w:rsidP="00205C9A">
            <w:pPr>
              <w:rPr>
                <w:sz w:val="20"/>
                <w:szCs w:val="20"/>
              </w:rPr>
            </w:pPr>
            <w:r w:rsidRPr="00A16C15">
              <w:rPr>
                <w:sz w:val="20"/>
                <w:szCs w:val="20"/>
              </w:rPr>
              <w:t>2.8</w:t>
            </w:r>
          </w:p>
        </w:tc>
      </w:tr>
    </w:tbl>
    <w:p w14:paraId="6B4C19DE" w14:textId="77777777" w:rsidR="00B74999" w:rsidRDefault="00B74999" w:rsidP="00205C9A"/>
    <w:p w14:paraId="3A38D656" w14:textId="76BBBD4D" w:rsidR="000F775E" w:rsidRDefault="000F775E" w:rsidP="00205C9A">
      <w:r w:rsidRPr="000F775E">
        <w:t>Candidates matched to Freetown</w:t>
      </w:r>
      <w:r>
        <w:t xml:space="preserve"> (11)</w:t>
      </w:r>
      <w:r w:rsidRPr="000F775E">
        <w:t xml:space="preserve"> were characterised by high slum probability and low night-time-light intensity relative to the training set; those matched to Maputo</w:t>
      </w:r>
      <w:r w:rsidR="00376660">
        <w:t xml:space="preserve"> (8)</w:t>
      </w:r>
      <w:r w:rsidRPr="000F775E">
        <w:t xml:space="preserve"> and Kampala </w:t>
      </w:r>
      <w:r w:rsidR="00376660">
        <w:t xml:space="preserve">(8) </w:t>
      </w:r>
      <w:r w:rsidRPr="000F775E">
        <w:t>reflected divergent profiles</w:t>
      </w:r>
      <w:r w:rsidR="00376660">
        <w:t xml:space="preserve">: </w:t>
      </w:r>
      <w:r w:rsidRPr="000F775E">
        <w:t>Maputo's lower population density and Kampala's higher density and slum probability</w:t>
      </w:r>
      <w:r w:rsidR="00224F52">
        <w:t>. A</w:t>
      </w:r>
      <w:r w:rsidRPr="000F775E">
        <w:t xml:space="preserve"> smaller set matched to Lagos</w:t>
      </w:r>
      <w:r w:rsidR="00224F52">
        <w:t xml:space="preserve"> (5)</w:t>
      </w:r>
      <w:r w:rsidRPr="000F775E">
        <w:t xml:space="preserve"> reflected the highest population-density and night-time-light profile among the training cities.</w:t>
      </w:r>
    </w:p>
    <w:p w14:paraId="37B296E1" w14:textId="36249C8E" w:rsidR="00ED5728" w:rsidRDefault="001C3AB2" w:rsidP="00205C9A">
      <w:r w:rsidRPr="001C3AB2">
        <w:t>The training set itself exhibited substantial internal heterogeneity across the five predictors, consistent with its deliberate selection to span a range of urban forms. Population and night-time-light intensity showed the widest variation among training-city means (range of 2.45 and 2.44 standard-deviation units respectively), while arterial-road distance varied comparatively little (range 0.91, SD 0.36) — indicating this predictor was relatively consistent across the training cities despite the wide range of urban contexts they represent. This asymmetry is relevant when interpreting candidate-city departures: a candidate's deviation on a predictor with narrow training-set variation represents a more substantive departure from established norms than an equivalent deviation on a predictor already spanning a wide range within the training data.</w:t>
      </w:r>
    </w:p>
    <w:p w14:paraId="75D1D255" w14:textId="75584EA9" w:rsidR="000B44B4" w:rsidRDefault="000B44B4" w:rsidP="000B44B4">
      <w:pPr>
        <w:pStyle w:val="Heading2"/>
        <w:rPr>
          <w:sz w:val="22"/>
          <w:szCs w:val="22"/>
          <w:lang w:val="en-US"/>
        </w:rPr>
      </w:pPr>
      <w:r w:rsidRPr="000B44B4">
        <w:rPr>
          <w:sz w:val="22"/>
          <w:szCs w:val="22"/>
          <w:lang w:val="en-US"/>
        </w:rPr>
        <w:t>Transfer performance (Empirical validation)</w:t>
      </w:r>
    </w:p>
    <w:p w14:paraId="1C252F81" w14:textId="6DD4BAD9" w:rsidR="00C63FD2" w:rsidRPr="00C67002" w:rsidRDefault="00C67002" w:rsidP="00C67002">
      <w:pPr>
        <w:pStyle w:val="Heading3"/>
        <w:rPr>
          <w:sz w:val="22"/>
          <w:szCs w:val="22"/>
          <w:lang w:val="en-US"/>
        </w:rPr>
      </w:pPr>
      <w:r w:rsidRPr="00C67002">
        <w:rPr>
          <w:sz w:val="22"/>
          <w:szCs w:val="22"/>
          <w:lang w:val="en-US"/>
        </w:rPr>
        <w:t>System stability and mechanism robustness</w:t>
      </w:r>
    </w:p>
    <w:p w14:paraId="6214805D" w14:textId="77777777" w:rsidR="002D34B4" w:rsidRPr="002D34B4" w:rsidRDefault="002D34B4" w:rsidP="002D34B4">
      <w:r w:rsidRPr="002D34B4">
        <w:t>Beyond covariate-domain proximity, the robustness of the underlying predictive mechanism itself was assessed across four independent dimensions using the leave-one-city-out (LOCO) cross-validation framework, in which each training city's model is fitted on the pooled data from the remaining nine and evaluated against the held-out city's own data.</w:t>
      </w:r>
    </w:p>
    <w:p w14:paraId="478D4E1F" w14:textId="77777777" w:rsidR="002D34B4" w:rsidRPr="002D34B4" w:rsidRDefault="002D34B4" w:rsidP="002D34B4">
      <w:r w:rsidRPr="002D34B4">
        <w:t xml:space="preserve">First, predictor rank stability was assessed across cities and across the four modelling stages. Infrastructure distance and night-time-light intensity ranked first or second in every stage, with markedly tighter cross-city agreement (standard deviation 0.36–1.21) than the remaining predictors (1.6–2.3). Sign consistency at the presence-level stage averaged approximately 89% across predictors, though this dropped to 65–68% for delta (change-over-time) predictors — </w:t>
      </w:r>
      <w:r w:rsidRPr="002D34B4">
        <w:lastRenderedPageBreak/>
        <w:t>indicating that the mechanism governing where waste is present is substantially more stable across cities than the mechanism governing how it changes over time.</w:t>
      </w:r>
    </w:p>
    <w:p w14:paraId="12FAC90A" w14:textId="77777777" w:rsidR="002D34B4" w:rsidRPr="002D34B4" w:rsidRDefault="002D34B4" w:rsidP="002D34B4">
      <w:r w:rsidRPr="002D34B4">
        <w:t>Second, this mechanism was found to be robust to spatial growth mode: comparing cities in which waste sites proliferate into numerous smaller, dispersed locations against cities where sites consolidate into fewer, larger ones, the dominant predictors (infrastructure distance, population) showed only a small performance gap between the two groups (1.5–4.7 percentage points).</w:t>
      </w:r>
    </w:p>
    <w:p w14:paraId="39FF4CF0" w14:textId="77777777" w:rsidR="002D34B4" w:rsidRPr="002D34B4" w:rsidRDefault="002D34B4" w:rsidP="002D34B4">
      <w:r w:rsidRPr="002D34B4">
        <w:t>Third, because LOCO trains on pooled 2016 and 2024 data from nine cities and evaluates against the held-out city's data spanning the same period, a stable result demonstrates cross-temporal as well as cross-city generalisation from a single test design. Mean AUC across the ten training cities ranged from 0.674–0.698, with Freetown transferring most strongly (AUC 0.842) and Johannesburg most weakly (AUC ≈ 0.507); this same ranking held consistently across all capture thresholds tested (top-25%, top-40%, top-50%).</w:t>
      </w:r>
    </w:p>
    <w:p w14:paraId="123777E5" w14:textId="77777777" w:rsidR="002D34B4" w:rsidRPr="002D34B4" w:rsidRDefault="002D34B4" w:rsidP="002D34B4">
      <w:r w:rsidRPr="002D34B4">
        <w:t>Fourth, mean AUC was statistically indistinguishable across models built with 5, 6, or 9 predictors (0.675–0.685), indicating the five predictors retained for the applicability-domain analysis capture effectively all of the model's transferable signal.</w:t>
      </w:r>
    </w:p>
    <w:p w14:paraId="74FF4476" w14:textId="77777777" w:rsidR="002D34B4" w:rsidRPr="002D34B4" w:rsidRDefault="002D34B4" w:rsidP="002D34B4">
      <w:r w:rsidRPr="002D34B4">
        <w:t>Taken together, these four tests indicate a predictive mechanism that is highly stable in what it identifies (the presence of unmanaged waste) but more context-dependent in modelling change over time — a distinction that motivates evaluating candidate cities against the training domain established for presence-level prediction, rather than assuming equivalent transferability for trajectory-based inference.</w:t>
      </w:r>
    </w:p>
    <w:p w14:paraId="3298FCEA" w14:textId="77777777" w:rsidR="00865AA3" w:rsidRDefault="0099738E" w:rsidP="0099738E">
      <w:pPr>
        <w:pStyle w:val="Heading3"/>
        <w:rPr>
          <w:sz w:val="22"/>
          <w:szCs w:val="22"/>
          <w:lang w:val="en-US"/>
        </w:rPr>
      </w:pPr>
      <w:r w:rsidRPr="00865AA3">
        <w:rPr>
          <w:sz w:val="22"/>
          <w:szCs w:val="22"/>
          <w:lang w:val="en-US"/>
        </w:rPr>
        <w:t>Covariate</w:t>
      </w:r>
      <w:r w:rsidR="00865AA3" w:rsidRPr="00865AA3">
        <w:rPr>
          <w:sz w:val="22"/>
          <w:szCs w:val="22"/>
          <w:lang w:val="en-US"/>
        </w:rPr>
        <w:t>-domain distance and transfer performance</w:t>
      </w:r>
    </w:p>
    <w:p w14:paraId="24AE183C" w14:textId="77777777" w:rsidR="005F388E" w:rsidRDefault="005F388E" w:rsidP="005F388E">
      <w:r w:rsidRPr="005F388E">
        <w:t>To evaluate whether the applicability-domain metrics developed in the preceding sections carry predictive value</w:t>
      </w:r>
      <w:r>
        <w:t>,</w:t>
      </w:r>
      <w:r w:rsidRPr="005F388E">
        <w:t xml:space="preserve"> rather than serving as descriptive measures alone</w:t>
      </w:r>
      <w:r>
        <w:t>,</w:t>
      </w:r>
      <w:r w:rsidRPr="005F388E">
        <w:t xml:space="preserve"> covariate-domain distance was tested directly against the LOCO transfer performance established above. For each of the ten training cities, a </w:t>
      </w:r>
      <w:proofErr w:type="spellStart"/>
      <w:r w:rsidRPr="005F388E">
        <w:t>Mahalanobis</w:t>
      </w:r>
      <w:proofErr w:type="spellEnd"/>
      <w:r w:rsidRPr="005F388E">
        <w:t>-distance-based domain-departure score was computed using the leave-one-out reference (the pooled data from the other nine cities), following the same logic as the candidate-city screening, and compared against that city's own LOCO AUC and DV-capture</w:t>
      </w:r>
      <w:r>
        <w:t>.</w:t>
      </w:r>
    </w:p>
    <w:p w14:paraId="3857304A" w14:textId="77777777" w:rsidR="006674BC" w:rsidRDefault="009C4047" w:rsidP="005F388E">
      <w:r>
        <w:t xml:space="preserve">No relationship was found between </w:t>
      </w:r>
      <w:r w:rsidR="00B47EA0" w:rsidRPr="00B47EA0">
        <w:t>domain-departure score and transfer performance (AUC: Pearson r = −0.157, p = 0.666; DV-capture: r = −0.089, p = 0.807; n = 10).</w:t>
      </w:r>
      <w:r w:rsidR="00A61438">
        <w:t xml:space="preserve"> Johannesburg, which had the lowest </w:t>
      </w:r>
      <w:r w:rsidR="007243D6">
        <w:t xml:space="preserve">departure score (indicating the closest resemblance </w:t>
      </w:r>
      <w:r w:rsidR="00401A91">
        <w:t xml:space="preserve">with the </w:t>
      </w:r>
      <w:r w:rsidR="000E03BF">
        <w:t xml:space="preserve">covariate distribution </w:t>
      </w:r>
      <w:r w:rsidR="00401A91">
        <w:t>of the other 9 cities</w:t>
      </w:r>
      <w:r w:rsidR="007243D6">
        <w:t>)</w:t>
      </w:r>
      <w:r w:rsidR="00401A91">
        <w:t xml:space="preserve"> recorded the weakest </w:t>
      </w:r>
      <w:r w:rsidR="006674BC">
        <w:t>transfer performance (AUC=0.507).</w:t>
      </w:r>
    </w:p>
    <w:p w14:paraId="792F0769" w14:textId="6E87AD40" w:rsidR="00631647" w:rsidRPr="00865AA3" w:rsidRDefault="004D2C01" w:rsidP="005F388E">
      <w:pPr>
        <w:rPr>
          <w:lang w:val="en-US"/>
        </w:rPr>
      </w:pPr>
      <w:r w:rsidRPr="004D2C01">
        <w:t>This indicates that, within this ten-city training set, covariate-domain distance does not provide a predictor of where the model's transfer performance will succeed or fail. This is consistent with the broader finding in the preceding section: the model's predictive mechanism is stable across cities regardless of covariate position, suggesting that transfer performance is governed more by the underlying stability of the predictor–outcome relationship than by a candidate city's proximity to the training covariate distribution. Accordingly, the applicability-domain metrics in this study are presented as a transparent, descriptive screening tool for identifying candidate cities with unusual covariate profiles, rather than as a validated predictor of model performance — a limitation disclosed here rather than implied as a stronger guarantee than the evidence supports.</w:t>
      </w:r>
      <w:r w:rsidR="00631647" w:rsidRPr="00865AA3">
        <w:rPr>
          <w:lang w:val="en-US"/>
        </w:rPr>
        <w:br w:type="page"/>
      </w:r>
    </w:p>
    <w:p w14:paraId="7AC57AC3" w14:textId="56A46FF9" w:rsidR="00B176A6" w:rsidRDefault="00631647" w:rsidP="00631647">
      <w:pPr>
        <w:pStyle w:val="Heading3"/>
        <w:rPr>
          <w:sz w:val="22"/>
          <w:szCs w:val="22"/>
        </w:rPr>
      </w:pPr>
      <w:proofErr w:type="spellStart"/>
      <w:r w:rsidRPr="00631647">
        <w:rPr>
          <w:sz w:val="22"/>
          <w:szCs w:val="22"/>
        </w:rPr>
        <w:lastRenderedPageBreak/>
        <w:t>Mahalanobis</w:t>
      </w:r>
      <w:proofErr w:type="spellEnd"/>
      <w:r w:rsidRPr="00631647">
        <w:rPr>
          <w:sz w:val="22"/>
          <w:szCs w:val="22"/>
        </w:rPr>
        <w:t xml:space="preserve"> distance</w:t>
      </w:r>
    </w:p>
    <w:p w14:paraId="0ED41F06" w14:textId="19FA3827" w:rsidR="00631647" w:rsidRDefault="00631647" w:rsidP="00631647">
      <w:r>
        <w:t>This metric is computed in the standardised 5-predictor space (each cell is a 5-dimensional vector). C</w:t>
      </w:r>
      <w:r w:rsidRPr="00631647">
        <w:t xml:space="preserve">ells from all 10 training cities are pooled into one combined set of 5D vectors to build the mean/covariance reference. Each candidate city's cells were scored for their squared </w:t>
      </w:r>
      <w:proofErr w:type="spellStart"/>
      <w:r w:rsidRPr="00631647">
        <w:t>Mahalanobis</w:t>
      </w:r>
      <w:proofErr w:type="spellEnd"/>
      <w:r w:rsidRPr="00631647">
        <w:t xml:space="preserve"> distance from that reference </w:t>
      </w:r>
      <w:proofErr w:type="spellStart"/>
      <w:r w:rsidRPr="00631647">
        <w:t>center</w:t>
      </w:r>
      <w:proofErr w:type="spellEnd"/>
      <w:r w:rsidRPr="00631647">
        <w:t>, and compared against a χ² threshold (</w:t>
      </w:r>
      <w:proofErr w:type="spellStart"/>
      <w:r w:rsidRPr="00631647">
        <w:t>df</w:t>
      </w:r>
      <w:proofErr w:type="spellEnd"/>
      <w:r w:rsidRPr="00631647">
        <w:t>=5, p=0.01)</w:t>
      </w:r>
      <w:r>
        <w:t xml:space="preserve">. </w:t>
      </w:r>
      <w:r w:rsidR="006F6DAD">
        <w:t xml:space="preserve">Each city has a score that represented the percentage of </w:t>
      </w:r>
      <w:r w:rsidR="006F6DAD" w:rsidRPr="006F6DAD">
        <w:t>its cells exceeding that threshold.</w:t>
      </w:r>
    </w:p>
    <w:p w14:paraId="28012A7D" w14:textId="0EA3089B" w:rsidR="00631647" w:rsidRDefault="006F6DAD" w:rsidP="00631647">
      <w:proofErr w:type="spellStart"/>
      <w:r>
        <w:t>Mahalanobis</w:t>
      </w:r>
      <w:proofErr w:type="spellEnd"/>
      <w:r>
        <w:t xml:space="preserve"> distance was also calculated </w:t>
      </w:r>
      <w:r w:rsidRPr="006F6DAD">
        <w:t>in PCA-reduced space (2 components vs. the full 5) to check how much of the signal a lower-dimensional visualization would capture — most cities showed roughly double the flagged-cell percentage in full 5D versus 2D, indicating the later components carry real additional separation.</w:t>
      </w:r>
    </w:p>
    <w:p w14:paraId="3C91925A" w14:textId="25577B85" w:rsidR="00631647" w:rsidRDefault="00631647" w:rsidP="00631647">
      <w:pPr>
        <w:rPr>
          <w:i/>
          <w:iCs/>
        </w:rPr>
      </w:pPr>
      <w:r w:rsidRPr="006F6DAD">
        <w:rPr>
          <w:i/>
          <w:iCs/>
        </w:rPr>
        <w:t xml:space="preserve">Under multivariate normality, squared </w:t>
      </w:r>
      <w:proofErr w:type="spellStart"/>
      <w:r w:rsidRPr="006F6DAD">
        <w:rPr>
          <w:i/>
          <w:iCs/>
        </w:rPr>
        <w:t>Mahalanobis</w:t>
      </w:r>
      <w:proofErr w:type="spellEnd"/>
      <w:r w:rsidRPr="006F6DAD">
        <w:rPr>
          <w:i/>
          <w:iCs/>
        </w:rPr>
        <w:t xml:space="preserve"> distance follows a χ² distribution with degrees of freedom equal to the number of variables (5 here). This allows for the distance to be converted into a threshold. The user selects a picks a p-value (we used 0.01) and look up the corresponding χ² cutoff, rather than choosing an arbitrary distance number.</w:t>
      </w:r>
    </w:p>
    <w:p w14:paraId="1FCDCC01" w14:textId="19816063" w:rsidR="006F6DAD" w:rsidRPr="006F6DAD" w:rsidRDefault="006F6DAD" w:rsidP="006F6DAD">
      <w:pPr>
        <w:pStyle w:val="Heading3"/>
        <w:rPr>
          <w:sz w:val="22"/>
          <w:szCs w:val="22"/>
        </w:rPr>
      </w:pPr>
      <w:r w:rsidRPr="006F6DAD">
        <w:rPr>
          <w:sz w:val="22"/>
          <w:szCs w:val="22"/>
        </w:rPr>
        <w:t xml:space="preserve">k-nearest neighbour distance </w:t>
      </w:r>
    </w:p>
    <w:p w14:paraId="3653156E" w14:textId="0381A06B" w:rsidR="006F6DAD" w:rsidRDefault="006F6DAD" w:rsidP="006F6DAD">
      <w:r>
        <w:t>This was</w:t>
      </w:r>
      <w:r w:rsidR="00DB428C">
        <w:t xml:space="preserve"> computed in the standardised 5-predictor space </w:t>
      </w:r>
      <w:r w:rsidR="00BD4AF6">
        <w:t xml:space="preserve">using a KD-tree that was built from a </w:t>
      </w:r>
      <w:r w:rsidR="000A3BEB">
        <w:t>100,000 cell subsample of training data</w:t>
      </w:r>
      <w:r w:rsidR="008F088D">
        <w:t xml:space="preserve"> (random selection)</w:t>
      </w:r>
      <w:r w:rsidR="000A3BEB">
        <w:t>.</w:t>
      </w:r>
      <w:r w:rsidR="008D7C75" w:rsidRPr="008D7C75">
        <w:t xml:space="preserve"> Each candidate cell's distance to its single nearest training cell was measured, and compared against a threshold derived from the training data's own internal structure</w:t>
      </w:r>
      <w:r w:rsidR="008D7C75">
        <w:t xml:space="preserve">. </w:t>
      </w:r>
      <w:r w:rsidR="00EB164F">
        <w:t xml:space="preserve">The threshold distance was the </w:t>
      </w:r>
      <w:r w:rsidR="00E4075F">
        <w:t>95</w:t>
      </w:r>
      <w:r w:rsidR="00E4075F" w:rsidRPr="00E4075F">
        <w:rPr>
          <w:vertAlign w:val="superscript"/>
        </w:rPr>
        <w:t>th</w:t>
      </w:r>
      <w:r w:rsidR="00E4075F">
        <w:t>/99</w:t>
      </w:r>
      <w:r w:rsidR="00E4075F" w:rsidRPr="00E4075F">
        <w:rPr>
          <w:vertAlign w:val="superscript"/>
        </w:rPr>
        <w:t>th</w:t>
      </w:r>
      <w:r w:rsidR="00E4075F">
        <w:t xml:space="preserve"> </w:t>
      </w:r>
      <w:r w:rsidR="00E4075F" w:rsidRPr="00E4075F">
        <w:t>percentile of nearest-neighbour distances among training cells to each other</w:t>
      </w:r>
      <w:r w:rsidR="00E4075F">
        <w:t xml:space="preserve">. </w:t>
      </w:r>
      <w:r w:rsidR="005B2A48" w:rsidRPr="005B2A48">
        <w:t xml:space="preserve">This calibration was validated by scoring a held-out sample of training cells (not used to build the tree) against the same threshold: they recovered almost exactly the expected 5%/1% baseline, confirming the threshold wasn't inflated by self-reference. </w:t>
      </w:r>
      <w:r w:rsidR="005B2A48">
        <w:t xml:space="preserve">This was the strictest and most discriminating </w:t>
      </w:r>
      <w:r w:rsidR="00E077BA">
        <w:t xml:space="preserve">method as it is </w:t>
      </w:r>
      <w:r w:rsidR="008F4B48" w:rsidRPr="008F4B48">
        <w:t xml:space="preserve">density-sensitive and makes no assumption about the shape of the training distribution (unlike </w:t>
      </w:r>
      <w:proofErr w:type="spellStart"/>
      <w:r w:rsidR="008F4B48" w:rsidRPr="008F4B48">
        <w:t>Mahalanobis</w:t>
      </w:r>
      <w:proofErr w:type="spellEnd"/>
      <w:r w:rsidR="008F4B48" w:rsidRPr="008F4B48">
        <w:t>, which assumes elliptical/Gaussian structure the training cloud doesn't fully exhibit).</w:t>
      </w:r>
      <w:r w:rsidR="000A3BEB">
        <w:t xml:space="preserve"> </w:t>
      </w:r>
    </w:p>
    <w:p w14:paraId="316D53D1" w14:textId="640F0F7A" w:rsidR="00CE7307" w:rsidRDefault="009A2C44" w:rsidP="009A2C44">
      <w:pPr>
        <w:pStyle w:val="Heading3"/>
        <w:rPr>
          <w:sz w:val="22"/>
          <w:szCs w:val="22"/>
        </w:rPr>
      </w:pPr>
      <w:r w:rsidRPr="009A2C44">
        <w:rPr>
          <w:sz w:val="22"/>
          <w:szCs w:val="22"/>
        </w:rPr>
        <w:t>Covariate-domain distance testing</w:t>
      </w:r>
    </w:p>
    <w:p w14:paraId="4340DC0E" w14:textId="4A0404B6" w:rsidR="009A2C44" w:rsidRDefault="003256A6" w:rsidP="009A2C44">
      <w:r>
        <w:t xml:space="preserve">This </w:t>
      </w:r>
      <w:r w:rsidR="00DE57D2">
        <w:t xml:space="preserve">testing was carried out to explore </w:t>
      </w:r>
      <w:r w:rsidR="00D51AF1">
        <w:t xml:space="preserve">if the distance </w:t>
      </w:r>
      <w:r w:rsidR="00073CAC">
        <w:t xml:space="preserve">between a </w:t>
      </w:r>
      <w:r w:rsidR="00F046E7">
        <w:t xml:space="preserve">candidate </w:t>
      </w:r>
      <w:r w:rsidR="00073CAC">
        <w:t>c</w:t>
      </w:r>
      <w:r w:rsidR="00DE57D2">
        <w:t>ity’s covariate</w:t>
      </w:r>
      <w:r w:rsidR="00073CAC">
        <w:t xml:space="preserve">s and the training domain influence predictive </w:t>
      </w:r>
      <w:r w:rsidR="00F046E7">
        <w:t xml:space="preserve">performance. </w:t>
      </w:r>
    </w:p>
    <w:p w14:paraId="7C7CFB0E" w14:textId="0DFCB905" w:rsidR="001914B2" w:rsidRDefault="001914B2" w:rsidP="004E08E3">
      <w:pPr>
        <w:pStyle w:val="ListParagraph"/>
        <w:numPr>
          <w:ilvl w:val="0"/>
          <w:numId w:val="4"/>
        </w:numPr>
        <w:spacing w:after="120"/>
        <w:ind w:left="714" w:hanging="357"/>
        <w:contextualSpacing w:val="0"/>
      </w:pPr>
      <w:r>
        <w:t>For the set of 10 training cities, 1 city is left out</w:t>
      </w:r>
    </w:p>
    <w:p w14:paraId="084811CE" w14:textId="08CF7867" w:rsidR="001914B2" w:rsidRDefault="00684FE9" w:rsidP="004E08E3">
      <w:pPr>
        <w:pStyle w:val="ListParagraph"/>
        <w:numPr>
          <w:ilvl w:val="0"/>
          <w:numId w:val="4"/>
        </w:numPr>
        <w:spacing w:after="120"/>
        <w:ind w:left="714" w:hanging="357"/>
        <w:contextualSpacing w:val="0"/>
      </w:pPr>
      <w:r>
        <w:t>A covariate reference is built form the other 9 cities</w:t>
      </w:r>
    </w:p>
    <w:p w14:paraId="3449CA3E" w14:textId="77777777" w:rsidR="00B16075" w:rsidRDefault="00C23974" w:rsidP="004E08E3">
      <w:pPr>
        <w:pStyle w:val="ListParagraph"/>
        <w:numPr>
          <w:ilvl w:val="0"/>
          <w:numId w:val="4"/>
        </w:numPr>
        <w:spacing w:after="120"/>
        <w:ind w:left="714" w:hanging="357"/>
        <w:contextualSpacing w:val="0"/>
      </w:pPr>
      <w:r>
        <w:t>The</w:t>
      </w:r>
      <w:r w:rsidR="00A10ADA">
        <w:t xml:space="preserve"> </w:t>
      </w:r>
      <w:proofErr w:type="spellStart"/>
      <w:r w:rsidR="00A10ADA">
        <w:t>Mahalanobis</w:t>
      </w:r>
      <w:proofErr w:type="spellEnd"/>
      <w:r>
        <w:t xml:space="preserve"> distance between the held out city’s covariates and the </w:t>
      </w:r>
      <w:r w:rsidR="00147A67">
        <w:t>9-city covariate space is computed</w:t>
      </w:r>
      <w:r w:rsidR="00B9345F">
        <w:t>. This gives a form of covariate ‘domain-departure’</w:t>
      </w:r>
      <w:r w:rsidR="00B16075">
        <w:t xml:space="preserve"> score</w:t>
      </w:r>
    </w:p>
    <w:p w14:paraId="70C29902" w14:textId="77777777" w:rsidR="009A38BF" w:rsidRDefault="005F25C3" w:rsidP="004E08E3">
      <w:pPr>
        <w:pStyle w:val="ListParagraph"/>
        <w:numPr>
          <w:ilvl w:val="0"/>
          <w:numId w:val="4"/>
        </w:numPr>
        <w:spacing w:after="120"/>
        <w:ind w:left="714" w:hanging="357"/>
        <w:contextualSpacing w:val="0"/>
      </w:pPr>
      <w:r>
        <w:t>Given that we have the held-out city’s LOCO performance</w:t>
      </w:r>
      <w:r w:rsidR="009A38BF">
        <w:t xml:space="preserve"> (AUC, DV capture), we can achieve a correlation between the LOCO performance and domain-departure score</w:t>
      </w:r>
    </w:p>
    <w:p w14:paraId="08358D3F" w14:textId="334F323A" w:rsidR="00C23974" w:rsidRDefault="005A03B6" w:rsidP="004E08E3">
      <w:pPr>
        <w:pStyle w:val="ListParagraph"/>
        <w:numPr>
          <w:ilvl w:val="0"/>
          <w:numId w:val="4"/>
        </w:numPr>
        <w:spacing w:after="120"/>
        <w:ind w:left="714" w:hanging="357"/>
        <w:contextualSpacing w:val="0"/>
      </w:pPr>
      <w:r>
        <w:t xml:space="preserve">The </w:t>
      </w:r>
      <w:r w:rsidR="005D3C1C">
        <w:t xml:space="preserve">final results is a check to </w:t>
      </w:r>
      <w:r w:rsidR="009244D2">
        <w:t>determine if there is a correlation between</w:t>
      </w:r>
      <w:r w:rsidR="004E08E3">
        <w:t xml:space="preserve"> LOCO performance and </w:t>
      </w:r>
      <w:r w:rsidR="005D3C1C">
        <w:t>domain-departure score</w:t>
      </w:r>
      <w:r w:rsidR="004E08E3">
        <w:t>.</w:t>
      </w:r>
      <w:r w:rsidR="009244D2">
        <w:t xml:space="preserve"> </w:t>
      </w:r>
      <w:r w:rsidR="00B9345F">
        <w:t xml:space="preserve"> </w:t>
      </w:r>
    </w:p>
    <w:p w14:paraId="28455D4B" w14:textId="77777777" w:rsidR="00494A39" w:rsidRDefault="00494A39" w:rsidP="00494A39">
      <w:pPr>
        <w:spacing w:after="120"/>
      </w:pPr>
    </w:p>
    <w:p w14:paraId="4F17D391" w14:textId="77777777" w:rsidR="00494A39" w:rsidRDefault="00494A39" w:rsidP="00494A39">
      <w:pPr>
        <w:spacing w:after="120"/>
      </w:pPr>
    </w:p>
    <w:p w14:paraId="3893CC90" w14:textId="77777777" w:rsidR="00494A39" w:rsidRDefault="00494A39" w:rsidP="00494A39">
      <w:pPr>
        <w:spacing w:after="120"/>
      </w:pPr>
    </w:p>
    <w:p w14:paraId="4EB5812E" w14:textId="77777777" w:rsidR="00494A39" w:rsidRPr="009A2C44" w:rsidRDefault="00494A39" w:rsidP="00494A39">
      <w:pPr>
        <w:spacing w:after="120"/>
      </w:pPr>
    </w:p>
    <w:p w14:paraId="737F35A0" w14:textId="2752EC24" w:rsidR="009A2C44" w:rsidRDefault="00B37EEA" w:rsidP="006F6DAD">
      <w:r w:rsidRPr="00B37EEA">
        <w:lastRenderedPageBreak/>
        <w:drawing>
          <wp:inline distT="0" distB="0" distL="0" distR="0" wp14:anchorId="3339D754" wp14:editId="3F49B001">
            <wp:extent cx="5731510" cy="4711700"/>
            <wp:effectExtent l="0" t="0" r="2540" b="0"/>
            <wp:docPr id="154227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1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EDA8" w14:textId="34EC349F" w:rsidR="00B456BD" w:rsidRDefault="00B456BD" w:rsidP="006F6DAD">
      <w:r w:rsidRPr="00B456BD">
        <w:lastRenderedPageBreak/>
        <w:drawing>
          <wp:inline distT="0" distB="0" distL="0" distR="0" wp14:anchorId="64AB8B9B" wp14:editId="7FD5F00E">
            <wp:extent cx="5731510" cy="5652135"/>
            <wp:effectExtent l="0" t="0" r="2540" b="5715"/>
            <wp:docPr id="12140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1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3006" w14:textId="63E70D81" w:rsidR="00FB6B08" w:rsidRDefault="00FB6B08" w:rsidP="006F6DAD">
      <w:r w:rsidRPr="00FB6B08">
        <w:lastRenderedPageBreak/>
        <w:drawing>
          <wp:inline distT="0" distB="0" distL="0" distR="0" wp14:anchorId="31FE0BF8" wp14:editId="1B888F41">
            <wp:extent cx="5731510" cy="4609465"/>
            <wp:effectExtent l="0" t="0" r="2540" b="635"/>
            <wp:docPr id="6195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DC28" w14:textId="3D92C21B" w:rsidR="00F96805" w:rsidRPr="006F6DAD" w:rsidRDefault="00F96805" w:rsidP="006F6DAD"/>
    <w:sectPr w:rsidR="00F96805" w:rsidRPr="006F6DAD" w:rsidSect="00C6051B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3F6C8" w14:textId="77777777" w:rsidR="00B627E4" w:rsidRDefault="00B627E4" w:rsidP="00C6051B">
      <w:pPr>
        <w:spacing w:after="0" w:line="240" w:lineRule="auto"/>
      </w:pPr>
      <w:r>
        <w:separator/>
      </w:r>
    </w:p>
  </w:endnote>
  <w:endnote w:type="continuationSeparator" w:id="0">
    <w:p w14:paraId="4D449046" w14:textId="77777777" w:rsidR="00B627E4" w:rsidRDefault="00B627E4" w:rsidP="00C60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30EE" w14:textId="77777777" w:rsidR="00B627E4" w:rsidRDefault="00B627E4" w:rsidP="00C6051B">
      <w:pPr>
        <w:spacing w:after="0" w:line="240" w:lineRule="auto"/>
      </w:pPr>
      <w:r>
        <w:separator/>
      </w:r>
    </w:p>
  </w:footnote>
  <w:footnote w:type="continuationSeparator" w:id="0">
    <w:p w14:paraId="5BAFF426" w14:textId="77777777" w:rsidR="00B627E4" w:rsidRDefault="00B627E4" w:rsidP="00C60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C60"/>
    <w:multiLevelType w:val="hybridMultilevel"/>
    <w:tmpl w:val="F1F617F4"/>
    <w:lvl w:ilvl="0" w:tplc="2FAAE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F58F0"/>
    <w:multiLevelType w:val="hybridMultilevel"/>
    <w:tmpl w:val="65B416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248FB"/>
    <w:multiLevelType w:val="hybridMultilevel"/>
    <w:tmpl w:val="18A4A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33311"/>
    <w:multiLevelType w:val="hybridMultilevel"/>
    <w:tmpl w:val="A9E43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612504">
    <w:abstractNumId w:val="1"/>
  </w:num>
  <w:num w:numId="2" w16cid:durableId="1990748836">
    <w:abstractNumId w:val="2"/>
  </w:num>
  <w:num w:numId="3" w16cid:durableId="1825000849">
    <w:abstractNumId w:val="0"/>
  </w:num>
  <w:num w:numId="4" w16cid:durableId="209408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1F"/>
    <w:rsid w:val="00014DFC"/>
    <w:rsid w:val="00070980"/>
    <w:rsid w:val="00073CAC"/>
    <w:rsid w:val="000838E6"/>
    <w:rsid w:val="000960D2"/>
    <w:rsid w:val="000A3BEB"/>
    <w:rsid w:val="000B44B4"/>
    <w:rsid w:val="000C1071"/>
    <w:rsid w:val="000D7DC1"/>
    <w:rsid w:val="000E03BF"/>
    <w:rsid w:val="000F775E"/>
    <w:rsid w:val="00107AA2"/>
    <w:rsid w:val="0012704B"/>
    <w:rsid w:val="00127B93"/>
    <w:rsid w:val="00127C1D"/>
    <w:rsid w:val="00130418"/>
    <w:rsid w:val="00147A67"/>
    <w:rsid w:val="00161238"/>
    <w:rsid w:val="00162977"/>
    <w:rsid w:val="00163FB4"/>
    <w:rsid w:val="001914B2"/>
    <w:rsid w:val="001B3AC4"/>
    <w:rsid w:val="001B437C"/>
    <w:rsid w:val="001B58F2"/>
    <w:rsid w:val="001C1276"/>
    <w:rsid w:val="001C3AB2"/>
    <w:rsid w:val="001C6256"/>
    <w:rsid w:val="00205C9A"/>
    <w:rsid w:val="00224F52"/>
    <w:rsid w:val="00247334"/>
    <w:rsid w:val="002B28B2"/>
    <w:rsid w:val="002C155D"/>
    <w:rsid w:val="002D34B4"/>
    <w:rsid w:val="002D6CF1"/>
    <w:rsid w:val="002D7900"/>
    <w:rsid w:val="003163F1"/>
    <w:rsid w:val="003256A6"/>
    <w:rsid w:val="00376660"/>
    <w:rsid w:val="003F4888"/>
    <w:rsid w:val="00401A91"/>
    <w:rsid w:val="00494A39"/>
    <w:rsid w:val="004975EE"/>
    <w:rsid w:val="004D2C01"/>
    <w:rsid w:val="004E08E3"/>
    <w:rsid w:val="005711B3"/>
    <w:rsid w:val="005778D1"/>
    <w:rsid w:val="005A03B6"/>
    <w:rsid w:val="005B2A48"/>
    <w:rsid w:val="005D1CBF"/>
    <w:rsid w:val="005D3C1C"/>
    <w:rsid w:val="005E6EF6"/>
    <w:rsid w:val="005F04AA"/>
    <w:rsid w:val="005F14E6"/>
    <w:rsid w:val="005F25C3"/>
    <w:rsid w:val="005F388E"/>
    <w:rsid w:val="00621645"/>
    <w:rsid w:val="00631647"/>
    <w:rsid w:val="00634FC1"/>
    <w:rsid w:val="006674BC"/>
    <w:rsid w:val="00674E32"/>
    <w:rsid w:val="00676178"/>
    <w:rsid w:val="00684FE9"/>
    <w:rsid w:val="006B54B4"/>
    <w:rsid w:val="006E1639"/>
    <w:rsid w:val="006F6DAD"/>
    <w:rsid w:val="00711F6D"/>
    <w:rsid w:val="007156DF"/>
    <w:rsid w:val="00716507"/>
    <w:rsid w:val="007243D6"/>
    <w:rsid w:val="00740710"/>
    <w:rsid w:val="007552A1"/>
    <w:rsid w:val="0075689F"/>
    <w:rsid w:val="00757C26"/>
    <w:rsid w:val="007611F1"/>
    <w:rsid w:val="007623BB"/>
    <w:rsid w:val="007C51AC"/>
    <w:rsid w:val="007D01E3"/>
    <w:rsid w:val="00802965"/>
    <w:rsid w:val="00833B27"/>
    <w:rsid w:val="00850BEC"/>
    <w:rsid w:val="00865AA3"/>
    <w:rsid w:val="008B5653"/>
    <w:rsid w:val="008D40F2"/>
    <w:rsid w:val="008D4EE4"/>
    <w:rsid w:val="008D7C75"/>
    <w:rsid w:val="008E67E7"/>
    <w:rsid w:val="008F088D"/>
    <w:rsid w:val="008F4B48"/>
    <w:rsid w:val="00901928"/>
    <w:rsid w:val="009244D2"/>
    <w:rsid w:val="00933630"/>
    <w:rsid w:val="00957973"/>
    <w:rsid w:val="0099738E"/>
    <w:rsid w:val="009A2C44"/>
    <w:rsid w:val="009A38BF"/>
    <w:rsid w:val="009A46ED"/>
    <w:rsid w:val="009C4047"/>
    <w:rsid w:val="009D64B7"/>
    <w:rsid w:val="00A00A20"/>
    <w:rsid w:val="00A05993"/>
    <w:rsid w:val="00A10ADA"/>
    <w:rsid w:val="00A16C15"/>
    <w:rsid w:val="00A16E96"/>
    <w:rsid w:val="00A24D54"/>
    <w:rsid w:val="00A406B7"/>
    <w:rsid w:val="00A61438"/>
    <w:rsid w:val="00A75FF4"/>
    <w:rsid w:val="00AD6923"/>
    <w:rsid w:val="00AE2035"/>
    <w:rsid w:val="00AE3760"/>
    <w:rsid w:val="00AF0912"/>
    <w:rsid w:val="00B16075"/>
    <w:rsid w:val="00B176A6"/>
    <w:rsid w:val="00B37EEA"/>
    <w:rsid w:val="00B42489"/>
    <w:rsid w:val="00B456BD"/>
    <w:rsid w:val="00B47EA0"/>
    <w:rsid w:val="00B627E4"/>
    <w:rsid w:val="00B74999"/>
    <w:rsid w:val="00B90596"/>
    <w:rsid w:val="00B9345F"/>
    <w:rsid w:val="00BB53DC"/>
    <w:rsid w:val="00BB7598"/>
    <w:rsid w:val="00BD3F14"/>
    <w:rsid w:val="00BD4AF6"/>
    <w:rsid w:val="00C23974"/>
    <w:rsid w:val="00C32336"/>
    <w:rsid w:val="00C33F1F"/>
    <w:rsid w:val="00C4243E"/>
    <w:rsid w:val="00C45BE4"/>
    <w:rsid w:val="00C537F6"/>
    <w:rsid w:val="00C6051B"/>
    <w:rsid w:val="00C63FD2"/>
    <w:rsid w:val="00C64EC2"/>
    <w:rsid w:val="00C67002"/>
    <w:rsid w:val="00CC2561"/>
    <w:rsid w:val="00CC3495"/>
    <w:rsid w:val="00CE7307"/>
    <w:rsid w:val="00CF7A24"/>
    <w:rsid w:val="00D00FB2"/>
    <w:rsid w:val="00D402DB"/>
    <w:rsid w:val="00D51AF1"/>
    <w:rsid w:val="00DB428C"/>
    <w:rsid w:val="00DB7FFA"/>
    <w:rsid w:val="00DC744D"/>
    <w:rsid w:val="00DE4F3F"/>
    <w:rsid w:val="00DE57D2"/>
    <w:rsid w:val="00E00791"/>
    <w:rsid w:val="00E077BA"/>
    <w:rsid w:val="00E4075F"/>
    <w:rsid w:val="00E54429"/>
    <w:rsid w:val="00E81DBB"/>
    <w:rsid w:val="00EA05BE"/>
    <w:rsid w:val="00EA3FBD"/>
    <w:rsid w:val="00EB164F"/>
    <w:rsid w:val="00EC34BB"/>
    <w:rsid w:val="00ED5728"/>
    <w:rsid w:val="00F046E7"/>
    <w:rsid w:val="00F30410"/>
    <w:rsid w:val="00F46F06"/>
    <w:rsid w:val="00F96805"/>
    <w:rsid w:val="00FB2B60"/>
    <w:rsid w:val="00FB6B08"/>
    <w:rsid w:val="00FB717C"/>
    <w:rsid w:val="00FE4B8A"/>
    <w:rsid w:val="00FF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0E0E"/>
  <w15:chartTrackingRefBased/>
  <w15:docId w15:val="{6369F8EC-AC90-4F33-AE8E-7B384D1B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0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51B"/>
  </w:style>
  <w:style w:type="paragraph" w:styleId="Footer">
    <w:name w:val="footer"/>
    <w:basedOn w:val="Normal"/>
    <w:link w:val="FooterChar"/>
    <w:uiPriority w:val="99"/>
    <w:unhideWhenUsed/>
    <w:rsid w:val="00C60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1858</Words>
  <Characters>10595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 Desa</dc:creator>
  <cp:keywords/>
  <dc:description/>
  <cp:lastModifiedBy>Sachit Desa</cp:lastModifiedBy>
  <cp:revision>142</cp:revision>
  <dcterms:created xsi:type="dcterms:W3CDTF">2026-09-09T11:01:00Z</dcterms:created>
  <dcterms:modified xsi:type="dcterms:W3CDTF">2026-09-28T17:25:00Z</dcterms:modified>
</cp:coreProperties>
</file>