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AB27E" w14:textId="3BF290DF" w:rsidR="00FF18A2" w:rsidRDefault="00FF18A2" w:rsidP="00FF18A2">
      <w:pPr>
        <w:pStyle w:val="Heading1"/>
        <w:rPr>
          <w:sz w:val="24"/>
          <w:szCs w:val="24"/>
          <w:lang w:val="en-US"/>
        </w:rPr>
      </w:pPr>
      <w:r w:rsidRPr="00FF18A2">
        <w:rPr>
          <w:sz w:val="24"/>
          <w:szCs w:val="24"/>
          <w:lang w:val="en-US"/>
        </w:rPr>
        <w:t xml:space="preserve">Analysis of </w:t>
      </w:r>
      <w:proofErr w:type="spellStart"/>
      <w:r w:rsidRPr="00FF18A2">
        <w:rPr>
          <w:sz w:val="24"/>
          <w:szCs w:val="24"/>
          <w:lang w:val="en-US"/>
        </w:rPr>
        <w:t>XGBoost</w:t>
      </w:r>
      <w:proofErr w:type="spellEnd"/>
      <w:r w:rsidRPr="00FF18A2">
        <w:rPr>
          <w:sz w:val="24"/>
          <w:szCs w:val="24"/>
          <w:lang w:val="en-US"/>
        </w:rPr>
        <w:t>/SHAP results</w:t>
      </w:r>
    </w:p>
    <w:p w14:paraId="2C73E962" w14:textId="3ADAE69C" w:rsidR="00AA03CE" w:rsidRPr="00284FA1" w:rsidRDefault="0058582A" w:rsidP="00AA03CE">
      <w:pPr>
        <w:pStyle w:val="Heading2"/>
        <w:rPr>
          <w:sz w:val="22"/>
          <w:szCs w:val="22"/>
          <w:lang w:val="en-US"/>
        </w:rPr>
      </w:pPr>
      <w:r w:rsidRPr="00284FA1">
        <w:rPr>
          <w:sz w:val="22"/>
          <w:szCs w:val="22"/>
          <w:lang w:val="en-US"/>
        </w:rPr>
        <w:t xml:space="preserve">Predictors of waste presence </w:t>
      </w:r>
    </w:p>
    <w:p w14:paraId="55F1A34E" w14:textId="0527AD09" w:rsidR="00220AD1" w:rsidRDefault="00220AD1">
      <w:pPr>
        <w:rPr>
          <w:lang w:val="en-US"/>
        </w:rPr>
      </w:pPr>
      <w:r>
        <w:rPr>
          <w:lang w:val="en-US"/>
        </w:rPr>
        <w:t>Across all</w:t>
      </w:r>
      <w:r w:rsidR="00CB5A76">
        <w:rPr>
          <w:lang w:val="en-US"/>
        </w:rPr>
        <w:t xml:space="preserve"> 4 </w:t>
      </w:r>
      <w:proofErr w:type="spellStart"/>
      <w:r w:rsidR="00CB5A76">
        <w:rPr>
          <w:lang w:val="en-US"/>
        </w:rPr>
        <w:t>stages</w:t>
      </w:r>
      <w:proofErr w:type="spellEnd"/>
      <w:r w:rsidR="00CB5A76">
        <w:rPr>
          <w:lang w:val="en-US"/>
        </w:rPr>
        <w:t xml:space="preserve"> and 10 cities, the average rank of predictors was: </w:t>
      </w:r>
      <w:r w:rsidR="00D532A0" w:rsidRPr="007B3983">
        <w:t>Infrastructure distance ≈ NTL &gt; Population &gt; Slum &gt; Arterial roads</w:t>
      </w:r>
      <w:r w:rsidR="00D532A0" w:rsidRPr="00D532A0">
        <w:t xml:space="preserve"> &gt; remaining predictors (Building height, Tertiary roads lowest and most consistent).</w:t>
      </w:r>
    </w:p>
    <w:p w14:paraId="69F66FAC" w14:textId="763AF28B" w:rsidR="00D532A0" w:rsidRDefault="007B3983">
      <w:pPr>
        <w:rPr>
          <w:lang w:val="en-US"/>
        </w:rPr>
      </w:pPr>
      <w:r>
        <w:rPr>
          <w:lang w:val="en-US"/>
        </w:rPr>
        <w:t>The interpretation of predictors was:</w:t>
      </w:r>
    </w:p>
    <w:p w14:paraId="200B960C" w14:textId="3E2C37B3" w:rsidR="007B3983" w:rsidRPr="007B3983" w:rsidRDefault="007B3983" w:rsidP="00D144B8">
      <w:pPr>
        <w:pStyle w:val="ListParagraph"/>
        <w:numPr>
          <w:ilvl w:val="0"/>
          <w:numId w:val="1"/>
        </w:numPr>
      </w:pPr>
      <w:r w:rsidRPr="00D144B8">
        <w:rPr>
          <w:b/>
          <w:bCs/>
        </w:rPr>
        <w:t>Population</w:t>
      </w:r>
      <w:r w:rsidRPr="007B3983">
        <w:t xml:space="preserve">: positive (more population → higher waste likelihood) </w:t>
      </w:r>
    </w:p>
    <w:p w14:paraId="60EAF6C6" w14:textId="77777777" w:rsidR="005131AF" w:rsidRDefault="007B3983" w:rsidP="005131AF">
      <w:pPr>
        <w:pStyle w:val="ListParagraph"/>
        <w:numPr>
          <w:ilvl w:val="0"/>
          <w:numId w:val="1"/>
        </w:numPr>
      </w:pPr>
      <w:r w:rsidRPr="00D144B8">
        <w:rPr>
          <w:b/>
          <w:bCs/>
        </w:rPr>
        <w:t>Slum probability</w:t>
      </w:r>
      <w:r w:rsidRPr="007B3983">
        <w:t>: positive</w:t>
      </w:r>
      <w:r w:rsidR="00C1725D">
        <w:t>, as slum likelihood increases, waste increases</w:t>
      </w:r>
    </w:p>
    <w:p w14:paraId="3974D1A5" w14:textId="2A502D6A" w:rsidR="007B3983" w:rsidRPr="005131AF" w:rsidRDefault="007B3983" w:rsidP="005131AF">
      <w:pPr>
        <w:pStyle w:val="ListParagraph"/>
        <w:numPr>
          <w:ilvl w:val="0"/>
          <w:numId w:val="1"/>
        </w:numPr>
      </w:pPr>
      <w:r w:rsidRPr="005131AF">
        <w:rPr>
          <w:b/>
          <w:bCs/>
        </w:rPr>
        <w:t>NTL</w:t>
      </w:r>
      <w:r w:rsidRPr="007B3983">
        <w:t>: negative (higher radiance/development → lower waste likelihood)</w:t>
      </w:r>
      <w:r w:rsidR="005131AF">
        <w:t xml:space="preserve">; </w:t>
      </w:r>
      <w:r w:rsidR="005131AF" w:rsidRPr="005131AF">
        <w:rPr>
          <w:lang w:val="en-US"/>
        </w:rPr>
        <w:t xml:space="preserve">when radiance increases waste likelihood decreases. </w:t>
      </w:r>
    </w:p>
    <w:p w14:paraId="519B7757" w14:textId="11B7B59C" w:rsidR="007B3983" w:rsidRPr="007B3983" w:rsidRDefault="007B3983" w:rsidP="00D144B8">
      <w:pPr>
        <w:pStyle w:val="ListParagraph"/>
        <w:numPr>
          <w:ilvl w:val="0"/>
          <w:numId w:val="1"/>
        </w:numPr>
      </w:pPr>
      <w:r w:rsidRPr="00D144B8">
        <w:rPr>
          <w:b/>
          <w:bCs/>
        </w:rPr>
        <w:t>Infrastructure distance</w:t>
      </w:r>
      <w:r w:rsidRPr="007B3983">
        <w:t xml:space="preserve">: negative (further from infrastructure → lower likelihood, i.e. waste clusters </w:t>
      </w:r>
      <w:r w:rsidRPr="00D144B8">
        <w:rPr>
          <w:i/>
          <w:iCs/>
        </w:rPr>
        <w:t>near</w:t>
      </w:r>
      <w:r w:rsidRPr="007B3983">
        <w:t xml:space="preserve"> infrastructure)</w:t>
      </w:r>
      <w:r w:rsidR="0036129F">
        <w:t>;</w:t>
      </w:r>
      <w:r w:rsidRPr="007B3983">
        <w:t xml:space="preserve"> </w:t>
      </w:r>
      <w:r w:rsidR="0036129F">
        <w:rPr>
          <w:lang w:val="en-US"/>
        </w:rPr>
        <w:t>as distance from infrastructure increases likelihood of waste decreases.</w:t>
      </w:r>
    </w:p>
    <w:p w14:paraId="5F5DB2EB" w14:textId="7582CEA2" w:rsidR="007B3983" w:rsidRPr="00D144B8" w:rsidRDefault="007B3983" w:rsidP="00D144B8">
      <w:pPr>
        <w:pStyle w:val="ListParagraph"/>
        <w:numPr>
          <w:ilvl w:val="0"/>
          <w:numId w:val="1"/>
        </w:numPr>
        <w:rPr>
          <w:lang w:val="en-US"/>
        </w:rPr>
      </w:pPr>
      <w:r w:rsidRPr="00D144B8">
        <w:rPr>
          <w:b/>
          <w:bCs/>
        </w:rPr>
        <w:t>Arterial road distance</w:t>
      </w:r>
      <w:r w:rsidRPr="007B3983">
        <w:t>: negative, same logic</w:t>
      </w:r>
    </w:p>
    <w:p w14:paraId="29B8AD26" w14:textId="725B2707" w:rsidR="00D532A0" w:rsidRDefault="0031024B">
      <w:pPr>
        <w:rPr>
          <w:lang w:val="en-US"/>
        </w:rPr>
      </w:pPr>
      <w:r>
        <w:rPr>
          <w:lang w:val="en-US"/>
        </w:rPr>
        <w:t xml:space="preserve">The </w:t>
      </w:r>
      <w:r w:rsidR="006F65F9">
        <w:rPr>
          <w:lang w:val="en-US"/>
        </w:rPr>
        <w:t xml:space="preserve">binary model for waste presence/absence </w:t>
      </w:r>
      <w:r w:rsidR="003F761B">
        <w:rPr>
          <w:lang w:val="en-US"/>
        </w:rPr>
        <w:t xml:space="preserve">reflects the </w:t>
      </w:r>
      <w:r w:rsidR="00BF2F6C">
        <w:rPr>
          <w:lang w:val="en-US"/>
        </w:rPr>
        <w:t>most consistent predictors in sign and rank</w:t>
      </w:r>
      <w:r w:rsidR="00A16611">
        <w:rPr>
          <w:lang w:val="en-US"/>
        </w:rPr>
        <w:t>.</w:t>
      </w:r>
    </w:p>
    <w:p w14:paraId="5E3CDF9D" w14:textId="61D1D844" w:rsidR="00D532A0" w:rsidRPr="00522B1B" w:rsidRDefault="00522B1B" w:rsidP="00656D36">
      <w:pPr>
        <w:pStyle w:val="Heading2"/>
        <w:rPr>
          <w:sz w:val="22"/>
          <w:szCs w:val="22"/>
          <w:lang w:val="en-US"/>
        </w:rPr>
      </w:pPr>
      <w:r w:rsidRPr="00522B1B">
        <w:rPr>
          <w:sz w:val="22"/>
          <w:szCs w:val="22"/>
          <w:lang w:val="en-US"/>
        </w:rPr>
        <w:t>Drivers of waste growth &amp; decline</w:t>
      </w:r>
    </w:p>
    <w:p w14:paraId="67F2EA01" w14:textId="64EF9340" w:rsidR="00A16611" w:rsidRDefault="0000277A">
      <w:r>
        <w:rPr>
          <w:lang w:val="en-US"/>
        </w:rPr>
        <w:t xml:space="preserve">Separate </w:t>
      </w:r>
      <w:proofErr w:type="spellStart"/>
      <w:r>
        <w:rPr>
          <w:lang w:val="en-US"/>
        </w:rPr>
        <w:t>XGBoost</w:t>
      </w:r>
      <w:proofErr w:type="spellEnd"/>
      <w:r>
        <w:rPr>
          <w:lang w:val="en-US"/>
        </w:rPr>
        <w:t xml:space="preserve">/SHAP analysis was </w:t>
      </w:r>
      <w:r w:rsidR="00A1587A">
        <w:rPr>
          <w:lang w:val="en-US"/>
        </w:rPr>
        <w:t xml:space="preserve">completed for areas of cities where waste was observed to grow </w:t>
      </w:r>
      <w:r w:rsidR="0090736A" w:rsidRPr="0090736A">
        <w:t>(Emergent</w:t>
      </w:r>
      <w:r w:rsidR="0090736A">
        <w:t xml:space="preserve"> &amp; </w:t>
      </w:r>
      <w:r w:rsidR="0090736A" w:rsidRPr="0090736A">
        <w:t xml:space="preserve">Increase) </w:t>
      </w:r>
      <w:r w:rsidR="00A1587A">
        <w:rPr>
          <w:lang w:val="en-US"/>
        </w:rPr>
        <w:t xml:space="preserve">and where a decline of </w:t>
      </w:r>
      <w:r w:rsidR="0090736A">
        <w:rPr>
          <w:lang w:val="en-US"/>
        </w:rPr>
        <w:t xml:space="preserve">waste presence was observed </w:t>
      </w:r>
      <w:r w:rsidR="0090736A" w:rsidRPr="0090736A">
        <w:t>(Cleared</w:t>
      </w:r>
      <w:r w:rsidR="0090736A">
        <w:t xml:space="preserve"> &amp; </w:t>
      </w:r>
      <w:r w:rsidR="0090736A" w:rsidRPr="0090736A">
        <w:t>Decrease)</w:t>
      </w:r>
      <w:r w:rsidR="0090736A">
        <w:t xml:space="preserve">. </w:t>
      </w:r>
    </w:p>
    <w:p w14:paraId="1913DAA6" w14:textId="1B6EFA9F" w:rsidR="004B1D73" w:rsidRPr="004B1D73" w:rsidRDefault="004B1D73" w:rsidP="004B1D73">
      <w:pPr>
        <w:pStyle w:val="Heading3"/>
        <w:rPr>
          <w:sz w:val="22"/>
          <w:szCs w:val="22"/>
          <w:lang w:val="en-US"/>
        </w:rPr>
      </w:pPr>
      <w:r w:rsidRPr="004B1D73">
        <w:rPr>
          <w:sz w:val="22"/>
          <w:szCs w:val="22"/>
          <w:lang w:val="en-US"/>
        </w:rPr>
        <w:t>Population</w:t>
      </w:r>
      <w:r w:rsidR="00EB25CF">
        <w:rPr>
          <w:sz w:val="22"/>
          <w:szCs w:val="22"/>
          <w:lang w:val="en-US"/>
        </w:rPr>
        <w:t xml:space="preserve"> – no </w:t>
      </w:r>
      <w:r w:rsidR="00872323">
        <w:rPr>
          <w:sz w:val="22"/>
          <w:szCs w:val="22"/>
          <w:lang w:val="en-US"/>
        </w:rPr>
        <w:t>differentiation</w:t>
      </w:r>
    </w:p>
    <w:p w14:paraId="781249D5" w14:textId="351C7F03" w:rsidR="00A466BF" w:rsidRDefault="00D57BD8" w:rsidP="00D57BD8">
      <w:r w:rsidRPr="006B5D93">
        <w:t xml:space="preserve">Population </w:t>
      </w:r>
      <w:r>
        <w:t>does not</w:t>
      </w:r>
      <w:r w:rsidRPr="006B5D93">
        <w:t xml:space="preserve"> different</w:t>
      </w:r>
      <w:r w:rsidR="006B4915">
        <w:t>iate</w:t>
      </w:r>
      <w:r w:rsidRPr="006B5D93">
        <w:t xml:space="preserve"> Growth from Decline at all</w:t>
      </w:r>
      <w:r>
        <w:t xml:space="preserve"> (growth mean: +20.3% and decline mean: +19.8%), instead </w:t>
      </w:r>
      <w:r w:rsidRPr="006B5D93">
        <w:t xml:space="preserve"> </w:t>
      </w:r>
      <w:r w:rsidR="00A466BF">
        <w:t xml:space="preserve">population is observed to increase across all the cities </w:t>
      </w:r>
      <w:r w:rsidR="00FD70C6">
        <w:t xml:space="preserve">and increases at the same rate in areas where </w:t>
      </w:r>
      <w:r w:rsidR="00A5161C">
        <w:t xml:space="preserve">waste presence is seen to increase and other areas where waste presence is observed to decrease. </w:t>
      </w:r>
      <w:r w:rsidR="0095094C">
        <w:t xml:space="preserve">Population may be interpreted as a general </w:t>
      </w:r>
      <w:r w:rsidR="003E7383">
        <w:t>co-trend of urbanisation which results in an increased</w:t>
      </w:r>
      <w:r w:rsidR="00076AAA">
        <w:t xml:space="preserve"> amount of</w:t>
      </w:r>
      <w:r w:rsidR="003E7383">
        <w:t xml:space="preserve"> surficial waste</w:t>
      </w:r>
      <w:r w:rsidR="00076AAA">
        <w:t xml:space="preserve"> rather than influencing where specifically waste </w:t>
      </w:r>
      <w:r w:rsidR="001120F0">
        <w:t xml:space="preserve">increases/decreases. </w:t>
      </w:r>
    </w:p>
    <w:p w14:paraId="7B05E36D" w14:textId="49046699" w:rsidR="00EB25CF" w:rsidRPr="00872323" w:rsidRDefault="00EB25CF" w:rsidP="00EB25CF">
      <w:pPr>
        <w:pStyle w:val="Heading3"/>
        <w:rPr>
          <w:sz w:val="22"/>
          <w:szCs w:val="22"/>
        </w:rPr>
      </w:pPr>
      <w:r w:rsidRPr="00872323">
        <w:rPr>
          <w:sz w:val="22"/>
          <w:szCs w:val="22"/>
        </w:rPr>
        <w:t xml:space="preserve">NTL </w:t>
      </w:r>
      <w:r w:rsidR="00872323" w:rsidRPr="00872323">
        <w:rPr>
          <w:sz w:val="22"/>
          <w:szCs w:val="22"/>
        </w:rPr>
        <w:t>–</w:t>
      </w:r>
      <w:r w:rsidRPr="00872323">
        <w:rPr>
          <w:sz w:val="22"/>
          <w:szCs w:val="22"/>
        </w:rPr>
        <w:t xml:space="preserve"> </w:t>
      </w:r>
      <w:r w:rsidR="00872323" w:rsidRPr="00872323">
        <w:rPr>
          <w:sz w:val="22"/>
          <w:szCs w:val="22"/>
        </w:rPr>
        <w:t xml:space="preserve">modest, consistent differentiation </w:t>
      </w:r>
    </w:p>
    <w:p w14:paraId="7422CD7A" w14:textId="2650696B" w:rsidR="003F1920" w:rsidRDefault="004514C3" w:rsidP="004514C3">
      <w:r w:rsidRPr="00657F87">
        <w:t>NTL</w:t>
      </w:r>
      <w:r w:rsidR="00E17E61">
        <w:t xml:space="preserve"> radiance is observed to increase city-wide</w:t>
      </w:r>
      <w:r w:rsidR="003F1920">
        <w:t xml:space="preserve"> on average, however, </w:t>
      </w:r>
      <w:r w:rsidR="001C46AE">
        <w:t xml:space="preserve">areas where waste is observed to increase </w:t>
      </w:r>
      <w:r w:rsidR="00906356">
        <w:t xml:space="preserve">reflect an </w:t>
      </w:r>
      <w:r w:rsidR="001D7C82">
        <w:t xml:space="preserve">average </w:t>
      </w:r>
      <w:r w:rsidR="00906356">
        <w:t xml:space="preserve">increase in NTL of </w:t>
      </w:r>
      <w:r w:rsidR="004F1093">
        <w:t xml:space="preserve">80.2%, compared to areas where waste is observed to decrease </w:t>
      </w:r>
      <w:r w:rsidR="008416C5">
        <w:t xml:space="preserve">(58.9%). </w:t>
      </w:r>
      <w:r w:rsidR="00DC52D1">
        <w:t xml:space="preserve">This is driven </w:t>
      </w:r>
      <w:r w:rsidR="00621B98" w:rsidRPr="00621B98">
        <w:t>substantially by Dakar (+188.2%) and Kampala (+176.5%), with Nairobi (+66.6%) and Maputo (+34.9%) showing the same direction more modestly.</w:t>
      </w:r>
      <w:r w:rsidR="00621B98">
        <w:t xml:space="preserve"> This trend indicates that waste </w:t>
      </w:r>
      <w:r w:rsidR="00CD20FC">
        <w:t xml:space="preserve">in </w:t>
      </w:r>
      <w:r w:rsidR="00A70873">
        <w:t xml:space="preserve">specific areas of the city, in particular, </w:t>
      </w:r>
      <w:r w:rsidR="00FD03CF">
        <w:t xml:space="preserve">where is it seen to increase is a by-product of </w:t>
      </w:r>
      <w:r w:rsidR="00F447F1">
        <w:t>material consumption.</w:t>
      </w:r>
    </w:p>
    <w:p w14:paraId="4BD1D0E8" w14:textId="6F07C797" w:rsidR="004514C3" w:rsidRPr="0007567E" w:rsidRDefault="0007567E" w:rsidP="0007567E">
      <w:pPr>
        <w:pStyle w:val="Heading3"/>
        <w:rPr>
          <w:sz w:val="22"/>
          <w:szCs w:val="22"/>
        </w:rPr>
      </w:pPr>
      <w:r w:rsidRPr="0007567E">
        <w:rPr>
          <w:sz w:val="22"/>
          <w:szCs w:val="22"/>
        </w:rPr>
        <w:t>Slum probability</w:t>
      </w:r>
    </w:p>
    <w:p w14:paraId="73BBE9AA" w14:textId="748F42BC" w:rsidR="00872323" w:rsidRPr="00872323" w:rsidRDefault="007D779A" w:rsidP="00872323">
      <w:r>
        <w:t xml:space="preserve">Across the 10 cities, slum </w:t>
      </w:r>
      <w:r w:rsidR="006D4697">
        <w:t>probability is observed to increase on average</w:t>
      </w:r>
      <w:r w:rsidR="00450731">
        <w:t xml:space="preserve">, with </w:t>
      </w:r>
      <w:r w:rsidR="00092A2A">
        <w:t xml:space="preserve">modest differentiation observed between areas of waste growth and decline. </w:t>
      </w:r>
      <w:r w:rsidR="00962DA6">
        <w:t xml:space="preserve">Areas where waste growth is observed to increase see a substantial increase slum probability </w:t>
      </w:r>
      <w:r w:rsidR="00C533E5" w:rsidRPr="00C533E5">
        <w:t>(+13.7%) versus</w:t>
      </w:r>
      <w:r w:rsidR="00C533E5">
        <w:t xml:space="preserve"> areas where </w:t>
      </w:r>
      <w:r w:rsidR="0060235E">
        <w:t>waste is observed to decrease</w:t>
      </w:r>
      <w:r w:rsidR="005350E9">
        <w:t xml:space="preserve"> (+1.6%).</w:t>
      </w:r>
    </w:p>
    <w:p w14:paraId="62185B90" w14:textId="77777777" w:rsidR="00A466BF" w:rsidRDefault="00A466BF" w:rsidP="00D57BD8"/>
    <w:p w14:paraId="1C041E00" w14:textId="13FF11B7" w:rsidR="004B1D73" w:rsidRDefault="00CD0D95" w:rsidP="00CD0D95">
      <w:pPr>
        <w:pStyle w:val="Heading3"/>
        <w:rPr>
          <w:sz w:val="22"/>
          <w:szCs w:val="22"/>
          <w:lang w:val="en-US"/>
        </w:rPr>
      </w:pPr>
      <w:r w:rsidRPr="00CD0D95">
        <w:rPr>
          <w:sz w:val="22"/>
          <w:szCs w:val="22"/>
          <w:lang w:val="en-US"/>
        </w:rPr>
        <w:lastRenderedPageBreak/>
        <w:t xml:space="preserve">Infrastructure distance </w:t>
      </w:r>
    </w:p>
    <w:p w14:paraId="7A54E67B" w14:textId="77777777" w:rsidR="00991A33" w:rsidRDefault="00D45443" w:rsidP="00CD0D95">
      <w:pPr>
        <w:rPr>
          <w:lang w:val="en-US"/>
        </w:rPr>
      </w:pPr>
      <w:r>
        <w:rPr>
          <w:lang w:val="en-US"/>
        </w:rPr>
        <w:t xml:space="preserve">Proximity to infrastructure </w:t>
      </w:r>
      <w:r w:rsidR="00247A66">
        <w:rPr>
          <w:lang w:val="en-US"/>
        </w:rPr>
        <w:t>displays the strongest, most internally consistent signal</w:t>
      </w:r>
      <w:r w:rsidR="00837DEB">
        <w:rPr>
          <w:lang w:val="en-US"/>
        </w:rPr>
        <w:t xml:space="preserve"> between areas of waste growth and </w:t>
      </w:r>
      <w:r w:rsidR="00A44A40">
        <w:rPr>
          <w:lang w:val="en-US"/>
        </w:rPr>
        <w:t>decline</w:t>
      </w:r>
      <w:r w:rsidR="00FC0F56">
        <w:rPr>
          <w:lang w:val="en-US"/>
        </w:rPr>
        <w:t xml:space="preserve">. Globally, proximity to major infrastructure is observed to decrease </w:t>
      </w:r>
      <w:r w:rsidR="00C1507C">
        <w:rPr>
          <w:lang w:val="en-US"/>
        </w:rPr>
        <w:t>across the 8-year period</w:t>
      </w:r>
      <w:r w:rsidR="006D532D">
        <w:rPr>
          <w:lang w:val="en-US"/>
        </w:rPr>
        <w:t xml:space="preserve">, with waste presence increasing </w:t>
      </w:r>
      <w:r w:rsidR="004E7516">
        <w:rPr>
          <w:lang w:val="en-US"/>
        </w:rPr>
        <w:t xml:space="preserve">closer to major infrastructure. </w:t>
      </w:r>
      <w:r w:rsidR="00A9108C">
        <w:rPr>
          <w:lang w:val="en-US"/>
        </w:rPr>
        <w:t xml:space="preserve">This pattern is accentuated in areas of waste growth and decline, with </w:t>
      </w:r>
      <w:r w:rsidR="008E1585">
        <w:rPr>
          <w:lang w:val="en-US"/>
        </w:rPr>
        <w:t>areas of waste growth displaying a notable decrease in proximity to infrastructure (-9.2%)</w:t>
      </w:r>
      <w:r w:rsidR="00AA05C0">
        <w:rPr>
          <w:lang w:val="en-US"/>
        </w:rPr>
        <w:t xml:space="preserve"> compared to areas of waste decline (-4.7%).</w:t>
      </w:r>
      <w:r w:rsidR="00397E9C">
        <w:rPr>
          <w:lang w:val="en-US"/>
        </w:rPr>
        <w:t xml:space="preserve"> </w:t>
      </w:r>
    </w:p>
    <w:p w14:paraId="35062FCF" w14:textId="27495CD2" w:rsidR="00CD0D95" w:rsidRDefault="00397E9C" w:rsidP="00CD0D95">
      <w:r>
        <w:rPr>
          <w:lang w:val="en-US"/>
        </w:rPr>
        <w:t xml:space="preserve">The exceptions to this are Kinshasa, where </w:t>
      </w:r>
      <w:r w:rsidR="00991A33">
        <w:rPr>
          <w:lang w:val="en-US"/>
        </w:rPr>
        <w:t>pro</w:t>
      </w:r>
      <w:r w:rsidR="002705DD">
        <w:rPr>
          <w:lang w:val="en-US"/>
        </w:rPr>
        <w:t xml:space="preserve">ximity to infrastructure is similar in waste growth and non-growth areas </w:t>
      </w:r>
      <w:r w:rsidR="002705DD" w:rsidRPr="002705DD">
        <w:t>(−17.2% vs −16.9%)</w:t>
      </w:r>
      <w:r w:rsidR="002705DD">
        <w:t xml:space="preserve"> and Nairobi, where </w:t>
      </w:r>
      <w:r w:rsidR="000C3AED">
        <w:t xml:space="preserve">infrastructure proximity </w:t>
      </w:r>
      <w:r w:rsidR="005A222F">
        <w:t>is stable across 2016-2024.</w:t>
      </w:r>
    </w:p>
    <w:p w14:paraId="2FF476AB" w14:textId="5B2D191D" w:rsidR="005A222F" w:rsidRPr="00606B66" w:rsidRDefault="00606B66" w:rsidP="00606B66">
      <w:pPr>
        <w:pStyle w:val="Heading3"/>
        <w:rPr>
          <w:sz w:val="22"/>
          <w:szCs w:val="22"/>
          <w:lang w:val="en-US"/>
        </w:rPr>
      </w:pPr>
      <w:r w:rsidRPr="00606B66">
        <w:rPr>
          <w:sz w:val="22"/>
          <w:szCs w:val="22"/>
        </w:rPr>
        <w:t>Road connectivity</w:t>
      </w:r>
    </w:p>
    <w:p w14:paraId="202D2A8F" w14:textId="7CD2ADAD" w:rsidR="000809CF" w:rsidRDefault="002468B3">
      <w:r>
        <w:t>A</w:t>
      </w:r>
      <w:r w:rsidR="007C340B">
        <w:t xml:space="preserve"> more modest </w:t>
      </w:r>
      <w:r w:rsidR="00D62502">
        <w:t xml:space="preserve">increase in </w:t>
      </w:r>
      <w:r w:rsidR="002A4968">
        <w:t xml:space="preserve">road-connectivity is observed in areas where </w:t>
      </w:r>
      <w:r w:rsidR="006875E5">
        <w:t xml:space="preserve">waste has </w:t>
      </w:r>
      <w:r>
        <w:t>been observed to increase</w:t>
      </w:r>
      <w:r w:rsidR="00AD58C4">
        <w:t xml:space="preserve"> (mean: 8.4%)</w:t>
      </w:r>
      <w:r>
        <w:t xml:space="preserve"> compared to where it has observed to </w:t>
      </w:r>
      <w:r w:rsidR="00AD58C4">
        <w:t>decline</w:t>
      </w:r>
      <w:r w:rsidR="00751DD4">
        <w:t xml:space="preserve"> </w:t>
      </w:r>
      <w:r w:rsidR="006B58FE">
        <w:t>(7.2).</w:t>
      </w:r>
    </w:p>
    <w:p w14:paraId="3375AE9A" w14:textId="77777777" w:rsidR="00A61F8F" w:rsidRDefault="00A61F8F" w:rsidP="007F2C37">
      <w:pPr>
        <w:pStyle w:val="Heading3"/>
        <w:rPr>
          <w:sz w:val="22"/>
          <w:szCs w:val="22"/>
        </w:rPr>
      </w:pPr>
      <w:r w:rsidRPr="00A61F8F">
        <w:rPr>
          <w:sz w:val="22"/>
          <w:szCs w:val="22"/>
        </w:rPr>
        <w:t>Building density</w:t>
      </w:r>
    </w:p>
    <w:p w14:paraId="44BB3726" w14:textId="14EE08CB" w:rsidR="00F0219A" w:rsidRDefault="00B63F6B" w:rsidP="0077033A">
      <w:r>
        <w:t>Across all predictors, b</w:t>
      </w:r>
      <w:r w:rsidR="00123F51">
        <w:t xml:space="preserve">uilding density </w:t>
      </w:r>
      <w:r>
        <w:t>(+0.262)</w:t>
      </w:r>
      <w:r w:rsidR="00FC58B0">
        <w:t xml:space="preserve"> </w:t>
      </w:r>
      <w:r w:rsidR="00B97BF9">
        <w:t>is most strongly associated within cells where growth is observed</w:t>
      </w:r>
      <w:r>
        <w:t xml:space="preserve">, behind arterial </w:t>
      </w:r>
      <w:r w:rsidR="00902F1C">
        <w:t>roads (+0.256)</w:t>
      </w:r>
      <w:r w:rsidR="006C5257">
        <w:t xml:space="preserve"> across all cities. </w:t>
      </w:r>
    </w:p>
    <w:p w14:paraId="0DE848D3" w14:textId="77777777" w:rsidR="00155435" w:rsidRDefault="00F0219A" w:rsidP="00817D37">
      <w:pPr>
        <w:rPr>
          <w:b/>
          <w:bCs/>
        </w:rPr>
      </w:pPr>
      <w:r w:rsidRPr="00F0219A">
        <w:t>Building density increases substantially in Growth areas across all 10 cities (mean +36.3%, median +34.0%, 10/10 cities positive)</w:t>
      </w:r>
      <w:r w:rsidR="00817D37">
        <w:t xml:space="preserve">. </w:t>
      </w:r>
      <w:r w:rsidR="00653559" w:rsidRPr="00653559">
        <w:t>Kampala, Abidjan, and Accra show the strongest increases (47.3%, 45.2%, 74.3%), while Maputo and Dakar show the most modest (11.7%, 24.8%).</w:t>
      </w:r>
      <w:r w:rsidR="00653559">
        <w:t xml:space="preserve"> </w:t>
      </w:r>
      <w:r w:rsidR="001F5BFD" w:rsidRPr="001F5BFD">
        <w:t xml:space="preserve">Notably, Growth's increase exceeds Decline's in </w:t>
      </w:r>
      <w:r w:rsidR="001F5BFD" w:rsidRPr="001F5BFD">
        <w:rPr>
          <w:b/>
          <w:bCs/>
        </w:rPr>
        <w:t>all 10 of 10 cities</w:t>
      </w:r>
      <w:r w:rsidR="00155435">
        <w:rPr>
          <w:b/>
          <w:bCs/>
        </w:rPr>
        <w:t xml:space="preserve">. </w:t>
      </w:r>
    </w:p>
    <w:tbl>
      <w:tblPr>
        <w:tblW w:w="5665" w:type="dxa"/>
        <w:tblLook w:val="04A0" w:firstRow="1" w:lastRow="0" w:firstColumn="1" w:lastColumn="0" w:noHBand="0" w:noVBand="1"/>
      </w:tblPr>
      <w:tblGrid>
        <w:gridCol w:w="1433"/>
        <w:gridCol w:w="1397"/>
        <w:gridCol w:w="1276"/>
        <w:gridCol w:w="1559"/>
      </w:tblGrid>
      <w:tr w:rsidR="004204D5" w:rsidRPr="004204D5" w14:paraId="59FBE59D" w14:textId="77777777" w:rsidTr="004204D5">
        <w:trPr>
          <w:trHeight w:val="288"/>
        </w:trPr>
        <w:tc>
          <w:tcPr>
            <w:tcW w:w="1433" w:type="dxa"/>
            <w:tcBorders>
              <w:top w:val="single" w:sz="4" w:space="0" w:color="auto"/>
              <w:left w:val="single" w:sz="4" w:space="0" w:color="auto"/>
              <w:bottom w:val="single" w:sz="4" w:space="0" w:color="auto"/>
              <w:right w:val="single" w:sz="4" w:space="0" w:color="auto"/>
            </w:tcBorders>
            <w:shd w:val="clear" w:color="auto" w:fill="D1D1D1" w:themeFill="background2" w:themeFillShade="E6"/>
            <w:noWrap/>
            <w:vAlign w:val="bottom"/>
            <w:hideMark/>
          </w:tcPr>
          <w:p w14:paraId="31BD7B6D" w14:textId="77777777" w:rsidR="004204D5" w:rsidRPr="004204D5" w:rsidRDefault="004204D5" w:rsidP="004204D5">
            <w:pPr>
              <w:spacing w:after="0" w:line="240" w:lineRule="auto"/>
              <w:rPr>
                <w:rFonts w:ascii="Aptos Narrow" w:eastAsia="Times New Roman" w:hAnsi="Aptos Narrow" w:cs="Times New Roman"/>
                <w:b/>
                <w:bCs/>
                <w:color w:val="000000"/>
                <w:kern w:val="0"/>
                <w:lang w:eastAsia="en-GB"/>
                <w14:ligatures w14:val="none"/>
              </w:rPr>
            </w:pPr>
            <w:r w:rsidRPr="004204D5">
              <w:rPr>
                <w:rFonts w:ascii="Aptos Narrow" w:eastAsia="Times New Roman" w:hAnsi="Aptos Narrow" w:cs="Times New Roman"/>
                <w:b/>
                <w:bCs/>
                <w:color w:val="000000"/>
                <w:kern w:val="0"/>
                <w:lang w:eastAsia="en-GB"/>
                <w14:ligatures w14:val="none"/>
              </w:rPr>
              <w:t>City</w:t>
            </w:r>
          </w:p>
        </w:tc>
        <w:tc>
          <w:tcPr>
            <w:tcW w:w="1397" w:type="dxa"/>
            <w:tcBorders>
              <w:top w:val="single" w:sz="4" w:space="0" w:color="auto"/>
              <w:left w:val="nil"/>
              <w:bottom w:val="single" w:sz="4" w:space="0" w:color="auto"/>
              <w:right w:val="single" w:sz="4" w:space="0" w:color="auto"/>
            </w:tcBorders>
            <w:shd w:val="clear" w:color="auto" w:fill="D1D1D1" w:themeFill="background2" w:themeFillShade="E6"/>
            <w:noWrap/>
            <w:vAlign w:val="bottom"/>
            <w:hideMark/>
          </w:tcPr>
          <w:p w14:paraId="4D34DF1C" w14:textId="77777777" w:rsidR="004204D5" w:rsidRPr="004204D5" w:rsidRDefault="004204D5" w:rsidP="004204D5">
            <w:pPr>
              <w:spacing w:after="0" w:line="240" w:lineRule="auto"/>
              <w:rPr>
                <w:rFonts w:ascii="Aptos Narrow" w:eastAsia="Times New Roman" w:hAnsi="Aptos Narrow" w:cs="Times New Roman"/>
                <w:b/>
                <w:bCs/>
                <w:color w:val="000000"/>
                <w:kern w:val="0"/>
                <w:lang w:eastAsia="en-GB"/>
                <w14:ligatures w14:val="none"/>
              </w:rPr>
            </w:pPr>
            <w:r w:rsidRPr="004204D5">
              <w:rPr>
                <w:rFonts w:ascii="Aptos Narrow" w:eastAsia="Times New Roman" w:hAnsi="Aptos Narrow" w:cs="Times New Roman"/>
                <w:b/>
                <w:bCs/>
                <w:color w:val="000000"/>
                <w:kern w:val="0"/>
                <w:lang w:eastAsia="en-GB"/>
                <w14:ligatures w14:val="none"/>
              </w:rPr>
              <w:t>Decline (%)</w:t>
            </w:r>
          </w:p>
        </w:tc>
        <w:tc>
          <w:tcPr>
            <w:tcW w:w="1276" w:type="dxa"/>
            <w:tcBorders>
              <w:top w:val="single" w:sz="4" w:space="0" w:color="auto"/>
              <w:left w:val="nil"/>
              <w:bottom w:val="single" w:sz="4" w:space="0" w:color="auto"/>
              <w:right w:val="single" w:sz="4" w:space="0" w:color="auto"/>
            </w:tcBorders>
            <w:shd w:val="clear" w:color="auto" w:fill="D1D1D1" w:themeFill="background2" w:themeFillShade="E6"/>
            <w:noWrap/>
            <w:vAlign w:val="bottom"/>
            <w:hideMark/>
          </w:tcPr>
          <w:p w14:paraId="00601F33" w14:textId="77777777" w:rsidR="004204D5" w:rsidRPr="004204D5" w:rsidRDefault="004204D5" w:rsidP="004204D5">
            <w:pPr>
              <w:spacing w:after="0" w:line="240" w:lineRule="auto"/>
              <w:rPr>
                <w:rFonts w:ascii="Aptos Narrow" w:eastAsia="Times New Roman" w:hAnsi="Aptos Narrow" w:cs="Times New Roman"/>
                <w:b/>
                <w:bCs/>
                <w:color w:val="000000"/>
                <w:kern w:val="0"/>
                <w:lang w:eastAsia="en-GB"/>
                <w14:ligatures w14:val="none"/>
              </w:rPr>
            </w:pPr>
            <w:r w:rsidRPr="004204D5">
              <w:rPr>
                <w:rFonts w:ascii="Aptos Narrow" w:eastAsia="Times New Roman" w:hAnsi="Aptos Narrow" w:cs="Times New Roman"/>
                <w:b/>
                <w:bCs/>
                <w:color w:val="000000"/>
                <w:kern w:val="0"/>
                <w:lang w:eastAsia="en-GB"/>
                <w14:ligatures w14:val="none"/>
              </w:rPr>
              <w:t>Growth (%)</w:t>
            </w:r>
          </w:p>
        </w:tc>
        <w:tc>
          <w:tcPr>
            <w:tcW w:w="1559" w:type="dxa"/>
            <w:tcBorders>
              <w:top w:val="single" w:sz="4" w:space="0" w:color="auto"/>
              <w:left w:val="nil"/>
              <w:bottom w:val="single" w:sz="4" w:space="0" w:color="auto"/>
              <w:right w:val="single" w:sz="4" w:space="0" w:color="auto"/>
            </w:tcBorders>
            <w:shd w:val="clear" w:color="auto" w:fill="D1D1D1" w:themeFill="background2" w:themeFillShade="E6"/>
            <w:noWrap/>
            <w:vAlign w:val="bottom"/>
            <w:hideMark/>
          </w:tcPr>
          <w:p w14:paraId="02999BD5" w14:textId="77777777" w:rsidR="004204D5" w:rsidRPr="004204D5" w:rsidRDefault="004204D5" w:rsidP="004204D5">
            <w:pPr>
              <w:spacing w:after="0" w:line="240" w:lineRule="auto"/>
              <w:rPr>
                <w:rFonts w:ascii="Aptos Narrow" w:eastAsia="Times New Roman" w:hAnsi="Aptos Narrow" w:cs="Times New Roman"/>
                <w:b/>
                <w:bCs/>
                <w:color w:val="000000"/>
                <w:kern w:val="0"/>
                <w:lang w:eastAsia="en-GB"/>
                <w14:ligatures w14:val="none"/>
              </w:rPr>
            </w:pPr>
            <w:r w:rsidRPr="004204D5">
              <w:rPr>
                <w:rFonts w:ascii="Aptos Narrow" w:eastAsia="Times New Roman" w:hAnsi="Aptos Narrow" w:cs="Times New Roman"/>
                <w:b/>
                <w:bCs/>
                <w:color w:val="000000"/>
                <w:kern w:val="0"/>
                <w:lang w:eastAsia="en-GB"/>
                <w14:ligatures w14:val="none"/>
              </w:rPr>
              <w:t>Growth Larger</w:t>
            </w:r>
          </w:p>
        </w:tc>
      </w:tr>
      <w:tr w:rsidR="004204D5" w:rsidRPr="004204D5" w14:paraId="0A39DCCC" w14:textId="77777777" w:rsidTr="004204D5">
        <w:trPr>
          <w:trHeight w:val="288"/>
        </w:trPr>
        <w:tc>
          <w:tcPr>
            <w:tcW w:w="1433" w:type="dxa"/>
            <w:tcBorders>
              <w:top w:val="nil"/>
              <w:left w:val="single" w:sz="4" w:space="0" w:color="auto"/>
              <w:bottom w:val="single" w:sz="4" w:space="0" w:color="auto"/>
              <w:right w:val="single" w:sz="4" w:space="0" w:color="auto"/>
            </w:tcBorders>
            <w:noWrap/>
            <w:vAlign w:val="bottom"/>
            <w:hideMark/>
          </w:tcPr>
          <w:p w14:paraId="2FA498D5" w14:textId="77777777" w:rsidR="004204D5" w:rsidRPr="004204D5" w:rsidRDefault="004204D5" w:rsidP="004204D5">
            <w:pPr>
              <w:spacing w:after="0" w:line="240" w:lineRule="auto"/>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Abidjan</w:t>
            </w:r>
          </w:p>
        </w:tc>
        <w:tc>
          <w:tcPr>
            <w:tcW w:w="1397" w:type="dxa"/>
            <w:tcBorders>
              <w:top w:val="nil"/>
              <w:left w:val="nil"/>
              <w:bottom w:val="single" w:sz="4" w:space="0" w:color="auto"/>
              <w:right w:val="single" w:sz="4" w:space="0" w:color="auto"/>
            </w:tcBorders>
            <w:noWrap/>
            <w:vAlign w:val="bottom"/>
            <w:hideMark/>
          </w:tcPr>
          <w:p w14:paraId="5887F101"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26.7</w:t>
            </w:r>
          </w:p>
        </w:tc>
        <w:tc>
          <w:tcPr>
            <w:tcW w:w="1276" w:type="dxa"/>
            <w:tcBorders>
              <w:top w:val="nil"/>
              <w:left w:val="nil"/>
              <w:bottom w:val="single" w:sz="4" w:space="0" w:color="auto"/>
              <w:right w:val="single" w:sz="4" w:space="0" w:color="auto"/>
            </w:tcBorders>
            <w:noWrap/>
            <w:vAlign w:val="bottom"/>
            <w:hideMark/>
          </w:tcPr>
          <w:p w14:paraId="72359418"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45.2</w:t>
            </w:r>
          </w:p>
        </w:tc>
        <w:tc>
          <w:tcPr>
            <w:tcW w:w="1559" w:type="dxa"/>
            <w:tcBorders>
              <w:top w:val="nil"/>
              <w:left w:val="nil"/>
              <w:bottom w:val="single" w:sz="4" w:space="0" w:color="auto"/>
              <w:right w:val="single" w:sz="4" w:space="0" w:color="auto"/>
            </w:tcBorders>
            <w:noWrap/>
            <w:vAlign w:val="bottom"/>
            <w:hideMark/>
          </w:tcPr>
          <w:p w14:paraId="0C7F49AB"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TRUE</w:t>
            </w:r>
          </w:p>
        </w:tc>
      </w:tr>
      <w:tr w:rsidR="004204D5" w:rsidRPr="004204D5" w14:paraId="37567969" w14:textId="77777777" w:rsidTr="004204D5">
        <w:trPr>
          <w:trHeight w:val="288"/>
        </w:trPr>
        <w:tc>
          <w:tcPr>
            <w:tcW w:w="1433" w:type="dxa"/>
            <w:tcBorders>
              <w:top w:val="nil"/>
              <w:left w:val="single" w:sz="4" w:space="0" w:color="auto"/>
              <w:bottom w:val="single" w:sz="4" w:space="0" w:color="auto"/>
              <w:right w:val="single" w:sz="4" w:space="0" w:color="auto"/>
            </w:tcBorders>
            <w:noWrap/>
            <w:vAlign w:val="bottom"/>
            <w:hideMark/>
          </w:tcPr>
          <w:p w14:paraId="68D83002" w14:textId="77777777" w:rsidR="004204D5" w:rsidRPr="004204D5" w:rsidRDefault="004204D5" w:rsidP="004204D5">
            <w:pPr>
              <w:spacing w:after="0" w:line="240" w:lineRule="auto"/>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Accra</w:t>
            </w:r>
          </w:p>
        </w:tc>
        <w:tc>
          <w:tcPr>
            <w:tcW w:w="1397" w:type="dxa"/>
            <w:tcBorders>
              <w:top w:val="nil"/>
              <w:left w:val="nil"/>
              <w:bottom w:val="single" w:sz="4" w:space="0" w:color="auto"/>
              <w:right w:val="single" w:sz="4" w:space="0" w:color="auto"/>
            </w:tcBorders>
            <w:noWrap/>
            <w:vAlign w:val="bottom"/>
            <w:hideMark/>
          </w:tcPr>
          <w:p w14:paraId="48B6BBE1"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64.5</w:t>
            </w:r>
          </w:p>
        </w:tc>
        <w:tc>
          <w:tcPr>
            <w:tcW w:w="1276" w:type="dxa"/>
            <w:tcBorders>
              <w:top w:val="nil"/>
              <w:left w:val="nil"/>
              <w:bottom w:val="single" w:sz="4" w:space="0" w:color="auto"/>
              <w:right w:val="single" w:sz="4" w:space="0" w:color="auto"/>
            </w:tcBorders>
            <w:noWrap/>
            <w:vAlign w:val="bottom"/>
            <w:hideMark/>
          </w:tcPr>
          <w:p w14:paraId="255289F2"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74.3</w:t>
            </w:r>
          </w:p>
        </w:tc>
        <w:tc>
          <w:tcPr>
            <w:tcW w:w="1559" w:type="dxa"/>
            <w:tcBorders>
              <w:top w:val="nil"/>
              <w:left w:val="nil"/>
              <w:bottom w:val="single" w:sz="4" w:space="0" w:color="auto"/>
              <w:right w:val="single" w:sz="4" w:space="0" w:color="auto"/>
            </w:tcBorders>
            <w:noWrap/>
            <w:vAlign w:val="bottom"/>
            <w:hideMark/>
          </w:tcPr>
          <w:p w14:paraId="6A82CF45"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TRUE</w:t>
            </w:r>
          </w:p>
        </w:tc>
      </w:tr>
      <w:tr w:rsidR="004204D5" w:rsidRPr="004204D5" w14:paraId="0409D4F0" w14:textId="77777777" w:rsidTr="004204D5">
        <w:trPr>
          <w:trHeight w:val="288"/>
        </w:trPr>
        <w:tc>
          <w:tcPr>
            <w:tcW w:w="1433" w:type="dxa"/>
            <w:tcBorders>
              <w:top w:val="nil"/>
              <w:left w:val="single" w:sz="4" w:space="0" w:color="auto"/>
              <w:bottom w:val="single" w:sz="4" w:space="0" w:color="auto"/>
              <w:right w:val="single" w:sz="4" w:space="0" w:color="auto"/>
            </w:tcBorders>
            <w:noWrap/>
            <w:vAlign w:val="bottom"/>
            <w:hideMark/>
          </w:tcPr>
          <w:p w14:paraId="0B7C87D7" w14:textId="77777777" w:rsidR="004204D5" w:rsidRPr="004204D5" w:rsidRDefault="004204D5" w:rsidP="004204D5">
            <w:pPr>
              <w:spacing w:after="0" w:line="240" w:lineRule="auto"/>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Dakar</w:t>
            </w:r>
          </w:p>
        </w:tc>
        <w:tc>
          <w:tcPr>
            <w:tcW w:w="1397" w:type="dxa"/>
            <w:tcBorders>
              <w:top w:val="nil"/>
              <w:left w:val="nil"/>
              <w:bottom w:val="single" w:sz="4" w:space="0" w:color="auto"/>
              <w:right w:val="single" w:sz="4" w:space="0" w:color="auto"/>
            </w:tcBorders>
            <w:noWrap/>
            <w:vAlign w:val="bottom"/>
            <w:hideMark/>
          </w:tcPr>
          <w:p w14:paraId="4373FCA7"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15.8</w:t>
            </w:r>
          </w:p>
        </w:tc>
        <w:tc>
          <w:tcPr>
            <w:tcW w:w="1276" w:type="dxa"/>
            <w:tcBorders>
              <w:top w:val="nil"/>
              <w:left w:val="nil"/>
              <w:bottom w:val="single" w:sz="4" w:space="0" w:color="auto"/>
              <w:right w:val="single" w:sz="4" w:space="0" w:color="auto"/>
            </w:tcBorders>
            <w:noWrap/>
            <w:vAlign w:val="bottom"/>
            <w:hideMark/>
          </w:tcPr>
          <w:p w14:paraId="53B05953"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24.8</w:t>
            </w:r>
          </w:p>
        </w:tc>
        <w:tc>
          <w:tcPr>
            <w:tcW w:w="1559" w:type="dxa"/>
            <w:tcBorders>
              <w:top w:val="nil"/>
              <w:left w:val="nil"/>
              <w:bottom w:val="single" w:sz="4" w:space="0" w:color="auto"/>
              <w:right w:val="single" w:sz="4" w:space="0" w:color="auto"/>
            </w:tcBorders>
            <w:noWrap/>
            <w:vAlign w:val="bottom"/>
            <w:hideMark/>
          </w:tcPr>
          <w:p w14:paraId="2F5FAA02"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TRUE</w:t>
            </w:r>
          </w:p>
        </w:tc>
      </w:tr>
      <w:tr w:rsidR="004204D5" w:rsidRPr="004204D5" w14:paraId="2C3845C2" w14:textId="77777777" w:rsidTr="004204D5">
        <w:trPr>
          <w:trHeight w:val="288"/>
        </w:trPr>
        <w:tc>
          <w:tcPr>
            <w:tcW w:w="1433" w:type="dxa"/>
            <w:tcBorders>
              <w:top w:val="nil"/>
              <w:left w:val="single" w:sz="4" w:space="0" w:color="auto"/>
              <w:bottom w:val="single" w:sz="4" w:space="0" w:color="auto"/>
              <w:right w:val="single" w:sz="4" w:space="0" w:color="auto"/>
            </w:tcBorders>
            <w:noWrap/>
            <w:vAlign w:val="bottom"/>
            <w:hideMark/>
          </w:tcPr>
          <w:p w14:paraId="083AB63C" w14:textId="77777777" w:rsidR="004204D5" w:rsidRPr="004204D5" w:rsidRDefault="004204D5" w:rsidP="004204D5">
            <w:pPr>
              <w:spacing w:after="0" w:line="240" w:lineRule="auto"/>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Freetown</w:t>
            </w:r>
          </w:p>
        </w:tc>
        <w:tc>
          <w:tcPr>
            <w:tcW w:w="1397" w:type="dxa"/>
            <w:tcBorders>
              <w:top w:val="nil"/>
              <w:left w:val="nil"/>
              <w:bottom w:val="single" w:sz="4" w:space="0" w:color="auto"/>
              <w:right w:val="single" w:sz="4" w:space="0" w:color="auto"/>
            </w:tcBorders>
            <w:noWrap/>
            <w:vAlign w:val="bottom"/>
            <w:hideMark/>
          </w:tcPr>
          <w:p w14:paraId="4F6DD45E"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26.3</w:t>
            </w:r>
          </w:p>
        </w:tc>
        <w:tc>
          <w:tcPr>
            <w:tcW w:w="1276" w:type="dxa"/>
            <w:tcBorders>
              <w:top w:val="nil"/>
              <w:left w:val="nil"/>
              <w:bottom w:val="single" w:sz="4" w:space="0" w:color="auto"/>
              <w:right w:val="single" w:sz="4" w:space="0" w:color="auto"/>
            </w:tcBorders>
            <w:noWrap/>
            <w:vAlign w:val="bottom"/>
            <w:hideMark/>
          </w:tcPr>
          <w:p w14:paraId="4378F94F"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28.2</w:t>
            </w:r>
          </w:p>
        </w:tc>
        <w:tc>
          <w:tcPr>
            <w:tcW w:w="1559" w:type="dxa"/>
            <w:tcBorders>
              <w:top w:val="nil"/>
              <w:left w:val="nil"/>
              <w:bottom w:val="single" w:sz="4" w:space="0" w:color="auto"/>
              <w:right w:val="single" w:sz="4" w:space="0" w:color="auto"/>
            </w:tcBorders>
            <w:noWrap/>
            <w:vAlign w:val="bottom"/>
            <w:hideMark/>
          </w:tcPr>
          <w:p w14:paraId="13011967"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TRUE</w:t>
            </w:r>
          </w:p>
        </w:tc>
      </w:tr>
      <w:tr w:rsidR="004204D5" w:rsidRPr="004204D5" w14:paraId="0B031993" w14:textId="77777777" w:rsidTr="004204D5">
        <w:trPr>
          <w:trHeight w:val="288"/>
        </w:trPr>
        <w:tc>
          <w:tcPr>
            <w:tcW w:w="1433" w:type="dxa"/>
            <w:tcBorders>
              <w:top w:val="nil"/>
              <w:left w:val="single" w:sz="4" w:space="0" w:color="auto"/>
              <w:bottom w:val="single" w:sz="4" w:space="0" w:color="auto"/>
              <w:right w:val="single" w:sz="4" w:space="0" w:color="auto"/>
            </w:tcBorders>
            <w:noWrap/>
            <w:vAlign w:val="bottom"/>
            <w:hideMark/>
          </w:tcPr>
          <w:p w14:paraId="05D8E5F1" w14:textId="77777777" w:rsidR="004204D5" w:rsidRPr="004204D5" w:rsidRDefault="004204D5" w:rsidP="004204D5">
            <w:pPr>
              <w:spacing w:after="0" w:line="240" w:lineRule="auto"/>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Johannesburg</w:t>
            </w:r>
          </w:p>
        </w:tc>
        <w:tc>
          <w:tcPr>
            <w:tcW w:w="1397" w:type="dxa"/>
            <w:tcBorders>
              <w:top w:val="nil"/>
              <w:left w:val="nil"/>
              <w:bottom w:val="single" w:sz="4" w:space="0" w:color="auto"/>
              <w:right w:val="single" w:sz="4" w:space="0" w:color="auto"/>
            </w:tcBorders>
            <w:noWrap/>
            <w:vAlign w:val="bottom"/>
            <w:hideMark/>
          </w:tcPr>
          <w:p w14:paraId="6CFA0672"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15.3</w:t>
            </w:r>
          </w:p>
        </w:tc>
        <w:tc>
          <w:tcPr>
            <w:tcW w:w="1276" w:type="dxa"/>
            <w:tcBorders>
              <w:top w:val="nil"/>
              <w:left w:val="nil"/>
              <w:bottom w:val="single" w:sz="4" w:space="0" w:color="auto"/>
              <w:right w:val="single" w:sz="4" w:space="0" w:color="auto"/>
            </w:tcBorders>
            <w:noWrap/>
            <w:vAlign w:val="bottom"/>
            <w:hideMark/>
          </w:tcPr>
          <w:p w14:paraId="4ED63096"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24</w:t>
            </w:r>
          </w:p>
        </w:tc>
        <w:tc>
          <w:tcPr>
            <w:tcW w:w="1559" w:type="dxa"/>
            <w:tcBorders>
              <w:top w:val="nil"/>
              <w:left w:val="nil"/>
              <w:bottom w:val="single" w:sz="4" w:space="0" w:color="auto"/>
              <w:right w:val="single" w:sz="4" w:space="0" w:color="auto"/>
            </w:tcBorders>
            <w:noWrap/>
            <w:vAlign w:val="bottom"/>
            <w:hideMark/>
          </w:tcPr>
          <w:p w14:paraId="0A12B6FF"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TRUE</w:t>
            </w:r>
          </w:p>
        </w:tc>
      </w:tr>
      <w:tr w:rsidR="004204D5" w:rsidRPr="004204D5" w14:paraId="0EE8A90E" w14:textId="77777777" w:rsidTr="004204D5">
        <w:trPr>
          <w:trHeight w:val="288"/>
        </w:trPr>
        <w:tc>
          <w:tcPr>
            <w:tcW w:w="1433" w:type="dxa"/>
            <w:tcBorders>
              <w:top w:val="nil"/>
              <w:left w:val="single" w:sz="4" w:space="0" w:color="auto"/>
              <w:bottom w:val="single" w:sz="4" w:space="0" w:color="auto"/>
              <w:right w:val="single" w:sz="4" w:space="0" w:color="auto"/>
            </w:tcBorders>
            <w:noWrap/>
            <w:vAlign w:val="bottom"/>
            <w:hideMark/>
          </w:tcPr>
          <w:p w14:paraId="10F8D414" w14:textId="77777777" w:rsidR="004204D5" w:rsidRPr="004204D5" w:rsidRDefault="004204D5" w:rsidP="004204D5">
            <w:pPr>
              <w:spacing w:after="0" w:line="240" w:lineRule="auto"/>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Kampala</w:t>
            </w:r>
          </w:p>
        </w:tc>
        <w:tc>
          <w:tcPr>
            <w:tcW w:w="1397" w:type="dxa"/>
            <w:tcBorders>
              <w:top w:val="nil"/>
              <w:left w:val="nil"/>
              <w:bottom w:val="single" w:sz="4" w:space="0" w:color="auto"/>
              <w:right w:val="single" w:sz="4" w:space="0" w:color="auto"/>
            </w:tcBorders>
            <w:noWrap/>
            <w:vAlign w:val="bottom"/>
            <w:hideMark/>
          </w:tcPr>
          <w:p w14:paraId="34ECB52B"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30.9</w:t>
            </w:r>
          </w:p>
        </w:tc>
        <w:tc>
          <w:tcPr>
            <w:tcW w:w="1276" w:type="dxa"/>
            <w:tcBorders>
              <w:top w:val="nil"/>
              <w:left w:val="nil"/>
              <w:bottom w:val="single" w:sz="4" w:space="0" w:color="auto"/>
              <w:right w:val="single" w:sz="4" w:space="0" w:color="auto"/>
            </w:tcBorders>
            <w:noWrap/>
            <w:vAlign w:val="bottom"/>
            <w:hideMark/>
          </w:tcPr>
          <w:p w14:paraId="77EF0B68"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47.3</w:t>
            </w:r>
          </w:p>
        </w:tc>
        <w:tc>
          <w:tcPr>
            <w:tcW w:w="1559" w:type="dxa"/>
            <w:tcBorders>
              <w:top w:val="nil"/>
              <w:left w:val="nil"/>
              <w:bottom w:val="single" w:sz="4" w:space="0" w:color="auto"/>
              <w:right w:val="single" w:sz="4" w:space="0" w:color="auto"/>
            </w:tcBorders>
            <w:noWrap/>
            <w:vAlign w:val="bottom"/>
            <w:hideMark/>
          </w:tcPr>
          <w:p w14:paraId="28959E5A"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TRUE</w:t>
            </w:r>
          </w:p>
        </w:tc>
      </w:tr>
      <w:tr w:rsidR="004204D5" w:rsidRPr="004204D5" w14:paraId="7B89283C" w14:textId="77777777" w:rsidTr="004204D5">
        <w:trPr>
          <w:trHeight w:val="288"/>
        </w:trPr>
        <w:tc>
          <w:tcPr>
            <w:tcW w:w="1433" w:type="dxa"/>
            <w:tcBorders>
              <w:top w:val="nil"/>
              <w:left w:val="single" w:sz="4" w:space="0" w:color="auto"/>
              <w:bottom w:val="single" w:sz="4" w:space="0" w:color="auto"/>
              <w:right w:val="single" w:sz="4" w:space="0" w:color="auto"/>
            </w:tcBorders>
            <w:noWrap/>
            <w:vAlign w:val="bottom"/>
            <w:hideMark/>
          </w:tcPr>
          <w:p w14:paraId="0EAA4712" w14:textId="77777777" w:rsidR="004204D5" w:rsidRPr="004204D5" w:rsidRDefault="004204D5" w:rsidP="004204D5">
            <w:pPr>
              <w:spacing w:after="0" w:line="240" w:lineRule="auto"/>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Kinshasa</w:t>
            </w:r>
          </w:p>
        </w:tc>
        <w:tc>
          <w:tcPr>
            <w:tcW w:w="1397" w:type="dxa"/>
            <w:tcBorders>
              <w:top w:val="nil"/>
              <w:left w:val="nil"/>
              <w:bottom w:val="single" w:sz="4" w:space="0" w:color="auto"/>
              <w:right w:val="single" w:sz="4" w:space="0" w:color="auto"/>
            </w:tcBorders>
            <w:noWrap/>
            <w:vAlign w:val="bottom"/>
            <w:hideMark/>
          </w:tcPr>
          <w:p w14:paraId="35752DDE"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32.6</w:t>
            </w:r>
          </w:p>
        </w:tc>
        <w:tc>
          <w:tcPr>
            <w:tcW w:w="1276" w:type="dxa"/>
            <w:tcBorders>
              <w:top w:val="nil"/>
              <w:left w:val="nil"/>
              <w:bottom w:val="single" w:sz="4" w:space="0" w:color="auto"/>
              <w:right w:val="single" w:sz="4" w:space="0" w:color="auto"/>
            </w:tcBorders>
            <w:noWrap/>
            <w:vAlign w:val="bottom"/>
            <w:hideMark/>
          </w:tcPr>
          <w:p w14:paraId="6B6D7D8E"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40.1</w:t>
            </w:r>
          </w:p>
        </w:tc>
        <w:tc>
          <w:tcPr>
            <w:tcW w:w="1559" w:type="dxa"/>
            <w:tcBorders>
              <w:top w:val="nil"/>
              <w:left w:val="nil"/>
              <w:bottom w:val="single" w:sz="4" w:space="0" w:color="auto"/>
              <w:right w:val="single" w:sz="4" w:space="0" w:color="auto"/>
            </w:tcBorders>
            <w:noWrap/>
            <w:vAlign w:val="bottom"/>
            <w:hideMark/>
          </w:tcPr>
          <w:p w14:paraId="62769D9B"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TRUE</w:t>
            </w:r>
          </w:p>
        </w:tc>
      </w:tr>
      <w:tr w:rsidR="004204D5" w:rsidRPr="004204D5" w14:paraId="443F27BE" w14:textId="77777777" w:rsidTr="004204D5">
        <w:trPr>
          <w:trHeight w:val="288"/>
        </w:trPr>
        <w:tc>
          <w:tcPr>
            <w:tcW w:w="1433" w:type="dxa"/>
            <w:tcBorders>
              <w:top w:val="nil"/>
              <w:left w:val="single" w:sz="4" w:space="0" w:color="auto"/>
              <w:bottom w:val="single" w:sz="4" w:space="0" w:color="auto"/>
              <w:right w:val="single" w:sz="4" w:space="0" w:color="auto"/>
            </w:tcBorders>
            <w:noWrap/>
            <w:vAlign w:val="bottom"/>
            <w:hideMark/>
          </w:tcPr>
          <w:p w14:paraId="57D97956" w14:textId="77777777" w:rsidR="004204D5" w:rsidRPr="004204D5" w:rsidRDefault="004204D5" w:rsidP="004204D5">
            <w:pPr>
              <w:spacing w:after="0" w:line="240" w:lineRule="auto"/>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Lagos</w:t>
            </w:r>
          </w:p>
        </w:tc>
        <w:tc>
          <w:tcPr>
            <w:tcW w:w="1397" w:type="dxa"/>
            <w:tcBorders>
              <w:top w:val="nil"/>
              <w:left w:val="nil"/>
              <w:bottom w:val="single" w:sz="4" w:space="0" w:color="auto"/>
              <w:right w:val="single" w:sz="4" w:space="0" w:color="auto"/>
            </w:tcBorders>
            <w:noWrap/>
            <w:vAlign w:val="bottom"/>
            <w:hideMark/>
          </w:tcPr>
          <w:p w14:paraId="4D10B5AD"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35</w:t>
            </w:r>
          </w:p>
        </w:tc>
        <w:tc>
          <w:tcPr>
            <w:tcW w:w="1276" w:type="dxa"/>
            <w:tcBorders>
              <w:top w:val="nil"/>
              <w:left w:val="nil"/>
              <w:bottom w:val="single" w:sz="4" w:space="0" w:color="auto"/>
              <w:right w:val="single" w:sz="4" w:space="0" w:color="auto"/>
            </w:tcBorders>
            <w:noWrap/>
            <w:vAlign w:val="bottom"/>
            <w:hideMark/>
          </w:tcPr>
          <w:p w14:paraId="15169B19"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39.4</w:t>
            </w:r>
          </w:p>
        </w:tc>
        <w:tc>
          <w:tcPr>
            <w:tcW w:w="1559" w:type="dxa"/>
            <w:tcBorders>
              <w:top w:val="nil"/>
              <w:left w:val="nil"/>
              <w:bottom w:val="single" w:sz="4" w:space="0" w:color="auto"/>
              <w:right w:val="single" w:sz="4" w:space="0" w:color="auto"/>
            </w:tcBorders>
            <w:noWrap/>
            <w:vAlign w:val="bottom"/>
            <w:hideMark/>
          </w:tcPr>
          <w:p w14:paraId="1F48BB1E"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TRUE</w:t>
            </w:r>
          </w:p>
        </w:tc>
      </w:tr>
      <w:tr w:rsidR="004204D5" w:rsidRPr="004204D5" w14:paraId="018771CD" w14:textId="77777777" w:rsidTr="004204D5">
        <w:trPr>
          <w:trHeight w:val="288"/>
        </w:trPr>
        <w:tc>
          <w:tcPr>
            <w:tcW w:w="1433" w:type="dxa"/>
            <w:tcBorders>
              <w:top w:val="nil"/>
              <w:left w:val="single" w:sz="4" w:space="0" w:color="auto"/>
              <w:bottom w:val="single" w:sz="4" w:space="0" w:color="auto"/>
              <w:right w:val="single" w:sz="4" w:space="0" w:color="auto"/>
            </w:tcBorders>
            <w:noWrap/>
            <w:vAlign w:val="bottom"/>
            <w:hideMark/>
          </w:tcPr>
          <w:p w14:paraId="45E4868E" w14:textId="77777777" w:rsidR="004204D5" w:rsidRPr="004204D5" w:rsidRDefault="004204D5" w:rsidP="004204D5">
            <w:pPr>
              <w:spacing w:after="0" w:line="240" w:lineRule="auto"/>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Maputo</w:t>
            </w:r>
          </w:p>
        </w:tc>
        <w:tc>
          <w:tcPr>
            <w:tcW w:w="1397" w:type="dxa"/>
            <w:tcBorders>
              <w:top w:val="nil"/>
              <w:left w:val="nil"/>
              <w:bottom w:val="single" w:sz="4" w:space="0" w:color="auto"/>
              <w:right w:val="single" w:sz="4" w:space="0" w:color="auto"/>
            </w:tcBorders>
            <w:noWrap/>
            <w:vAlign w:val="bottom"/>
            <w:hideMark/>
          </w:tcPr>
          <w:p w14:paraId="6B0AC9F4"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9.8</w:t>
            </w:r>
          </w:p>
        </w:tc>
        <w:tc>
          <w:tcPr>
            <w:tcW w:w="1276" w:type="dxa"/>
            <w:tcBorders>
              <w:top w:val="nil"/>
              <w:left w:val="nil"/>
              <w:bottom w:val="single" w:sz="4" w:space="0" w:color="auto"/>
              <w:right w:val="single" w:sz="4" w:space="0" w:color="auto"/>
            </w:tcBorders>
            <w:noWrap/>
            <w:vAlign w:val="bottom"/>
            <w:hideMark/>
          </w:tcPr>
          <w:p w14:paraId="17F283B7"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11.7</w:t>
            </w:r>
          </w:p>
        </w:tc>
        <w:tc>
          <w:tcPr>
            <w:tcW w:w="1559" w:type="dxa"/>
            <w:tcBorders>
              <w:top w:val="nil"/>
              <w:left w:val="nil"/>
              <w:bottom w:val="single" w:sz="4" w:space="0" w:color="auto"/>
              <w:right w:val="single" w:sz="4" w:space="0" w:color="auto"/>
            </w:tcBorders>
            <w:noWrap/>
            <w:vAlign w:val="bottom"/>
            <w:hideMark/>
          </w:tcPr>
          <w:p w14:paraId="4DB3B083"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TRUE</w:t>
            </w:r>
          </w:p>
        </w:tc>
      </w:tr>
      <w:tr w:rsidR="004204D5" w:rsidRPr="004204D5" w14:paraId="1F7271FA" w14:textId="77777777" w:rsidTr="004204D5">
        <w:trPr>
          <w:trHeight w:val="288"/>
        </w:trPr>
        <w:tc>
          <w:tcPr>
            <w:tcW w:w="1433" w:type="dxa"/>
            <w:tcBorders>
              <w:top w:val="nil"/>
              <w:left w:val="single" w:sz="4" w:space="0" w:color="auto"/>
              <w:bottom w:val="single" w:sz="4" w:space="0" w:color="auto"/>
              <w:right w:val="single" w:sz="4" w:space="0" w:color="auto"/>
            </w:tcBorders>
            <w:noWrap/>
            <w:vAlign w:val="bottom"/>
            <w:hideMark/>
          </w:tcPr>
          <w:p w14:paraId="442581A4" w14:textId="77777777" w:rsidR="004204D5" w:rsidRPr="004204D5" w:rsidRDefault="004204D5" w:rsidP="004204D5">
            <w:pPr>
              <w:spacing w:after="0" w:line="240" w:lineRule="auto"/>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Nairobi</w:t>
            </w:r>
          </w:p>
        </w:tc>
        <w:tc>
          <w:tcPr>
            <w:tcW w:w="1397" w:type="dxa"/>
            <w:tcBorders>
              <w:top w:val="nil"/>
              <w:left w:val="nil"/>
              <w:bottom w:val="single" w:sz="4" w:space="0" w:color="auto"/>
              <w:right w:val="single" w:sz="4" w:space="0" w:color="auto"/>
            </w:tcBorders>
            <w:noWrap/>
            <w:vAlign w:val="bottom"/>
            <w:hideMark/>
          </w:tcPr>
          <w:p w14:paraId="6DEB44F2"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21</w:t>
            </w:r>
          </w:p>
        </w:tc>
        <w:tc>
          <w:tcPr>
            <w:tcW w:w="1276" w:type="dxa"/>
            <w:tcBorders>
              <w:top w:val="nil"/>
              <w:left w:val="nil"/>
              <w:bottom w:val="single" w:sz="4" w:space="0" w:color="auto"/>
              <w:right w:val="single" w:sz="4" w:space="0" w:color="auto"/>
            </w:tcBorders>
            <w:noWrap/>
            <w:vAlign w:val="bottom"/>
            <w:hideMark/>
          </w:tcPr>
          <w:p w14:paraId="75C0F172"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28.5</w:t>
            </w:r>
          </w:p>
        </w:tc>
        <w:tc>
          <w:tcPr>
            <w:tcW w:w="1559" w:type="dxa"/>
            <w:tcBorders>
              <w:top w:val="nil"/>
              <w:left w:val="nil"/>
              <w:bottom w:val="single" w:sz="4" w:space="0" w:color="auto"/>
              <w:right w:val="single" w:sz="4" w:space="0" w:color="auto"/>
            </w:tcBorders>
            <w:noWrap/>
            <w:vAlign w:val="bottom"/>
            <w:hideMark/>
          </w:tcPr>
          <w:p w14:paraId="05FB943C" w14:textId="77777777" w:rsidR="004204D5" w:rsidRPr="004204D5" w:rsidRDefault="004204D5" w:rsidP="004204D5">
            <w:pPr>
              <w:spacing w:after="0" w:line="240" w:lineRule="auto"/>
              <w:jc w:val="center"/>
              <w:rPr>
                <w:rFonts w:ascii="Aptos Narrow" w:eastAsia="Times New Roman" w:hAnsi="Aptos Narrow" w:cs="Times New Roman"/>
                <w:color w:val="000000"/>
                <w:kern w:val="0"/>
                <w:lang w:eastAsia="en-GB"/>
                <w14:ligatures w14:val="none"/>
              </w:rPr>
            </w:pPr>
            <w:r w:rsidRPr="004204D5">
              <w:rPr>
                <w:rFonts w:ascii="Aptos Narrow" w:eastAsia="Times New Roman" w:hAnsi="Aptos Narrow" w:cs="Times New Roman"/>
                <w:color w:val="000000"/>
                <w:kern w:val="0"/>
                <w:lang w:eastAsia="en-GB"/>
                <w14:ligatures w14:val="none"/>
              </w:rPr>
              <w:t>TRUE</w:t>
            </w:r>
          </w:p>
        </w:tc>
      </w:tr>
    </w:tbl>
    <w:p w14:paraId="237323B2" w14:textId="77777777" w:rsidR="004204D5" w:rsidRDefault="004204D5" w:rsidP="00817D37">
      <w:pPr>
        <w:rPr>
          <w:b/>
          <w:bCs/>
        </w:rPr>
      </w:pPr>
    </w:p>
    <w:p w14:paraId="227DA380" w14:textId="48F626B0" w:rsidR="00FE1EEB" w:rsidRDefault="00FE1EEB">
      <w:pPr>
        <w:rPr>
          <w:b/>
          <w:bCs/>
        </w:rPr>
      </w:pPr>
      <w:r>
        <w:rPr>
          <w:b/>
          <w:bCs/>
        </w:rPr>
        <w:br w:type="page"/>
      </w:r>
    </w:p>
    <w:p w14:paraId="263708D4" w14:textId="5CD9584C" w:rsidR="00FE1EEB" w:rsidRDefault="00DD66CE" w:rsidP="00817D37">
      <w:r w:rsidRPr="00DD66CE">
        <w:rPr>
          <w:b/>
          <w:bCs/>
        </w:rPr>
        <w:lastRenderedPageBreak/>
        <w:t xml:space="preserve">Presence (baseline). </w:t>
      </w:r>
      <w:r w:rsidR="00304D97" w:rsidRPr="00304D97">
        <w:t>Across all four stages and ten cities, predictor importance ranks consistently: Infrastructure distance ≈ NTL &gt; Population &gt; Slum &gt; Arterial roads &gt; remaining predictors. Across cities, slum presence, population density, and building density are all observed to increase spatially over the study period. It is against this backdrop</w:t>
      </w:r>
      <w:r w:rsidR="00304D97">
        <w:t>,</w:t>
      </w:r>
      <w:r w:rsidR="00304D97" w:rsidRPr="00304D97">
        <w:t xml:space="preserve"> one of general urban intensification on nearly every dimension</w:t>
      </w:r>
      <w:r w:rsidR="00304D97">
        <w:t>,</w:t>
      </w:r>
      <w:r w:rsidR="00304D97" w:rsidRPr="00304D97">
        <w:t xml:space="preserve"> that we assess which predictors differentiate growth from decline, rather than merely tracking presence.</w:t>
      </w:r>
    </w:p>
    <w:p w14:paraId="02517A54" w14:textId="25DDFECA" w:rsidR="00CF4BE6" w:rsidRPr="00BB167E" w:rsidRDefault="006141F3" w:rsidP="00BB167E">
      <w:pPr>
        <w:pStyle w:val="ListParagraph"/>
        <w:numPr>
          <w:ilvl w:val="0"/>
          <w:numId w:val="2"/>
        </w:numPr>
        <w:rPr>
          <w:u w:val="single"/>
        </w:rPr>
      </w:pPr>
      <w:r w:rsidRPr="00BB167E">
        <w:rPr>
          <w:u w:val="single"/>
        </w:rPr>
        <w:t>City morphology as a</w:t>
      </w:r>
      <w:r w:rsidR="00921CB3" w:rsidRPr="00BB167E">
        <w:rPr>
          <w:u w:val="single"/>
        </w:rPr>
        <w:t xml:space="preserve">n influential factor in waste </w:t>
      </w:r>
      <w:r w:rsidR="00CF4BE6" w:rsidRPr="00BB167E">
        <w:rPr>
          <w:u w:val="single"/>
        </w:rPr>
        <w:t>emergence</w:t>
      </w:r>
      <w:r w:rsidR="004C0CDC">
        <w:rPr>
          <w:u w:val="single"/>
        </w:rPr>
        <w:t xml:space="preserve"> and </w:t>
      </w:r>
      <w:r w:rsidR="00CF4BE6" w:rsidRPr="00BB167E">
        <w:rPr>
          <w:u w:val="single"/>
        </w:rPr>
        <w:t>growth</w:t>
      </w:r>
    </w:p>
    <w:p w14:paraId="7BC56098" w14:textId="2852EFEF" w:rsidR="00C958C7" w:rsidRDefault="00106CE4" w:rsidP="00817D37">
      <w:r>
        <w:t xml:space="preserve"> </w:t>
      </w:r>
      <w:r w:rsidR="002F14D7">
        <w:t>W</w:t>
      </w:r>
      <w:r w:rsidR="002F14D7" w:rsidRPr="002F14D7">
        <w:t xml:space="preserve">aste growth is not explained by </w:t>
      </w:r>
      <w:r w:rsidR="002F14D7" w:rsidRPr="002F14D7">
        <w:rPr>
          <w:i/>
          <w:iCs/>
        </w:rPr>
        <w:t>where people are moving to</w:t>
      </w:r>
      <w:r w:rsidR="00D839F9">
        <w:t xml:space="preserve">, </w:t>
      </w:r>
      <w:r w:rsidR="002F14D7" w:rsidRPr="002F14D7">
        <w:t xml:space="preserve">it's explained by </w:t>
      </w:r>
      <w:r w:rsidR="002F14D7" w:rsidRPr="002F14D7">
        <w:rPr>
          <w:i/>
          <w:iCs/>
        </w:rPr>
        <w:t>proximity to infrastructure, roads, and built-up density</w:t>
      </w:r>
      <w:r w:rsidR="002F14D7" w:rsidRPr="002F14D7">
        <w:t>.</w:t>
      </w:r>
    </w:p>
    <w:p w14:paraId="734DE057" w14:textId="22471E9A" w:rsidR="00721A26" w:rsidRDefault="006C599B" w:rsidP="00817D37">
      <w:r w:rsidRPr="006C599B">
        <w:t>Areas where waste has emerged or experienced a larger burden have also seen a sharper decrease in proximity to basic civil infrastructure: distance-to-infrastructure fell by -9.2% in growth areas compared to -4.7% in decline</w:t>
      </w:r>
      <w:r w:rsidR="00BB25BA">
        <w:t>, these results are</w:t>
      </w:r>
      <w:r w:rsidRPr="006C599B">
        <w:t xml:space="preserve"> specific to the growth/decline split rather than a citywide constant. Two cities depart from this pattern: in Kinshasa, proximity to infrastructure is nearly identical in growth and non-growth areas (-17.2% vs -16.9%), and in Nairobi it is essentially stable across the</w:t>
      </w:r>
      <w:r>
        <w:t xml:space="preserve"> 8-year period. </w:t>
      </w:r>
    </w:p>
    <w:p w14:paraId="09A53423" w14:textId="5FAF9C4F" w:rsidR="00B20392" w:rsidRDefault="00CB4B56" w:rsidP="00817D37">
      <w:r>
        <w:t>Road densification</w:t>
      </w:r>
      <w:r w:rsidR="00EE6F60">
        <w:t xml:space="preserve">, specifically </w:t>
      </w:r>
      <w:r w:rsidR="00EE6F60">
        <w:t>arterial and tertiary</w:t>
      </w:r>
      <w:r w:rsidR="00EE6F60">
        <w:t xml:space="preserve"> network, </w:t>
      </w:r>
      <w:r>
        <w:t>is universal</w:t>
      </w:r>
      <w:r w:rsidR="005456C8">
        <w:t xml:space="preserve">, however there is a </w:t>
      </w:r>
      <w:r w:rsidR="00BF7731">
        <w:t>minor increase in connectivity within areas experiencing a growing waste burden</w:t>
      </w:r>
      <w:r>
        <w:t xml:space="preserve"> </w:t>
      </w:r>
      <w:r w:rsidR="00BF7731">
        <w:t>(mean: +8.4%) compared to decline (mean: +7.2%).</w:t>
      </w:r>
    </w:p>
    <w:p w14:paraId="39E56209" w14:textId="7C253575" w:rsidR="00593683" w:rsidRDefault="00593683" w:rsidP="00817D37">
      <w:r>
        <w:t>Buil</w:t>
      </w:r>
      <w:r w:rsidR="00813979">
        <w:t xml:space="preserve">ding </w:t>
      </w:r>
      <w:r w:rsidR="00813979" w:rsidRPr="00813979">
        <w:t>density rises across virtually every part of every city over</w:t>
      </w:r>
      <w:r w:rsidR="00813979">
        <w:t xml:space="preserve"> the 8-year period, against this backdrop,</w:t>
      </w:r>
      <w:r w:rsidR="00D77403">
        <w:t xml:space="preserve"> growth areas still experience greater densification than both </w:t>
      </w:r>
      <w:r w:rsidR="00CF24CA">
        <w:t xml:space="preserve">baseline increase and the increase in areas where waste burden has decreased. </w:t>
      </w:r>
      <w:r w:rsidR="009B59E7">
        <w:t>It is the single strongest differentiating signal</w:t>
      </w:r>
      <w:r w:rsidR="00972A4D">
        <w:t xml:space="preserve"> </w:t>
      </w:r>
      <w:r w:rsidR="00A51AAF">
        <w:t xml:space="preserve">with growth areas seeing an increase of </w:t>
      </w:r>
      <w:r w:rsidR="00C73DB3">
        <w:t>up to</w:t>
      </w:r>
      <w:r w:rsidR="00A51AAF">
        <w:t xml:space="preserve"> </w:t>
      </w:r>
      <w:r w:rsidR="00BD64EC">
        <w:t>+36.6%</w:t>
      </w:r>
      <w:r w:rsidR="009B59E7">
        <w:t xml:space="preserve"> </w:t>
      </w:r>
      <w:r w:rsidR="00BD64EC">
        <w:t>compared with decline areas</w:t>
      </w:r>
      <w:r w:rsidR="00C73DB3">
        <w:t>.</w:t>
      </w:r>
    </w:p>
    <w:p w14:paraId="7B9927EB" w14:textId="2644BF88" w:rsidR="00D955CC" w:rsidRDefault="004C0CDC" w:rsidP="00D955CC">
      <w:pPr>
        <w:pStyle w:val="ListParagraph"/>
        <w:numPr>
          <w:ilvl w:val="0"/>
          <w:numId w:val="2"/>
        </w:numPr>
        <w:rPr>
          <w:u w:val="single"/>
        </w:rPr>
      </w:pPr>
      <w:r w:rsidRPr="004C0CDC">
        <w:rPr>
          <w:u w:val="single"/>
        </w:rPr>
        <w:t>Development and informality gradients as modulating differentiators</w:t>
      </w:r>
    </w:p>
    <w:p w14:paraId="4CB1ADD7" w14:textId="601CE7FD" w:rsidR="00461599" w:rsidRDefault="00620B1E" w:rsidP="00D955CC">
      <w:r w:rsidRPr="00620B1E">
        <w:t>NTL and slum probability act as modest but consistent differentiators between areas of increasing and decreasing waste burden</w:t>
      </w:r>
      <w:r>
        <w:t>.</w:t>
      </w:r>
      <w:r w:rsidR="00C31B1B">
        <w:t xml:space="preserve"> NTL </w:t>
      </w:r>
      <w:r w:rsidR="000D0731">
        <w:t>also plays a critical role in differentiating be</w:t>
      </w:r>
      <w:r w:rsidR="00A16AA0">
        <w:t xml:space="preserve">tween higher and declining </w:t>
      </w:r>
      <w:r w:rsidR="00A16AA0">
        <w:t>waste burden</w:t>
      </w:r>
      <w:r w:rsidR="00A16AA0">
        <w:t xml:space="preserve"> areas. </w:t>
      </w:r>
      <w:r w:rsidR="004E3797">
        <w:t>However, within the wider context, it</w:t>
      </w:r>
      <w:r w:rsidR="00744706">
        <w:t xml:space="preserve"> has a dual interpretation: </w:t>
      </w:r>
      <w:r w:rsidR="002269E8">
        <w:t xml:space="preserve">across cities, </w:t>
      </w:r>
      <w:r w:rsidR="00C54533" w:rsidRPr="00C54533">
        <w:t xml:space="preserve">higher radiance is associated with a </w:t>
      </w:r>
      <w:r w:rsidR="00C54533" w:rsidRPr="00C54533">
        <w:rPr>
          <w:i/>
          <w:iCs/>
        </w:rPr>
        <w:t>lower</w:t>
      </w:r>
      <w:r w:rsidR="00C54533" w:rsidRPr="00C54533">
        <w:t xml:space="preserve"> likelihood of waste presence altogether. Yet among areas where waste is already present, rising NTL differentiates growth from decline: areas of increasing burden see radiance rise substantially faster (+80.2%) than areas of declining burden (+58.9%).</w:t>
      </w:r>
      <w:r w:rsidR="006B6F0A">
        <w:t xml:space="preserve"> One possible interpretation that these results offer is that</w:t>
      </w:r>
      <w:r w:rsidR="007F29D6">
        <w:t xml:space="preserve"> development (proxied by NTL)</w:t>
      </w:r>
      <w:r w:rsidR="005730E2">
        <w:t xml:space="preserve"> </w:t>
      </w:r>
      <w:r w:rsidR="00B069BA" w:rsidRPr="00B069BA">
        <w:t xml:space="preserve">suppresses whether waste appears in the first place, but among areas already carrying waste, faster local economic intensification is associated with a </w:t>
      </w:r>
      <w:r w:rsidR="00B069BA" w:rsidRPr="00B069BA">
        <w:rPr>
          <w:i/>
          <w:iCs/>
        </w:rPr>
        <w:t>worsening</w:t>
      </w:r>
      <w:r w:rsidR="00B069BA" w:rsidRPr="00B069BA">
        <w:t xml:space="preserve"> rather than improving burden, consistent with local material consumption outpacing waste management capacity. </w:t>
      </w:r>
      <w:r w:rsidR="006A4039" w:rsidRPr="006A4039">
        <w:t>This pattern is driven substantially by two cities with very large NTL increases in growth areas</w:t>
      </w:r>
      <w:r w:rsidR="006A4039">
        <w:t>,</w:t>
      </w:r>
      <w:r w:rsidR="006A4039" w:rsidRPr="006A4039">
        <w:t xml:space="preserve"> specifically</w:t>
      </w:r>
      <w:r w:rsidR="006A4039">
        <w:t>,</w:t>
      </w:r>
      <w:r w:rsidR="006A4039" w:rsidRPr="006A4039">
        <w:t xml:space="preserve"> Dakar (+188.2%) and Kampala (+176.5%)</w:t>
      </w:r>
      <w:r w:rsidR="00C47BC9">
        <w:t>,</w:t>
      </w:r>
      <w:r w:rsidR="006A4039" w:rsidRPr="006A4039">
        <w:t xml:space="preserve"> with Nairobi (+66.6%) and Maputo (+34.9%) showing more modest versions of the same growth-area increase.</w:t>
      </w:r>
      <w:r w:rsidR="00C96B12">
        <w:t xml:space="preserve"> Accra remains the exception</w:t>
      </w:r>
      <w:r w:rsidR="007D0045">
        <w:t xml:space="preserve">: </w:t>
      </w:r>
      <w:r w:rsidR="007D0045" w:rsidRPr="007D0045">
        <w:t xml:space="preserve">an unusually large NTL increase in </w:t>
      </w:r>
      <w:r w:rsidR="007D0045" w:rsidRPr="007D0045">
        <w:rPr>
          <w:i/>
          <w:iCs/>
        </w:rPr>
        <w:t>both</w:t>
      </w:r>
      <w:r w:rsidR="007D0045" w:rsidRPr="007D0045">
        <w:t xml:space="preserve"> growth and decline areas alike (+154.0% and +154.2% respectively), meaning it contributes almost nothing to the growth/decline gap despite having one of the largest absolute NTL increases in the dataset.</w:t>
      </w:r>
      <w:r w:rsidR="00C96B12">
        <w:t xml:space="preserve"> </w:t>
      </w:r>
    </w:p>
    <w:p w14:paraId="5E581D23" w14:textId="7896382F" w:rsidR="006A0FBB" w:rsidRDefault="006A0FBB" w:rsidP="00D955CC">
      <w:r w:rsidRPr="006A0FBB">
        <w:lastRenderedPageBreak/>
        <w:t>Slum probability shows the same pattern at a smaller scale. While informal-settlement probability increases across all ten cities generally, areas of increasing waste burden show a markedly larger rise in slum probability (+13.7%) than areas of decreasing burden (+1.6%)</w:t>
      </w:r>
    </w:p>
    <w:p w14:paraId="2552C16B" w14:textId="30270F02" w:rsidR="00476F1A" w:rsidRPr="00E215EF" w:rsidRDefault="00963BD8" w:rsidP="006E1DB1">
      <w:pPr>
        <w:pStyle w:val="ListParagraph"/>
        <w:numPr>
          <w:ilvl w:val="0"/>
          <w:numId w:val="2"/>
        </w:numPr>
        <w:rPr>
          <w:u w:val="single"/>
        </w:rPr>
      </w:pPr>
      <w:r w:rsidRPr="00E215EF">
        <w:rPr>
          <w:u w:val="single"/>
        </w:rPr>
        <w:t xml:space="preserve">Population </w:t>
      </w:r>
      <w:r w:rsidR="006E1DB1" w:rsidRPr="00E215EF">
        <w:rPr>
          <w:u w:val="single"/>
        </w:rPr>
        <w:t xml:space="preserve">is </w:t>
      </w:r>
      <w:r w:rsidR="0082690F">
        <w:rPr>
          <w:u w:val="single"/>
        </w:rPr>
        <w:t xml:space="preserve">proxy for urbanisation rather than a differentiator </w:t>
      </w:r>
    </w:p>
    <w:p w14:paraId="25129745" w14:textId="1BD4329A" w:rsidR="006E1DB1" w:rsidRDefault="000423F1" w:rsidP="006E1DB1">
      <w:pPr>
        <w:rPr>
          <w:i/>
          <w:iCs/>
        </w:rPr>
      </w:pPr>
      <w:r w:rsidRPr="00DE145C">
        <w:rPr>
          <w:i/>
          <w:iCs/>
        </w:rPr>
        <w:t xml:space="preserve">Population rises across cities and spatially within cities, it </w:t>
      </w:r>
      <w:r w:rsidR="00DE145C" w:rsidRPr="00DE145C">
        <w:rPr>
          <w:i/>
          <w:iCs/>
        </w:rPr>
        <w:t>tracks urbanisation generally, not waste's trajectory specifically.</w:t>
      </w:r>
    </w:p>
    <w:p w14:paraId="71C5E241" w14:textId="7D228F0A" w:rsidR="00DE145C" w:rsidRDefault="00131FBE" w:rsidP="00131FBE">
      <w:r w:rsidRPr="00131FBE">
        <w:t>Population ranks among the top predictors of waste presence (above), but is inconsequential to its trajectory. It rises in essentially every part of every city, and at statistically indistinguishable rates in growth and decline areas alike (+20.3% vs +19.8%). Population growth is best interpreted as a general co-trend of urbanisation, contributing to an increased overall volume of surficial waste, rather than a variable that explains where specifically waste accumulates versus clears.</w:t>
      </w:r>
    </w:p>
    <w:p w14:paraId="689FF276" w14:textId="77777777" w:rsidR="005C1111" w:rsidRDefault="005C1111" w:rsidP="00131FBE"/>
    <w:p w14:paraId="4C291C50" w14:textId="450C7056" w:rsidR="005C1111" w:rsidRDefault="005C1111" w:rsidP="00131FBE">
      <w:pPr>
        <w:rPr>
          <w:u w:val="single"/>
        </w:rPr>
      </w:pPr>
      <w:r w:rsidRPr="005C1111">
        <w:rPr>
          <w:u w:val="single"/>
        </w:rPr>
        <w:t>General notes</w:t>
      </w:r>
    </w:p>
    <w:p w14:paraId="175161C3" w14:textId="77777777" w:rsidR="00E30CDF" w:rsidRDefault="00574E1B" w:rsidP="00131FBE">
      <w:r>
        <w:t xml:space="preserve">The </w:t>
      </w:r>
      <w:r w:rsidR="00153D78">
        <w:t xml:space="preserve">role and predictor importance, as discussed above, is </w:t>
      </w:r>
      <w:r w:rsidR="00353A64">
        <w:t xml:space="preserve">unaffected by </w:t>
      </w:r>
      <w:r w:rsidR="00BE3066">
        <w:t xml:space="preserve">any of the city’s </w:t>
      </w:r>
      <w:r w:rsidR="004C6AAE" w:rsidRPr="004C6AAE">
        <w:t>spatial growth mode</w:t>
      </w:r>
      <w:r w:rsidR="00BE3066">
        <w:t>s:</w:t>
      </w:r>
      <w:r w:rsidR="004C6AAE" w:rsidRPr="004C6AAE">
        <w:t xml:space="preserve"> whether waste is consolidating into fewer, larger sites or proliferating into many smaller, dispersed ones (see spatial-pattern analysis)</w:t>
      </w:r>
      <w:r w:rsidR="00BE3066">
        <w:t xml:space="preserve">. </w:t>
      </w:r>
    </w:p>
    <w:p w14:paraId="7606AA39" w14:textId="0ECA8185" w:rsidR="005C1111" w:rsidRPr="005C1111" w:rsidRDefault="00EC38CB" w:rsidP="00131FBE">
      <w:r>
        <w:t xml:space="preserve">The spatial </w:t>
      </w:r>
      <w:r w:rsidR="00B16BE9">
        <w:t xml:space="preserve">predictor-driven </w:t>
      </w:r>
      <w:r>
        <w:t>analysis independently confirms the</w:t>
      </w:r>
      <w:r w:rsidR="000B2561">
        <w:t xml:space="preserve"> geometric</w:t>
      </w:r>
      <w:r>
        <w:t xml:space="preserve"> </w:t>
      </w:r>
      <w:r w:rsidR="00E30CDF">
        <w:t xml:space="preserve">visual assessment </w:t>
      </w:r>
      <w:r w:rsidR="004C6AAE">
        <w:t xml:space="preserve"> </w:t>
      </w:r>
      <w:r>
        <w:t xml:space="preserve">noted earlier that </w:t>
      </w:r>
      <w:r w:rsidR="00AB30E1">
        <w:t xml:space="preserve">waste concentrates along </w:t>
      </w:r>
      <w:r w:rsidR="003C39CE">
        <w:t xml:space="preserve">linear </w:t>
      </w:r>
      <w:r w:rsidR="00F13D5C">
        <w:t xml:space="preserve">features, both natural and man-made: </w:t>
      </w:r>
      <w:r w:rsidR="00F13D5C" w:rsidRPr="00F13D5C">
        <w:t>roads, rivers, and coastlines</w:t>
      </w:r>
      <w:r w:rsidR="00F13D5C">
        <w:t>.</w:t>
      </w:r>
    </w:p>
    <w:p w14:paraId="388D0B97" w14:textId="02767297" w:rsidR="005C1111" w:rsidRPr="00311846" w:rsidRDefault="00311846" w:rsidP="00131FBE">
      <w:pPr>
        <w:rPr>
          <w:color w:val="156082" w:themeColor="accent1"/>
        </w:rPr>
      </w:pPr>
      <w:r w:rsidRPr="00311846">
        <w:rPr>
          <w:color w:val="156082" w:themeColor="accent1"/>
        </w:rPr>
        <w:t>Because population growth does not predict where waste specifically accumulates, while infrastructure proximity and building/road densification do, resource allocation strategies premised on population density alone are likely to misallocate intervention. Targeting based on proximity to infrastructure and local built-form intensification offers a more direct and evidence-based lever for prioritising where waste management capacity is needed most.</w:t>
      </w:r>
    </w:p>
    <w:sectPr w:rsidR="005C1111" w:rsidRPr="003118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D3CD5"/>
    <w:multiLevelType w:val="hybridMultilevel"/>
    <w:tmpl w:val="AD144C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7DD1A90"/>
    <w:multiLevelType w:val="hybridMultilevel"/>
    <w:tmpl w:val="8E7C8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6273721">
    <w:abstractNumId w:val="1"/>
  </w:num>
  <w:num w:numId="2" w16cid:durableId="784890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25"/>
    <w:rsid w:val="0000277A"/>
    <w:rsid w:val="0002463A"/>
    <w:rsid w:val="000423F1"/>
    <w:rsid w:val="0007567E"/>
    <w:rsid w:val="00076AAA"/>
    <w:rsid w:val="000809CF"/>
    <w:rsid w:val="00081880"/>
    <w:rsid w:val="000832AA"/>
    <w:rsid w:val="000923BE"/>
    <w:rsid w:val="00092A2A"/>
    <w:rsid w:val="000960D2"/>
    <w:rsid w:val="000B2561"/>
    <w:rsid w:val="000C3AED"/>
    <w:rsid w:val="000C528D"/>
    <w:rsid w:val="000D0731"/>
    <w:rsid w:val="00105633"/>
    <w:rsid w:val="00106CE4"/>
    <w:rsid w:val="001120F0"/>
    <w:rsid w:val="00120E4E"/>
    <w:rsid w:val="00123F51"/>
    <w:rsid w:val="00131FBE"/>
    <w:rsid w:val="00136A57"/>
    <w:rsid w:val="00150FA6"/>
    <w:rsid w:val="00153D78"/>
    <w:rsid w:val="00155435"/>
    <w:rsid w:val="00173853"/>
    <w:rsid w:val="001B58F2"/>
    <w:rsid w:val="001C1276"/>
    <w:rsid w:val="001C46AE"/>
    <w:rsid w:val="001D7C82"/>
    <w:rsid w:val="001E445C"/>
    <w:rsid w:val="001F5BFD"/>
    <w:rsid w:val="00220AD1"/>
    <w:rsid w:val="002269E8"/>
    <w:rsid w:val="002468B3"/>
    <w:rsid w:val="00247A66"/>
    <w:rsid w:val="002705DD"/>
    <w:rsid w:val="0028288D"/>
    <w:rsid w:val="00284FA1"/>
    <w:rsid w:val="00295619"/>
    <w:rsid w:val="00297F9A"/>
    <w:rsid w:val="002A4968"/>
    <w:rsid w:val="002F14D7"/>
    <w:rsid w:val="00304D97"/>
    <w:rsid w:val="0031024B"/>
    <w:rsid w:val="00311846"/>
    <w:rsid w:val="0033629B"/>
    <w:rsid w:val="0034557C"/>
    <w:rsid w:val="00353A64"/>
    <w:rsid w:val="00355490"/>
    <w:rsid w:val="0036129F"/>
    <w:rsid w:val="00397E9C"/>
    <w:rsid w:val="003A1EAA"/>
    <w:rsid w:val="003A4ACD"/>
    <w:rsid w:val="003C39CE"/>
    <w:rsid w:val="003D19D8"/>
    <w:rsid w:val="003E7383"/>
    <w:rsid w:val="003F1920"/>
    <w:rsid w:val="003F761B"/>
    <w:rsid w:val="004204D5"/>
    <w:rsid w:val="00450731"/>
    <w:rsid w:val="004514C3"/>
    <w:rsid w:val="00461599"/>
    <w:rsid w:val="00476F1A"/>
    <w:rsid w:val="004B024F"/>
    <w:rsid w:val="004B1D73"/>
    <w:rsid w:val="004C0CDC"/>
    <w:rsid w:val="004C6AAE"/>
    <w:rsid w:val="004E3797"/>
    <w:rsid w:val="004E7516"/>
    <w:rsid w:val="004F1093"/>
    <w:rsid w:val="005131AF"/>
    <w:rsid w:val="00522B1B"/>
    <w:rsid w:val="005350E9"/>
    <w:rsid w:val="005456C8"/>
    <w:rsid w:val="00555E26"/>
    <w:rsid w:val="005730E2"/>
    <w:rsid w:val="00574E1B"/>
    <w:rsid w:val="0058582A"/>
    <w:rsid w:val="00593683"/>
    <w:rsid w:val="005A222F"/>
    <w:rsid w:val="005C1111"/>
    <w:rsid w:val="005E716A"/>
    <w:rsid w:val="0060235E"/>
    <w:rsid w:val="00606B66"/>
    <w:rsid w:val="006141F3"/>
    <w:rsid w:val="00620B1E"/>
    <w:rsid w:val="00621B98"/>
    <w:rsid w:val="0065285D"/>
    <w:rsid w:val="00653559"/>
    <w:rsid w:val="00656D36"/>
    <w:rsid w:val="00657F87"/>
    <w:rsid w:val="0068516D"/>
    <w:rsid w:val="006875E5"/>
    <w:rsid w:val="006A0FBB"/>
    <w:rsid w:val="006A4039"/>
    <w:rsid w:val="006A42EC"/>
    <w:rsid w:val="006B4915"/>
    <w:rsid w:val="006B58FE"/>
    <w:rsid w:val="006B5D93"/>
    <w:rsid w:val="006B6F0A"/>
    <w:rsid w:val="006C5257"/>
    <w:rsid w:val="006C599B"/>
    <w:rsid w:val="006D4697"/>
    <w:rsid w:val="006D532D"/>
    <w:rsid w:val="006E1639"/>
    <w:rsid w:val="006E1DB1"/>
    <w:rsid w:val="006F65F9"/>
    <w:rsid w:val="00703ACA"/>
    <w:rsid w:val="00714762"/>
    <w:rsid w:val="00721381"/>
    <w:rsid w:val="00721A26"/>
    <w:rsid w:val="00744706"/>
    <w:rsid w:val="00744A1E"/>
    <w:rsid w:val="00751DD4"/>
    <w:rsid w:val="00757C26"/>
    <w:rsid w:val="007661C0"/>
    <w:rsid w:val="0077033A"/>
    <w:rsid w:val="00794CBC"/>
    <w:rsid w:val="007B3983"/>
    <w:rsid w:val="007C340B"/>
    <w:rsid w:val="007C4B89"/>
    <w:rsid w:val="007C51AC"/>
    <w:rsid w:val="007D0045"/>
    <w:rsid w:val="007D779A"/>
    <w:rsid w:val="007F29D6"/>
    <w:rsid w:val="007F2C37"/>
    <w:rsid w:val="00813979"/>
    <w:rsid w:val="00817D37"/>
    <w:rsid w:val="0082361B"/>
    <w:rsid w:val="0082690F"/>
    <w:rsid w:val="00837DEB"/>
    <w:rsid w:val="008416C5"/>
    <w:rsid w:val="00857325"/>
    <w:rsid w:val="00872323"/>
    <w:rsid w:val="00887DB2"/>
    <w:rsid w:val="008B5653"/>
    <w:rsid w:val="008E1585"/>
    <w:rsid w:val="00901928"/>
    <w:rsid w:val="00902F1C"/>
    <w:rsid w:val="00906356"/>
    <w:rsid w:val="0090736A"/>
    <w:rsid w:val="00921CB3"/>
    <w:rsid w:val="00941D0E"/>
    <w:rsid w:val="009425A9"/>
    <w:rsid w:val="0095094C"/>
    <w:rsid w:val="00962DA6"/>
    <w:rsid w:val="00963BD8"/>
    <w:rsid w:val="00972A4D"/>
    <w:rsid w:val="00977943"/>
    <w:rsid w:val="00977F14"/>
    <w:rsid w:val="00991A33"/>
    <w:rsid w:val="009A46ED"/>
    <w:rsid w:val="009A7282"/>
    <w:rsid w:val="009B59E7"/>
    <w:rsid w:val="009F0195"/>
    <w:rsid w:val="00A05993"/>
    <w:rsid w:val="00A11F05"/>
    <w:rsid w:val="00A1587A"/>
    <w:rsid w:val="00A16611"/>
    <w:rsid w:val="00A16AA0"/>
    <w:rsid w:val="00A24265"/>
    <w:rsid w:val="00A266AA"/>
    <w:rsid w:val="00A44A40"/>
    <w:rsid w:val="00A466BF"/>
    <w:rsid w:val="00A5161C"/>
    <w:rsid w:val="00A51AAF"/>
    <w:rsid w:val="00A61F8F"/>
    <w:rsid w:val="00A70873"/>
    <w:rsid w:val="00A9108C"/>
    <w:rsid w:val="00AA03CE"/>
    <w:rsid w:val="00AA05C0"/>
    <w:rsid w:val="00AB30E1"/>
    <w:rsid w:val="00AD58C4"/>
    <w:rsid w:val="00B02994"/>
    <w:rsid w:val="00B069BA"/>
    <w:rsid w:val="00B11E7A"/>
    <w:rsid w:val="00B16BE9"/>
    <w:rsid w:val="00B20392"/>
    <w:rsid w:val="00B22EC3"/>
    <w:rsid w:val="00B31B86"/>
    <w:rsid w:val="00B33436"/>
    <w:rsid w:val="00B37751"/>
    <w:rsid w:val="00B63F6B"/>
    <w:rsid w:val="00B7705B"/>
    <w:rsid w:val="00B83FD2"/>
    <w:rsid w:val="00B97BF9"/>
    <w:rsid w:val="00BB167E"/>
    <w:rsid w:val="00BB25BA"/>
    <w:rsid w:val="00BD64EC"/>
    <w:rsid w:val="00BE3066"/>
    <w:rsid w:val="00BF2F6C"/>
    <w:rsid w:val="00BF7731"/>
    <w:rsid w:val="00C1507C"/>
    <w:rsid w:val="00C17211"/>
    <w:rsid w:val="00C1725D"/>
    <w:rsid w:val="00C31B1B"/>
    <w:rsid w:val="00C4786D"/>
    <w:rsid w:val="00C47BC9"/>
    <w:rsid w:val="00C533E5"/>
    <w:rsid w:val="00C54533"/>
    <w:rsid w:val="00C57B2A"/>
    <w:rsid w:val="00C73DB3"/>
    <w:rsid w:val="00C85858"/>
    <w:rsid w:val="00C958C7"/>
    <w:rsid w:val="00C96B12"/>
    <w:rsid w:val="00CA7996"/>
    <w:rsid w:val="00CB4B56"/>
    <w:rsid w:val="00CB5A76"/>
    <w:rsid w:val="00CD0D95"/>
    <w:rsid w:val="00CD20FC"/>
    <w:rsid w:val="00CF24CA"/>
    <w:rsid w:val="00CF4BE6"/>
    <w:rsid w:val="00D10F13"/>
    <w:rsid w:val="00D144B8"/>
    <w:rsid w:val="00D375DA"/>
    <w:rsid w:val="00D3768D"/>
    <w:rsid w:val="00D45443"/>
    <w:rsid w:val="00D532A0"/>
    <w:rsid w:val="00D57BD8"/>
    <w:rsid w:val="00D62502"/>
    <w:rsid w:val="00D77403"/>
    <w:rsid w:val="00D839F9"/>
    <w:rsid w:val="00D955CC"/>
    <w:rsid w:val="00DB3854"/>
    <w:rsid w:val="00DC52D1"/>
    <w:rsid w:val="00DD66CE"/>
    <w:rsid w:val="00DE145C"/>
    <w:rsid w:val="00E038EA"/>
    <w:rsid w:val="00E17E61"/>
    <w:rsid w:val="00E215EF"/>
    <w:rsid w:val="00E278ED"/>
    <w:rsid w:val="00E27FAE"/>
    <w:rsid w:val="00E30CDF"/>
    <w:rsid w:val="00E73058"/>
    <w:rsid w:val="00E760CB"/>
    <w:rsid w:val="00E82068"/>
    <w:rsid w:val="00E82BCE"/>
    <w:rsid w:val="00EB25CF"/>
    <w:rsid w:val="00EB2721"/>
    <w:rsid w:val="00EC38CB"/>
    <w:rsid w:val="00EE2231"/>
    <w:rsid w:val="00EE6F60"/>
    <w:rsid w:val="00F0219A"/>
    <w:rsid w:val="00F13D5C"/>
    <w:rsid w:val="00F2144B"/>
    <w:rsid w:val="00F447F1"/>
    <w:rsid w:val="00F46277"/>
    <w:rsid w:val="00FA42AD"/>
    <w:rsid w:val="00FB2B60"/>
    <w:rsid w:val="00FC0A55"/>
    <w:rsid w:val="00FC0F56"/>
    <w:rsid w:val="00FC58B0"/>
    <w:rsid w:val="00FC7EF1"/>
    <w:rsid w:val="00FD03CF"/>
    <w:rsid w:val="00FD70C6"/>
    <w:rsid w:val="00FE1EEB"/>
    <w:rsid w:val="00FF18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4E1B6"/>
  <w15:chartTrackingRefBased/>
  <w15:docId w15:val="{AF1C1E6A-6635-4EE0-8CBD-115EB165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7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7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7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7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325"/>
    <w:rPr>
      <w:rFonts w:eastAsiaTheme="majorEastAsia" w:cstheme="majorBidi"/>
      <w:color w:val="272727" w:themeColor="text1" w:themeTint="D8"/>
    </w:rPr>
  </w:style>
  <w:style w:type="paragraph" w:styleId="Title">
    <w:name w:val="Title"/>
    <w:basedOn w:val="Normal"/>
    <w:next w:val="Normal"/>
    <w:link w:val="TitleChar"/>
    <w:uiPriority w:val="10"/>
    <w:qFormat/>
    <w:rsid w:val="00857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325"/>
    <w:pPr>
      <w:spacing w:before="160"/>
      <w:jc w:val="center"/>
    </w:pPr>
    <w:rPr>
      <w:i/>
      <w:iCs/>
      <w:color w:val="404040" w:themeColor="text1" w:themeTint="BF"/>
    </w:rPr>
  </w:style>
  <w:style w:type="character" w:customStyle="1" w:styleId="QuoteChar">
    <w:name w:val="Quote Char"/>
    <w:basedOn w:val="DefaultParagraphFont"/>
    <w:link w:val="Quote"/>
    <w:uiPriority w:val="29"/>
    <w:rsid w:val="00857325"/>
    <w:rPr>
      <w:i/>
      <w:iCs/>
      <w:color w:val="404040" w:themeColor="text1" w:themeTint="BF"/>
    </w:rPr>
  </w:style>
  <w:style w:type="paragraph" w:styleId="ListParagraph">
    <w:name w:val="List Paragraph"/>
    <w:basedOn w:val="Normal"/>
    <w:uiPriority w:val="34"/>
    <w:qFormat/>
    <w:rsid w:val="00857325"/>
    <w:pPr>
      <w:ind w:left="720"/>
      <w:contextualSpacing/>
    </w:pPr>
  </w:style>
  <w:style w:type="character" w:styleId="IntenseEmphasis">
    <w:name w:val="Intense Emphasis"/>
    <w:basedOn w:val="DefaultParagraphFont"/>
    <w:uiPriority w:val="21"/>
    <w:qFormat/>
    <w:rsid w:val="00857325"/>
    <w:rPr>
      <w:i/>
      <w:iCs/>
      <w:color w:val="0F4761" w:themeColor="accent1" w:themeShade="BF"/>
    </w:rPr>
  </w:style>
  <w:style w:type="paragraph" w:styleId="IntenseQuote">
    <w:name w:val="Intense Quote"/>
    <w:basedOn w:val="Normal"/>
    <w:next w:val="Normal"/>
    <w:link w:val="IntenseQuoteChar"/>
    <w:uiPriority w:val="30"/>
    <w:qFormat/>
    <w:rsid w:val="00857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325"/>
    <w:rPr>
      <w:i/>
      <w:iCs/>
      <w:color w:val="0F4761" w:themeColor="accent1" w:themeShade="BF"/>
    </w:rPr>
  </w:style>
  <w:style w:type="character" w:styleId="IntenseReference">
    <w:name w:val="Intense Reference"/>
    <w:basedOn w:val="DefaultParagraphFont"/>
    <w:uiPriority w:val="32"/>
    <w:qFormat/>
    <w:rsid w:val="008573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F8E1B-B6E8-47DC-9C61-9B260FD64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1439</Words>
  <Characters>8207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Sachit Desa</dc:creator>
  <cp:keywords/>
  <dc:description/>
  <cp:lastModifiedBy>Sachit Desa</cp:lastModifiedBy>
  <cp:revision>239</cp:revision>
  <dcterms:created xsi:type="dcterms:W3CDTF">2026-08-17T07:58:00Z</dcterms:created>
  <dcterms:modified xsi:type="dcterms:W3CDTF">2026-09-05T14:48:00Z</dcterms:modified>
</cp:coreProperties>
</file>