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en"/>
        </w:rPr>
      </w:pPr>
      <w:bookmarkStart w:id="0" w:name="_GoBack"/>
      <w:bookmarkEnd w:id="0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Dear Parents,</w:t>
      </w:r>
    </w:p>
    <w:p w:rsidR="0014118B" w:rsidRP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en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I take immense pleasure to announce that we have implemented a new payment gateway-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Razorpay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on our website for online fees collection and other charges for giving a better payment experience to the parents and also to improve the success rates of transactions.</w:t>
      </w:r>
    </w:p>
    <w:p w:rsidR="0014118B" w:rsidRP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  <w:lang w:val="en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Founded by IIT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Roorkee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alumni,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Razorpay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is backed by Tiger Global Management and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Mastercard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.</w:t>
      </w:r>
    </w:p>
    <w:p w:rsidR="0014118B" w:rsidRP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:rsidR="0014118B" w:rsidRP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b/>
          <w:bCs/>
          <w:color w:val="222222"/>
          <w:sz w:val="24"/>
          <w:szCs w:val="24"/>
          <w:lang w:val="en"/>
        </w:rPr>
        <w:t>Quick Facts:</w:t>
      </w:r>
    </w:p>
    <w:p w:rsidR="0014118B" w:rsidRPr="0014118B" w:rsidRDefault="0014118B" w:rsidP="001411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Headquartered in Bangalore, India</w:t>
      </w:r>
    </w:p>
    <w:p w:rsidR="0014118B" w:rsidRPr="0014118B" w:rsidRDefault="0014118B" w:rsidP="001411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Products used by over 70,000 registered organizations in India</w:t>
      </w:r>
    </w:p>
    <w:p w:rsidR="0014118B" w:rsidRPr="0014118B" w:rsidRDefault="0014118B" w:rsidP="001411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Processing over 1 Lakh digital transactions every month</w:t>
      </w:r>
    </w:p>
    <w:p w:rsidR="0014118B" w:rsidRPr="0014118B" w:rsidRDefault="0014118B" w:rsidP="001411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PCI DSS Level 1 Compliant for safe and secure transactions</w:t>
      </w:r>
    </w:p>
    <w:p w:rsidR="0014118B" w:rsidRPr="0014118B" w:rsidRDefault="0014118B" w:rsidP="001411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24 X 7 Support provided via Chat, Email and Phone</w:t>
      </w:r>
    </w:p>
    <w:p w:rsidR="0014118B" w:rsidRPr="0014118B" w:rsidRDefault="0014118B" w:rsidP="0014118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Recognized and Awarded by Industry bodies such as </w:t>
      </w:r>
      <w:proofErr w:type="spellStart"/>
      <w:proofErr w:type="gram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Nasscom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,</w:t>
      </w:r>
      <w:proofErr w:type="gram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Pymnts.com, IAMAI (Best Digital Payment Facilitator - 2017), Indian Express (Best Software Product of the Year - 2017) etc.</w:t>
      </w:r>
    </w:p>
    <w:p w:rsidR="0014118B" w:rsidRP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 </w:t>
      </w:r>
    </w:p>
    <w:p w:rsidR="0014118B" w:rsidRP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Razorpay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is India’s first converged payments solution and helps businesses accept, process and disburse digital payments with ease.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Razorpay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Payment Gateway enables its customers to accept digital payments from 100+ payment methods including Debit &amp; Credit Cards(Visa,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Mastercard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Rupay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),UPI (BHIM, Google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Tez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, Axis Bank, ICICI Bank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etc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) and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Netbanking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(59+ Banks)</w:t>
      </w:r>
    </w:p>
    <w:p w:rsidR="0014118B" w:rsidRP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 </w:t>
      </w:r>
    </w:p>
    <w:p w:rsidR="0014118B" w:rsidRPr="0014118B" w:rsidRDefault="0014118B" w:rsidP="0014118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Razorpay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products are being used by businesses such as IRCTC, RKCL, Govt. of Rajasthan,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Goibibo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Yatra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Zomato</w:t>
      </w:r>
      <w:proofErr w:type="gram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,DSP</w:t>
      </w:r>
      <w:proofErr w:type="spellEnd"/>
      <w:proofErr w:type="gram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Blackrock, Pizza Hut,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ClearTax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Zerodha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and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Quikr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. They are also powering payments for educational institutes like IIT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Roorkee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, FIITJEE, NIIT, Indus International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Schools</w:t>
      </w:r>
      <w:proofErr w:type="gram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,Sree</w:t>
      </w:r>
      <w:proofErr w:type="spellEnd"/>
      <w:proofErr w:type="gram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Chaitanya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Educational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Institutes,Jamia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Hamdard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University, Mumbai University, </w:t>
      </w:r>
      <w:proofErr w:type="spellStart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>Klay</w:t>
      </w:r>
      <w:proofErr w:type="spellEnd"/>
      <w:r w:rsidRPr="0014118B">
        <w:rPr>
          <w:rFonts w:eastAsia="Times New Roman" w:cstheme="minorHAnsi"/>
          <w:color w:val="222222"/>
          <w:sz w:val="24"/>
          <w:szCs w:val="24"/>
          <w:lang w:val="en"/>
        </w:rPr>
        <w:t xml:space="preserve"> group of Schools, </w:t>
      </w:r>
      <w:r w:rsidRPr="0014118B">
        <w:rPr>
          <w:rFonts w:eastAsia="Times New Roman" w:cstheme="minorHAnsi"/>
          <w:color w:val="222222"/>
          <w:sz w:val="24"/>
          <w:szCs w:val="24"/>
        </w:rPr>
        <w:t>City Montessori School and many more.</w:t>
      </w:r>
    </w:p>
    <w:p w:rsidR="00C72F01" w:rsidRPr="0014118B" w:rsidRDefault="00C72F01" w:rsidP="0014118B">
      <w:pPr>
        <w:jc w:val="both"/>
        <w:rPr>
          <w:rFonts w:cstheme="minorHAnsi"/>
          <w:sz w:val="24"/>
          <w:szCs w:val="24"/>
        </w:rPr>
      </w:pPr>
    </w:p>
    <w:p w:rsidR="0014118B" w:rsidRPr="0014118B" w:rsidRDefault="0014118B" w:rsidP="0014118B">
      <w:pPr>
        <w:jc w:val="both"/>
        <w:rPr>
          <w:rFonts w:cstheme="minorHAnsi"/>
          <w:b/>
          <w:sz w:val="24"/>
          <w:szCs w:val="24"/>
        </w:rPr>
      </w:pPr>
      <w:r w:rsidRPr="0014118B">
        <w:rPr>
          <w:rFonts w:cstheme="minorHAnsi"/>
          <w:b/>
          <w:sz w:val="24"/>
          <w:szCs w:val="24"/>
        </w:rPr>
        <w:t xml:space="preserve">Highlights of </w:t>
      </w:r>
      <w:proofErr w:type="spellStart"/>
      <w:r w:rsidRPr="0014118B">
        <w:rPr>
          <w:rFonts w:cstheme="minorHAnsi"/>
          <w:b/>
          <w:sz w:val="24"/>
          <w:szCs w:val="24"/>
        </w:rPr>
        <w:t>Razorpay</w:t>
      </w:r>
      <w:proofErr w:type="spellEnd"/>
      <w:r w:rsidRPr="0014118B">
        <w:rPr>
          <w:rFonts w:cstheme="minorHAnsi"/>
          <w:b/>
          <w:sz w:val="24"/>
          <w:szCs w:val="24"/>
        </w:rPr>
        <w:t xml:space="preserve"> payment gateway.</w:t>
      </w:r>
    </w:p>
    <w:p w:rsidR="0014118B" w:rsidRPr="0014118B" w:rsidRDefault="0014118B" w:rsidP="001411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t xml:space="preserve">You will now be able to make payments across different account heads in a single transaction. </w:t>
      </w:r>
      <w:proofErr w:type="spellStart"/>
      <w:proofErr w:type="gramStart"/>
      <w:r w:rsidRPr="0014118B">
        <w:rPr>
          <w:rFonts w:cstheme="minorHAnsi"/>
          <w:sz w:val="24"/>
          <w:szCs w:val="24"/>
        </w:rPr>
        <w:t>Ie</w:t>
      </w:r>
      <w:proofErr w:type="spellEnd"/>
      <w:r w:rsidRPr="0014118B">
        <w:rPr>
          <w:rFonts w:cstheme="minorHAnsi"/>
          <w:sz w:val="24"/>
          <w:szCs w:val="24"/>
        </w:rPr>
        <w:t>.,</w:t>
      </w:r>
      <w:proofErr w:type="gramEnd"/>
      <w:r w:rsidRPr="0014118B">
        <w:rPr>
          <w:rFonts w:cstheme="minorHAnsi"/>
          <w:sz w:val="24"/>
          <w:szCs w:val="24"/>
        </w:rPr>
        <w:t xml:space="preserve"> if you want to make a payment for Tuition fees and Transport fees, you can now make that in a single transaction instead of 2 transactions.</w:t>
      </w:r>
      <w:r w:rsidRPr="0014118B">
        <w:rPr>
          <w:rFonts w:cstheme="minorHAnsi"/>
          <w:sz w:val="24"/>
          <w:szCs w:val="24"/>
        </w:rPr>
        <w:br/>
      </w:r>
    </w:p>
    <w:p w:rsidR="0014118B" w:rsidRDefault="0014118B" w:rsidP="001411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t>Multiple payment options: You can now pay through the following payment options</w:t>
      </w:r>
      <w:r>
        <w:rPr>
          <w:rFonts w:cstheme="minorHAnsi"/>
          <w:sz w:val="24"/>
          <w:szCs w:val="24"/>
        </w:rPr>
        <w:t xml:space="preserve"> :</w:t>
      </w:r>
    </w:p>
    <w:p w:rsidR="0014118B" w:rsidRPr="0014118B" w:rsidRDefault="0014118B" w:rsidP="0014118B">
      <w:pPr>
        <w:pStyle w:val="ListParagraph"/>
        <w:spacing w:after="0" w:line="240" w:lineRule="auto"/>
        <w:jc w:val="both"/>
        <w:rPr>
          <w:rFonts w:cstheme="minorHAnsi"/>
          <w:sz w:val="6"/>
          <w:szCs w:val="24"/>
        </w:rPr>
      </w:pPr>
    </w:p>
    <w:p w:rsidR="0014118B" w:rsidRPr="0014118B" w:rsidRDefault="0014118B" w:rsidP="0014118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t>Net banking – Flat rate of INR 15 for any transaction amount.</w:t>
      </w:r>
      <w:r>
        <w:rPr>
          <w:rFonts w:cstheme="minorHAnsi"/>
          <w:sz w:val="24"/>
          <w:szCs w:val="24"/>
        </w:rPr>
        <w:t xml:space="preserve"> </w:t>
      </w:r>
    </w:p>
    <w:p w:rsidR="0014118B" w:rsidRPr="0014118B" w:rsidRDefault="0014118B" w:rsidP="0014118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t xml:space="preserve">Credit card – Master/Visa credit cards. Transaction charge is 1.2% of the transaction amount </w:t>
      </w:r>
    </w:p>
    <w:p w:rsidR="0014118B" w:rsidRPr="0014118B" w:rsidRDefault="0014118B" w:rsidP="0014118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t xml:space="preserve">Debit card – Transaction charge is Nil </w:t>
      </w:r>
      <w:proofErr w:type="spellStart"/>
      <w:r w:rsidRPr="0014118B">
        <w:rPr>
          <w:rFonts w:cstheme="minorHAnsi"/>
          <w:sz w:val="24"/>
          <w:szCs w:val="24"/>
        </w:rPr>
        <w:t>upto</w:t>
      </w:r>
      <w:proofErr w:type="spellEnd"/>
      <w:r w:rsidRPr="0014118B">
        <w:rPr>
          <w:rFonts w:cstheme="minorHAnsi"/>
          <w:sz w:val="24"/>
          <w:szCs w:val="24"/>
        </w:rPr>
        <w:t xml:space="preserve"> INR 2000 and 0.95% for amount greater than 2000</w:t>
      </w:r>
    </w:p>
    <w:p w:rsidR="0014118B" w:rsidRPr="0014118B" w:rsidRDefault="0014118B" w:rsidP="0014118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t>UPI – 0.95% of the transaction amount</w:t>
      </w:r>
    </w:p>
    <w:p w:rsidR="0014118B" w:rsidRPr="0014118B" w:rsidRDefault="0014118B" w:rsidP="0014118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i/>
          <w:sz w:val="24"/>
          <w:szCs w:val="24"/>
        </w:rPr>
      </w:pPr>
      <w:r w:rsidRPr="0014118B">
        <w:rPr>
          <w:rFonts w:cstheme="minorHAnsi"/>
          <w:sz w:val="24"/>
          <w:szCs w:val="24"/>
        </w:rPr>
        <w:t xml:space="preserve">Wallet – </w:t>
      </w:r>
      <w:proofErr w:type="spellStart"/>
      <w:r w:rsidRPr="0014118B">
        <w:rPr>
          <w:rFonts w:cstheme="minorHAnsi"/>
          <w:sz w:val="24"/>
          <w:szCs w:val="24"/>
        </w:rPr>
        <w:t>PayTM</w:t>
      </w:r>
      <w:proofErr w:type="spellEnd"/>
      <w:r w:rsidRPr="0014118B">
        <w:rPr>
          <w:rFonts w:cstheme="minorHAnsi"/>
          <w:sz w:val="24"/>
          <w:szCs w:val="24"/>
        </w:rPr>
        <w:t xml:space="preserve">, </w:t>
      </w:r>
      <w:proofErr w:type="spellStart"/>
      <w:r w:rsidRPr="0014118B">
        <w:rPr>
          <w:rFonts w:cstheme="minorHAnsi"/>
          <w:sz w:val="24"/>
          <w:szCs w:val="24"/>
        </w:rPr>
        <w:t>PayZapp</w:t>
      </w:r>
      <w:proofErr w:type="spellEnd"/>
      <w:r w:rsidRPr="0014118B">
        <w:rPr>
          <w:rFonts w:cstheme="minorHAnsi"/>
          <w:sz w:val="24"/>
          <w:szCs w:val="24"/>
        </w:rPr>
        <w:t xml:space="preserve">, Ola Money, </w:t>
      </w:r>
      <w:proofErr w:type="spellStart"/>
      <w:r w:rsidRPr="0014118B">
        <w:rPr>
          <w:rFonts w:cstheme="minorHAnsi"/>
          <w:sz w:val="24"/>
          <w:szCs w:val="24"/>
        </w:rPr>
        <w:t>Freecharge</w:t>
      </w:r>
      <w:proofErr w:type="spellEnd"/>
      <w:r w:rsidRPr="0014118B">
        <w:rPr>
          <w:rFonts w:cstheme="minorHAnsi"/>
          <w:sz w:val="24"/>
          <w:szCs w:val="24"/>
        </w:rPr>
        <w:t>, SBI Buddy etc. – Transaction charge is 2%</w:t>
      </w:r>
    </w:p>
    <w:p w:rsidR="0014118B" w:rsidRPr="0014118B" w:rsidRDefault="0014118B" w:rsidP="0014118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lastRenderedPageBreak/>
        <w:t>NOTE: GST of 18% will be charged on the transaction charges (Not on the transaction amount)</w:t>
      </w:r>
    </w:p>
    <w:p w:rsidR="0014118B" w:rsidRPr="0014118B" w:rsidRDefault="0014118B" w:rsidP="001411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t xml:space="preserve">Ease of use: </w:t>
      </w:r>
      <w:proofErr w:type="spellStart"/>
      <w:r w:rsidRPr="0014118B">
        <w:rPr>
          <w:rFonts w:cstheme="minorHAnsi"/>
          <w:sz w:val="24"/>
          <w:szCs w:val="24"/>
        </w:rPr>
        <w:t>Razorpay</w:t>
      </w:r>
      <w:proofErr w:type="spellEnd"/>
      <w:r w:rsidRPr="0014118B">
        <w:rPr>
          <w:rFonts w:cstheme="minorHAnsi"/>
          <w:sz w:val="24"/>
          <w:szCs w:val="24"/>
        </w:rPr>
        <w:t xml:space="preserve"> does not have page redirection. Everything is handled in a popup and you never leave the site. You will still be redirected to your bank page for authentication / OTP validation. No redirection to the payment gateway page.</w:t>
      </w:r>
      <w:r w:rsidRPr="0014118B">
        <w:rPr>
          <w:rFonts w:cstheme="minorHAnsi"/>
          <w:sz w:val="24"/>
          <w:szCs w:val="24"/>
        </w:rPr>
        <w:br/>
      </w:r>
    </w:p>
    <w:p w:rsidR="0014118B" w:rsidRPr="0014118B" w:rsidRDefault="0014118B" w:rsidP="001411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14118B">
        <w:rPr>
          <w:rFonts w:cstheme="minorHAnsi"/>
          <w:sz w:val="24"/>
          <w:szCs w:val="24"/>
        </w:rPr>
        <w:t>As always, you can pay for multiple students together in a single transaction.</w:t>
      </w:r>
    </w:p>
    <w:p w:rsidR="0014118B" w:rsidRPr="0014118B" w:rsidRDefault="0014118B" w:rsidP="0014118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4118B" w:rsidRDefault="0014118B" w:rsidP="0014118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4118B">
        <w:rPr>
          <w:rFonts w:cstheme="minorHAnsi"/>
          <w:b/>
          <w:sz w:val="24"/>
          <w:szCs w:val="24"/>
        </w:rPr>
        <w:t xml:space="preserve">List of banks live with </w:t>
      </w:r>
      <w:proofErr w:type="spellStart"/>
      <w:r w:rsidRPr="0014118B">
        <w:rPr>
          <w:rFonts w:cstheme="minorHAnsi"/>
          <w:b/>
          <w:sz w:val="24"/>
          <w:szCs w:val="24"/>
        </w:rPr>
        <w:t>Razorpay</w:t>
      </w:r>
      <w:proofErr w:type="spellEnd"/>
    </w:p>
    <w:p w:rsidR="0014118B" w:rsidRPr="0014118B" w:rsidRDefault="0014118B" w:rsidP="0014118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8970" w:type="dxa"/>
        <w:tblLook w:val="04A0" w:firstRow="1" w:lastRow="0" w:firstColumn="1" w:lastColumn="0" w:noHBand="0" w:noVBand="1"/>
      </w:tblPr>
      <w:tblGrid>
        <w:gridCol w:w="4485"/>
        <w:gridCol w:w="4485"/>
      </w:tblGrid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Allahabad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Andhra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Axis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 xml:space="preserve">Bank of </w:t>
            </w:r>
            <w:proofErr w:type="spellStart"/>
            <w:r w:rsidRPr="0014118B">
              <w:rPr>
                <w:rFonts w:cstheme="minorHAnsi"/>
                <w:sz w:val="24"/>
                <w:szCs w:val="24"/>
              </w:rPr>
              <w:t>Bahrein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and Kuwait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Bank of Baroda – Corporate Banking</w:t>
            </w:r>
          </w:p>
          <w:p w:rsidR="0014118B" w:rsidRPr="0014118B" w:rsidRDefault="0014118B" w:rsidP="0014118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Bank of Baroda – Retail Banking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Bank of India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Bank of Maharashtra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Canara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Catholic Syrian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Central Bank of India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City Union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Corporation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Cosmos Co-operative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DCB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Dena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Deutsche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Development bank of Singapore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Dhanalaxmi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Federal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HDFC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ICICI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IDBI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IDFC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Indian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Indian Overseas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Indusind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Jammu and Kashmir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Janatha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4118B">
              <w:rPr>
                <w:rFonts w:cstheme="minorHAnsi"/>
                <w:sz w:val="24"/>
                <w:szCs w:val="24"/>
              </w:rPr>
              <w:t>Sahakari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Karnataka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Karur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4118B">
              <w:rPr>
                <w:rFonts w:cstheme="minorHAnsi"/>
                <w:sz w:val="24"/>
                <w:szCs w:val="24"/>
              </w:rPr>
              <w:t>Vysya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Kotak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Mahindra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Laxmi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Vilas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Oriental Bank of Commerce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Punjab National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RBL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Saraswat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Co-operative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Shamroa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4118B">
              <w:rPr>
                <w:rFonts w:cstheme="minorHAnsi"/>
                <w:sz w:val="24"/>
                <w:szCs w:val="24"/>
              </w:rPr>
              <w:t>Vithal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Co-operative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South Indian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Standard Chartered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State bank of Bikaner and Jaipur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State bank of Hyderabad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State bank of India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State bank of Mysore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State bank of Patiala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State bank of Travancore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Syndicate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Tamilnadu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Mercantile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Uco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Union Bank of India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United Bank of India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4118B">
              <w:rPr>
                <w:rFonts w:cstheme="minorHAnsi"/>
                <w:sz w:val="24"/>
                <w:szCs w:val="24"/>
              </w:rPr>
              <w:t>Vijaya</w:t>
            </w:r>
            <w:proofErr w:type="spellEnd"/>
            <w:r w:rsidRPr="0014118B">
              <w:rPr>
                <w:rFonts w:cstheme="minorHAnsi"/>
                <w:sz w:val="24"/>
                <w:szCs w:val="24"/>
              </w:rPr>
              <w:t xml:space="preserve"> Bank</w:t>
            </w:r>
          </w:p>
        </w:tc>
      </w:tr>
      <w:tr w:rsidR="0014118B" w:rsidRPr="0014118B" w:rsidTr="0014118B">
        <w:trPr>
          <w:trHeight w:val="349"/>
        </w:trPr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14118B">
              <w:rPr>
                <w:rFonts w:cstheme="minorHAnsi"/>
                <w:sz w:val="24"/>
                <w:szCs w:val="24"/>
              </w:rPr>
              <w:t>Yes Bank</w:t>
            </w:r>
          </w:p>
        </w:tc>
        <w:tc>
          <w:tcPr>
            <w:tcW w:w="4485" w:type="dxa"/>
            <w:noWrap/>
            <w:vAlign w:val="center"/>
          </w:tcPr>
          <w:p w:rsidR="0014118B" w:rsidRPr="0014118B" w:rsidRDefault="0014118B" w:rsidP="0014118B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14118B" w:rsidRPr="0014118B" w:rsidRDefault="0014118B" w:rsidP="0014118B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14118B" w:rsidRPr="0014118B" w:rsidRDefault="0014118B" w:rsidP="0014118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14118B" w:rsidRPr="0014118B" w:rsidSect="0014118B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46CB"/>
    <w:multiLevelType w:val="hybridMultilevel"/>
    <w:tmpl w:val="D448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51497"/>
    <w:multiLevelType w:val="hybridMultilevel"/>
    <w:tmpl w:val="38D6C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A7575"/>
    <w:multiLevelType w:val="hybridMultilevel"/>
    <w:tmpl w:val="9852F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C6963"/>
    <w:multiLevelType w:val="hybridMultilevel"/>
    <w:tmpl w:val="41AA7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E1FDC"/>
    <w:multiLevelType w:val="hybridMultilevel"/>
    <w:tmpl w:val="D470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B56852"/>
    <w:multiLevelType w:val="multilevel"/>
    <w:tmpl w:val="A33C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18B"/>
    <w:rsid w:val="0014118B"/>
    <w:rsid w:val="001813B4"/>
    <w:rsid w:val="00C7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8B"/>
    <w:pPr>
      <w:spacing w:after="200" w:line="27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14118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18B"/>
    <w:pPr>
      <w:spacing w:after="200" w:line="276" w:lineRule="auto"/>
      <w:ind w:left="720"/>
      <w:contextualSpacing/>
    </w:pPr>
    <w:rPr>
      <w:lang w:val="en-IN"/>
    </w:rPr>
  </w:style>
  <w:style w:type="table" w:styleId="TableGrid">
    <w:name w:val="Table Grid"/>
    <w:basedOn w:val="TableNormal"/>
    <w:uiPriority w:val="59"/>
    <w:rsid w:val="0014118B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B</dc:creator>
  <cp:lastModifiedBy>Sandya Sudesh</cp:lastModifiedBy>
  <cp:revision>2</cp:revision>
  <dcterms:created xsi:type="dcterms:W3CDTF">2018-04-02T06:24:00Z</dcterms:created>
  <dcterms:modified xsi:type="dcterms:W3CDTF">2018-04-02T06:24:00Z</dcterms:modified>
</cp:coreProperties>
</file>