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lang w:val="es-ES" w:eastAsia="en-US"/>
          <w14:ligatures w14:val="standardContextual"/>
        </w:rPr>
        <w:id w:val="487139950"/>
        <w:docPartObj>
          <w:docPartGallery w:val="Table of Contents"/>
          <w:docPartUnique/>
        </w:docPartObj>
      </w:sdtPr>
      <w:sdtEndPr>
        <w:rPr>
          <w:noProof/>
          <w:lang w:val="es-GB"/>
        </w:rPr>
      </w:sdtEndPr>
      <w:sdtContent>
        <w:p w14:paraId="06F9AD91" w14:textId="43766EA9" w:rsidR="001E3D60" w:rsidRDefault="001E3D60">
          <w:pPr>
            <w:pStyle w:val="TtuloTDC"/>
          </w:pPr>
          <w:r>
            <w:rPr>
              <w:lang w:val="es-ES"/>
            </w:rPr>
            <w:t>Tabla de contenidos</w:t>
          </w:r>
        </w:p>
        <w:p w14:paraId="7FCBBD7C" w14:textId="579E2D5E" w:rsidR="004C71D6" w:rsidRDefault="001E3D60">
          <w:pPr>
            <w:pStyle w:val="TDC1"/>
            <w:tabs>
              <w:tab w:val="right" w:leader="dot" w:pos="8544"/>
            </w:tabs>
            <w:rPr>
              <w:rFonts w:eastAsiaTheme="minorEastAsia" w:cstheme="minorBidi"/>
              <w:b w:val="0"/>
              <w:bCs w:val="0"/>
              <w:i w:val="0"/>
              <w:iCs w:val="0"/>
              <w:noProof/>
              <w:lang w:eastAsia="es-MX"/>
            </w:rPr>
          </w:pPr>
          <w:r>
            <w:rPr>
              <w:b w:val="0"/>
              <w:bCs w:val="0"/>
            </w:rPr>
            <w:fldChar w:fldCharType="begin"/>
          </w:r>
          <w:r>
            <w:instrText>TOC \o "1-3" \h \z \u</w:instrText>
          </w:r>
          <w:r>
            <w:rPr>
              <w:b w:val="0"/>
              <w:bCs w:val="0"/>
            </w:rPr>
            <w:fldChar w:fldCharType="separate"/>
          </w:r>
          <w:hyperlink w:anchor="_Toc158735081" w:history="1">
            <w:r w:rsidR="004C71D6" w:rsidRPr="005238E2">
              <w:rPr>
                <w:rStyle w:val="Hipervnculo"/>
                <w:noProof/>
                <w:lang w:val="es-ES"/>
              </w:rPr>
              <w:t>Portafolios de Inversión</w:t>
            </w:r>
            <w:r w:rsidR="004C71D6">
              <w:rPr>
                <w:noProof/>
                <w:webHidden/>
              </w:rPr>
              <w:tab/>
            </w:r>
            <w:r w:rsidR="004C71D6">
              <w:rPr>
                <w:noProof/>
                <w:webHidden/>
              </w:rPr>
              <w:fldChar w:fldCharType="begin"/>
            </w:r>
            <w:r w:rsidR="004C71D6">
              <w:rPr>
                <w:noProof/>
                <w:webHidden/>
              </w:rPr>
              <w:instrText xml:space="preserve"> PAGEREF _Toc158735081 \h </w:instrText>
            </w:r>
            <w:r w:rsidR="004C71D6">
              <w:rPr>
                <w:noProof/>
                <w:webHidden/>
              </w:rPr>
            </w:r>
            <w:r w:rsidR="004C71D6">
              <w:rPr>
                <w:noProof/>
                <w:webHidden/>
              </w:rPr>
              <w:fldChar w:fldCharType="separate"/>
            </w:r>
            <w:r w:rsidR="004C71D6">
              <w:rPr>
                <w:noProof/>
                <w:webHidden/>
              </w:rPr>
              <w:t>2</w:t>
            </w:r>
            <w:r w:rsidR="004C71D6">
              <w:rPr>
                <w:noProof/>
                <w:webHidden/>
              </w:rPr>
              <w:fldChar w:fldCharType="end"/>
            </w:r>
          </w:hyperlink>
        </w:p>
        <w:p w14:paraId="4631466B" w14:textId="4CA94774" w:rsidR="004C71D6" w:rsidRDefault="00000000">
          <w:pPr>
            <w:pStyle w:val="TDC2"/>
            <w:tabs>
              <w:tab w:val="right" w:leader="dot" w:pos="8544"/>
            </w:tabs>
            <w:rPr>
              <w:rFonts w:eastAsiaTheme="minorEastAsia" w:cstheme="minorBidi"/>
              <w:b w:val="0"/>
              <w:bCs w:val="0"/>
              <w:noProof/>
              <w:sz w:val="24"/>
              <w:szCs w:val="24"/>
              <w:lang w:eastAsia="es-MX"/>
            </w:rPr>
          </w:pPr>
          <w:hyperlink w:anchor="_Toc158735082" w:history="1">
            <w:r w:rsidR="004C71D6" w:rsidRPr="005238E2">
              <w:rPr>
                <w:rStyle w:val="Hipervnculo"/>
                <w:noProof/>
              </w:rPr>
              <w:t>Beneficios de la Implementación de un Portafolio de Inversión</w:t>
            </w:r>
            <w:r w:rsidR="004C71D6">
              <w:rPr>
                <w:noProof/>
                <w:webHidden/>
              </w:rPr>
              <w:tab/>
            </w:r>
            <w:r w:rsidR="004C71D6">
              <w:rPr>
                <w:noProof/>
                <w:webHidden/>
              </w:rPr>
              <w:fldChar w:fldCharType="begin"/>
            </w:r>
            <w:r w:rsidR="004C71D6">
              <w:rPr>
                <w:noProof/>
                <w:webHidden/>
              </w:rPr>
              <w:instrText xml:space="preserve"> PAGEREF _Toc158735082 \h </w:instrText>
            </w:r>
            <w:r w:rsidR="004C71D6">
              <w:rPr>
                <w:noProof/>
                <w:webHidden/>
              </w:rPr>
            </w:r>
            <w:r w:rsidR="004C71D6">
              <w:rPr>
                <w:noProof/>
                <w:webHidden/>
              </w:rPr>
              <w:fldChar w:fldCharType="separate"/>
            </w:r>
            <w:r w:rsidR="004C71D6">
              <w:rPr>
                <w:noProof/>
                <w:webHidden/>
              </w:rPr>
              <w:t>2</w:t>
            </w:r>
            <w:r w:rsidR="004C71D6">
              <w:rPr>
                <w:noProof/>
                <w:webHidden/>
              </w:rPr>
              <w:fldChar w:fldCharType="end"/>
            </w:r>
          </w:hyperlink>
        </w:p>
        <w:p w14:paraId="6B6740D3" w14:textId="44903095" w:rsidR="004C71D6" w:rsidRDefault="00000000">
          <w:pPr>
            <w:pStyle w:val="TDC2"/>
            <w:tabs>
              <w:tab w:val="right" w:leader="dot" w:pos="8544"/>
            </w:tabs>
            <w:rPr>
              <w:rFonts w:eastAsiaTheme="minorEastAsia" w:cstheme="minorBidi"/>
              <w:b w:val="0"/>
              <w:bCs w:val="0"/>
              <w:noProof/>
              <w:sz w:val="24"/>
              <w:szCs w:val="24"/>
              <w:lang w:eastAsia="es-MX"/>
            </w:rPr>
          </w:pPr>
          <w:hyperlink w:anchor="_Toc158735083" w:history="1">
            <w:r w:rsidR="004C71D6" w:rsidRPr="005238E2">
              <w:rPr>
                <w:rStyle w:val="Hipervnculo"/>
                <w:noProof/>
              </w:rPr>
              <w:t>Comparativa con las Mejores Prácticas de Norteamérica</w:t>
            </w:r>
            <w:r w:rsidR="004C71D6">
              <w:rPr>
                <w:noProof/>
                <w:webHidden/>
              </w:rPr>
              <w:tab/>
            </w:r>
            <w:r w:rsidR="004C71D6">
              <w:rPr>
                <w:noProof/>
                <w:webHidden/>
              </w:rPr>
              <w:fldChar w:fldCharType="begin"/>
            </w:r>
            <w:r w:rsidR="004C71D6">
              <w:rPr>
                <w:noProof/>
                <w:webHidden/>
              </w:rPr>
              <w:instrText xml:space="preserve"> PAGEREF _Toc158735083 \h </w:instrText>
            </w:r>
            <w:r w:rsidR="004C71D6">
              <w:rPr>
                <w:noProof/>
                <w:webHidden/>
              </w:rPr>
            </w:r>
            <w:r w:rsidR="004C71D6">
              <w:rPr>
                <w:noProof/>
                <w:webHidden/>
              </w:rPr>
              <w:fldChar w:fldCharType="separate"/>
            </w:r>
            <w:r w:rsidR="004C71D6">
              <w:rPr>
                <w:noProof/>
                <w:webHidden/>
              </w:rPr>
              <w:t>2</w:t>
            </w:r>
            <w:r w:rsidR="004C71D6">
              <w:rPr>
                <w:noProof/>
                <w:webHidden/>
              </w:rPr>
              <w:fldChar w:fldCharType="end"/>
            </w:r>
          </w:hyperlink>
        </w:p>
        <w:p w14:paraId="732EC334" w14:textId="24185FC2" w:rsidR="004C71D6" w:rsidRDefault="00000000">
          <w:pPr>
            <w:pStyle w:val="TDC2"/>
            <w:tabs>
              <w:tab w:val="right" w:leader="dot" w:pos="8544"/>
            </w:tabs>
            <w:rPr>
              <w:rFonts w:eastAsiaTheme="minorEastAsia" w:cstheme="minorBidi"/>
              <w:b w:val="0"/>
              <w:bCs w:val="0"/>
              <w:noProof/>
              <w:sz w:val="24"/>
              <w:szCs w:val="24"/>
              <w:lang w:eastAsia="es-MX"/>
            </w:rPr>
          </w:pPr>
          <w:hyperlink w:anchor="_Toc158735084" w:history="1">
            <w:r w:rsidR="004C71D6" w:rsidRPr="005238E2">
              <w:rPr>
                <w:rStyle w:val="Hipervnculo"/>
                <w:noProof/>
              </w:rPr>
              <w:t>Análisis de los Portafolios de Inversión Norteamericanos</w:t>
            </w:r>
            <w:r w:rsidR="004C71D6">
              <w:rPr>
                <w:noProof/>
                <w:webHidden/>
              </w:rPr>
              <w:tab/>
            </w:r>
            <w:r w:rsidR="004C71D6">
              <w:rPr>
                <w:noProof/>
                <w:webHidden/>
              </w:rPr>
              <w:fldChar w:fldCharType="begin"/>
            </w:r>
            <w:r w:rsidR="004C71D6">
              <w:rPr>
                <w:noProof/>
                <w:webHidden/>
              </w:rPr>
              <w:instrText xml:space="preserve"> PAGEREF _Toc158735084 \h </w:instrText>
            </w:r>
            <w:r w:rsidR="004C71D6">
              <w:rPr>
                <w:noProof/>
                <w:webHidden/>
              </w:rPr>
            </w:r>
            <w:r w:rsidR="004C71D6">
              <w:rPr>
                <w:noProof/>
                <w:webHidden/>
              </w:rPr>
              <w:fldChar w:fldCharType="separate"/>
            </w:r>
            <w:r w:rsidR="004C71D6">
              <w:rPr>
                <w:noProof/>
                <w:webHidden/>
              </w:rPr>
              <w:t>3</w:t>
            </w:r>
            <w:r w:rsidR="004C71D6">
              <w:rPr>
                <w:noProof/>
                <w:webHidden/>
              </w:rPr>
              <w:fldChar w:fldCharType="end"/>
            </w:r>
          </w:hyperlink>
        </w:p>
        <w:p w14:paraId="6403991A" w14:textId="5FD89330" w:rsidR="004C71D6" w:rsidRDefault="00000000">
          <w:pPr>
            <w:pStyle w:val="TDC2"/>
            <w:tabs>
              <w:tab w:val="right" w:leader="dot" w:pos="8544"/>
            </w:tabs>
            <w:rPr>
              <w:rFonts w:eastAsiaTheme="minorEastAsia" w:cstheme="minorBidi"/>
              <w:b w:val="0"/>
              <w:bCs w:val="0"/>
              <w:noProof/>
              <w:sz w:val="24"/>
              <w:szCs w:val="24"/>
              <w:lang w:eastAsia="es-MX"/>
            </w:rPr>
          </w:pPr>
          <w:hyperlink w:anchor="_Toc158735085" w:history="1">
            <w:r w:rsidR="004C71D6" w:rsidRPr="005238E2">
              <w:rPr>
                <w:rStyle w:val="Hipervnculo"/>
                <w:noProof/>
              </w:rPr>
              <w:t>Tendencias y Desarrollos Futuros:</w:t>
            </w:r>
            <w:r w:rsidR="004C71D6">
              <w:rPr>
                <w:noProof/>
                <w:webHidden/>
              </w:rPr>
              <w:tab/>
            </w:r>
            <w:r w:rsidR="004C71D6">
              <w:rPr>
                <w:noProof/>
                <w:webHidden/>
              </w:rPr>
              <w:fldChar w:fldCharType="begin"/>
            </w:r>
            <w:r w:rsidR="004C71D6">
              <w:rPr>
                <w:noProof/>
                <w:webHidden/>
              </w:rPr>
              <w:instrText xml:space="preserve"> PAGEREF _Toc158735085 \h </w:instrText>
            </w:r>
            <w:r w:rsidR="004C71D6">
              <w:rPr>
                <w:noProof/>
                <w:webHidden/>
              </w:rPr>
            </w:r>
            <w:r w:rsidR="004C71D6">
              <w:rPr>
                <w:noProof/>
                <w:webHidden/>
              </w:rPr>
              <w:fldChar w:fldCharType="separate"/>
            </w:r>
            <w:r w:rsidR="004C71D6">
              <w:rPr>
                <w:noProof/>
                <w:webHidden/>
              </w:rPr>
              <w:t>3</w:t>
            </w:r>
            <w:r w:rsidR="004C71D6">
              <w:rPr>
                <w:noProof/>
                <w:webHidden/>
              </w:rPr>
              <w:fldChar w:fldCharType="end"/>
            </w:r>
          </w:hyperlink>
        </w:p>
        <w:p w14:paraId="791553FB" w14:textId="7FF59A41" w:rsidR="004C71D6" w:rsidRDefault="00000000">
          <w:pPr>
            <w:pStyle w:val="TDC2"/>
            <w:tabs>
              <w:tab w:val="right" w:leader="dot" w:pos="8544"/>
            </w:tabs>
            <w:rPr>
              <w:rFonts w:eastAsiaTheme="minorEastAsia" w:cstheme="minorBidi"/>
              <w:b w:val="0"/>
              <w:bCs w:val="0"/>
              <w:noProof/>
              <w:sz w:val="24"/>
              <w:szCs w:val="24"/>
              <w:lang w:eastAsia="es-MX"/>
            </w:rPr>
          </w:pPr>
          <w:hyperlink w:anchor="_Toc158735086" w:history="1">
            <w:r w:rsidR="004C71D6" w:rsidRPr="005238E2">
              <w:rPr>
                <w:rStyle w:val="Hipervnculo"/>
                <w:noProof/>
                <w:lang w:val="es-ES"/>
              </w:rPr>
              <w:t>Posible p</w:t>
            </w:r>
            <w:r w:rsidR="004C71D6" w:rsidRPr="005238E2">
              <w:rPr>
                <w:rStyle w:val="Hipervnculo"/>
                <w:noProof/>
              </w:rPr>
              <w:t>lan de Implementación</w:t>
            </w:r>
            <w:r w:rsidR="004C71D6">
              <w:rPr>
                <w:noProof/>
                <w:webHidden/>
              </w:rPr>
              <w:tab/>
            </w:r>
            <w:r w:rsidR="004C71D6">
              <w:rPr>
                <w:noProof/>
                <w:webHidden/>
              </w:rPr>
              <w:fldChar w:fldCharType="begin"/>
            </w:r>
            <w:r w:rsidR="004C71D6">
              <w:rPr>
                <w:noProof/>
                <w:webHidden/>
              </w:rPr>
              <w:instrText xml:space="preserve"> PAGEREF _Toc158735086 \h </w:instrText>
            </w:r>
            <w:r w:rsidR="004C71D6">
              <w:rPr>
                <w:noProof/>
                <w:webHidden/>
              </w:rPr>
            </w:r>
            <w:r w:rsidR="004C71D6">
              <w:rPr>
                <w:noProof/>
                <w:webHidden/>
              </w:rPr>
              <w:fldChar w:fldCharType="separate"/>
            </w:r>
            <w:r w:rsidR="004C71D6">
              <w:rPr>
                <w:noProof/>
                <w:webHidden/>
              </w:rPr>
              <w:t>4</w:t>
            </w:r>
            <w:r w:rsidR="004C71D6">
              <w:rPr>
                <w:noProof/>
                <w:webHidden/>
              </w:rPr>
              <w:fldChar w:fldCharType="end"/>
            </w:r>
          </w:hyperlink>
        </w:p>
        <w:p w14:paraId="4243C6B5" w14:textId="5AD8FB0D" w:rsidR="004C71D6" w:rsidRDefault="00000000">
          <w:pPr>
            <w:pStyle w:val="TDC2"/>
            <w:tabs>
              <w:tab w:val="right" w:leader="dot" w:pos="8544"/>
            </w:tabs>
            <w:rPr>
              <w:rFonts w:eastAsiaTheme="minorEastAsia" w:cstheme="minorBidi"/>
              <w:b w:val="0"/>
              <w:bCs w:val="0"/>
              <w:noProof/>
              <w:sz w:val="24"/>
              <w:szCs w:val="24"/>
              <w:lang w:eastAsia="es-MX"/>
            </w:rPr>
          </w:pPr>
          <w:hyperlink w:anchor="_Toc158735087" w:history="1">
            <w:r w:rsidR="004C71D6" w:rsidRPr="005238E2">
              <w:rPr>
                <w:rStyle w:val="Hipervnculo"/>
                <w:noProof/>
              </w:rPr>
              <w:t>Conclusiones</w:t>
            </w:r>
            <w:r w:rsidR="004C71D6">
              <w:rPr>
                <w:noProof/>
                <w:webHidden/>
              </w:rPr>
              <w:tab/>
            </w:r>
            <w:r w:rsidR="004C71D6">
              <w:rPr>
                <w:noProof/>
                <w:webHidden/>
              </w:rPr>
              <w:fldChar w:fldCharType="begin"/>
            </w:r>
            <w:r w:rsidR="004C71D6">
              <w:rPr>
                <w:noProof/>
                <w:webHidden/>
              </w:rPr>
              <w:instrText xml:space="preserve"> PAGEREF _Toc158735087 \h </w:instrText>
            </w:r>
            <w:r w:rsidR="004C71D6">
              <w:rPr>
                <w:noProof/>
                <w:webHidden/>
              </w:rPr>
            </w:r>
            <w:r w:rsidR="004C71D6">
              <w:rPr>
                <w:noProof/>
                <w:webHidden/>
              </w:rPr>
              <w:fldChar w:fldCharType="separate"/>
            </w:r>
            <w:r w:rsidR="004C71D6">
              <w:rPr>
                <w:noProof/>
                <w:webHidden/>
              </w:rPr>
              <w:t>4</w:t>
            </w:r>
            <w:r w:rsidR="004C71D6">
              <w:rPr>
                <w:noProof/>
                <w:webHidden/>
              </w:rPr>
              <w:fldChar w:fldCharType="end"/>
            </w:r>
          </w:hyperlink>
        </w:p>
        <w:p w14:paraId="338457F0" w14:textId="3D2AF7C7" w:rsidR="001E3D60" w:rsidRDefault="001E3D60">
          <w:r>
            <w:rPr>
              <w:b/>
              <w:bCs/>
              <w:noProof/>
            </w:rPr>
            <w:fldChar w:fldCharType="end"/>
          </w:r>
        </w:p>
      </w:sdtContent>
    </w:sdt>
    <w:p w14:paraId="0A2EA139" w14:textId="77777777" w:rsidR="001E3D60" w:rsidRDefault="001E3D60">
      <w:pPr>
        <w:rPr>
          <w:rFonts w:asciiTheme="majorHAnsi" w:eastAsiaTheme="majorEastAsia" w:hAnsiTheme="majorHAnsi" w:cstheme="majorBidi"/>
          <w:color w:val="2F5496" w:themeColor="accent1" w:themeShade="BF"/>
          <w:sz w:val="32"/>
          <w:szCs w:val="32"/>
        </w:rPr>
      </w:pPr>
      <w:r>
        <w:br w:type="page"/>
      </w:r>
    </w:p>
    <w:p w14:paraId="08A6B337" w14:textId="50C8A590" w:rsidR="009D1BFB" w:rsidRPr="003B6C09" w:rsidRDefault="003B6C09" w:rsidP="00451BE6">
      <w:pPr>
        <w:pStyle w:val="Ttulo1"/>
        <w:rPr>
          <w:lang w:val="es-ES"/>
        </w:rPr>
      </w:pPr>
      <w:bookmarkStart w:id="0" w:name="_Toc158735081"/>
      <w:r w:rsidRPr="003B6C09">
        <w:rPr>
          <w:lang w:val="es-ES"/>
        </w:rPr>
        <w:lastRenderedPageBreak/>
        <w:t>Por</w:t>
      </w:r>
      <w:r>
        <w:rPr>
          <w:lang w:val="es-ES"/>
        </w:rPr>
        <w:t>tafolios de Inversión</w:t>
      </w:r>
      <w:bookmarkEnd w:id="0"/>
    </w:p>
    <w:p w14:paraId="7F75E543" w14:textId="1D2B9D38" w:rsidR="003B6C09" w:rsidRDefault="003B6C09" w:rsidP="003B6C09">
      <w:pPr>
        <w:jc w:val="both"/>
      </w:pPr>
      <w:r>
        <w:tab/>
      </w:r>
    </w:p>
    <w:p w14:paraId="68E93878" w14:textId="5F1F6201" w:rsidR="003B6C09" w:rsidRDefault="003B6C09" w:rsidP="003B6C09">
      <w:pPr>
        <w:ind w:firstLine="708"/>
        <w:jc w:val="both"/>
      </w:pPr>
      <w:bookmarkStart w:id="1" w:name="_Hlk158976186"/>
      <w:r>
        <w:t>En el ámbito de la industria financiera, la gestión de portafolios de inversión es una tarea fundamental para maximizar el rendimiento de los activos financieros de los clientes. Este informe presenta un análisis sobre la implementación de un portafolio de inversión</w:t>
      </w:r>
      <w:r w:rsidRPr="003B6C09">
        <w:rPr>
          <w:lang w:val="es-ES"/>
        </w:rPr>
        <w:t xml:space="preserve">, </w:t>
      </w:r>
      <w:r>
        <w:t>con el objetivo de mejorar la gestión de activos y ofrecer servicios de inversión más personalizados y eficientes.</w:t>
      </w:r>
    </w:p>
    <w:p w14:paraId="5E679002" w14:textId="77777777" w:rsidR="003B6C09" w:rsidRDefault="003B6C09" w:rsidP="003B6C09">
      <w:pPr>
        <w:jc w:val="both"/>
      </w:pPr>
    </w:p>
    <w:p w14:paraId="460C80FB" w14:textId="0BEB03C3" w:rsidR="003B6C09" w:rsidRDefault="003B6C09" w:rsidP="003B6C09">
      <w:pPr>
        <w:ind w:firstLine="708"/>
        <w:jc w:val="both"/>
      </w:pPr>
      <w:r>
        <w:t xml:space="preserve">Actualmente, </w:t>
      </w:r>
      <w:r w:rsidRPr="003B6C09">
        <w:rPr>
          <w:lang w:val="es-ES"/>
        </w:rPr>
        <w:t xml:space="preserve">se </w:t>
      </w:r>
      <w:r>
        <w:t>ofrece</w:t>
      </w:r>
      <w:r w:rsidRPr="003B6C09">
        <w:rPr>
          <w:lang w:val="es-ES"/>
        </w:rPr>
        <w:t>n</w:t>
      </w:r>
      <w:r>
        <w:t xml:space="preserve"> servicios de inversión a través de cuentas de corretaje tradicionales, que permiten a los clientes comprar y vender acciones, bonos y otros valores según sus preferencias y objetivos de inversión. Si bien estas cuentas proporcionan flexibilidad y control a los clientes, carecen de herramientas y recursos para una gestión de portafolio más avanzada y estratégica.</w:t>
      </w:r>
    </w:p>
    <w:bookmarkEnd w:id="1"/>
    <w:p w14:paraId="68BCF85F" w14:textId="77777777" w:rsidR="003B6C09" w:rsidRDefault="003B6C09" w:rsidP="003B6C09">
      <w:pPr>
        <w:jc w:val="both"/>
      </w:pPr>
    </w:p>
    <w:p w14:paraId="34913086" w14:textId="51FC1573" w:rsidR="003B6C09" w:rsidRDefault="003B6C09" w:rsidP="003B6C09">
      <w:pPr>
        <w:pStyle w:val="Ttulo2"/>
      </w:pPr>
      <w:bookmarkStart w:id="2" w:name="_Toc158735082"/>
      <w:r>
        <w:t>Beneficios de la Implementación de un Portafolio de Inversión</w:t>
      </w:r>
      <w:bookmarkEnd w:id="2"/>
    </w:p>
    <w:p w14:paraId="40FF609E" w14:textId="77777777" w:rsidR="003B6C09" w:rsidRDefault="003B6C09" w:rsidP="003B6C09">
      <w:pPr>
        <w:jc w:val="both"/>
      </w:pPr>
    </w:p>
    <w:p w14:paraId="202A625F" w14:textId="0ED6B069" w:rsidR="003B6C09" w:rsidRDefault="003B6C09" w:rsidP="003B6C09">
      <w:pPr>
        <w:jc w:val="both"/>
      </w:pPr>
      <w:r>
        <w:t xml:space="preserve">1. </w:t>
      </w:r>
      <w:bookmarkStart w:id="3" w:name="_Hlk158976753"/>
      <w:r>
        <w:t>Diversificación:</w:t>
      </w:r>
      <w:r w:rsidRPr="003B6C09">
        <w:rPr>
          <w:lang w:val="es-ES"/>
        </w:rPr>
        <w:t xml:space="preserve"> </w:t>
      </w:r>
      <w:r>
        <w:t>Un portafolio de inversión bien construido permite diversificar el riesgo al invertir en una variedad de activos, clases de activos y regiones geográficas, lo que puede reducir la volatilidad y aumentar la estabilidad a largo plazo.</w:t>
      </w:r>
    </w:p>
    <w:bookmarkEnd w:id="3"/>
    <w:p w14:paraId="150C893E" w14:textId="77777777" w:rsidR="003B6C09" w:rsidRDefault="003B6C09" w:rsidP="003B6C09">
      <w:pPr>
        <w:jc w:val="both"/>
      </w:pPr>
    </w:p>
    <w:p w14:paraId="1CF9C1E1" w14:textId="6A2EF073" w:rsidR="003B6C09" w:rsidRDefault="003B6C09" w:rsidP="003B6C09">
      <w:pPr>
        <w:jc w:val="both"/>
      </w:pPr>
      <w:r>
        <w:t xml:space="preserve">2. </w:t>
      </w:r>
      <w:bookmarkStart w:id="4" w:name="_Hlk158976760"/>
      <w:r>
        <w:t>Gestión Activa: La implementación de un portafolio de inversión nos permite ofrecer servicios de gestión activa de activos, donde un equipo de profesionales expertos monitorea constantemente el mercado y ajusta el portafolio según las condiciones económicas y las oportunidades de inversión.</w:t>
      </w:r>
    </w:p>
    <w:bookmarkEnd w:id="4"/>
    <w:p w14:paraId="348F8A9D" w14:textId="77777777" w:rsidR="003B6C09" w:rsidRDefault="003B6C09" w:rsidP="003B6C09">
      <w:pPr>
        <w:jc w:val="both"/>
      </w:pPr>
    </w:p>
    <w:p w14:paraId="01C57385" w14:textId="33B14F10" w:rsidR="003B6C09" w:rsidRDefault="003B6C09" w:rsidP="003B6C09">
      <w:pPr>
        <w:jc w:val="both"/>
      </w:pPr>
      <w:r>
        <w:t>3</w:t>
      </w:r>
      <w:bookmarkStart w:id="5" w:name="_Hlk158976769"/>
      <w:r>
        <w:t>. Optimización Fiscal: Al considerar aspectos fiscales en la construcción del portafolio, podemos minimizar la carga impositiva para nuestros clientes y maximizar los rendimientos netos de la inversión.</w:t>
      </w:r>
    </w:p>
    <w:p w14:paraId="0EED5790" w14:textId="77777777" w:rsidR="003B6C09" w:rsidRDefault="003B6C09" w:rsidP="003B6C09">
      <w:pPr>
        <w:jc w:val="both"/>
      </w:pPr>
    </w:p>
    <w:p w14:paraId="4244E32A" w14:textId="00A66A4E" w:rsidR="003B6C09" w:rsidRDefault="003B6C09" w:rsidP="003B6C09">
      <w:pPr>
        <w:jc w:val="both"/>
      </w:pPr>
      <w:r>
        <w:t>4. Personalización: Al diseñar portafolios de inversión adaptados a las necesidades y objetivos individuales de cada cliente, podemos ofrecer una experiencia de inversión más personalizada y satisfactoria.</w:t>
      </w:r>
    </w:p>
    <w:bookmarkEnd w:id="5"/>
    <w:p w14:paraId="67CBA769" w14:textId="77777777" w:rsidR="003B6C09" w:rsidRDefault="003B6C09" w:rsidP="003B6C09">
      <w:pPr>
        <w:jc w:val="both"/>
      </w:pPr>
    </w:p>
    <w:p w14:paraId="0AE2493B" w14:textId="7E82404D" w:rsidR="003B6C09" w:rsidRDefault="003B6C09" w:rsidP="003B6C09">
      <w:pPr>
        <w:pStyle w:val="Ttulo2"/>
      </w:pPr>
      <w:bookmarkStart w:id="6" w:name="_Toc158735083"/>
      <w:r>
        <w:t>Comparativa con las Mejores Prácticas de Norteamérica</w:t>
      </w:r>
      <w:bookmarkEnd w:id="6"/>
    </w:p>
    <w:p w14:paraId="262006FF" w14:textId="77777777" w:rsidR="003B6C09" w:rsidRDefault="003B6C09" w:rsidP="003B6C09">
      <w:pPr>
        <w:jc w:val="both"/>
      </w:pPr>
    </w:p>
    <w:p w14:paraId="35B91EB5" w14:textId="77777777" w:rsidR="003B6C09" w:rsidRDefault="003B6C09" w:rsidP="003B6C09">
      <w:pPr>
        <w:ind w:firstLine="708"/>
        <w:jc w:val="both"/>
      </w:pPr>
      <w:bookmarkStart w:id="7" w:name="_Hlk158976827"/>
      <w:r>
        <w:t xml:space="preserve">En la industria financiera de Norteamérica, particularmente en Estados Unidos, la gestión de portafolios de inversión está altamente desarrollada, con una amplia gama de productos y servicios disponibles para los inversores. Las principales corredoras de bolsa y firmas de gestión de activos ofrecen portafolios de inversión personalizados, que </w:t>
      </w:r>
      <w:r>
        <w:lastRenderedPageBreak/>
        <w:t>incorporan análisis de datos avanzados, estrategias de inversión innovadoras y tecnología de vanguardia para maximizar los rendimientos y mitigar los riesgos.</w:t>
      </w:r>
    </w:p>
    <w:p w14:paraId="7767A8B3" w14:textId="77777777" w:rsidR="003B6C09" w:rsidRDefault="003B6C09" w:rsidP="003B6C09">
      <w:pPr>
        <w:ind w:firstLine="708"/>
        <w:jc w:val="both"/>
      </w:pPr>
    </w:p>
    <w:p w14:paraId="5EBFE498" w14:textId="0B22CC31" w:rsidR="003B6C09" w:rsidRDefault="003B6C09" w:rsidP="003B6C09">
      <w:pPr>
        <w:pStyle w:val="Ttulo2"/>
      </w:pPr>
      <w:bookmarkStart w:id="8" w:name="_Toc158735084"/>
      <w:bookmarkEnd w:id="7"/>
      <w:r>
        <w:t>Análisis de los Portafolios de Inversión Norteamericanos</w:t>
      </w:r>
      <w:bookmarkEnd w:id="8"/>
    </w:p>
    <w:p w14:paraId="2F3274EE" w14:textId="77777777" w:rsidR="003B6C09" w:rsidRDefault="003B6C09" w:rsidP="003B6C09">
      <w:pPr>
        <w:jc w:val="both"/>
      </w:pPr>
    </w:p>
    <w:p w14:paraId="3DBCAD3F" w14:textId="3133F5FF" w:rsidR="003B6C09" w:rsidRDefault="003B6C09" w:rsidP="003B6C09">
      <w:pPr>
        <w:ind w:firstLine="708"/>
        <w:jc w:val="both"/>
      </w:pPr>
      <w:bookmarkStart w:id="9" w:name="_Hlk158976875"/>
      <w:r>
        <w:t>1. Portafolio de Inversión Tradicionalmente Diversificado:</w:t>
      </w:r>
    </w:p>
    <w:p w14:paraId="0A4F1B1D" w14:textId="77777777" w:rsidR="003B6C09" w:rsidRDefault="003B6C09" w:rsidP="003B6C09">
      <w:pPr>
        <w:ind w:firstLine="708"/>
        <w:jc w:val="both"/>
      </w:pPr>
      <w:r>
        <w:t xml:space="preserve">   - Este tipo de portafolio incluye una combinación equilibrada de acciones, bonos y otros activos, con el objetivo de minimizar el riesgo y proporcionar un rendimiento estable a lo largo del tiempo.</w:t>
      </w:r>
    </w:p>
    <w:p w14:paraId="17CFD71E" w14:textId="77777777" w:rsidR="003B6C09" w:rsidRDefault="003B6C09" w:rsidP="003B6C09">
      <w:pPr>
        <w:ind w:firstLine="708"/>
        <w:jc w:val="both"/>
      </w:pPr>
      <w:r>
        <w:t xml:space="preserve">   - Ejemplo: 60% de acciones (representadas por un índice amplio como el S&amp;P 500) y 40% de bonos (representados por un fondo de bonos del gobierno).</w:t>
      </w:r>
    </w:p>
    <w:p w14:paraId="1B7C5A7D" w14:textId="77777777" w:rsidR="003B6C09" w:rsidRDefault="003B6C09" w:rsidP="003B6C09">
      <w:pPr>
        <w:ind w:firstLine="708"/>
        <w:jc w:val="both"/>
      </w:pPr>
    </w:p>
    <w:p w14:paraId="0CA836EB" w14:textId="4DE87C12" w:rsidR="003B6C09" w:rsidRDefault="003B6C09" w:rsidP="003B6C09">
      <w:pPr>
        <w:ind w:firstLine="708"/>
        <w:jc w:val="both"/>
      </w:pPr>
      <w:r>
        <w:t>2. Portafolio de Inversión ESG (Ambiental, Social y de Gobierno Corporativo):</w:t>
      </w:r>
    </w:p>
    <w:p w14:paraId="2C4F901E" w14:textId="77777777" w:rsidR="003B6C09" w:rsidRDefault="003B6C09" w:rsidP="003B6C09">
      <w:pPr>
        <w:ind w:firstLine="708"/>
        <w:jc w:val="both"/>
      </w:pPr>
      <w:r>
        <w:t xml:space="preserve">   - Este tipo de portafolio se centra en invertir en empresas que demuestran sólidas prácticas ambientales, sociales y de gobierno corporativo.</w:t>
      </w:r>
    </w:p>
    <w:p w14:paraId="035891F7" w14:textId="77777777" w:rsidR="003B6C09" w:rsidRDefault="003B6C09" w:rsidP="003B6C09">
      <w:pPr>
        <w:ind w:firstLine="708"/>
        <w:jc w:val="both"/>
      </w:pPr>
      <w:r>
        <w:t xml:space="preserve">   - Ejemplo: Fondos de inversión que se enfocan en empresas con altos estándares de sostenibilidad y responsabilidad social corporativa.</w:t>
      </w:r>
    </w:p>
    <w:p w14:paraId="77E453A5" w14:textId="77777777" w:rsidR="003B6C09" w:rsidRDefault="003B6C09" w:rsidP="003B6C09">
      <w:pPr>
        <w:ind w:firstLine="708"/>
        <w:jc w:val="both"/>
      </w:pPr>
    </w:p>
    <w:p w14:paraId="0D69D383" w14:textId="71B2CDF9" w:rsidR="003B6C09" w:rsidRDefault="003B6C09" w:rsidP="003B6C09">
      <w:pPr>
        <w:ind w:firstLine="708"/>
        <w:jc w:val="both"/>
      </w:pPr>
      <w:r>
        <w:t>3. Portafolio de Inversión Temático:</w:t>
      </w:r>
    </w:p>
    <w:p w14:paraId="2FE3F1BA" w14:textId="77777777" w:rsidR="003B6C09" w:rsidRDefault="003B6C09" w:rsidP="003B6C09">
      <w:pPr>
        <w:ind w:firstLine="708"/>
        <w:jc w:val="both"/>
      </w:pPr>
      <w:r>
        <w:t xml:space="preserve">   - Este tipo de portafolio se centra en temas específicos de inversión, como tecnología, salud o energías renovables.</w:t>
      </w:r>
    </w:p>
    <w:p w14:paraId="56BD3BB2" w14:textId="77777777" w:rsidR="003B6C09" w:rsidRDefault="003B6C09" w:rsidP="003B6C09">
      <w:pPr>
        <w:ind w:firstLine="708"/>
        <w:jc w:val="both"/>
      </w:pPr>
      <w:r>
        <w:t xml:space="preserve">   - Ejemplo: Un fondo ETF que invierte en empresas de tecnología disruptiva, como inteligencia artificial, ciberseguridad y tecnología blockchain.</w:t>
      </w:r>
    </w:p>
    <w:p w14:paraId="34A7EE50" w14:textId="77777777" w:rsidR="003B6C09" w:rsidRDefault="003B6C09" w:rsidP="003B6C09">
      <w:pPr>
        <w:ind w:firstLine="708"/>
        <w:jc w:val="both"/>
      </w:pPr>
    </w:p>
    <w:p w14:paraId="296E33F4" w14:textId="73BD2FCC" w:rsidR="003B6C09" w:rsidRDefault="003B6C09" w:rsidP="003B6C09">
      <w:pPr>
        <w:ind w:firstLine="708"/>
        <w:jc w:val="both"/>
      </w:pPr>
      <w:r>
        <w:t>4. Portafolio de Inversión Alternativa:</w:t>
      </w:r>
    </w:p>
    <w:p w14:paraId="03CBD6A9" w14:textId="77777777" w:rsidR="003B6C09" w:rsidRDefault="003B6C09" w:rsidP="003B6C09">
      <w:pPr>
        <w:ind w:firstLine="708"/>
        <w:jc w:val="both"/>
      </w:pPr>
      <w:r>
        <w:t xml:space="preserve">   - Este tipo de portafolio incluye activos no tradicionales, como bienes raíces, materias primas o fondos de cobertura, que tienen el potencial de generar rendimientos superiores y diversificación adicional.</w:t>
      </w:r>
    </w:p>
    <w:p w14:paraId="3DF6BBA8" w14:textId="77777777" w:rsidR="003B6C09" w:rsidRDefault="003B6C09" w:rsidP="003B6C09">
      <w:pPr>
        <w:ind w:firstLine="708"/>
        <w:jc w:val="both"/>
      </w:pPr>
      <w:r>
        <w:t xml:space="preserve">   - Ejemplo: Fondos de inversión inmobiliaria (REITs) que invierten en propiedades comerciales, residenciales o industriales.</w:t>
      </w:r>
    </w:p>
    <w:bookmarkEnd w:id="9"/>
    <w:p w14:paraId="3D89E097" w14:textId="77777777" w:rsidR="003B6C09" w:rsidRDefault="003B6C09" w:rsidP="003B6C09">
      <w:pPr>
        <w:ind w:firstLine="708"/>
        <w:jc w:val="both"/>
      </w:pPr>
    </w:p>
    <w:p w14:paraId="6D79E269" w14:textId="3BDF9D12" w:rsidR="003B6C09" w:rsidRDefault="003B6C09" w:rsidP="003B6C09">
      <w:pPr>
        <w:pStyle w:val="Ttulo2"/>
      </w:pPr>
      <w:bookmarkStart w:id="10" w:name="_Toc158735085"/>
      <w:r>
        <w:t>Tendencias y Desarrollos Futuros:</w:t>
      </w:r>
      <w:bookmarkEnd w:id="10"/>
    </w:p>
    <w:p w14:paraId="77EFC303" w14:textId="77777777" w:rsidR="003B6C09" w:rsidRDefault="003B6C09" w:rsidP="003B6C09">
      <w:pPr>
        <w:ind w:firstLine="708"/>
        <w:jc w:val="both"/>
      </w:pPr>
    </w:p>
    <w:p w14:paraId="44194772" w14:textId="314D4904" w:rsidR="003B6C09" w:rsidRDefault="003B6C09" w:rsidP="003B6C09">
      <w:pPr>
        <w:ind w:firstLine="708"/>
        <w:jc w:val="both"/>
      </w:pPr>
      <w:bookmarkStart w:id="11" w:name="_Hlk158977046"/>
      <w:r>
        <w:t>- Integración de Tecnología Blockchain:</w:t>
      </w:r>
      <w:r w:rsidRPr="003B6C09">
        <w:rPr>
          <w:lang w:val="es-ES"/>
        </w:rPr>
        <w:t xml:space="preserve"> </w:t>
      </w:r>
      <w:r>
        <w:t>Se espera que la tecnología blockchain tenga un impacto significativo en la gestión de activos, ofreciendo transparencia, seguridad y eficiencia en la negociación y liquidación de activos financieros.</w:t>
      </w:r>
    </w:p>
    <w:p w14:paraId="18D6B5E9" w14:textId="77777777" w:rsidR="003B6C09" w:rsidRDefault="003B6C09" w:rsidP="003B6C09">
      <w:pPr>
        <w:ind w:firstLine="708"/>
        <w:jc w:val="both"/>
      </w:pPr>
      <w:r>
        <w:t xml:space="preserve">  </w:t>
      </w:r>
    </w:p>
    <w:p w14:paraId="000D68CA" w14:textId="26E0A297" w:rsidR="003B6C09" w:rsidRDefault="003B6C09" w:rsidP="003B6C09">
      <w:pPr>
        <w:ind w:firstLine="708"/>
        <w:jc w:val="both"/>
      </w:pPr>
      <w:r>
        <w:t>- Crecimiento de los Robo-Advisors: Se anticipa un mayor crecimiento en el uso de los robo-advisors, que ofrecen servicios de gestión de inversiones automatizadas a bajo costo, especialmente entre los inversores más jóvenes y tecnológicamente conscientes.</w:t>
      </w:r>
    </w:p>
    <w:p w14:paraId="1D79C941" w14:textId="77777777" w:rsidR="003B6C09" w:rsidRDefault="003B6C09" w:rsidP="003B6C09">
      <w:pPr>
        <w:ind w:firstLine="708"/>
        <w:jc w:val="both"/>
      </w:pPr>
    </w:p>
    <w:p w14:paraId="642A7B1C" w14:textId="543652AC" w:rsidR="003B6C09" w:rsidRDefault="003B6C09" w:rsidP="003B6C09">
      <w:pPr>
        <w:ind w:firstLine="708"/>
        <w:jc w:val="both"/>
      </w:pPr>
      <w:r>
        <w:t>- Enfoque en la Sostenibilidad: Se espera que la inversión sostenible y socialmente responsable continúe ganando impulso, con más inversores interesados en alinear sus valores personales con sus decisiones de inversión.</w:t>
      </w:r>
    </w:p>
    <w:bookmarkEnd w:id="11"/>
    <w:p w14:paraId="4CC1C700" w14:textId="77777777" w:rsidR="003B6C09" w:rsidRDefault="003B6C09" w:rsidP="003B6C09">
      <w:pPr>
        <w:ind w:firstLine="708"/>
        <w:jc w:val="both"/>
      </w:pPr>
    </w:p>
    <w:p w14:paraId="19DBD6D4" w14:textId="77777777" w:rsidR="003B6C09" w:rsidRDefault="003B6C09" w:rsidP="003B6C09">
      <w:pPr>
        <w:jc w:val="both"/>
      </w:pPr>
    </w:p>
    <w:p w14:paraId="21CD4B06" w14:textId="78D417D4" w:rsidR="003B6C09" w:rsidRDefault="003B6C09" w:rsidP="003B6C09">
      <w:pPr>
        <w:pStyle w:val="Ttulo2"/>
      </w:pPr>
      <w:bookmarkStart w:id="12" w:name="_Toc158735086"/>
      <w:r w:rsidRPr="003B6C09">
        <w:rPr>
          <w:lang w:val="es-ES"/>
        </w:rPr>
        <w:t>Posible p</w:t>
      </w:r>
      <w:r>
        <w:t>lan de Implementación</w:t>
      </w:r>
      <w:bookmarkEnd w:id="12"/>
    </w:p>
    <w:p w14:paraId="2B49939F" w14:textId="77777777" w:rsidR="003B6C09" w:rsidRDefault="003B6C09" w:rsidP="003B6C09">
      <w:pPr>
        <w:jc w:val="both"/>
      </w:pPr>
    </w:p>
    <w:p w14:paraId="40B100AC" w14:textId="4659B62F" w:rsidR="003B6C09" w:rsidRDefault="003B6C09" w:rsidP="003B6C09">
      <w:pPr>
        <w:jc w:val="both"/>
      </w:pPr>
      <w:bookmarkStart w:id="13" w:name="_Hlk158977589"/>
      <w:r>
        <w:t>1. Análisis de Perfil de Inversión</w:t>
      </w:r>
      <w:r w:rsidRPr="003B6C09">
        <w:rPr>
          <w:lang w:val="es-ES"/>
        </w:rPr>
        <w:t xml:space="preserve"> </w:t>
      </w:r>
      <w:r>
        <w:rPr>
          <w:lang w:val="es-ES"/>
        </w:rPr>
        <w:t>de los Chilenos</w:t>
      </w:r>
      <w:r>
        <w:t>: Evaluar las necesidades, objetivos y tolerancia al riesgo de nuestros clientes para diseñar portafolios de inversión personalizados que se ajusten a sus preferencias individuales.</w:t>
      </w:r>
    </w:p>
    <w:p w14:paraId="61738C04" w14:textId="77777777" w:rsidR="003B6C09" w:rsidRDefault="003B6C09" w:rsidP="003B6C09">
      <w:pPr>
        <w:jc w:val="both"/>
      </w:pPr>
    </w:p>
    <w:p w14:paraId="28CF64E0" w14:textId="07DAD611" w:rsidR="003B6C09" w:rsidRDefault="003B6C09" w:rsidP="003B6C09">
      <w:pPr>
        <w:jc w:val="both"/>
      </w:pPr>
      <w:r>
        <w:t>2. Selección de Activos: Seleccionar una combinación diversificada de activos, incluyendo acciones, bonos, fondos mutuos, ETFs y otros instrumentos financieros, para construir portafolios que maximicen el rendimiento y minimicen el riesgo.</w:t>
      </w:r>
    </w:p>
    <w:p w14:paraId="1586B0AD" w14:textId="77777777" w:rsidR="00171A2C" w:rsidRDefault="00171A2C" w:rsidP="003B6C09">
      <w:pPr>
        <w:jc w:val="both"/>
      </w:pPr>
    </w:p>
    <w:p w14:paraId="566A1BDB" w14:textId="6B27A465" w:rsidR="00171A2C" w:rsidRPr="003B6C09" w:rsidRDefault="00171A2C" w:rsidP="00171A2C">
      <w:pPr>
        <w:jc w:val="both"/>
        <w:rPr>
          <w:lang w:val="es-ES"/>
        </w:rPr>
      </w:pPr>
      <w:r w:rsidRPr="003B6C09">
        <w:rPr>
          <w:lang w:val="es-ES"/>
        </w:rPr>
        <w:t>3. Gestión Activa y Pasiva:</w:t>
      </w:r>
      <w:r>
        <w:rPr>
          <w:lang w:val="es-ES"/>
        </w:rPr>
        <w:t xml:space="preserve"> </w:t>
      </w:r>
      <w:r w:rsidRPr="003B6C09">
        <w:rPr>
          <w:lang w:val="es-ES"/>
        </w:rPr>
        <w:t>Ofrecer opciones tanto de gestión activa como pasiva, permitiendo a los clientes elegir entre la gestión profesional de activos y las estrategias de inversión automatizadas a través de robo-</w:t>
      </w:r>
      <w:proofErr w:type="spellStart"/>
      <w:r w:rsidRPr="003B6C09">
        <w:rPr>
          <w:lang w:val="es-ES"/>
        </w:rPr>
        <w:t>advisors</w:t>
      </w:r>
      <w:proofErr w:type="spellEnd"/>
      <w:r w:rsidRPr="003B6C09">
        <w:rPr>
          <w:lang w:val="es-ES"/>
        </w:rPr>
        <w:t>.</w:t>
      </w:r>
    </w:p>
    <w:p w14:paraId="23118907" w14:textId="72C297D3" w:rsidR="00171A2C" w:rsidRPr="00171A2C" w:rsidRDefault="00171A2C" w:rsidP="003B6C09">
      <w:pPr>
        <w:jc w:val="both"/>
        <w:rPr>
          <w:lang w:val="es-ES"/>
        </w:rPr>
      </w:pPr>
    </w:p>
    <w:p w14:paraId="1D504E46" w14:textId="0388816F" w:rsidR="003B6C09" w:rsidRDefault="00171A2C" w:rsidP="003B6C09">
      <w:pPr>
        <w:jc w:val="both"/>
      </w:pPr>
      <w:r w:rsidRPr="00171A2C">
        <w:rPr>
          <w:lang w:val="es-ES"/>
        </w:rPr>
        <w:t>4</w:t>
      </w:r>
      <w:r w:rsidR="003B6C09">
        <w:t>. Implementación Tecnológica: Utilizar herramientas y plataformas tecnológicas avanzadas para monitorear el mercado, analizar datos financieros y realizar operaciones de manera eficiente y oportuna.</w:t>
      </w:r>
    </w:p>
    <w:p w14:paraId="0C68E468" w14:textId="77777777" w:rsidR="00171A2C" w:rsidRDefault="00171A2C" w:rsidP="003B6C09">
      <w:pPr>
        <w:jc w:val="both"/>
      </w:pPr>
    </w:p>
    <w:p w14:paraId="2613B776" w14:textId="2DA17832" w:rsidR="00171A2C" w:rsidRPr="00171A2C" w:rsidRDefault="00171A2C" w:rsidP="00171A2C">
      <w:pPr>
        <w:rPr>
          <w:lang w:val="es-ES"/>
        </w:rPr>
      </w:pPr>
      <w:r w:rsidRPr="00171A2C">
        <w:rPr>
          <w:lang w:val="es-ES"/>
        </w:rPr>
        <w:t xml:space="preserve">5. </w:t>
      </w:r>
      <w:r w:rsidRPr="003B6C09">
        <w:rPr>
          <w:lang w:val="es-ES"/>
        </w:rPr>
        <w:t>Enfoque en la Sostenibilidad</w:t>
      </w:r>
      <w:r>
        <w:rPr>
          <w:lang w:val="es-ES"/>
        </w:rPr>
        <w:t>:</w:t>
      </w:r>
      <w:r w:rsidRPr="003B6C09">
        <w:rPr>
          <w:lang w:val="es-ES"/>
        </w:rPr>
        <w:t xml:space="preserve"> Incluir opciones de inversión sostenible y socialmente responsable para aquellos clientes interesados en alinear sus valores personales con sus decisiones de inversión.</w:t>
      </w:r>
    </w:p>
    <w:p w14:paraId="2CD79A77" w14:textId="77777777" w:rsidR="003B6C09" w:rsidRDefault="003B6C09" w:rsidP="003B6C09">
      <w:pPr>
        <w:jc w:val="both"/>
      </w:pPr>
    </w:p>
    <w:p w14:paraId="664D8232" w14:textId="0819A574" w:rsidR="003B6C09" w:rsidRDefault="00171A2C" w:rsidP="003B6C09">
      <w:pPr>
        <w:jc w:val="both"/>
      </w:pPr>
      <w:r>
        <w:rPr>
          <w:lang w:val="es-ES"/>
        </w:rPr>
        <w:t>6</w:t>
      </w:r>
      <w:r w:rsidR="003B6C09">
        <w:t>. Gestión Continua: Monitorear y ajustar regularmente los portafolios de inversión según las condiciones del mercado y los cambios en las preferencias y objetivos de los clientes, asegurando así la alineación continua con sus necesidades y expectativas.</w:t>
      </w:r>
    </w:p>
    <w:bookmarkEnd w:id="13"/>
    <w:p w14:paraId="7B806C39" w14:textId="77777777" w:rsidR="00141CDA" w:rsidRDefault="00141CDA" w:rsidP="003B6C09">
      <w:pPr>
        <w:jc w:val="both"/>
      </w:pPr>
    </w:p>
    <w:p w14:paraId="01434806" w14:textId="1954243F" w:rsidR="00141CDA" w:rsidRDefault="00141CDA" w:rsidP="00141CDA">
      <w:pPr>
        <w:pStyle w:val="Ttulo2"/>
      </w:pPr>
      <w:r>
        <w:t xml:space="preserve">Carta Gantt </w:t>
      </w:r>
    </w:p>
    <w:p w14:paraId="17453CD2" w14:textId="77777777" w:rsidR="00141CDA" w:rsidRPr="00141CDA" w:rsidRDefault="00141CDA" w:rsidP="00141CDA"/>
    <w:p w14:paraId="1CA5D0FB" w14:textId="77777777" w:rsidR="00141CDA" w:rsidRDefault="00141CDA" w:rsidP="00141CDA"/>
    <w:p w14:paraId="0F270CE3" w14:textId="77777777" w:rsidR="00141CDA" w:rsidRPr="00141CDA" w:rsidRDefault="00141CDA" w:rsidP="00141CDA"/>
    <w:p w14:paraId="4688B67E" w14:textId="77777777" w:rsidR="003B6C09" w:rsidRDefault="003B6C09" w:rsidP="003B6C09">
      <w:pPr>
        <w:jc w:val="both"/>
      </w:pPr>
    </w:p>
    <w:p w14:paraId="05CDE30F" w14:textId="5F22D3D8" w:rsidR="003B6C09" w:rsidRDefault="003B6C09" w:rsidP="003B6C09">
      <w:pPr>
        <w:pStyle w:val="Ttulo2"/>
      </w:pPr>
      <w:bookmarkStart w:id="14" w:name="_Toc158735087"/>
      <w:r>
        <w:t>Conclusiones</w:t>
      </w:r>
      <w:bookmarkEnd w:id="14"/>
    </w:p>
    <w:p w14:paraId="468C5D69" w14:textId="77777777" w:rsidR="003B6C09" w:rsidRDefault="003B6C09" w:rsidP="003B6C09">
      <w:pPr>
        <w:jc w:val="both"/>
      </w:pPr>
    </w:p>
    <w:p w14:paraId="61596ED6" w14:textId="64DCF4A2" w:rsidR="003B6C09" w:rsidRPr="00171A2C" w:rsidRDefault="003B6C09" w:rsidP="00171A2C">
      <w:pPr>
        <w:ind w:firstLine="708"/>
        <w:jc w:val="both"/>
      </w:pPr>
      <w:bookmarkStart w:id="15" w:name="_Hlk158978947"/>
      <w:r>
        <w:lastRenderedPageBreak/>
        <w:t>La implementación de un portafolio de inversión en nuestra corredora de bolsa representa una oportunidad significativa para mejorar la gestión de activos, ofrecer servicios de inversión más personalizados y diferenciarnos en el mercado financiero. Al seguir las mejores prácticas de la industria de Norteamérica y aprovechar la tecnología y los recursos disponibles, podemos proporcionar a nuestros clientes una experiencia de inversión superior y ayudarles a alcanzar sus metas financieras a largo plazo.</w:t>
      </w:r>
      <w:bookmarkEnd w:id="15"/>
    </w:p>
    <w:sectPr w:rsidR="003B6C09" w:rsidRPr="00171A2C" w:rsidSect="00F26A8D">
      <w:pgSz w:w="12240" w:h="15840"/>
      <w:pgMar w:top="2268" w:right="1418" w:bottom="1418" w:left="226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FB"/>
    <w:rsid w:val="00061CE9"/>
    <w:rsid w:val="00101D76"/>
    <w:rsid w:val="00141CDA"/>
    <w:rsid w:val="00171A2C"/>
    <w:rsid w:val="001E3D60"/>
    <w:rsid w:val="00332F32"/>
    <w:rsid w:val="003B6C09"/>
    <w:rsid w:val="004134F5"/>
    <w:rsid w:val="00451BE6"/>
    <w:rsid w:val="004A3B20"/>
    <w:rsid w:val="004B366F"/>
    <w:rsid w:val="004C71D6"/>
    <w:rsid w:val="005D13D1"/>
    <w:rsid w:val="00905172"/>
    <w:rsid w:val="009D1BFB"/>
    <w:rsid w:val="00A629EC"/>
    <w:rsid w:val="00BD27E0"/>
    <w:rsid w:val="00EE1387"/>
    <w:rsid w:val="00F26A8D"/>
    <w:rsid w:val="00FE2C44"/>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ecimalSymbol w:val="."/>
  <w:listSeparator w:val=";"/>
  <w14:docId w14:val="4877ACF8"/>
  <w15:chartTrackingRefBased/>
  <w15:docId w15:val="{18DE33E9-7743-624A-9E0A-6FE8C179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2C"/>
  </w:style>
  <w:style w:type="paragraph" w:styleId="Ttulo1">
    <w:name w:val="heading 1"/>
    <w:basedOn w:val="Normal"/>
    <w:next w:val="Normal"/>
    <w:link w:val="Ttulo1Car"/>
    <w:uiPriority w:val="9"/>
    <w:qFormat/>
    <w:rsid w:val="00451B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1B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7E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B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51BE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7E0"/>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1E3D60"/>
    <w:pPr>
      <w:spacing w:before="48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1E3D60"/>
    <w:pPr>
      <w:spacing w:before="120"/>
    </w:pPr>
    <w:rPr>
      <w:rFonts w:cstheme="minorHAnsi"/>
      <w:b/>
      <w:bCs/>
      <w:i/>
      <w:iCs/>
    </w:rPr>
  </w:style>
  <w:style w:type="paragraph" w:styleId="TDC2">
    <w:name w:val="toc 2"/>
    <w:basedOn w:val="Normal"/>
    <w:next w:val="Normal"/>
    <w:autoRedefine/>
    <w:uiPriority w:val="39"/>
    <w:unhideWhenUsed/>
    <w:rsid w:val="001E3D60"/>
    <w:pPr>
      <w:spacing w:before="120"/>
      <w:ind w:left="240"/>
    </w:pPr>
    <w:rPr>
      <w:rFonts w:cstheme="minorHAnsi"/>
      <w:b/>
      <w:bCs/>
      <w:sz w:val="22"/>
      <w:szCs w:val="22"/>
    </w:rPr>
  </w:style>
  <w:style w:type="paragraph" w:styleId="TDC3">
    <w:name w:val="toc 3"/>
    <w:basedOn w:val="Normal"/>
    <w:next w:val="Normal"/>
    <w:autoRedefine/>
    <w:uiPriority w:val="39"/>
    <w:unhideWhenUsed/>
    <w:rsid w:val="001E3D60"/>
    <w:pPr>
      <w:ind w:left="480"/>
    </w:pPr>
    <w:rPr>
      <w:rFonts w:cstheme="minorHAnsi"/>
      <w:sz w:val="20"/>
      <w:szCs w:val="20"/>
    </w:rPr>
  </w:style>
  <w:style w:type="character" w:styleId="Hipervnculo">
    <w:name w:val="Hyperlink"/>
    <w:basedOn w:val="Fuentedeprrafopredeter"/>
    <w:uiPriority w:val="99"/>
    <w:unhideWhenUsed/>
    <w:rsid w:val="001E3D60"/>
    <w:rPr>
      <w:color w:val="0563C1" w:themeColor="hyperlink"/>
      <w:u w:val="single"/>
    </w:rPr>
  </w:style>
  <w:style w:type="paragraph" w:styleId="TDC4">
    <w:name w:val="toc 4"/>
    <w:basedOn w:val="Normal"/>
    <w:next w:val="Normal"/>
    <w:autoRedefine/>
    <w:uiPriority w:val="39"/>
    <w:semiHidden/>
    <w:unhideWhenUsed/>
    <w:rsid w:val="001E3D60"/>
    <w:pPr>
      <w:ind w:left="720"/>
    </w:pPr>
    <w:rPr>
      <w:rFonts w:cstheme="minorHAnsi"/>
      <w:sz w:val="20"/>
      <w:szCs w:val="20"/>
    </w:rPr>
  </w:style>
  <w:style w:type="paragraph" w:styleId="TDC5">
    <w:name w:val="toc 5"/>
    <w:basedOn w:val="Normal"/>
    <w:next w:val="Normal"/>
    <w:autoRedefine/>
    <w:uiPriority w:val="39"/>
    <w:semiHidden/>
    <w:unhideWhenUsed/>
    <w:rsid w:val="001E3D60"/>
    <w:pPr>
      <w:ind w:left="960"/>
    </w:pPr>
    <w:rPr>
      <w:rFonts w:cstheme="minorHAnsi"/>
      <w:sz w:val="20"/>
      <w:szCs w:val="20"/>
    </w:rPr>
  </w:style>
  <w:style w:type="paragraph" w:styleId="TDC6">
    <w:name w:val="toc 6"/>
    <w:basedOn w:val="Normal"/>
    <w:next w:val="Normal"/>
    <w:autoRedefine/>
    <w:uiPriority w:val="39"/>
    <w:semiHidden/>
    <w:unhideWhenUsed/>
    <w:rsid w:val="001E3D60"/>
    <w:pPr>
      <w:ind w:left="1200"/>
    </w:pPr>
    <w:rPr>
      <w:rFonts w:cstheme="minorHAnsi"/>
      <w:sz w:val="20"/>
      <w:szCs w:val="20"/>
    </w:rPr>
  </w:style>
  <w:style w:type="paragraph" w:styleId="TDC7">
    <w:name w:val="toc 7"/>
    <w:basedOn w:val="Normal"/>
    <w:next w:val="Normal"/>
    <w:autoRedefine/>
    <w:uiPriority w:val="39"/>
    <w:semiHidden/>
    <w:unhideWhenUsed/>
    <w:rsid w:val="001E3D60"/>
    <w:pPr>
      <w:ind w:left="1440"/>
    </w:pPr>
    <w:rPr>
      <w:rFonts w:cstheme="minorHAnsi"/>
      <w:sz w:val="20"/>
      <w:szCs w:val="20"/>
    </w:rPr>
  </w:style>
  <w:style w:type="paragraph" w:styleId="TDC8">
    <w:name w:val="toc 8"/>
    <w:basedOn w:val="Normal"/>
    <w:next w:val="Normal"/>
    <w:autoRedefine/>
    <w:uiPriority w:val="39"/>
    <w:semiHidden/>
    <w:unhideWhenUsed/>
    <w:rsid w:val="001E3D60"/>
    <w:pPr>
      <w:ind w:left="1680"/>
    </w:pPr>
    <w:rPr>
      <w:rFonts w:cstheme="minorHAnsi"/>
      <w:sz w:val="20"/>
      <w:szCs w:val="20"/>
    </w:rPr>
  </w:style>
  <w:style w:type="paragraph" w:styleId="TDC9">
    <w:name w:val="toc 9"/>
    <w:basedOn w:val="Normal"/>
    <w:next w:val="Normal"/>
    <w:autoRedefine/>
    <w:uiPriority w:val="39"/>
    <w:semiHidden/>
    <w:unhideWhenUsed/>
    <w:rsid w:val="001E3D6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9356">
      <w:bodyDiv w:val="1"/>
      <w:marLeft w:val="0"/>
      <w:marRight w:val="0"/>
      <w:marTop w:val="0"/>
      <w:marBottom w:val="0"/>
      <w:divBdr>
        <w:top w:val="none" w:sz="0" w:space="0" w:color="auto"/>
        <w:left w:val="none" w:sz="0" w:space="0" w:color="auto"/>
        <w:bottom w:val="none" w:sz="0" w:space="0" w:color="auto"/>
        <w:right w:val="none" w:sz="0" w:space="0" w:color="auto"/>
      </w:divBdr>
    </w:div>
    <w:div w:id="15244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D38C0-FBB1-CF43-B401-6556CD17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Anónimo</dc:creator>
  <cp:keywords/>
  <dc:description/>
  <cp:lastModifiedBy>Anónimo</cp:lastModifiedBy>
  <cp:revision>5</cp:revision>
  <dcterms:created xsi:type="dcterms:W3CDTF">2024-02-13T13:16:00Z</dcterms:created>
  <dcterms:modified xsi:type="dcterms:W3CDTF">2024-02-16T15:29:00Z</dcterms:modified>
</cp:coreProperties>
</file>