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99DD" w14:textId="77777777" w:rsidR="005301BA" w:rsidRDefault="00000000">
      <w:pPr>
        <w:spacing w:before="120" w:after="360"/>
        <w:jc w:val="center"/>
        <w:rPr>
          <w:rFonts w:ascii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>Replication package explanatory file</w:t>
      </w:r>
    </w:p>
    <w:p w14:paraId="43CB8F99" w14:textId="105067F2" w:rsidR="005301BA" w:rsidRPr="00A46B09" w:rsidRDefault="00000000" w:rsidP="00A46B09">
      <w:pPr>
        <w:spacing w:after="240"/>
        <w:jc w:val="both"/>
        <w:rPr>
          <w:rFonts w:ascii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 xml:space="preserve">Manuscript title: </w:t>
      </w:r>
      <w:r w:rsidR="00A46B09" w:rsidRPr="00D526B7">
        <w:rPr>
          <w:rFonts w:ascii="Palatino Linotype" w:hAnsi="Palatino Linotype" w:cs="Palatino Linotype"/>
          <w:sz w:val="24"/>
          <w:szCs w:val="24"/>
        </w:rPr>
        <w:t>COVID-19 Transmission in U.S. Transit Buses: A</w:t>
      </w:r>
      <w:r w:rsidR="00A46B09" w:rsidRPr="00D526B7">
        <w:rPr>
          <w:rFonts w:ascii="Palatino Linotype" w:hAnsi="Palatino Linotype" w:cs="Palatino Linotype"/>
          <w:sz w:val="24"/>
          <w:szCs w:val="24"/>
        </w:rPr>
        <w:t xml:space="preserve"> </w:t>
      </w:r>
      <w:r w:rsidR="00A46B09" w:rsidRPr="00D526B7">
        <w:rPr>
          <w:rFonts w:ascii="Palatino Linotype" w:hAnsi="Palatino Linotype" w:cs="Palatino Linotype"/>
          <w:sz w:val="24"/>
          <w:szCs w:val="24"/>
        </w:rPr>
        <w:t>Scenario-Based Approach with Agent-Based</w:t>
      </w:r>
      <w:r w:rsidR="00A46B09" w:rsidRPr="00D526B7">
        <w:rPr>
          <w:rFonts w:ascii="Palatino Linotype" w:hAnsi="Palatino Linotype" w:cs="Palatino Linotype"/>
          <w:sz w:val="24"/>
          <w:szCs w:val="24"/>
        </w:rPr>
        <w:t xml:space="preserve"> </w:t>
      </w:r>
      <w:r w:rsidR="00A46B09" w:rsidRPr="00D526B7">
        <w:rPr>
          <w:rFonts w:ascii="Palatino Linotype" w:hAnsi="Palatino Linotype" w:cs="Palatino Linotype"/>
          <w:sz w:val="24"/>
          <w:szCs w:val="24"/>
        </w:rPr>
        <w:t>Simulation</w:t>
      </w:r>
      <w:r w:rsidR="00A46B09" w:rsidRPr="00D526B7">
        <w:rPr>
          <w:rFonts w:ascii="Palatino Linotype" w:hAnsi="Palatino Linotype" w:cs="Palatino Linotype"/>
          <w:sz w:val="24"/>
          <w:szCs w:val="24"/>
        </w:rPr>
        <w:t xml:space="preserve"> </w:t>
      </w:r>
      <w:r w:rsidR="00A46B09" w:rsidRPr="00D526B7">
        <w:rPr>
          <w:rFonts w:ascii="Palatino Linotype" w:hAnsi="Palatino Linotype" w:cs="Palatino Linotype"/>
          <w:sz w:val="24"/>
          <w:szCs w:val="24"/>
        </w:rPr>
        <w:t>Modeling (ABSM)</w:t>
      </w:r>
    </w:p>
    <w:p w14:paraId="7350B207" w14:textId="26FE41EF" w:rsidR="005301BA" w:rsidRDefault="00000000">
      <w:pPr>
        <w:spacing w:after="240"/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 xml:space="preserve">Manuscript ID: </w:t>
      </w:r>
      <w:r w:rsidR="009942E1" w:rsidRPr="0015505C">
        <w:rPr>
          <w:rFonts w:ascii="Palatino Linotype" w:hAnsi="Palatino Linotype" w:cs="Palatino Linotype"/>
          <w:sz w:val="24"/>
          <w:szCs w:val="24"/>
        </w:rPr>
        <w:t>COMMTR-D-22-00125</w:t>
      </w:r>
    </w:p>
    <w:p w14:paraId="79CAA163" w14:textId="717D7EFD" w:rsidR="005301BA" w:rsidRPr="0015505C" w:rsidRDefault="00000000">
      <w:pPr>
        <w:spacing w:after="240"/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 xml:space="preserve">Authors: </w:t>
      </w:r>
      <w:r w:rsidR="00163C11" w:rsidRPr="0015505C">
        <w:rPr>
          <w:rFonts w:ascii="Palatino Linotype" w:hAnsi="Palatino Linotype" w:cs="Palatino Linotype"/>
          <w:sz w:val="24"/>
          <w:szCs w:val="24"/>
        </w:rPr>
        <w:t xml:space="preserve">Sachraa G. Borjigin, Qian He, Deb A. </w:t>
      </w:r>
      <w:proofErr w:type="spellStart"/>
      <w:r w:rsidR="00163C11" w:rsidRPr="0015505C">
        <w:rPr>
          <w:rFonts w:ascii="Palatino Linotype" w:hAnsi="Palatino Linotype" w:cs="Palatino Linotype"/>
          <w:sz w:val="24"/>
          <w:szCs w:val="24"/>
        </w:rPr>
        <w:t>Niemeier</w:t>
      </w:r>
      <w:proofErr w:type="spellEnd"/>
    </w:p>
    <w:p w14:paraId="6E0BE8D0" w14:textId="768D8A28" w:rsidR="005301BA" w:rsidRDefault="00000000">
      <w:pPr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>Replication package access</w:t>
      </w:r>
      <w:r>
        <w:rPr>
          <w:rFonts w:ascii="Palatino Linotype" w:hAnsi="Palatino Linotype" w:cs="Palatino Linotype"/>
          <w:sz w:val="24"/>
          <w:szCs w:val="24"/>
        </w:rPr>
        <w:t xml:space="preserve">: Please </w:t>
      </w:r>
      <w:r w:rsidR="00895246">
        <w:rPr>
          <w:rFonts w:ascii="Palatino Linotype" w:hAnsi="Palatino Linotype" w:cs="Palatino Linotype"/>
          <w:sz w:val="24"/>
          <w:szCs w:val="24"/>
        </w:rPr>
        <w:t xml:space="preserve">contact the corresponding author </w:t>
      </w:r>
      <w:r w:rsidR="0049604F">
        <w:rPr>
          <w:rFonts w:ascii="Palatino Linotype" w:hAnsi="Palatino Linotype" w:cs="Palatino Linotype"/>
          <w:sz w:val="24"/>
          <w:szCs w:val="24"/>
        </w:rPr>
        <w:t xml:space="preserve">to retrieve software code, data models and </w:t>
      </w:r>
      <w:r w:rsidR="000D3A83">
        <w:rPr>
          <w:rFonts w:ascii="Palatino Linotype" w:hAnsi="Palatino Linotype" w:cs="Palatino Linotype"/>
          <w:sz w:val="24"/>
          <w:szCs w:val="24"/>
        </w:rPr>
        <w:t>related</w:t>
      </w:r>
      <w:r w:rsidR="0049604F">
        <w:rPr>
          <w:rFonts w:ascii="Palatino Linotype" w:hAnsi="Palatino Linotype" w:cs="Palatino Linotype"/>
          <w:sz w:val="24"/>
          <w:szCs w:val="24"/>
        </w:rPr>
        <w:t xml:space="preserve"> modeling results.</w:t>
      </w:r>
    </w:p>
    <w:p w14:paraId="11C5BDB6" w14:textId="562E6DD1" w:rsidR="00A37BEC" w:rsidRDefault="00000000">
      <w:pPr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 xml:space="preserve">Data description: </w:t>
      </w:r>
      <w:r w:rsidR="00894F3A">
        <w:rPr>
          <w:rFonts w:ascii="Palatino Linotype" w:hAnsi="Palatino Linotype" w:cs="Palatino Linotype"/>
          <w:sz w:val="24"/>
          <w:szCs w:val="24"/>
        </w:rPr>
        <w:t>The data retrieved from the modeling results are simulated datasets</w:t>
      </w:r>
      <w:r w:rsidR="00A03AB5">
        <w:rPr>
          <w:rFonts w:ascii="Palatino Linotype" w:hAnsi="Palatino Linotype" w:cs="Palatino Linotype"/>
          <w:sz w:val="24"/>
          <w:szCs w:val="24"/>
        </w:rPr>
        <w:t>, and can be made available upon reasonable requests.</w:t>
      </w:r>
    </w:p>
    <w:p w14:paraId="56BC0E86" w14:textId="37D84F3C" w:rsidR="00AA2321" w:rsidRDefault="00000000" w:rsidP="0040339F">
      <w:pPr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>Code description</w:t>
      </w:r>
      <w:r>
        <w:rPr>
          <w:rFonts w:ascii="Palatino Linotype" w:hAnsi="Palatino Linotype" w:cs="Palatino Linotype"/>
          <w:sz w:val="24"/>
          <w:szCs w:val="24"/>
        </w:rPr>
        <w:t xml:space="preserve">: </w:t>
      </w:r>
      <w:r w:rsidR="00D65190">
        <w:rPr>
          <w:rFonts w:ascii="Palatino Linotype" w:hAnsi="Palatino Linotype" w:cs="Palatino Linotype"/>
          <w:sz w:val="24"/>
          <w:szCs w:val="24"/>
        </w:rPr>
        <w:t>Our</w:t>
      </w:r>
      <w:r w:rsidR="008216DD">
        <w:rPr>
          <w:rFonts w:ascii="Palatino Linotype" w:hAnsi="Palatino Linotype" w:cs="Palatino Linotype"/>
          <w:sz w:val="24"/>
          <w:szCs w:val="24"/>
        </w:rPr>
        <w:t xml:space="preserve"> </w:t>
      </w:r>
      <w:r w:rsidR="00560735">
        <w:rPr>
          <w:rFonts w:ascii="Palatino Linotype" w:hAnsi="Palatino Linotype" w:cs="Palatino Linotype"/>
          <w:sz w:val="24"/>
          <w:szCs w:val="24"/>
        </w:rPr>
        <w:t>agent-based simulation model</w:t>
      </w:r>
      <w:r w:rsidR="008216DD">
        <w:rPr>
          <w:rFonts w:ascii="Palatino Linotype" w:hAnsi="Palatino Linotype" w:cs="Palatino Linotype"/>
          <w:sz w:val="24"/>
          <w:szCs w:val="24"/>
        </w:rPr>
        <w:t xml:space="preserve"> was constructed </w:t>
      </w:r>
      <w:r w:rsidR="00D65190">
        <w:rPr>
          <w:rFonts w:ascii="Palatino Linotype" w:hAnsi="Palatino Linotype" w:cs="Palatino Linotype"/>
          <w:sz w:val="24"/>
          <w:szCs w:val="24"/>
        </w:rPr>
        <w:t>in</w:t>
      </w:r>
      <w:r w:rsidR="008216DD">
        <w:rPr>
          <w:rFonts w:ascii="Palatino Linotype" w:hAnsi="Palatino Linotype" w:cs="Palatino Linotype"/>
          <w:sz w:val="24"/>
          <w:szCs w:val="24"/>
        </w:rPr>
        <w:t xml:space="preserve"> </w:t>
      </w:r>
      <w:proofErr w:type="spellStart"/>
      <w:r w:rsidR="008216DD">
        <w:rPr>
          <w:rFonts w:ascii="Palatino Linotype" w:hAnsi="Palatino Linotype" w:cs="Palatino Linotype"/>
          <w:sz w:val="24"/>
          <w:szCs w:val="24"/>
        </w:rPr>
        <w:t>NetLogo</w:t>
      </w:r>
      <w:proofErr w:type="spellEnd"/>
      <w:r w:rsidR="008216DD">
        <w:rPr>
          <w:rFonts w:ascii="Palatino Linotype" w:hAnsi="Palatino Linotype" w:cs="Palatino Linotype"/>
          <w:sz w:val="24"/>
          <w:szCs w:val="24"/>
        </w:rPr>
        <w:t xml:space="preserve"> 6.1.1 and </w:t>
      </w:r>
      <w:r w:rsidR="006922EE">
        <w:rPr>
          <w:rFonts w:ascii="Palatino Linotype" w:hAnsi="Palatino Linotype" w:cs="Palatino Linotype"/>
          <w:sz w:val="24"/>
          <w:szCs w:val="24"/>
        </w:rPr>
        <w:t xml:space="preserve">it was built on </w:t>
      </w:r>
      <w:r w:rsidR="001D129E">
        <w:rPr>
          <w:rFonts w:ascii="Palatino Linotype" w:hAnsi="Palatino Linotype" w:cs="Palatino Linotype"/>
          <w:sz w:val="24"/>
          <w:szCs w:val="24"/>
        </w:rPr>
        <w:t xml:space="preserve">the </w:t>
      </w:r>
      <w:r w:rsidR="006922EE">
        <w:rPr>
          <w:rFonts w:ascii="Palatino Linotype" w:hAnsi="Palatino Linotype" w:cs="Palatino Linotype"/>
          <w:sz w:val="24"/>
          <w:szCs w:val="24"/>
        </w:rPr>
        <w:t>MacOS Monterey Version 12.6 operating system. T</w:t>
      </w:r>
      <w:r w:rsidR="008216DD">
        <w:rPr>
          <w:rFonts w:ascii="Palatino Linotype" w:hAnsi="Palatino Linotype" w:cs="Palatino Linotype"/>
          <w:sz w:val="24"/>
          <w:szCs w:val="24"/>
        </w:rPr>
        <w:t xml:space="preserve">he </w:t>
      </w:r>
      <w:r w:rsidR="0049644A">
        <w:rPr>
          <w:rFonts w:ascii="Palatino Linotype" w:hAnsi="Palatino Linotype" w:cs="Palatino Linotype"/>
          <w:sz w:val="24"/>
          <w:szCs w:val="24"/>
        </w:rPr>
        <w:t xml:space="preserve">official </w:t>
      </w:r>
      <w:r w:rsidR="008216DD">
        <w:rPr>
          <w:rFonts w:ascii="Palatino Linotype" w:hAnsi="Palatino Linotype" w:cs="Palatino Linotype"/>
          <w:sz w:val="24"/>
          <w:szCs w:val="24"/>
        </w:rPr>
        <w:t>webpage</w:t>
      </w:r>
      <w:r w:rsidR="00E93136">
        <w:rPr>
          <w:rFonts w:ascii="Palatino Linotype" w:hAnsi="Palatino Linotype" w:cs="Palatino Linotype"/>
          <w:sz w:val="24"/>
          <w:szCs w:val="24"/>
        </w:rPr>
        <w:t xml:space="preserve"> </w:t>
      </w:r>
      <w:r w:rsidR="00431FD6">
        <w:rPr>
          <w:rFonts w:ascii="Palatino Linotype" w:hAnsi="Palatino Linotype" w:cs="Palatino Linotype"/>
          <w:sz w:val="24"/>
          <w:szCs w:val="24"/>
        </w:rPr>
        <w:t xml:space="preserve">of </w:t>
      </w:r>
      <w:proofErr w:type="spellStart"/>
      <w:r w:rsidR="00431FD6">
        <w:rPr>
          <w:rFonts w:ascii="Palatino Linotype" w:hAnsi="Palatino Linotype" w:cs="Palatino Linotype"/>
          <w:sz w:val="24"/>
          <w:szCs w:val="24"/>
        </w:rPr>
        <w:t>NetLogo</w:t>
      </w:r>
      <w:proofErr w:type="spellEnd"/>
      <w:r w:rsidR="00431FD6">
        <w:rPr>
          <w:rFonts w:ascii="Palatino Linotype" w:hAnsi="Palatino Linotype" w:cs="Palatino Linotype"/>
          <w:sz w:val="24"/>
          <w:szCs w:val="24"/>
        </w:rPr>
        <w:t xml:space="preserve"> (software download and user manual) </w:t>
      </w:r>
      <w:r w:rsidR="008216DD">
        <w:rPr>
          <w:rFonts w:ascii="Palatino Linotype" w:hAnsi="Palatino Linotype" w:cs="Palatino Linotype"/>
          <w:sz w:val="24"/>
          <w:szCs w:val="24"/>
        </w:rPr>
        <w:t xml:space="preserve">can be found </w:t>
      </w:r>
      <w:hyperlink r:id="rId7" w:history="1">
        <w:r w:rsidR="008216DD" w:rsidRPr="00F872AD">
          <w:rPr>
            <w:rStyle w:val="Hyperlink"/>
            <w:rFonts w:ascii="Palatino Linotype" w:hAnsi="Palatino Linotype" w:cs="Palatino Linotype"/>
            <w:sz w:val="24"/>
            <w:szCs w:val="24"/>
          </w:rPr>
          <w:t>here</w:t>
        </w:r>
      </w:hyperlink>
      <w:r w:rsidR="00CD4BA9">
        <w:rPr>
          <w:rFonts w:ascii="Palatino Linotype" w:hAnsi="Palatino Linotype" w:cs="Palatino Linotype"/>
          <w:sz w:val="24"/>
          <w:szCs w:val="24"/>
        </w:rPr>
        <w:t xml:space="preserve">, </w:t>
      </w:r>
      <w:r w:rsidR="00D65190">
        <w:rPr>
          <w:rFonts w:ascii="Palatino Linotype" w:hAnsi="Palatino Linotype" w:cs="Palatino Linotype"/>
          <w:sz w:val="24"/>
          <w:szCs w:val="24"/>
        </w:rPr>
        <w:t>an open</w:t>
      </w:r>
      <w:r w:rsidR="00924547">
        <w:rPr>
          <w:rFonts w:ascii="Palatino Linotype" w:hAnsi="Palatino Linotype" w:cs="Palatino Linotype"/>
          <w:sz w:val="24"/>
          <w:szCs w:val="24"/>
        </w:rPr>
        <w:t>-</w:t>
      </w:r>
      <w:r w:rsidR="00D65190">
        <w:rPr>
          <w:rFonts w:ascii="Palatino Linotype" w:hAnsi="Palatino Linotype" w:cs="Palatino Linotype"/>
          <w:sz w:val="24"/>
          <w:szCs w:val="24"/>
        </w:rPr>
        <w:t>source free application</w:t>
      </w:r>
      <w:r w:rsidR="0040339F">
        <w:rPr>
          <w:rFonts w:ascii="Palatino Linotype" w:hAnsi="Palatino Linotype" w:cs="Palatino Linotype"/>
          <w:sz w:val="24"/>
          <w:szCs w:val="24"/>
        </w:rPr>
        <w:t>.</w:t>
      </w:r>
    </w:p>
    <w:p w14:paraId="3DFA7660" w14:textId="667D191F" w:rsidR="00AA2321" w:rsidRPr="00721C49" w:rsidRDefault="00000000">
      <w:pPr>
        <w:jc w:val="both"/>
        <w:rPr>
          <w:rStyle w:val="Strong"/>
          <w:rFonts w:ascii="Palatino Linotype" w:hAnsi="Palatino Linotype" w:cs="Palatino Linotype"/>
          <w:b w:val="0"/>
          <w:bCs w:val="0"/>
          <w:sz w:val="24"/>
          <w:szCs w:val="24"/>
        </w:rPr>
      </w:pPr>
      <w:r>
        <w:rPr>
          <w:rStyle w:val="Strong"/>
          <w:rFonts w:ascii="Palatino Linotype" w:hAnsi="Palatino Linotype" w:cs="Palatino Linotype"/>
          <w:bCs w:val="0"/>
          <w:sz w:val="24"/>
          <w:szCs w:val="24"/>
        </w:rPr>
        <w:t xml:space="preserve">Simulation software description: </w:t>
      </w:r>
      <w:r w:rsidR="003C1552">
        <w:rPr>
          <w:rFonts w:ascii="Palatino Linotype" w:hAnsi="Palatino Linotype" w:cs="Palatino Linotype"/>
          <w:sz w:val="24"/>
          <w:szCs w:val="24"/>
        </w:rPr>
        <w:t xml:space="preserve">The simulation model was built on </w:t>
      </w:r>
      <w:proofErr w:type="spellStart"/>
      <w:r w:rsidR="003C1552">
        <w:rPr>
          <w:rFonts w:ascii="Palatino Linotype" w:hAnsi="Palatino Linotype" w:cs="Palatino Linotype"/>
          <w:sz w:val="24"/>
          <w:szCs w:val="24"/>
        </w:rPr>
        <w:t>NetLogo</w:t>
      </w:r>
      <w:proofErr w:type="spellEnd"/>
      <w:r w:rsidR="003C1552">
        <w:rPr>
          <w:rFonts w:ascii="Palatino Linotype" w:hAnsi="Palatino Linotype" w:cs="Palatino Linotype"/>
          <w:sz w:val="24"/>
          <w:szCs w:val="24"/>
        </w:rPr>
        <w:t xml:space="preserve"> 6.1.1</w:t>
      </w:r>
      <w:r w:rsidR="00EF3AC4">
        <w:rPr>
          <w:rFonts w:ascii="Palatino Linotype" w:hAnsi="Palatino Linotype" w:cs="Palatino Linotype"/>
          <w:sz w:val="24"/>
          <w:szCs w:val="24"/>
        </w:rPr>
        <w:t xml:space="preserve"> with </w:t>
      </w:r>
      <w:r w:rsidR="008937EC">
        <w:rPr>
          <w:rFonts w:ascii="Palatino Linotype" w:hAnsi="Palatino Linotype" w:cs="Palatino Linotype"/>
          <w:sz w:val="24"/>
          <w:szCs w:val="24"/>
        </w:rPr>
        <w:t xml:space="preserve">a </w:t>
      </w:r>
      <w:r w:rsidR="00EF3AC4">
        <w:rPr>
          <w:rFonts w:ascii="Palatino Linotype" w:hAnsi="Palatino Linotype" w:cs="Palatino Linotype"/>
          <w:sz w:val="24"/>
          <w:szCs w:val="24"/>
        </w:rPr>
        <w:t xml:space="preserve">“setup” button to reset modeling environment, and “go” and “forever-go” buttons to proceed </w:t>
      </w:r>
      <w:r w:rsidR="00024F26">
        <w:rPr>
          <w:rFonts w:ascii="Palatino Linotype" w:hAnsi="Palatino Linotype" w:cs="Palatino Linotype"/>
          <w:sz w:val="24"/>
          <w:szCs w:val="24"/>
        </w:rPr>
        <w:t xml:space="preserve">with </w:t>
      </w:r>
      <w:r w:rsidR="00EF3AC4">
        <w:rPr>
          <w:rFonts w:ascii="Palatino Linotype" w:hAnsi="Palatino Linotype" w:cs="Palatino Linotype"/>
          <w:sz w:val="24"/>
          <w:szCs w:val="24"/>
        </w:rPr>
        <w:t xml:space="preserve">each simulation. There are scenario parameters that need users to </w:t>
      </w:r>
      <w:r w:rsidR="00A2161E">
        <w:rPr>
          <w:rFonts w:ascii="Palatino Linotype" w:hAnsi="Palatino Linotype" w:cs="Palatino Linotype"/>
          <w:sz w:val="24"/>
          <w:szCs w:val="24"/>
        </w:rPr>
        <w:t>specify</w:t>
      </w:r>
      <w:r w:rsidR="00EF3AC4">
        <w:rPr>
          <w:rFonts w:ascii="Palatino Linotype" w:hAnsi="Palatino Linotype" w:cs="Palatino Linotype"/>
          <w:sz w:val="24"/>
          <w:szCs w:val="24"/>
        </w:rPr>
        <w:t xml:space="preserve"> using </w:t>
      </w:r>
      <w:r w:rsidR="00C92328">
        <w:rPr>
          <w:rFonts w:ascii="Palatino Linotype" w:hAnsi="Palatino Linotype" w:cs="Palatino Linotype"/>
          <w:sz w:val="24"/>
          <w:szCs w:val="24"/>
        </w:rPr>
        <w:t>a set of</w:t>
      </w:r>
      <w:r w:rsidR="00EF3AC4">
        <w:rPr>
          <w:rFonts w:ascii="Palatino Linotype" w:hAnsi="Palatino Linotype" w:cs="Palatino Linotype"/>
          <w:sz w:val="24"/>
          <w:szCs w:val="24"/>
        </w:rPr>
        <w:t xml:space="preserve"> sliding bars (e.g., infection probability varies from 0 to 100%).</w:t>
      </w:r>
      <w:r w:rsidR="003A460B">
        <w:rPr>
          <w:rFonts w:ascii="Palatino Linotype" w:hAnsi="Palatino Linotype" w:cs="Palatino Linotype"/>
          <w:sz w:val="24"/>
          <w:szCs w:val="24"/>
        </w:rPr>
        <w:t xml:space="preserve"> After the scenario parameters are selected, users need to click </w:t>
      </w:r>
      <w:r w:rsidR="00282956">
        <w:rPr>
          <w:rFonts w:ascii="Palatino Linotype" w:hAnsi="Palatino Linotype" w:cs="Palatino Linotype"/>
          <w:sz w:val="24"/>
          <w:szCs w:val="24"/>
        </w:rPr>
        <w:t>on</w:t>
      </w:r>
      <w:r w:rsidR="003A460B">
        <w:rPr>
          <w:rFonts w:ascii="Palatino Linotype" w:hAnsi="Palatino Linotype" w:cs="Palatino Linotype"/>
          <w:sz w:val="24"/>
          <w:szCs w:val="24"/>
        </w:rPr>
        <w:t xml:space="preserve"> “setup” button to </w:t>
      </w:r>
      <w:r w:rsidR="00027C9A">
        <w:rPr>
          <w:rFonts w:ascii="Palatino Linotype" w:hAnsi="Palatino Linotype" w:cs="Palatino Linotype"/>
          <w:sz w:val="24"/>
          <w:szCs w:val="24"/>
        </w:rPr>
        <w:t>allow</w:t>
      </w:r>
      <w:r w:rsidR="003A460B">
        <w:rPr>
          <w:rFonts w:ascii="Palatino Linotype" w:hAnsi="Palatino Linotype" w:cs="Palatino Linotype"/>
          <w:sz w:val="24"/>
          <w:szCs w:val="24"/>
        </w:rPr>
        <w:t xml:space="preserve"> the </w:t>
      </w:r>
      <w:r w:rsidR="00027C9A">
        <w:rPr>
          <w:rFonts w:ascii="Palatino Linotype" w:hAnsi="Palatino Linotype" w:cs="Palatino Linotype"/>
          <w:sz w:val="24"/>
          <w:szCs w:val="24"/>
        </w:rPr>
        <w:t xml:space="preserve">modeling </w:t>
      </w:r>
      <w:r w:rsidR="003A460B">
        <w:rPr>
          <w:rFonts w:ascii="Palatino Linotype" w:hAnsi="Palatino Linotype" w:cs="Palatino Linotype"/>
          <w:sz w:val="24"/>
          <w:szCs w:val="24"/>
        </w:rPr>
        <w:t>environment ready for the selected scenario, then</w:t>
      </w:r>
      <w:r w:rsidR="00C4508C">
        <w:rPr>
          <w:rFonts w:ascii="Palatino Linotype" w:hAnsi="Palatino Linotype" w:cs="Palatino Linotype"/>
          <w:sz w:val="24"/>
          <w:szCs w:val="24"/>
        </w:rPr>
        <w:t xml:space="preserve"> click on “forever-go” button to continue each simulation until the end of simulation time (t</w:t>
      </w:r>
      <w:r w:rsidR="00C4508C" w:rsidRPr="0049329B">
        <w:rPr>
          <w:rFonts w:ascii="Palatino Linotype" w:hAnsi="Palatino Linotype" w:cs="Palatino Linotype"/>
          <w:sz w:val="24"/>
          <w:szCs w:val="24"/>
          <w:vertAlign w:val="subscript"/>
        </w:rPr>
        <w:t>end</w:t>
      </w:r>
      <w:r w:rsidR="00C4508C">
        <w:rPr>
          <w:rFonts w:ascii="Palatino Linotype" w:hAnsi="Palatino Linotype" w:cs="Palatino Linotype"/>
          <w:sz w:val="24"/>
          <w:szCs w:val="24"/>
        </w:rPr>
        <w:t xml:space="preserve"> = 720 min).</w:t>
      </w:r>
      <w:r w:rsidR="00C03385">
        <w:rPr>
          <w:rFonts w:ascii="Palatino Linotype" w:hAnsi="Palatino Linotype" w:cs="Palatino Linotype"/>
          <w:sz w:val="24"/>
          <w:szCs w:val="24"/>
        </w:rPr>
        <w:t xml:space="preserve"> Note that the “go” button is the manual button to proceed with each time step with a single click.</w:t>
      </w:r>
    </w:p>
    <w:p w14:paraId="1835F8A2" w14:textId="78A1F6C2" w:rsidR="00AA2321" w:rsidRDefault="00000000">
      <w:pPr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rStyle w:val="Strong"/>
          <w:rFonts w:ascii="Palatino Linotype" w:hAnsi="Palatino Linotype" w:cs="Palatino Linotype"/>
          <w:bCs w:val="0"/>
          <w:sz w:val="24"/>
          <w:szCs w:val="24"/>
        </w:rPr>
        <w:t xml:space="preserve">Experiment design description: </w:t>
      </w:r>
      <w:r w:rsidR="004206A4">
        <w:rPr>
          <w:rFonts w:ascii="Palatino Linotype" w:hAnsi="Palatino Linotype" w:cs="Palatino Linotype"/>
          <w:sz w:val="24"/>
          <w:szCs w:val="24"/>
        </w:rPr>
        <w:t>This</w:t>
      </w:r>
      <w:r>
        <w:rPr>
          <w:rFonts w:ascii="Palatino Linotype" w:hAnsi="Palatino Linotype" w:cs="Palatino Linotype"/>
          <w:sz w:val="24"/>
          <w:szCs w:val="24"/>
        </w:rPr>
        <w:t xml:space="preserve"> </w:t>
      </w:r>
      <w:r w:rsidR="004206A4">
        <w:rPr>
          <w:rFonts w:ascii="Palatino Linotype" w:hAnsi="Palatino Linotype" w:cs="Palatino Linotype"/>
          <w:sz w:val="24"/>
          <w:szCs w:val="24"/>
        </w:rPr>
        <w:t>research work does not</w:t>
      </w:r>
      <w:r>
        <w:rPr>
          <w:rFonts w:ascii="Palatino Linotype" w:hAnsi="Palatino Linotype" w:cs="Palatino Linotype"/>
          <w:sz w:val="24"/>
          <w:szCs w:val="24"/>
        </w:rPr>
        <w:t xml:space="preserve"> include</w:t>
      </w:r>
      <w:r w:rsidR="004206A4">
        <w:rPr>
          <w:rFonts w:ascii="Palatino Linotype" w:hAnsi="Palatino Linotype" w:cs="Palatino Linotype"/>
          <w:sz w:val="24"/>
          <w:szCs w:val="24"/>
        </w:rPr>
        <w:t xml:space="preserve"> any</w:t>
      </w:r>
      <w:r>
        <w:rPr>
          <w:rFonts w:ascii="Palatino Linotype" w:hAnsi="Palatino Linotype" w:cs="Palatino Linotype"/>
          <w:sz w:val="24"/>
          <w:szCs w:val="24"/>
        </w:rPr>
        <w:t xml:space="preserve"> surveys and experiments</w:t>
      </w:r>
      <w:r w:rsidR="004206A4">
        <w:rPr>
          <w:rFonts w:ascii="Palatino Linotype" w:hAnsi="Palatino Linotype" w:cs="Palatino Linotype"/>
          <w:sz w:val="24"/>
          <w:szCs w:val="24"/>
        </w:rPr>
        <w:t>.</w:t>
      </w:r>
      <w:r>
        <w:rPr>
          <w:rFonts w:ascii="Palatino Linotype" w:hAnsi="Palatino Linotype" w:cs="Palatino Linotype"/>
          <w:sz w:val="24"/>
          <w:szCs w:val="24"/>
        </w:rPr>
        <w:t xml:space="preserve"> </w:t>
      </w:r>
    </w:p>
    <w:p w14:paraId="41A5361E" w14:textId="02A166AE" w:rsidR="00745540" w:rsidRDefault="00000000">
      <w:pPr>
        <w:jc w:val="both"/>
        <w:rPr>
          <w:rStyle w:val="Strong"/>
          <w:rFonts w:ascii="Palatino Linotype" w:hAnsi="Palatino Linotype" w:cs="Palatino Linotype"/>
          <w:b w:val="0"/>
          <w:sz w:val="24"/>
          <w:szCs w:val="24"/>
        </w:rPr>
      </w:pPr>
      <w:r>
        <w:rPr>
          <w:rStyle w:val="Strong"/>
          <w:rFonts w:ascii="Palatino Linotype" w:hAnsi="Palatino Linotype" w:cs="Palatino Linotype"/>
          <w:bCs w:val="0"/>
          <w:sz w:val="24"/>
          <w:szCs w:val="24"/>
        </w:rPr>
        <w:t xml:space="preserve">Others: </w:t>
      </w:r>
      <w:r w:rsidR="00745540">
        <w:rPr>
          <w:rStyle w:val="Strong"/>
          <w:rFonts w:ascii="Palatino Linotype" w:hAnsi="Palatino Linotype" w:cs="Palatino Linotype"/>
          <w:b w:val="0"/>
          <w:sz w:val="24"/>
          <w:szCs w:val="24"/>
        </w:rPr>
        <w:t xml:space="preserve">To run models in backend without having to manually run by clicking “setup” and “forever-go” buttons for </w:t>
      </w:r>
      <w:r w:rsidR="00F079F8">
        <w:rPr>
          <w:rStyle w:val="Strong"/>
          <w:rFonts w:ascii="Palatino Linotype" w:hAnsi="Palatino Linotype" w:cs="Palatino Linotype"/>
          <w:b w:val="0"/>
          <w:sz w:val="24"/>
          <w:szCs w:val="24"/>
        </w:rPr>
        <w:t>each</w:t>
      </w:r>
      <w:r w:rsidR="00745540">
        <w:rPr>
          <w:rStyle w:val="Strong"/>
          <w:rFonts w:ascii="Palatino Linotype" w:hAnsi="Palatino Linotype" w:cs="Palatino Linotype"/>
          <w:b w:val="0"/>
          <w:sz w:val="24"/>
          <w:szCs w:val="24"/>
        </w:rPr>
        <w:t xml:space="preserve"> simulation, users shall click on “Tools”</w:t>
      </w:r>
      <w:r w:rsidR="00540127">
        <w:rPr>
          <w:rStyle w:val="Strong"/>
          <w:rFonts w:ascii="Palatino Linotype" w:hAnsi="Palatino Linotype" w:cs="Palatino Linotype"/>
          <w:b w:val="0"/>
          <w:sz w:val="24"/>
          <w:szCs w:val="24"/>
        </w:rPr>
        <w:t xml:space="preserve"> tab</w:t>
      </w:r>
      <w:r w:rsidR="00B006E1">
        <w:rPr>
          <w:rStyle w:val="Strong"/>
          <w:rFonts w:ascii="Palatino Linotype" w:hAnsi="Palatino Linotype" w:cs="Palatino Linotype"/>
          <w:b w:val="0"/>
          <w:sz w:val="24"/>
          <w:szCs w:val="24"/>
        </w:rPr>
        <w:t xml:space="preserve"> </w:t>
      </w:r>
      <w:r w:rsidR="00B006E1" w:rsidRPr="00B006E1">
        <w:rPr>
          <w:rStyle w:val="Strong"/>
          <w:rFonts w:ascii="Palatino Linotype" w:hAnsi="Palatino Linotype" w:cs="Palatino Linotype"/>
          <w:b w:val="0"/>
          <w:sz w:val="24"/>
          <w:szCs w:val="24"/>
        </w:rPr>
        <w:sym w:font="Wingdings" w:char="F0E0"/>
      </w:r>
      <w:r w:rsidR="00B006E1">
        <w:rPr>
          <w:rStyle w:val="Strong"/>
          <w:rFonts w:ascii="Palatino Linotype" w:hAnsi="Palatino Linotype" w:cs="Palatino Linotype"/>
          <w:b w:val="0"/>
          <w:sz w:val="24"/>
          <w:szCs w:val="24"/>
        </w:rPr>
        <w:t xml:space="preserve"> “</w:t>
      </w:r>
      <w:proofErr w:type="spellStart"/>
      <w:r w:rsidR="00B006E1">
        <w:rPr>
          <w:rStyle w:val="Strong"/>
          <w:rFonts w:ascii="Palatino Linotype" w:hAnsi="Palatino Linotype" w:cs="Palatino Linotype"/>
          <w:b w:val="0"/>
          <w:sz w:val="24"/>
          <w:szCs w:val="24"/>
        </w:rPr>
        <w:t>BehaviorSpace</w:t>
      </w:r>
      <w:proofErr w:type="spellEnd"/>
      <w:r w:rsidR="00B006E1">
        <w:rPr>
          <w:rStyle w:val="Strong"/>
          <w:rFonts w:ascii="Palatino Linotype" w:hAnsi="Palatino Linotype" w:cs="Palatino Linotype"/>
          <w:b w:val="0"/>
          <w:sz w:val="24"/>
          <w:szCs w:val="24"/>
        </w:rPr>
        <w:t>”, and then specify the number of runs and scenario parameters in there to retrieve modeling results</w:t>
      </w:r>
      <w:r w:rsidR="00881019">
        <w:rPr>
          <w:rStyle w:val="Strong"/>
          <w:rFonts w:ascii="Palatino Linotype" w:hAnsi="Palatino Linotype" w:cs="Palatino Linotype"/>
          <w:b w:val="0"/>
          <w:sz w:val="24"/>
          <w:szCs w:val="24"/>
        </w:rPr>
        <w:t xml:space="preserve"> automatically.</w:t>
      </w:r>
    </w:p>
    <w:p w14:paraId="147F83C8" w14:textId="6B4A6A38" w:rsidR="005301BA" w:rsidRDefault="005301BA">
      <w:pPr>
        <w:jc w:val="both"/>
        <w:rPr>
          <w:rFonts w:ascii="Palatino Linotype" w:hAnsi="Palatino Linotype" w:cs="Palatino Linotype"/>
          <w:bCs/>
          <w:sz w:val="24"/>
          <w:szCs w:val="24"/>
        </w:rPr>
      </w:pPr>
    </w:p>
    <w:sectPr w:rsidR="0053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4C9F" w14:textId="77777777" w:rsidR="00F22216" w:rsidRDefault="00F22216">
      <w:r>
        <w:separator/>
      </w:r>
    </w:p>
  </w:endnote>
  <w:endnote w:type="continuationSeparator" w:id="0">
    <w:p w14:paraId="4ED002FD" w14:textId="77777777" w:rsidR="00F22216" w:rsidRDefault="00F2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egoe UI"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DADD" w14:textId="77777777" w:rsidR="00F22216" w:rsidRDefault="00F22216">
      <w:pPr>
        <w:spacing w:after="0"/>
      </w:pPr>
      <w:r>
        <w:separator/>
      </w:r>
    </w:p>
  </w:footnote>
  <w:footnote w:type="continuationSeparator" w:id="0">
    <w:p w14:paraId="7B99F61D" w14:textId="77777777" w:rsidR="00F22216" w:rsidRDefault="00F222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zUzMjAwNjA0NTFQ0lEKTi0uzszPAykwqgUArvTuQSwAAAA="/>
  </w:docVars>
  <w:rsids>
    <w:rsidRoot w:val="00A73921"/>
    <w:rsid w:val="000043E8"/>
    <w:rsid w:val="00024F26"/>
    <w:rsid w:val="00027C9A"/>
    <w:rsid w:val="000B7711"/>
    <w:rsid w:val="000D3A83"/>
    <w:rsid w:val="000D3C0C"/>
    <w:rsid w:val="00117B4B"/>
    <w:rsid w:val="0015505C"/>
    <w:rsid w:val="00163C11"/>
    <w:rsid w:val="001D129E"/>
    <w:rsid w:val="00234B24"/>
    <w:rsid w:val="00243A1B"/>
    <w:rsid w:val="0025719E"/>
    <w:rsid w:val="00282956"/>
    <w:rsid w:val="002E70B2"/>
    <w:rsid w:val="00371B87"/>
    <w:rsid w:val="003807B7"/>
    <w:rsid w:val="003A460B"/>
    <w:rsid w:val="003C1552"/>
    <w:rsid w:val="0040339F"/>
    <w:rsid w:val="0041185F"/>
    <w:rsid w:val="004206A4"/>
    <w:rsid w:val="00431FD6"/>
    <w:rsid w:val="00480624"/>
    <w:rsid w:val="0049329B"/>
    <w:rsid w:val="0049604F"/>
    <w:rsid w:val="0049644A"/>
    <w:rsid w:val="004A78E1"/>
    <w:rsid w:val="004C1483"/>
    <w:rsid w:val="004C19C5"/>
    <w:rsid w:val="005301BA"/>
    <w:rsid w:val="00540127"/>
    <w:rsid w:val="00560735"/>
    <w:rsid w:val="00567123"/>
    <w:rsid w:val="005D4686"/>
    <w:rsid w:val="00605E94"/>
    <w:rsid w:val="00627591"/>
    <w:rsid w:val="00632781"/>
    <w:rsid w:val="0064624D"/>
    <w:rsid w:val="00651D4A"/>
    <w:rsid w:val="006876A2"/>
    <w:rsid w:val="006922EE"/>
    <w:rsid w:val="006B737C"/>
    <w:rsid w:val="006C1390"/>
    <w:rsid w:val="00713994"/>
    <w:rsid w:val="00713A4F"/>
    <w:rsid w:val="00721512"/>
    <w:rsid w:val="00721C49"/>
    <w:rsid w:val="00745540"/>
    <w:rsid w:val="00752624"/>
    <w:rsid w:val="007B6D79"/>
    <w:rsid w:val="007C42E2"/>
    <w:rsid w:val="007D10D2"/>
    <w:rsid w:val="007E33E8"/>
    <w:rsid w:val="007F6CB4"/>
    <w:rsid w:val="008216DD"/>
    <w:rsid w:val="00881019"/>
    <w:rsid w:val="0088412D"/>
    <w:rsid w:val="008937EC"/>
    <w:rsid w:val="00894F3A"/>
    <w:rsid w:val="00895246"/>
    <w:rsid w:val="008F3A9C"/>
    <w:rsid w:val="008F7271"/>
    <w:rsid w:val="00924547"/>
    <w:rsid w:val="00932253"/>
    <w:rsid w:val="00984D0F"/>
    <w:rsid w:val="009942E1"/>
    <w:rsid w:val="009B4F0A"/>
    <w:rsid w:val="009E0E0C"/>
    <w:rsid w:val="009E5194"/>
    <w:rsid w:val="009E736A"/>
    <w:rsid w:val="00A02542"/>
    <w:rsid w:val="00A03AB5"/>
    <w:rsid w:val="00A2161E"/>
    <w:rsid w:val="00A37BEC"/>
    <w:rsid w:val="00A42DC3"/>
    <w:rsid w:val="00A46B09"/>
    <w:rsid w:val="00A73921"/>
    <w:rsid w:val="00AA1770"/>
    <w:rsid w:val="00AA2321"/>
    <w:rsid w:val="00B00151"/>
    <w:rsid w:val="00B006E1"/>
    <w:rsid w:val="00B134A0"/>
    <w:rsid w:val="00B26358"/>
    <w:rsid w:val="00B860C2"/>
    <w:rsid w:val="00C03385"/>
    <w:rsid w:val="00C4508C"/>
    <w:rsid w:val="00C454AF"/>
    <w:rsid w:val="00C62F02"/>
    <w:rsid w:val="00C70475"/>
    <w:rsid w:val="00C92328"/>
    <w:rsid w:val="00C93188"/>
    <w:rsid w:val="00C960CA"/>
    <w:rsid w:val="00CB34C4"/>
    <w:rsid w:val="00CD4BA9"/>
    <w:rsid w:val="00D21CC3"/>
    <w:rsid w:val="00D50A20"/>
    <w:rsid w:val="00D526B7"/>
    <w:rsid w:val="00D65190"/>
    <w:rsid w:val="00DB6A1D"/>
    <w:rsid w:val="00E24552"/>
    <w:rsid w:val="00E72DA5"/>
    <w:rsid w:val="00E87395"/>
    <w:rsid w:val="00E93136"/>
    <w:rsid w:val="00E95BF6"/>
    <w:rsid w:val="00EB6554"/>
    <w:rsid w:val="00EE475D"/>
    <w:rsid w:val="00EF3AC4"/>
    <w:rsid w:val="00F079F8"/>
    <w:rsid w:val="00F158BF"/>
    <w:rsid w:val="00F22216"/>
    <w:rsid w:val="00F37714"/>
    <w:rsid w:val="00F84B1D"/>
    <w:rsid w:val="00F872AD"/>
    <w:rsid w:val="3CF079E6"/>
    <w:rsid w:val="48743127"/>
    <w:rsid w:val="59B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490AA"/>
  <w15:docId w15:val="{3EFA47FB-4D6C-C54C-9230-697FCA1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2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rFonts w:ascii="Arial" w:hAnsi="Arial"/>
      <w:b/>
      <w:bCs/>
      <w:sz w:val="2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Cs w:val="26"/>
      <w:lang w:val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8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cl.northwestern.edu/netlogo/doc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292</Words>
  <Characters>1669</Characters>
  <Application>Microsoft Office Word</Application>
  <DocSecurity>0</DocSecurity>
  <Lines>13</Lines>
  <Paragraphs>3</Paragraphs>
  <ScaleCrop>false</ScaleCrop>
  <Company>University of Maryland College Park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Gao</dc:creator>
  <cp:lastModifiedBy>Sachraa G Borjigin</cp:lastModifiedBy>
  <cp:revision>70</cp:revision>
  <dcterms:created xsi:type="dcterms:W3CDTF">2022-01-29T09:41:00Z</dcterms:created>
  <dcterms:modified xsi:type="dcterms:W3CDTF">2022-11-28T21:39:00Z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B430AA19F855460592BF95D12B335A45</vt:lpwstr>
  </property>
</Properties>
</file>