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lastRenderedPageBreak/>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lastRenderedPageBreak/>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lastRenderedPageBreak/>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263D5D"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lastRenderedPageBreak/>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xml:space="preserve"> thuộc tính này trái ngược với </w:t>
      </w:r>
      <w:r w:rsidR="00B84053">
        <w:rPr>
          <w:rFonts w:ascii="Helvetica" w:hAnsi="Helvetica" w:cs="Helvetica"/>
          <w:color w:val="444444"/>
          <w:sz w:val="21"/>
          <w:szCs w:val="21"/>
          <w:shd w:val="clear" w:color="auto" w:fill="FFFFFF"/>
        </w:rPr>
        <w:lastRenderedPageBreak/>
        <w:t>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lastRenderedPageBreak/>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khi kế thừa template thì nếu template cha tắt “thoát” thì 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lastRenderedPageBreak/>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lastRenderedPageBreak/>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lastRenderedPageBreak/>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là 2 thì nếu số trang cache đã đạt đến 300 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phương thức này rất hữu ích nếu chúng ta dùng phương pháp cache trên file hoặc trên cơ sở dữ 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lastRenderedPageBreak/>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lastRenderedPageBreak/>
        <w:t>Kích hoạt session</w:t>
      </w:r>
    </w:p>
    <w:p w:rsidR="00263D5D" w:rsidRDefault="00263D5D" w:rsidP="00263D5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1"/>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1"/>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1"/>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1"/>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1"/>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cache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a6"/>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1"/>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lastRenderedPageBreak/>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1"/>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1"/>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1"/>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1"/>
          <w:rFonts w:ascii="Consolas" w:eastAsia="ＭＳ 明朝"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1"/>
          <w:rFonts w:ascii="Consolas" w:eastAsia="ＭＳ 明朝"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1"/>
          <w:rFonts w:ascii="Consolas" w:eastAsia="ＭＳ 明朝"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'blue'</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Xóa khóa ra khỏi session,</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1"/>
          <w:rFonts w:ascii="Consolas" w:eastAsia="ＭＳ 明朝" w:hAnsi="Consolas" w:cs="Consolas"/>
          <w:color w:val="444444"/>
          <w:bdr w:val="none" w:sz="0" w:space="0" w:color="auto" w:frame="1"/>
          <w:shd w:val="clear" w:color="auto" w:fill="FFFFFF"/>
        </w:rPr>
        <w:t>KeyError:</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lastRenderedPageBreak/>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Pr="005D32E6" w:rsidRDefault="005D32E6" w:rsidP="00A95C64">
      <w:pPr>
        <w:rPr>
          <w:color w:val="00B0F0"/>
          <w:lang w:val="en-US"/>
        </w:rPr>
      </w:pPr>
      <w:bookmarkStart w:id="0" w:name="_GoBack"/>
      <w:bookmarkEnd w:id="0"/>
    </w:p>
    <w:sectPr w:rsidR="005D32E6" w:rsidRPr="005D32E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3D5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5D32E6"/>
    <w:rsid w:val="00620BB9"/>
    <w:rsid w:val="00646E45"/>
    <w:rsid w:val="00673162"/>
    <w:rsid w:val="00691E4C"/>
    <w:rsid w:val="00696F7B"/>
    <w:rsid w:val="006B6759"/>
    <w:rsid w:val="006D6ABB"/>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87F36"/>
    <w:rsid w:val="00EA6519"/>
    <w:rsid w:val="00EB1B41"/>
    <w:rsid w:val="00ED38CE"/>
    <w:rsid w:val="00EE515F"/>
    <w:rsid w:val="00EF7D98"/>
    <w:rsid w:val="00F84938"/>
    <w:rsid w:val="00F87A70"/>
    <w:rsid w:val="00F93D60"/>
    <w:rsid w:val="00FA6DA0"/>
    <w:rsid w:val="00FC49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9D6189"/>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46</Pages>
  <Words>12379</Words>
  <Characters>70566</Characters>
  <Application>Microsoft Office Word</Application>
  <DocSecurity>0</DocSecurity>
  <Lines>588</Lines>
  <Paragraphs>165</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グエン ミン ホアン</cp:lastModifiedBy>
  <cp:revision>60</cp:revision>
  <dcterms:created xsi:type="dcterms:W3CDTF">2019-10-08T02:14:00Z</dcterms:created>
  <dcterms:modified xsi:type="dcterms:W3CDTF">2019-10-28T05:20:00Z</dcterms:modified>
</cp:coreProperties>
</file>