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DB54A" w14:textId="22EB13BE" w:rsidR="00DB24E8" w:rsidRDefault="00000000">
      <w:pPr>
        <w:spacing w:after="60"/>
        <w:jc w:val="center"/>
      </w:pPr>
      <w:r>
        <w:rPr>
          <w:b/>
          <w:bCs/>
          <w:color w:val="1F4E78"/>
          <w:sz w:val="30"/>
          <w:szCs w:val="30"/>
        </w:rPr>
        <w:t xml:space="preserve">Dossier 1 </w:t>
      </w:r>
      <w:r w:rsidR="007602E6">
        <w:rPr>
          <w:b/>
          <w:bCs/>
          <w:color w:val="1F4E78"/>
          <w:sz w:val="30"/>
          <w:szCs w:val="30"/>
        </w:rPr>
        <w:t xml:space="preserve">- </w:t>
      </w:r>
      <w:r>
        <w:rPr>
          <w:b/>
          <w:bCs/>
          <w:color w:val="1F4E78"/>
          <w:sz w:val="30"/>
          <w:szCs w:val="30"/>
        </w:rPr>
        <w:t>Contrôle de Gestion Industriel : PME Mécano-Est SAS</w:t>
      </w:r>
    </w:p>
    <w:p w14:paraId="56D42BCB" w14:textId="77777777" w:rsidR="00DB24E8" w:rsidRDefault="00000000">
      <w:pPr>
        <w:pStyle w:val="Titre1"/>
        <w:spacing w:before="240" w:after="120"/>
      </w:pPr>
      <w:r>
        <w:rPr>
          <w:b/>
          <w:bCs/>
          <w:color w:val="1F4E78"/>
          <w:sz w:val="26"/>
          <w:szCs w:val="26"/>
        </w:rPr>
        <w:t>1. Contexte &amp; Objectifs de la mission</w:t>
      </w:r>
    </w:p>
    <w:p w14:paraId="24A0F8F8" w14:textId="77777777" w:rsidR="00DB24E8" w:rsidRPr="007602E6" w:rsidRDefault="00000000" w:rsidP="007602E6">
      <w:pPr>
        <w:spacing w:after="120"/>
        <w:jc w:val="both"/>
        <w:rPr>
          <w:sz w:val="24"/>
          <w:szCs w:val="24"/>
        </w:rPr>
      </w:pPr>
      <w:r w:rsidRPr="007602E6">
        <w:rPr>
          <w:sz w:val="24"/>
          <w:szCs w:val="24"/>
        </w:rPr>
        <w:t>Ce dossier porte sur une PME manufacturière fictive, Mécano-Est SAS, qui fabrique des pièces usinées réparties en deux gammes :</w:t>
      </w:r>
    </w:p>
    <w:p w14:paraId="4E7BFCFD" w14:textId="77777777" w:rsidR="00DB24E8" w:rsidRPr="007602E6" w:rsidRDefault="00000000" w:rsidP="007602E6">
      <w:pPr>
        <w:pStyle w:val="Paragraphedeliste"/>
        <w:numPr>
          <w:ilvl w:val="0"/>
          <w:numId w:val="1"/>
        </w:numPr>
        <w:spacing w:after="80"/>
        <w:jc w:val="both"/>
        <w:rPr>
          <w:sz w:val="24"/>
          <w:szCs w:val="24"/>
        </w:rPr>
      </w:pPr>
      <w:r w:rsidRPr="007602E6">
        <w:rPr>
          <w:sz w:val="24"/>
          <w:szCs w:val="24"/>
        </w:rPr>
        <w:t>Pièce Standard (S) : Grande série (10 000 unités/an), vendue 60,00 € / unité.</w:t>
      </w:r>
    </w:p>
    <w:p w14:paraId="05A546E9" w14:textId="77777777" w:rsidR="00DB24E8" w:rsidRPr="007602E6" w:rsidRDefault="00000000" w:rsidP="007602E6">
      <w:pPr>
        <w:pStyle w:val="Paragraphedeliste"/>
        <w:numPr>
          <w:ilvl w:val="0"/>
          <w:numId w:val="1"/>
        </w:numPr>
        <w:spacing w:after="80"/>
        <w:jc w:val="both"/>
        <w:rPr>
          <w:sz w:val="24"/>
          <w:szCs w:val="24"/>
        </w:rPr>
      </w:pPr>
      <w:r w:rsidRPr="007602E6">
        <w:rPr>
          <w:sz w:val="24"/>
          <w:szCs w:val="24"/>
        </w:rPr>
        <w:t>Pièce Spéciale (P) : Petites séries sur-mesure (2 000 unités/an), vendue 140,00 € / unité.</w:t>
      </w:r>
    </w:p>
    <w:p w14:paraId="309E19AF" w14:textId="77777777" w:rsidR="00DB24E8" w:rsidRPr="007602E6" w:rsidRDefault="00000000" w:rsidP="007602E6">
      <w:pPr>
        <w:spacing w:after="120"/>
        <w:jc w:val="both"/>
        <w:rPr>
          <w:sz w:val="24"/>
          <w:szCs w:val="24"/>
        </w:rPr>
      </w:pPr>
      <w:r w:rsidRPr="007602E6">
        <w:rPr>
          <w:sz w:val="24"/>
          <w:szCs w:val="24"/>
        </w:rPr>
        <w:t>L'objectif de cette étude est de diagnostiquer la performance économique réelle de l'usine, de corriger les biais d'imputation des coûts de revient complets, d'évaluer la valorisation des stocks de matières premières face à l'inflation et d'encadrer le risque d'exploitation.</w:t>
      </w:r>
    </w:p>
    <w:p w14:paraId="3C4C1B87" w14:textId="77777777" w:rsidR="00DB24E8" w:rsidRDefault="00000000">
      <w:pPr>
        <w:pStyle w:val="Titre1"/>
        <w:spacing w:before="240" w:after="120"/>
      </w:pPr>
      <w:r>
        <w:rPr>
          <w:b/>
          <w:bCs/>
          <w:color w:val="1F4E78"/>
          <w:sz w:val="26"/>
          <w:szCs w:val="26"/>
        </w:rPr>
        <w:t>2. Analyse des Coûts : Méthode Traditionnelle vs Méthode ABC</w:t>
      </w:r>
    </w:p>
    <w:p w14:paraId="4EC8D26C" w14:textId="77777777" w:rsidR="00DB24E8" w:rsidRPr="007602E6" w:rsidRDefault="00000000" w:rsidP="007602E6">
      <w:pPr>
        <w:spacing w:after="120"/>
        <w:jc w:val="both"/>
        <w:rPr>
          <w:sz w:val="24"/>
          <w:szCs w:val="24"/>
        </w:rPr>
      </w:pPr>
      <w:r w:rsidRPr="007602E6">
        <w:rPr>
          <w:sz w:val="24"/>
          <w:szCs w:val="24"/>
        </w:rPr>
        <w:t>Les charges indirectes s'élèvent à 360 000 € pour l'exercice.</w:t>
      </w:r>
    </w:p>
    <w:p w14:paraId="093D64E9" w14:textId="77777777" w:rsidR="00DB24E8" w:rsidRPr="007602E6" w:rsidRDefault="00000000" w:rsidP="007602E6">
      <w:pPr>
        <w:pStyle w:val="Paragraphedeliste"/>
        <w:numPr>
          <w:ilvl w:val="0"/>
          <w:numId w:val="1"/>
        </w:numPr>
        <w:spacing w:after="80"/>
        <w:jc w:val="both"/>
        <w:rPr>
          <w:sz w:val="24"/>
          <w:szCs w:val="24"/>
        </w:rPr>
      </w:pPr>
      <w:r w:rsidRPr="007602E6">
        <w:rPr>
          <w:sz w:val="24"/>
          <w:szCs w:val="24"/>
        </w:rPr>
        <w:t>Biais de la méthode classique : L'utilisation d'une clé volumique unique (heures de main-d'œuvre directe - MOD) allouait 67,6 % des charges indirectes au produit Standard, simplement en raison de son volume. Les deux produits apparaissaient rentables (marge de +9,5 % pour le standard et +7,6 % pour le sur-mesure).</w:t>
      </w:r>
    </w:p>
    <w:p w14:paraId="1354F2CC" w14:textId="77777777" w:rsidR="00DB24E8" w:rsidRPr="007602E6" w:rsidRDefault="00000000" w:rsidP="007602E6">
      <w:pPr>
        <w:pStyle w:val="Paragraphedeliste"/>
        <w:numPr>
          <w:ilvl w:val="0"/>
          <w:numId w:val="1"/>
        </w:numPr>
        <w:spacing w:after="80"/>
        <w:jc w:val="both"/>
        <w:rPr>
          <w:sz w:val="24"/>
          <w:szCs w:val="24"/>
        </w:rPr>
      </w:pPr>
      <w:r w:rsidRPr="007602E6">
        <w:rPr>
          <w:sz w:val="24"/>
          <w:szCs w:val="24"/>
        </w:rPr>
        <w:t>Résultat de la méthode ABC : la modélisation de 5 activités supports et inducteurs de coûts (commandes d'achats, lancements de séries, heures-machines, contrôles qualité et livraisons) met en évidence un subventionnement croisé entre les deux gammes : le produit Standard (S) dégage une profitabilité réelle de +26,8 % (+16,10 € / unité), tandis que le produit Spécial (P) consomme la majorité des inducteurs de complexité (80 % des réglages, 80 % des contrôles, 67 % des approvisionnements) et affiche une perte nette de -29,6 % (-41,50 € / unité), soit un déficit annuel de 83 000 € compensé par la gamme standard.</w:t>
      </w:r>
    </w:p>
    <w:p w14:paraId="3CF33FC5" w14:textId="77777777" w:rsidR="00DB24E8" w:rsidRPr="007602E6" w:rsidRDefault="00000000" w:rsidP="007602E6">
      <w:pPr>
        <w:pStyle w:val="Paragraphedeliste"/>
        <w:numPr>
          <w:ilvl w:val="0"/>
          <w:numId w:val="1"/>
        </w:numPr>
        <w:spacing w:after="80"/>
        <w:jc w:val="both"/>
        <w:rPr>
          <w:sz w:val="24"/>
          <w:szCs w:val="24"/>
        </w:rPr>
      </w:pPr>
      <w:r w:rsidRPr="007602E6">
        <w:rPr>
          <w:sz w:val="24"/>
          <w:szCs w:val="24"/>
        </w:rPr>
        <w:t>Recommandations managériales : Rehausser immédiatement le tarif de la gamme spéciale au-dessus de son coût de revient ABC (181,50 €) ou imposer une taille minimale de lot de production pour réduire la fréquence des réglages de machines.</w:t>
      </w:r>
    </w:p>
    <w:p w14:paraId="5AE2433A" w14:textId="2142144F" w:rsidR="00DB24E8" w:rsidRPr="007602E6" w:rsidRDefault="00000000" w:rsidP="007602E6">
      <w:pPr>
        <w:spacing w:after="120"/>
        <w:jc w:val="both"/>
        <w:rPr>
          <w:sz w:val="24"/>
          <w:szCs w:val="24"/>
        </w:rPr>
      </w:pPr>
      <w:r w:rsidRPr="007602E6">
        <w:rPr>
          <w:sz w:val="24"/>
          <w:szCs w:val="24"/>
        </w:rPr>
        <w:t>Note de lecture : le résultat d'exploitation global de l'entreprise (78 000 €, soit 8,9 % du CA) est strictement identique entre les deux méthodes de calcul</w:t>
      </w:r>
      <w:r w:rsidR="007602E6">
        <w:rPr>
          <w:sz w:val="24"/>
          <w:szCs w:val="24"/>
        </w:rPr>
        <w:t xml:space="preserve">, </w:t>
      </w:r>
      <w:r w:rsidRPr="007602E6">
        <w:rPr>
          <w:sz w:val="24"/>
          <w:szCs w:val="24"/>
        </w:rPr>
        <w:t>seule la répartition du coût entre les deux gammes change.</w:t>
      </w:r>
    </w:p>
    <w:p w14:paraId="353A0008" w14:textId="77777777" w:rsidR="00DB24E8" w:rsidRDefault="00000000">
      <w:pPr>
        <w:pStyle w:val="Titre1"/>
        <w:spacing w:before="240" w:after="120"/>
      </w:pPr>
      <w:r>
        <w:rPr>
          <w:b/>
          <w:bCs/>
          <w:color w:val="1F4E78"/>
          <w:sz w:val="26"/>
          <w:szCs w:val="26"/>
        </w:rPr>
        <w:t>3. Gestion et Valorisation des Stocks : FIFO vs PUMP</w:t>
      </w:r>
    </w:p>
    <w:p w14:paraId="0D200555" w14:textId="77777777" w:rsidR="00DB24E8" w:rsidRPr="007602E6" w:rsidRDefault="00000000" w:rsidP="007602E6">
      <w:pPr>
        <w:spacing w:after="120"/>
        <w:jc w:val="both"/>
        <w:rPr>
          <w:sz w:val="24"/>
          <w:szCs w:val="24"/>
        </w:rPr>
      </w:pPr>
      <w:r w:rsidRPr="007602E6">
        <w:rPr>
          <w:sz w:val="24"/>
          <w:szCs w:val="24"/>
        </w:rPr>
        <w:t>Sur le composant critique (acier haute résistance), les mouvements du mois de janvier (total disponible de 11 000,00 € pour 900 kg) mettent en concurrence deux règles d'inventaire :</w:t>
      </w:r>
    </w:p>
    <w:p w14:paraId="207939DD" w14:textId="77777777" w:rsidR="00DB24E8" w:rsidRPr="007602E6" w:rsidRDefault="00000000" w:rsidP="007602E6">
      <w:pPr>
        <w:pStyle w:val="Paragraphedeliste"/>
        <w:numPr>
          <w:ilvl w:val="0"/>
          <w:numId w:val="1"/>
        </w:numPr>
        <w:spacing w:after="80"/>
        <w:jc w:val="both"/>
        <w:rPr>
          <w:sz w:val="24"/>
          <w:szCs w:val="24"/>
        </w:rPr>
      </w:pPr>
      <w:r w:rsidRPr="007602E6">
        <w:rPr>
          <w:sz w:val="24"/>
          <w:szCs w:val="24"/>
        </w:rPr>
        <w:t>Méthode FIFO (PEPS) : Les sorties d'atelier sont valorisées à 7 625,00 € et le stock final à 3 375,00 €.</w:t>
      </w:r>
    </w:p>
    <w:p w14:paraId="65AD9EA9" w14:textId="77777777" w:rsidR="00DB24E8" w:rsidRPr="007602E6" w:rsidRDefault="00000000" w:rsidP="007602E6">
      <w:pPr>
        <w:pStyle w:val="Paragraphedeliste"/>
        <w:numPr>
          <w:ilvl w:val="0"/>
          <w:numId w:val="1"/>
        </w:numPr>
        <w:spacing w:after="80"/>
        <w:jc w:val="both"/>
        <w:rPr>
          <w:sz w:val="24"/>
          <w:szCs w:val="24"/>
        </w:rPr>
      </w:pPr>
      <w:r w:rsidRPr="007602E6">
        <w:rPr>
          <w:sz w:val="24"/>
          <w:szCs w:val="24"/>
        </w:rPr>
        <w:t>Méthode PUMP : Les sorties s'élèvent à 7 781,82 € et le stock final à 3 218,18 €.</w:t>
      </w:r>
    </w:p>
    <w:p w14:paraId="50ACAF42" w14:textId="77777777" w:rsidR="00DB24E8" w:rsidRPr="007602E6" w:rsidRDefault="00000000" w:rsidP="007602E6">
      <w:pPr>
        <w:pStyle w:val="Paragraphedeliste"/>
        <w:numPr>
          <w:ilvl w:val="0"/>
          <w:numId w:val="1"/>
        </w:numPr>
        <w:spacing w:after="80"/>
        <w:jc w:val="both"/>
        <w:rPr>
          <w:sz w:val="24"/>
          <w:szCs w:val="24"/>
        </w:rPr>
      </w:pPr>
      <w:r w:rsidRPr="007602E6">
        <w:rPr>
          <w:sz w:val="24"/>
          <w:szCs w:val="24"/>
        </w:rPr>
        <w:t>Contrôle d'inventaire : Bouclage parfait à 11 000,00 € (écart nul).</w:t>
      </w:r>
    </w:p>
    <w:p w14:paraId="0BCC461B" w14:textId="77777777" w:rsidR="00DB24E8" w:rsidRPr="007602E6" w:rsidRDefault="00000000" w:rsidP="007602E6">
      <w:pPr>
        <w:pStyle w:val="Paragraphedeliste"/>
        <w:numPr>
          <w:ilvl w:val="0"/>
          <w:numId w:val="1"/>
        </w:numPr>
        <w:spacing w:after="80"/>
        <w:jc w:val="both"/>
        <w:rPr>
          <w:sz w:val="24"/>
          <w:szCs w:val="24"/>
        </w:rPr>
      </w:pPr>
      <w:r w:rsidRPr="007602E6">
        <w:rPr>
          <w:sz w:val="24"/>
          <w:szCs w:val="24"/>
        </w:rPr>
        <w:t>Enseignement financier : En contexte de hausse des prix matières, la méthode FIFO conduit à un résultat d'exploitation supérieur de 156,82 € à celui obtenu en PUMP, car elle valorise les sorties aux coûts d'entrée les plus anciens, donc les plus bas. La méthode PUMP, à l'inverse, lisse le coût moyen des matières et offre une image plus stable d'une période à l'autre, ce qui en fait un choix cohérent pour une politique comptable durable plutôt qu'un choix par défaut plus "prudent".</w:t>
      </w:r>
    </w:p>
    <w:p w14:paraId="36AA2618" w14:textId="77777777" w:rsidR="00DB24E8" w:rsidRDefault="00000000">
      <w:pPr>
        <w:pStyle w:val="Titre1"/>
        <w:spacing w:before="240" w:after="120"/>
      </w:pPr>
      <w:r>
        <w:rPr>
          <w:b/>
          <w:bCs/>
          <w:color w:val="1F4E78"/>
          <w:sz w:val="26"/>
          <w:szCs w:val="26"/>
        </w:rPr>
        <w:lastRenderedPageBreak/>
        <w:t>4. Risque d'Exploitation &amp; Point Mort</w:t>
      </w:r>
    </w:p>
    <w:p w14:paraId="3884279C" w14:textId="77777777" w:rsidR="00DB24E8" w:rsidRPr="007602E6" w:rsidRDefault="00000000" w:rsidP="007602E6">
      <w:pPr>
        <w:spacing w:after="120"/>
        <w:jc w:val="both"/>
        <w:rPr>
          <w:sz w:val="24"/>
          <w:szCs w:val="24"/>
        </w:rPr>
      </w:pPr>
      <w:r w:rsidRPr="007602E6">
        <w:rPr>
          <w:sz w:val="24"/>
          <w:szCs w:val="24"/>
        </w:rPr>
        <w:t>À partir du compte de résultat différentiel (CA : 880 000 € ; Charges variables : 542 000 € ; Charges fixes : 260 000 €) :</w:t>
      </w:r>
    </w:p>
    <w:p w14:paraId="40F04AB0" w14:textId="77777777" w:rsidR="00DB24E8" w:rsidRPr="007602E6" w:rsidRDefault="00000000" w:rsidP="007602E6">
      <w:pPr>
        <w:pStyle w:val="Paragraphedeliste"/>
        <w:numPr>
          <w:ilvl w:val="0"/>
          <w:numId w:val="1"/>
        </w:numPr>
        <w:spacing w:after="80"/>
        <w:jc w:val="both"/>
        <w:rPr>
          <w:sz w:val="24"/>
          <w:szCs w:val="24"/>
        </w:rPr>
      </w:pPr>
      <w:r w:rsidRPr="007602E6">
        <w:rPr>
          <w:sz w:val="24"/>
          <w:szCs w:val="24"/>
        </w:rPr>
        <w:t>Taux de Marge sur Coûts Variables (MCV) : 38,41 % (338 000 €).</w:t>
      </w:r>
    </w:p>
    <w:p w14:paraId="5D6E128F" w14:textId="77777777" w:rsidR="00DB24E8" w:rsidRPr="007602E6" w:rsidRDefault="00000000" w:rsidP="007602E6">
      <w:pPr>
        <w:pStyle w:val="Paragraphedeliste"/>
        <w:numPr>
          <w:ilvl w:val="0"/>
          <w:numId w:val="1"/>
        </w:numPr>
        <w:spacing w:after="80"/>
        <w:jc w:val="both"/>
        <w:rPr>
          <w:sz w:val="24"/>
          <w:szCs w:val="24"/>
        </w:rPr>
      </w:pPr>
      <w:r w:rsidRPr="007602E6">
        <w:rPr>
          <w:sz w:val="24"/>
          <w:szCs w:val="24"/>
        </w:rPr>
        <w:t>Seuil de Rentabilité (SR) : 676 923 € de chiffre d'affaires.</w:t>
      </w:r>
    </w:p>
    <w:p w14:paraId="62CAE2DF" w14:textId="321735FA" w:rsidR="00DB24E8" w:rsidRPr="007602E6" w:rsidRDefault="00000000" w:rsidP="007602E6">
      <w:pPr>
        <w:pStyle w:val="Paragraphedeliste"/>
        <w:numPr>
          <w:ilvl w:val="0"/>
          <w:numId w:val="1"/>
        </w:numPr>
        <w:spacing w:after="80"/>
        <w:jc w:val="both"/>
        <w:rPr>
          <w:sz w:val="24"/>
          <w:szCs w:val="24"/>
        </w:rPr>
      </w:pPr>
      <w:r w:rsidRPr="007602E6">
        <w:rPr>
          <w:sz w:val="24"/>
          <w:szCs w:val="24"/>
        </w:rPr>
        <w:t xml:space="preserve">Point mort (base annuelle 360 jours) : 277 jours </w:t>
      </w:r>
      <w:r w:rsidR="007602E6">
        <w:rPr>
          <w:sz w:val="24"/>
          <w:szCs w:val="24"/>
        </w:rPr>
        <w:t xml:space="preserve">- </w:t>
      </w:r>
      <w:r w:rsidRPr="007602E6">
        <w:rPr>
          <w:sz w:val="24"/>
          <w:szCs w:val="24"/>
        </w:rPr>
        <w:t>l'entreprise commence à dégager du profit le 8 octobre.</w:t>
      </w:r>
    </w:p>
    <w:p w14:paraId="1C6E6692" w14:textId="77777777" w:rsidR="00DB24E8" w:rsidRPr="007602E6" w:rsidRDefault="00000000" w:rsidP="007602E6">
      <w:pPr>
        <w:pStyle w:val="Paragraphedeliste"/>
        <w:numPr>
          <w:ilvl w:val="0"/>
          <w:numId w:val="1"/>
        </w:numPr>
        <w:spacing w:after="80"/>
        <w:jc w:val="both"/>
        <w:rPr>
          <w:sz w:val="24"/>
          <w:szCs w:val="24"/>
        </w:rPr>
      </w:pPr>
      <w:r w:rsidRPr="007602E6">
        <w:rPr>
          <w:sz w:val="24"/>
          <w:szCs w:val="24"/>
        </w:rPr>
        <w:t>Marge de Sécurité : 203 077 € (soit un Indice de Sécurité de 23,1 %).</w:t>
      </w:r>
    </w:p>
    <w:p w14:paraId="5261B58C" w14:textId="77777777" w:rsidR="00DB24E8" w:rsidRPr="007602E6" w:rsidRDefault="00000000" w:rsidP="007602E6">
      <w:pPr>
        <w:pStyle w:val="Paragraphedeliste"/>
        <w:numPr>
          <w:ilvl w:val="0"/>
          <w:numId w:val="1"/>
        </w:numPr>
        <w:spacing w:after="80"/>
        <w:jc w:val="both"/>
        <w:rPr>
          <w:sz w:val="24"/>
          <w:szCs w:val="24"/>
        </w:rPr>
      </w:pPr>
      <w:r w:rsidRPr="007602E6">
        <w:rPr>
          <w:sz w:val="24"/>
          <w:szCs w:val="24"/>
        </w:rPr>
        <w:t>Levier d'Exploitation : 4,33 (une hausse de 10 % des ventes génère une hausse de 43,3 % du résultat opérationnel).</w:t>
      </w:r>
    </w:p>
    <w:p w14:paraId="097E92C8" w14:textId="77777777" w:rsidR="00DB24E8" w:rsidRDefault="00000000">
      <w:pPr>
        <w:pStyle w:val="Titre1"/>
        <w:spacing w:before="240" w:after="120"/>
      </w:pPr>
      <w:r>
        <w:rPr>
          <w:b/>
          <w:bCs/>
          <w:color w:val="1F4E78"/>
          <w:sz w:val="26"/>
          <w:szCs w:val="26"/>
        </w:rPr>
        <w:t>5. Synthèse des Résultats Opérationnels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200"/>
        <w:gridCol w:w="2600"/>
      </w:tblGrid>
      <w:tr w:rsidR="00DB24E8" w14:paraId="4891CE5E" w14:textId="77777777">
        <w:tblPrEx>
          <w:tblCellMar>
            <w:top w:w="0" w:type="dxa"/>
            <w:bottom w:w="0" w:type="dxa"/>
          </w:tblCellMar>
        </w:tblPrEx>
        <w:tc>
          <w:tcPr>
            <w:tcW w:w="2200" w:type="dxa"/>
            <w:shd w:val="clear" w:color="auto" w:fill="1F4E78"/>
          </w:tcPr>
          <w:p w14:paraId="57D1AABE" w14:textId="77777777" w:rsidR="00DB24E8" w:rsidRDefault="00000000">
            <w:r>
              <w:rPr>
                <w:b/>
                <w:bCs/>
                <w:color w:val="FFFFFF"/>
                <w:sz w:val="19"/>
                <w:szCs w:val="19"/>
              </w:rPr>
              <w:t>Axe d'analyse</w:t>
            </w:r>
          </w:p>
        </w:tc>
        <w:tc>
          <w:tcPr>
            <w:tcW w:w="2400" w:type="dxa"/>
            <w:shd w:val="clear" w:color="auto" w:fill="1F4E78"/>
          </w:tcPr>
          <w:p w14:paraId="21901BAF" w14:textId="77777777" w:rsidR="00DB24E8" w:rsidRDefault="00000000">
            <w:r>
              <w:rPr>
                <w:b/>
                <w:bCs/>
                <w:color w:val="FFFFFF"/>
                <w:sz w:val="19"/>
                <w:szCs w:val="19"/>
              </w:rPr>
              <w:t>Indicateur clé</w:t>
            </w:r>
          </w:p>
        </w:tc>
        <w:tc>
          <w:tcPr>
            <w:tcW w:w="2200" w:type="dxa"/>
            <w:shd w:val="clear" w:color="auto" w:fill="1F4E78"/>
          </w:tcPr>
          <w:p w14:paraId="3082C831" w14:textId="77777777" w:rsidR="00DB24E8" w:rsidRDefault="00000000">
            <w:r>
              <w:rPr>
                <w:b/>
                <w:bCs/>
                <w:color w:val="FFFFFF"/>
                <w:sz w:val="19"/>
                <w:szCs w:val="19"/>
              </w:rPr>
              <w:t>Valeur obtenue</w:t>
            </w:r>
          </w:p>
        </w:tc>
        <w:tc>
          <w:tcPr>
            <w:tcW w:w="2600" w:type="dxa"/>
            <w:shd w:val="clear" w:color="auto" w:fill="1F4E78"/>
          </w:tcPr>
          <w:p w14:paraId="2446BB72" w14:textId="77777777" w:rsidR="00DB24E8" w:rsidRDefault="00000000">
            <w:r>
              <w:rPr>
                <w:b/>
                <w:bCs/>
                <w:color w:val="FFFFFF"/>
                <w:sz w:val="19"/>
                <w:szCs w:val="19"/>
              </w:rPr>
              <w:t>Décision managériale</w:t>
            </w:r>
          </w:p>
        </w:tc>
      </w:tr>
      <w:tr w:rsidR="00DB24E8" w14:paraId="481D0B04" w14:textId="77777777">
        <w:tblPrEx>
          <w:tblCellMar>
            <w:top w:w="0" w:type="dxa"/>
            <w:bottom w:w="0" w:type="dxa"/>
          </w:tblCellMar>
        </w:tblPrEx>
        <w:tc>
          <w:tcPr>
            <w:tcW w:w="2200" w:type="dxa"/>
          </w:tcPr>
          <w:p w14:paraId="1CA6D0B4" w14:textId="77777777" w:rsidR="00DB24E8" w:rsidRDefault="00000000">
            <w:r>
              <w:rPr>
                <w:color w:val="000000"/>
                <w:sz w:val="19"/>
                <w:szCs w:val="19"/>
              </w:rPr>
              <w:t>Rentabilité analytique</w:t>
            </w:r>
          </w:p>
        </w:tc>
        <w:tc>
          <w:tcPr>
            <w:tcW w:w="2400" w:type="dxa"/>
          </w:tcPr>
          <w:p w14:paraId="46A15A17" w14:textId="77777777" w:rsidR="00DB24E8" w:rsidRDefault="00000000">
            <w:r>
              <w:rPr>
                <w:color w:val="000000"/>
                <w:sz w:val="19"/>
                <w:szCs w:val="19"/>
              </w:rPr>
              <w:t>Marge ABC Produit Standard</w:t>
            </w:r>
          </w:p>
        </w:tc>
        <w:tc>
          <w:tcPr>
            <w:tcW w:w="2200" w:type="dxa"/>
          </w:tcPr>
          <w:p w14:paraId="3709EFE2" w14:textId="77777777" w:rsidR="00DB24E8" w:rsidRDefault="00000000">
            <w:r>
              <w:rPr>
                <w:color w:val="000000"/>
                <w:sz w:val="19"/>
                <w:szCs w:val="19"/>
              </w:rPr>
              <w:t>+16,10 € / u (+26,8 %)</w:t>
            </w:r>
          </w:p>
        </w:tc>
        <w:tc>
          <w:tcPr>
            <w:tcW w:w="2600" w:type="dxa"/>
          </w:tcPr>
          <w:p w14:paraId="13448E8A" w14:textId="77777777" w:rsidR="00DB24E8" w:rsidRDefault="00000000">
            <w:r>
              <w:rPr>
                <w:color w:val="000000"/>
                <w:sz w:val="19"/>
                <w:szCs w:val="19"/>
              </w:rPr>
              <w:t>Consolider les parts de marché sur cette gamme cœur</w:t>
            </w:r>
          </w:p>
        </w:tc>
      </w:tr>
      <w:tr w:rsidR="00DB24E8" w14:paraId="0D817133" w14:textId="77777777">
        <w:tblPrEx>
          <w:tblCellMar>
            <w:top w:w="0" w:type="dxa"/>
            <w:bottom w:w="0" w:type="dxa"/>
          </w:tblCellMar>
        </w:tblPrEx>
        <w:tc>
          <w:tcPr>
            <w:tcW w:w="2200" w:type="dxa"/>
          </w:tcPr>
          <w:p w14:paraId="1D3C6BDA" w14:textId="77777777" w:rsidR="00DB24E8" w:rsidRDefault="00000000">
            <w:r>
              <w:rPr>
                <w:color w:val="000000"/>
                <w:sz w:val="19"/>
                <w:szCs w:val="19"/>
              </w:rPr>
              <w:t>Rentabilité analytique</w:t>
            </w:r>
          </w:p>
        </w:tc>
        <w:tc>
          <w:tcPr>
            <w:tcW w:w="2400" w:type="dxa"/>
          </w:tcPr>
          <w:p w14:paraId="3202440B" w14:textId="77777777" w:rsidR="00DB24E8" w:rsidRDefault="00000000">
            <w:r>
              <w:rPr>
                <w:color w:val="000000"/>
                <w:sz w:val="19"/>
                <w:szCs w:val="19"/>
              </w:rPr>
              <w:t>Marge ABC Produit Spécial</w:t>
            </w:r>
          </w:p>
        </w:tc>
        <w:tc>
          <w:tcPr>
            <w:tcW w:w="2200" w:type="dxa"/>
          </w:tcPr>
          <w:p w14:paraId="1BF9162B" w14:textId="77777777" w:rsidR="00DB24E8" w:rsidRDefault="00000000">
            <w:r>
              <w:rPr>
                <w:color w:val="000000"/>
                <w:sz w:val="19"/>
                <w:szCs w:val="19"/>
              </w:rPr>
              <w:t>-41,50 € / u (-29,6 %)</w:t>
            </w:r>
          </w:p>
        </w:tc>
        <w:tc>
          <w:tcPr>
            <w:tcW w:w="2600" w:type="dxa"/>
          </w:tcPr>
          <w:p w14:paraId="3DD41DA1" w14:textId="77777777" w:rsidR="00DB24E8" w:rsidRDefault="00000000">
            <w:r>
              <w:rPr>
                <w:color w:val="000000"/>
                <w:sz w:val="19"/>
                <w:szCs w:val="19"/>
              </w:rPr>
              <w:t>Revue tarifaire impérative ou rationalisation des lancements</w:t>
            </w:r>
          </w:p>
        </w:tc>
      </w:tr>
      <w:tr w:rsidR="00DB24E8" w14:paraId="2126BA28" w14:textId="77777777">
        <w:tblPrEx>
          <w:tblCellMar>
            <w:top w:w="0" w:type="dxa"/>
            <w:bottom w:w="0" w:type="dxa"/>
          </w:tblCellMar>
        </w:tblPrEx>
        <w:tc>
          <w:tcPr>
            <w:tcW w:w="2200" w:type="dxa"/>
          </w:tcPr>
          <w:p w14:paraId="39E05E7C" w14:textId="77777777" w:rsidR="00DB24E8" w:rsidRDefault="00000000">
            <w:r>
              <w:rPr>
                <w:color w:val="000000"/>
                <w:sz w:val="19"/>
                <w:szCs w:val="19"/>
              </w:rPr>
              <w:t>Valorisation des stocks</w:t>
            </w:r>
          </w:p>
        </w:tc>
        <w:tc>
          <w:tcPr>
            <w:tcW w:w="2400" w:type="dxa"/>
          </w:tcPr>
          <w:p w14:paraId="6F959449" w14:textId="77777777" w:rsidR="00DB24E8" w:rsidRDefault="00000000">
            <w:r>
              <w:rPr>
                <w:color w:val="000000"/>
                <w:sz w:val="19"/>
                <w:szCs w:val="19"/>
              </w:rPr>
              <w:t>Impact résultat (FIFO vs PUMP)</w:t>
            </w:r>
          </w:p>
        </w:tc>
        <w:tc>
          <w:tcPr>
            <w:tcW w:w="2200" w:type="dxa"/>
          </w:tcPr>
          <w:p w14:paraId="58669B2C" w14:textId="77777777" w:rsidR="00DB24E8" w:rsidRDefault="00000000">
            <w:r>
              <w:rPr>
                <w:color w:val="000000"/>
                <w:sz w:val="19"/>
                <w:szCs w:val="19"/>
              </w:rPr>
              <w:t>+156,82 € en FIFO</w:t>
            </w:r>
          </w:p>
        </w:tc>
        <w:tc>
          <w:tcPr>
            <w:tcW w:w="2600" w:type="dxa"/>
          </w:tcPr>
          <w:p w14:paraId="735BBB20" w14:textId="77777777" w:rsidR="00DB24E8" w:rsidRDefault="00000000">
            <w:r>
              <w:rPr>
                <w:color w:val="000000"/>
                <w:sz w:val="19"/>
                <w:szCs w:val="19"/>
              </w:rPr>
              <w:t>Retenir le PUMP pour une politique comptable stable et cohérente dans le temps</w:t>
            </w:r>
          </w:p>
        </w:tc>
      </w:tr>
      <w:tr w:rsidR="00DB24E8" w14:paraId="512BEFD9" w14:textId="77777777">
        <w:tblPrEx>
          <w:tblCellMar>
            <w:top w:w="0" w:type="dxa"/>
            <w:bottom w:w="0" w:type="dxa"/>
          </w:tblCellMar>
        </w:tblPrEx>
        <w:tc>
          <w:tcPr>
            <w:tcW w:w="2200" w:type="dxa"/>
          </w:tcPr>
          <w:p w14:paraId="65C04A00" w14:textId="77777777" w:rsidR="00DB24E8" w:rsidRDefault="00000000">
            <w:r>
              <w:rPr>
                <w:color w:val="000000"/>
                <w:sz w:val="19"/>
                <w:szCs w:val="19"/>
              </w:rPr>
              <w:t>Sensibilité d'exploitation</w:t>
            </w:r>
          </w:p>
        </w:tc>
        <w:tc>
          <w:tcPr>
            <w:tcW w:w="2400" w:type="dxa"/>
          </w:tcPr>
          <w:p w14:paraId="1CE3C80E" w14:textId="77777777" w:rsidR="00DB24E8" w:rsidRDefault="00000000">
            <w:r>
              <w:rPr>
                <w:color w:val="000000"/>
                <w:sz w:val="19"/>
                <w:szCs w:val="19"/>
              </w:rPr>
              <w:t>Point mort (base annuelle 360 jours)</w:t>
            </w:r>
          </w:p>
        </w:tc>
        <w:tc>
          <w:tcPr>
            <w:tcW w:w="2200" w:type="dxa"/>
          </w:tcPr>
          <w:p w14:paraId="697E83B2" w14:textId="77777777" w:rsidR="00DB24E8" w:rsidRDefault="00000000">
            <w:r>
              <w:rPr>
                <w:color w:val="000000"/>
                <w:sz w:val="19"/>
                <w:szCs w:val="19"/>
              </w:rPr>
              <w:t>277 jours (8 octobre)</w:t>
            </w:r>
          </w:p>
        </w:tc>
        <w:tc>
          <w:tcPr>
            <w:tcW w:w="2600" w:type="dxa"/>
          </w:tcPr>
          <w:p w14:paraId="358F2FDD" w14:textId="77777777" w:rsidR="00DB24E8" w:rsidRDefault="00000000">
            <w:r>
              <w:rPr>
                <w:color w:val="000000"/>
                <w:sz w:val="19"/>
                <w:szCs w:val="19"/>
              </w:rPr>
              <w:t>Suivi strict du plan de charge sur le dernier trimestre</w:t>
            </w:r>
          </w:p>
        </w:tc>
      </w:tr>
      <w:tr w:rsidR="00DB24E8" w14:paraId="19A69FB0" w14:textId="77777777">
        <w:tblPrEx>
          <w:tblCellMar>
            <w:top w:w="0" w:type="dxa"/>
            <w:bottom w:w="0" w:type="dxa"/>
          </w:tblCellMar>
        </w:tblPrEx>
        <w:tc>
          <w:tcPr>
            <w:tcW w:w="2200" w:type="dxa"/>
          </w:tcPr>
          <w:p w14:paraId="1D9D4B60" w14:textId="77777777" w:rsidR="00DB24E8" w:rsidRDefault="00000000">
            <w:r>
              <w:rPr>
                <w:color w:val="000000"/>
                <w:sz w:val="19"/>
                <w:szCs w:val="19"/>
              </w:rPr>
              <w:t>Sensibilité d'exploitation</w:t>
            </w:r>
          </w:p>
        </w:tc>
        <w:tc>
          <w:tcPr>
            <w:tcW w:w="2400" w:type="dxa"/>
          </w:tcPr>
          <w:p w14:paraId="366158CC" w14:textId="77777777" w:rsidR="00DB24E8" w:rsidRDefault="00000000">
            <w:r>
              <w:rPr>
                <w:color w:val="000000"/>
                <w:sz w:val="19"/>
                <w:szCs w:val="19"/>
              </w:rPr>
              <w:t>Indice de Sécurité</w:t>
            </w:r>
          </w:p>
        </w:tc>
        <w:tc>
          <w:tcPr>
            <w:tcW w:w="2200" w:type="dxa"/>
          </w:tcPr>
          <w:p w14:paraId="4F98696B" w14:textId="77777777" w:rsidR="00DB24E8" w:rsidRDefault="00000000">
            <w:r>
              <w:rPr>
                <w:color w:val="000000"/>
                <w:sz w:val="19"/>
                <w:szCs w:val="19"/>
              </w:rPr>
              <w:t>23,1 % (203 k€)</w:t>
            </w:r>
          </w:p>
        </w:tc>
        <w:tc>
          <w:tcPr>
            <w:tcW w:w="2600" w:type="dxa"/>
          </w:tcPr>
          <w:p w14:paraId="25110983" w14:textId="77777777" w:rsidR="00DB24E8" w:rsidRDefault="00000000">
            <w:r>
              <w:rPr>
                <w:color w:val="000000"/>
                <w:sz w:val="19"/>
                <w:szCs w:val="19"/>
              </w:rPr>
              <w:t>Capacité d'absorption des baisses conjoncturelles de volume</w:t>
            </w:r>
          </w:p>
        </w:tc>
      </w:tr>
    </w:tbl>
    <w:p w14:paraId="2848E626" w14:textId="77777777" w:rsidR="00BA77E4" w:rsidRDefault="00BA77E4"/>
    <w:sectPr w:rsidR="00BA77E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0B6500"/>
    <w:multiLevelType w:val="hybridMultilevel"/>
    <w:tmpl w:val="13A4B856"/>
    <w:lvl w:ilvl="0" w:tplc="53485228">
      <w:start w:val="1"/>
      <w:numFmt w:val="bullet"/>
      <w:lvlText w:val="●"/>
      <w:lvlJc w:val="left"/>
      <w:pPr>
        <w:ind w:left="720" w:hanging="360"/>
      </w:pPr>
    </w:lvl>
    <w:lvl w:ilvl="1" w:tplc="63EE38E6">
      <w:start w:val="1"/>
      <w:numFmt w:val="bullet"/>
      <w:lvlText w:val="○"/>
      <w:lvlJc w:val="left"/>
      <w:pPr>
        <w:ind w:left="1440" w:hanging="360"/>
      </w:pPr>
    </w:lvl>
    <w:lvl w:ilvl="2" w:tplc="38E62512">
      <w:start w:val="1"/>
      <w:numFmt w:val="bullet"/>
      <w:lvlText w:val="■"/>
      <w:lvlJc w:val="left"/>
      <w:pPr>
        <w:ind w:left="2160" w:hanging="360"/>
      </w:pPr>
    </w:lvl>
    <w:lvl w:ilvl="3" w:tplc="74B6D236">
      <w:start w:val="1"/>
      <w:numFmt w:val="bullet"/>
      <w:lvlText w:val="●"/>
      <w:lvlJc w:val="left"/>
      <w:pPr>
        <w:ind w:left="2880" w:hanging="360"/>
      </w:pPr>
    </w:lvl>
    <w:lvl w:ilvl="4" w:tplc="DDDE11AC">
      <w:start w:val="1"/>
      <w:numFmt w:val="bullet"/>
      <w:lvlText w:val="○"/>
      <w:lvlJc w:val="left"/>
      <w:pPr>
        <w:ind w:left="3600" w:hanging="360"/>
      </w:pPr>
    </w:lvl>
    <w:lvl w:ilvl="5" w:tplc="6E78901A">
      <w:start w:val="1"/>
      <w:numFmt w:val="bullet"/>
      <w:lvlText w:val="■"/>
      <w:lvlJc w:val="left"/>
      <w:pPr>
        <w:ind w:left="4320" w:hanging="360"/>
      </w:pPr>
    </w:lvl>
    <w:lvl w:ilvl="6" w:tplc="9E70CF8A">
      <w:start w:val="1"/>
      <w:numFmt w:val="bullet"/>
      <w:lvlText w:val="●"/>
      <w:lvlJc w:val="left"/>
      <w:pPr>
        <w:ind w:left="5040" w:hanging="360"/>
      </w:pPr>
    </w:lvl>
    <w:lvl w:ilvl="7" w:tplc="7D1AE050">
      <w:start w:val="1"/>
      <w:numFmt w:val="bullet"/>
      <w:lvlText w:val="●"/>
      <w:lvlJc w:val="left"/>
      <w:pPr>
        <w:ind w:left="5760" w:hanging="360"/>
      </w:pPr>
    </w:lvl>
    <w:lvl w:ilvl="8" w:tplc="F68CFF0C">
      <w:start w:val="1"/>
      <w:numFmt w:val="bullet"/>
      <w:lvlText w:val="●"/>
      <w:lvlJc w:val="left"/>
      <w:pPr>
        <w:ind w:left="6480" w:hanging="360"/>
      </w:pPr>
    </w:lvl>
  </w:abstractNum>
  <w:num w:numId="1" w16cid:durableId="2103140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4E8"/>
    <w:rsid w:val="00032869"/>
    <w:rsid w:val="007602E6"/>
    <w:rsid w:val="00A977F7"/>
    <w:rsid w:val="00BA77E4"/>
    <w:rsid w:val="00DB24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098E8"/>
  <w15:docId w15:val="{7067BA05-D595-4250-A8EC-E73FD6341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696</Words>
  <Characters>3828</Characters>
  <Application>Microsoft Office Word</Application>
  <DocSecurity>0</DocSecurity>
  <Lines>31</Lines>
  <Paragraphs>9</Paragraphs>
  <ScaleCrop>false</ScaleCrop>
  <Company>Universite de Reims champagne-ardennes</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Bakary SACKO</dc:creator>
  <cp:lastModifiedBy>BAKARY SACKO</cp:lastModifiedBy>
  <cp:revision>2</cp:revision>
  <dcterms:created xsi:type="dcterms:W3CDTF">2026-09-23T14:47:00Z</dcterms:created>
  <dcterms:modified xsi:type="dcterms:W3CDTF">2026-09-23T14:47:00Z</dcterms:modified>
</cp:coreProperties>
</file>