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26DA" w14:textId="4A90559F" w:rsidR="001370D8" w:rsidRDefault="00000000">
      <w:pPr>
        <w:spacing w:after="60"/>
        <w:jc w:val="center"/>
      </w:pPr>
      <w:r>
        <w:rPr>
          <w:b/>
          <w:bCs/>
          <w:color w:val="1F4E78"/>
          <w:sz w:val="30"/>
          <w:szCs w:val="30"/>
        </w:rPr>
        <w:t xml:space="preserve">Dossier 2 </w:t>
      </w:r>
      <w:r w:rsidR="00F623A5">
        <w:rPr>
          <w:b/>
          <w:bCs/>
          <w:color w:val="1F4E78"/>
          <w:sz w:val="30"/>
          <w:szCs w:val="30"/>
        </w:rPr>
        <w:t>-</w:t>
      </w:r>
      <w:r>
        <w:rPr>
          <w:b/>
          <w:bCs/>
          <w:color w:val="1F4E78"/>
          <w:sz w:val="30"/>
          <w:szCs w:val="30"/>
        </w:rPr>
        <w:t xml:space="preserve"> Gestion de la Trésorerie et Pilotage du BFR</w:t>
      </w:r>
    </w:p>
    <w:p w14:paraId="418A4F07" w14:textId="77777777" w:rsidR="001370D8" w:rsidRDefault="00000000">
      <w:pPr>
        <w:pStyle w:val="Titre1"/>
        <w:keepNext/>
        <w:spacing w:before="240" w:after="120"/>
      </w:pPr>
      <w:r>
        <w:rPr>
          <w:b/>
          <w:bCs/>
          <w:color w:val="1F4E78"/>
          <w:sz w:val="26"/>
          <w:szCs w:val="26"/>
        </w:rPr>
        <w:t>1. Contexte &amp; Enjeux Financiers</w:t>
      </w:r>
    </w:p>
    <w:p w14:paraId="7206872C" w14:textId="77777777" w:rsidR="001370D8" w:rsidRPr="00F623A5" w:rsidRDefault="00000000" w:rsidP="00F623A5">
      <w:pPr>
        <w:spacing w:after="120"/>
        <w:jc w:val="both"/>
        <w:rPr>
          <w:sz w:val="22"/>
          <w:szCs w:val="22"/>
        </w:rPr>
      </w:pPr>
      <w:r w:rsidRPr="00F623A5">
        <w:rPr>
          <w:sz w:val="24"/>
          <w:szCs w:val="24"/>
        </w:rPr>
        <w:t>Cette analyse modélise un plan de trésorerie glissant mensuel sur 12 mois pour une entreprise fictive de négoce et distribution (PME Négoce &amp; Distribution), en croissance rapide de son activité (chiffre d'affaires passant de 60,0 k€ en janvier à 120,0 k€ en juin, pour un total annuel de 1 125,0 k€ HT).</w:t>
      </w:r>
    </w:p>
    <w:p w14:paraId="7F7C95B2" w14:textId="77777777" w:rsidR="001370D8" w:rsidRPr="00F623A5" w:rsidRDefault="00000000" w:rsidP="00F623A5">
      <w:pPr>
        <w:spacing w:after="120"/>
        <w:jc w:val="both"/>
        <w:rPr>
          <w:sz w:val="22"/>
          <w:szCs w:val="22"/>
        </w:rPr>
      </w:pPr>
      <w:r w:rsidRPr="00F623A5">
        <w:rPr>
          <w:sz w:val="24"/>
          <w:szCs w:val="24"/>
        </w:rPr>
        <w:t>L'objectif est de montrer qu'une entreprise structurellement rentable peut se retrouver en situation de cessation de paiements si l'accroissement du Besoin en Fonds de Roulement (BFR) et le financement des investissements ne sont pas anticipés.</w:t>
      </w:r>
    </w:p>
    <w:p w14:paraId="6987D176" w14:textId="77777777" w:rsidR="001370D8" w:rsidRDefault="00000000">
      <w:pPr>
        <w:pStyle w:val="Titre1"/>
        <w:keepNext/>
        <w:spacing w:before="240" w:after="120"/>
      </w:pPr>
      <w:r>
        <w:rPr>
          <w:b/>
          <w:bCs/>
          <w:color w:val="1F4E78"/>
          <w:sz w:val="26"/>
          <w:szCs w:val="26"/>
        </w:rPr>
        <w:t>2. Modélisation des Flux d'Encaissements et Décaissements</w:t>
      </w:r>
    </w:p>
    <w:p w14:paraId="1A7B8931" w14:textId="77777777" w:rsidR="001370D8" w:rsidRPr="00F623A5" w:rsidRDefault="00000000" w:rsidP="00F623A5">
      <w:pPr>
        <w:pStyle w:val="Paragraphedeliste"/>
        <w:numPr>
          <w:ilvl w:val="0"/>
          <w:numId w:val="1"/>
        </w:numPr>
        <w:spacing w:after="80"/>
        <w:jc w:val="both"/>
        <w:rPr>
          <w:sz w:val="24"/>
          <w:szCs w:val="24"/>
        </w:rPr>
      </w:pPr>
      <w:r w:rsidRPr="00F623A5">
        <w:rPr>
          <w:sz w:val="24"/>
          <w:szCs w:val="24"/>
        </w:rPr>
        <w:t>Règles d'encaissement (Clients) : Les ventes TTC (TVA à 20 %) sont encaissées selon le schéma suivant : 20 % au comptant le mois M, 50 % à 30 jours (M+1) et 30 % à 60 jours (M+2). Ce décalage induit un DSO théorique pondéré de 33 jours, où 30 % du volume de facturation est différé de deux mois.</w:t>
      </w:r>
    </w:p>
    <w:p w14:paraId="104AD0CE" w14:textId="77777777" w:rsidR="001370D8" w:rsidRPr="00F623A5" w:rsidRDefault="00000000" w:rsidP="00F623A5">
      <w:pPr>
        <w:pStyle w:val="Paragraphedeliste"/>
        <w:numPr>
          <w:ilvl w:val="0"/>
          <w:numId w:val="1"/>
        </w:numPr>
        <w:spacing w:after="80"/>
        <w:jc w:val="both"/>
        <w:rPr>
          <w:sz w:val="24"/>
          <w:szCs w:val="24"/>
        </w:rPr>
      </w:pPr>
      <w:r w:rsidRPr="00F623A5">
        <w:rPr>
          <w:sz w:val="24"/>
          <w:szCs w:val="24"/>
        </w:rPr>
        <w:t>Règles de décaissement (Fournisseurs &amp; Charges) : les achats de marchandises/matières représentent 50 % du CA HT et sont réglés à 30 jours (M+1) ; les salaires nets (20,0 k€/mois) et charges externes (8,0 k€/mois) sont payés au comptant (mois M) ; les charges sociales (10,0 k€/mois) et la TVA nette due sont décaissées le 20 du mois M+1 ; les acomptes d'IS (5,0 k€) interviennent aux échéances trimestrielles de mars, juin, septembre et décembre.</w:t>
      </w:r>
    </w:p>
    <w:p w14:paraId="21392490" w14:textId="77777777" w:rsidR="001370D8" w:rsidRPr="00F623A5" w:rsidRDefault="00000000" w:rsidP="00F623A5">
      <w:pPr>
        <w:pStyle w:val="Paragraphedeliste"/>
        <w:numPr>
          <w:ilvl w:val="0"/>
          <w:numId w:val="1"/>
        </w:numPr>
        <w:spacing w:after="80"/>
        <w:jc w:val="both"/>
        <w:rPr>
          <w:sz w:val="24"/>
          <w:szCs w:val="24"/>
        </w:rPr>
      </w:pPr>
      <w:r w:rsidRPr="00F623A5">
        <w:rPr>
          <w:sz w:val="24"/>
          <w:szCs w:val="24"/>
        </w:rPr>
        <w:t>Décaissement exceptionnel : acquisition d'un équipement matériel pour 50,0 k€ TTC, décaissée intégralement au comptant en avril.</w:t>
      </w:r>
    </w:p>
    <w:p w14:paraId="283C64DB" w14:textId="77777777" w:rsidR="001370D8" w:rsidRPr="00F623A5" w:rsidRDefault="00000000" w:rsidP="00F623A5">
      <w:pPr>
        <w:spacing w:after="120"/>
        <w:jc w:val="both"/>
        <w:rPr>
          <w:sz w:val="24"/>
          <w:szCs w:val="24"/>
        </w:rPr>
      </w:pPr>
      <w:r w:rsidRPr="00F623A5">
        <w:rPr>
          <w:sz w:val="24"/>
          <w:szCs w:val="24"/>
        </w:rPr>
        <w:t>Note de modélisation : le calcul des encaissements de janvier à mars nécessite les ventes des deux derniers mois de l'exercice précédent. Ces hypothèses d'amorçage (CA HT novembre N-1 = 70 k€, décembre N-1 = 65 k€) sont explicitées dans l'onglet 01_Hypotheses_BFR du classeur, afin que le modèle soit intégralement reconstituable.</w:t>
      </w:r>
    </w:p>
    <w:p w14:paraId="2FF5F668" w14:textId="77777777" w:rsidR="001370D8" w:rsidRDefault="00000000">
      <w:pPr>
        <w:pStyle w:val="Titre1"/>
        <w:keepNext/>
        <w:spacing w:before="240" w:after="120"/>
      </w:pPr>
      <w:r>
        <w:rPr>
          <w:b/>
          <w:bCs/>
          <w:color w:val="1F4E78"/>
          <w:sz w:val="26"/>
          <w:szCs w:val="26"/>
        </w:rPr>
        <w:t xml:space="preserve">3. Diagnostic de Trésorerie : L'Impasse d'Avril à </w:t>
      </w:r>
      <w:proofErr w:type="gramStart"/>
      <w:r>
        <w:rPr>
          <w:b/>
          <w:bCs/>
          <w:color w:val="1F4E78"/>
          <w:sz w:val="26"/>
          <w:szCs w:val="26"/>
        </w:rPr>
        <w:t>Juillet</w:t>
      </w:r>
      <w:proofErr w:type="gramEnd"/>
    </w:p>
    <w:p w14:paraId="09FACD40" w14:textId="77777777" w:rsidR="001370D8" w:rsidRDefault="00000000">
      <w:pPr>
        <w:spacing w:after="120"/>
      </w:pPr>
      <w:r>
        <w:rPr>
          <w:sz w:val="21"/>
          <w:szCs w:val="21"/>
        </w:rPr>
        <w:t>Le suivi mensuel du solde de trésorerie met en évidence un effet de ciseau entre les encaissements et les décaissements :</w:t>
      </w:r>
    </w:p>
    <w:p w14:paraId="75A0BF14" w14:textId="77777777" w:rsidR="001370D8" w:rsidRDefault="00000000">
      <w:pPr>
        <w:pStyle w:val="Paragraphedeliste"/>
        <w:numPr>
          <w:ilvl w:val="0"/>
          <w:numId w:val="1"/>
        </w:numPr>
        <w:spacing w:after="80"/>
      </w:pPr>
      <w:r>
        <w:rPr>
          <w:sz w:val="21"/>
          <w:szCs w:val="21"/>
        </w:rPr>
        <w:t>Le pic de crise : alors que la trésorerie initiale était positive (+25,0 k€), le solde chute brutalement à -40,0 k€ en avril (variation nette de -49,2 k€ sur le seul mois).</w:t>
      </w:r>
    </w:p>
    <w:p w14:paraId="32CF5043" w14:textId="77777777" w:rsidR="001370D8" w:rsidRDefault="00000000">
      <w:pPr>
        <w:pStyle w:val="Paragraphedeliste"/>
        <w:numPr>
          <w:ilvl w:val="0"/>
          <w:numId w:val="1"/>
        </w:numPr>
        <w:spacing w:after="80"/>
      </w:pPr>
      <w:r>
        <w:rPr>
          <w:sz w:val="21"/>
          <w:szCs w:val="21"/>
        </w:rPr>
        <w:t>Une période déficitaire prolongée : l'entreprise reste dans le rouge durant 4 mois consécutifs (mai à -32,2 k€, juin à -23,7 k€, juillet à -5,2 k€) avant de repasser en territoire positif en août (+9,1 k€) et de terminer l'exercice avec un excédent de +54,0 k€ (soit +29,0 k€ de variation nette annuelle).</w:t>
      </w:r>
    </w:p>
    <w:p w14:paraId="5646E6B1" w14:textId="2174D77E" w:rsidR="001370D8" w:rsidRDefault="00000000">
      <w:pPr>
        <w:pStyle w:val="Paragraphedeliste"/>
        <w:numPr>
          <w:ilvl w:val="0"/>
          <w:numId w:val="1"/>
        </w:numPr>
        <w:spacing w:after="80"/>
      </w:pPr>
      <w:r>
        <w:rPr>
          <w:sz w:val="21"/>
          <w:szCs w:val="21"/>
        </w:rPr>
        <w:t xml:space="preserve">Cause n°1 </w:t>
      </w:r>
      <w:r w:rsidR="00F623A5">
        <w:rPr>
          <w:sz w:val="21"/>
          <w:szCs w:val="21"/>
        </w:rPr>
        <w:t>-</w:t>
      </w:r>
      <w:r>
        <w:rPr>
          <w:sz w:val="21"/>
          <w:szCs w:val="21"/>
        </w:rPr>
        <w:t xml:space="preserve"> erreur de structure de financement : financement d'un actif immobilisé (50 k€) sur des ressources de court terme (cash d'exploitation) au lieu d'une dette moyen/long terme.</w:t>
      </w:r>
    </w:p>
    <w:p w14:paraId="790CF1A9" w14:textId="17B7C6D2" w:rsidR="001370D8" w:rsidRDefault="00000000">
      <w:pPr>
        <w:pStyle w:val="Paragraphedeliste"/>
        <w:numPr>
          <w:ilvl w:val="0"/>
          <w:numId w:val="1"/>
        </w:numPr>
        <w:spacing w:after="80"/>
      </w:pPr>
      <w:r>
        <w:rPr>
          <w:sz w:val="21"/>
          <w:szCs w:val="21"/>
        </w:rPr>
        <w:t xml:space="preserve">Cause n°2 </w:t>
      </w:r>
      <w:r w:rsidR="00F623A5">
        <w:rPr>
          <w:sz w:val="21"/>
          <w:szCs w:val="21"/>
        </w:rPr>
        <w:t>-</w:t>
      </w:r>
      <w:r>
        <w:rPr>
          <w:sz w:val="21"/>
          <w:szCs w:val="21"/>
        </w:rPr>
        <w:t xml:space="preserve"> décalage BFR en phase de croissance : entre mars et juin, les approvisionnements et les décaissements fournisseurs explosent pour préparer les ventes, tandis que les encaissements clients accusent jusqu'à 60 jours de retard.</w:t>
      </w:r>
    </w:p>
    <w:p w14:paraId="009FC6AD" w14:textId="77777777" w:rsidR="001370D8" w:rsidRDefault="00000000">
      <w:pPr>
        <w:pStyle w:val="Titre1"/>
        <w:keepNext/>
        <w:spacing w:before="240" w:after="120"/>
      </w:pPr>
      <w:r>
        <w:rPr>
          <w:b/>
          <w:bCs/>
          <w:color w:val="1F4E78"/>
          <w:sz w:val="26"/>
          <w:szCs w:val="26"/>
        </w:rPr>
        <w:t>4. Pilotage du BFR : Créances, Dettes et Délais</w:t>
      </w:r>
    </w:p>
    <w:p w14:paraId="0C958C14" w14:textId="0EC5893E" w:rsidR="001370D8" w:rsidRDefault="00000000">
      <w:pPr>
        <w:spacing w:after="120"/>
      </w:pPr>
      <w:r>
        <w:rPr>
          <w:sz w:val="21"/>
          <w:szCs w:val="21"/>
        </w:rPr>
        <w:t xml:space="preserve">Le suivi mensuel du BFR d'exploitation (onglet 03_Indicateurs_BFR) illustre le mécanisme de l'effet de ciseau : le BFR passe de 45,0 k€ en janvier à un pic de 84,6 k€ en juillet, avant de refluer avec le ralentissement du CA en fin d'année. Le DPO reste stable à 30 jours (conforme à l'hypothèse de règlement fournisseurs), tandis que le DSO varie entre 31 et 37 jours selon le rythme de croissance du chiffre </w:t>
      </w:r>
      <w:r>
        <w:rPr>
          <w:sz w:val="21"/>
          <w:szCs w:val="21"/>
        </w:rPr>
        <w:lastRenderedPageBreak/>
        <w:t xml:space="preserve">d'affaires </w:t>
      </w:r>
      <w:r w:rsidR="00F623A5">
        <w:rPr>
          <w:sz w:val="21"/>
          <w:szCs w:val="21"/>
        </w:rPr>
        <w:t>-</w:t>
      </w:r>
      <w:r>
        <w:rPr>
          <w:sz w:val="21"/>
          <w:szCs w:val="21"/>
        </w:rPr>
        <w:t xml:space="preserve"> la hausse ponctuelle du DSO en août s'explique par le ralentissement du CA après le pic de ventes de juillet.</w:t>
      </w:r>
    </w:p>
    <w:p w14:paraId="602B9BB4" w14:textId="77777777" w:rsidR="001370D8" w:rsidRDefault="00000000">
      <w:pPr>
        <w:pStyle w:val="Titre1"/>
        <w:keepNext/>
        <w:spacing w:before="240" w:after="120"/>
      </w:pPr>
      <w:r>
        <w:rPr>
          <w:b/>
          <w:bCs/>
          <w:color w:val="1F4E78"/>
          <w:sz w:val="26"/>
          <w:szCs w:val="26"/>
        </w:rPr>
        <w:t>5. Plan d'Action &amp; Scénario de Financement Corrigé</w:t>
      </w:r>
    </w:p>
    <w:p w14:paraId="040135D4" w14:textId="77777777" w:rsidR="001370D8" w:rsidRDefault="00000000">
      <w:pPr>
        <w:pStyle w:val="Paragraphedeliste"/>
        <w:numPr>
          <w:ilvl w:val="0"/>
          <w:numId w:val="1"/>
        </w:numPr>
        <w:spacing w:after="80"/>
      </w:pPr>
      <w:r>
        <w:rPr>
          <w:sz w:val="21"/>
          <w:szCs w:val="21"/>
        </w:rPr>
        <w:t>Restructuration du financement de l'actif : mise en place d'un emprunt bancaire à moyen terme de 50 k€ sur 4 ans dès le mois d'avril. Modélisée à 4,0 % d'intérêt annuel (onglet 04_Scenario_Financement), cette mesure comble l'impasse d'avril (solde ramené à +10,0 k€) et maintient une trésorerie positive sur les douze mois, mensualité de remboursement comprise.</w:t>
      </w:r>
    </w:p>
    <w:p w14:paraId="3D7AB153" w14:textId="77777777" w:rsidR="001370D8" w:rsidRDefault="00000000">
      <w:pPr>
        <w:pStyle w:val="Paragraphedeliste"/>
        <w:numPr>
          <w:ilvl w:val="0"/>
          <w:numId w:val="1"/>
        </w:numPr>
        <w:spacing w:after="80"/>
      </w:pPr>
      <w:r>
        <w:rPr>
          <w:sz w:val="21"/>
          <w:szCs w:val="21"/>
        </w:rPr>
        <w:t>Optimisation du BFR d'exploitation : mobilisation des créances commerciales à 60 jours via cession Dailly ou affacturage pour accélérer les rentrées de cash lors des pointes d'activité (mai/juin) ; négociation des conditions fournisseurs pour porter les délais de règlement de 30 jours à 45 ou 60 jours fin de mois.</w:t>
      </w:r>
    </w:p>
    <w:p w14:paraId="26F1968B" w14:textId="77777777" w:rsidR="001370D8" w:rsidRDefault="00000000">
      <w:pPr>
        <w:pStyle w:val="Paragraphedeliste"/>
        <w:numPr>
          <w:ilvl w:val="0"/>
          <w:numId w:val="1"/>
        </w:numPr>
        <w:spacing w:after="80"/>
      </w:pPr>
      <w:r>
        <w:rPr>
          <w:sz w:val="21"/>
          <w:szCs w:val="21"/>
        </w:rPr>
        <w:t>Négociation bancaire préventive : autorisation de découvert plafonnée à 20 k€ négociée dès janvier en appui du budget prévisionnel présenté au banquier.</w:t>
      </w:r>
    </w:p>
    <w:p w14:paraId="1D2920B9" w14:textId="77777777" w:rsidR="001370D8" w:rsidRDefault="00000000">
      <w:pPr>
        <w:pStyle w:val="Titre1"/>
        <w:keepNext/>
        <w:spacing w:before="240" w:after="120"/>
      </w:pPr>
      <w:r>
        <w:rPr>
          <w:b/>
          <w:bCs/>
          <w:color w:val="1F4E78"/>
          <w:sz w:val="26"/>
          <w:szCs w:val="26"/>
        </w:rPr>
        <w:t>6. Synthèse des Indicateurs Financiers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900"/>
        <w:gridCol w:w="2500"/>
      </w:tblGrid>
      <w:tr w:rsidR="001370D8" w14:paraId="3B92A620" w14:textId="77777777">
        <w:tblPrEx>
          <w:tblCellMar>
            <w:top w:w="0" w:type="dxa"/>
            <w:bottom w:w="0" w:type="dxa"/>
          </w:tblCellMar>
        </w:tblPrEx>
        <w:tc>
          <w:tcPr>
            <w:tcW w:w="1900" w:type="dxa"/>
            <w:shd w:val="clear" w:color="auto" w:fill="1F4E78"/>
          </w:tcPr>
          <w:p w14:paraId="4DD924F6" w14:textId="77777777" w:rsidR="001370D8" w:rsidRDefault="00000000">
            <w:r>
              <w:rPr>
                <w:b/>
                <w:bCs/>
                <w:color w:val="FFFFFF"/>
                <w:sz w:val="17"/>
                <w:szCs w:val="17"/>
              </w:rPr>
              <w:t>Axe d'analyse</w:t>
            </w:r>
          </w:p>
        </w:tc>
        <w:tc>
          <w:tcPr>
            <w:tcW w:w="2100" w:type="dxa"/>
            <w:shd w:val="clear" w:color="auto" w:fill="1F4E78"/>
          </w:tcPr>
          <w:p w14:paraId="1E6BBD59" w14:textId="77777777" w:rsidR="001370D8" w:rsidRDefault="00000000">
            <w:r>
              <w:rPr>
                <w:b/>
                <w:bCs/>
                <w:color w:val="FFFFFF"/>
                <w:sz w:val="17"/>
                <w:szCs w:val="17"/>
              </w:rPr>
              <w:t>Indicateur clé</w:t>
            </w:r>
          </w:p>
        </w:tc>
        <w:tc>
          <w:tcPr>
            <w:tcW w:w="1900" w:type="dxa"/>
            <w:shd w:val="clear" w:color="auto" w:fill="1F4E78"/>
          </w:tcPr>
          <w:p w14:paraId="264BB9DA" w14:textId="77777777" w:rsidR="001370D8" w:rsidRDefault="00000000">
            <w:r>
              <w:rPr>
                <w:b/>
                <w:bCs/>
                <w:color w:val="FFFFFF"/>
                <w:sz w:val="17"/>
                <w:szCs w:val="17"/>
              </w:rPr>
              <w:t>Valeur</w:t>
            </w:r>
          </w:p>
        </w:tc>
        <w:tc>
          <w:tcPr>
            <w:tcW w:w="2500" w:type="dxa"/>
            <w:shd w:val="clear" w:color="auto" w:fill="1F4E78"/>
          </w:tcPr>
          <w:p w14:paraId="4225B4B7" w14:textId="77777777" w:rsidR="001370D8" w:rsidRDefault="00000000">
            <w:r>
              <w:rPr>
                <w:b/>
                <w:bCs/>
                <w:color w:val="FFFFFF"/>
                <w:sz w:val="17"/>
                <w:szCs w:val="17"/>
              </w:rPr>
              <w:t>Décision managériale</w:t>
            </w:r>
          </w:p>
        </w:tc>
      </w:tr>
      <w:tr w:rsidR="001370D8" w14:paraId="78953828" w14:textId="77777777">
        <w:tblPrEx>
          <w:tblCellMar>
            <w:top w:w="0" w:type="dxa"/>
            <w:bottom w:w="0" w:type="dxa"/>
          </w:tblCellMar>
        </w:tblPrEx>
        <w:tc>
          <w:tcPr>
            <w:tcW w:w="1900" w:type="dxa"/>
          </w:tcPr>
          <w:p w14:paraId="03FBE4B5" w14:textId="77777777" w:rsidR="001370D8" w:rsidRDefault="00000000">
            <w:r>
              <w:rPr>
                <w:color w:val="000000"/>
                <w:sz w:val="17"/>
                <w:szCs w:val="17"/>
              </w:rPr>
              <w:t>Liquidité</w:t>
            </w:r>
          </w:p>
        </w:tc>
        <w:tc>
          <w:tcPr>
            <w:tcW w:w="2100" w:type="dxa"/>
          </w:tcPr>
          <w:p w14:paraId="7181A760" w14:textId="77777777" w:rsidR="001370D8" w:rsidRDefault="00000000">
            <w:r>
              <w:rPr>
                <w:color w:val="000000"/>
                <w:sz w:val="17"/>
                <w:szCs w:val="17"/>
              </w:rPr>
              <w:t>Trésorerie d'ouverture</w:t>
            </w:r>
          </w:p>
        </w:tc>
        <w:tc>
          <w:tcPr>
            <w:tcW w:w="1900" w:type="dxa"/>
          </w:tcPr>
          <w:p w14:paraId="15FF13DA" w14:textId="77777777" w:rsidR="001370D8" w:rsidRDefault="00000000">
            <w:r>
              <w:rPr>
                <w:color w:val="000000"/>
                <w:sz w:val="17"/>
                <w:szCs w:val="17"/>
              </w:rPr>
              <w:t>+25,0 k€</w:t>
            </w:r>
          </w:p>
        </w:tc>
        <w:tc>
          <w:tcPr>
            <w:tcW w:w="2500" w:type="dxa"/>
          </w:tcPr>
          <w:p w14:paraId="75A93CFA" w14:textId="77777777" w:rsidR="001370D8" w:rsidRDefault="00000000">
            <w:r>
              <w:rPr>
                <w:color w:val="000000"/>
                <w:sz w:val="17"/>
                <w:szCs w:val="17"/>
              </w:rPr>
              <w:t>Fonds de roulement initial disponible</w:t>
            </w:r>
          </w:p>
        </w:tc>
      </w:tr>
      <w:tr w:rsidR="001370D8" w14:paraId="3F798311" w14:textId="77777777">
        <w:tblPrEx>
          <w:tblCellMar>
            <w:top w:w="0" w:type="dxa"/>
            <w:bottom w:w="0" w:type="dxa"/>
          </w:tblCellMar>
        </w:tblPrEx>
        <w:tc>
          <w:tcPr>
            <w:tcW w:w="1900" w:type="dxa"/>
          </w:tcPr>
          <w:p w14:paraId="0F9841C2" w14:textId="77777777" w:rsidR="001370D8" w:rsidRDefault="00000000">
            <w:r>
              <w:rPr>
                <w:color w:val="000000"/>
                <w:sz w:val="17"/>
                <w:szCs w:val="17"/>
              </w:rPr>
              <w:t>Liquidité</w:t>
            </w:r>
          </w:p>
        </w:tc>
        <w:tc>
          <w:tcPr>
            <w:tcW w:w="2100" w:type="dxa"/>
          </w:tcPr>
          <w:p w14:paraId="5F1F6041" w14:textId="77777777" w:rsidR="001370D8" w:rsidRDefault="00000000">
            <w:r>
              <w:rPr>
                <w:color w:val="000000"/>
                <w:sz w:val="17"/>
                <w:szCs w:val="17"/>
              </w:rPr>
              <w:t>Impasse maximale</w:t>
            </w:r>
          </w:p>
        </w:tc>
        <w:tc>
          <w:tcPr>
            <w:tcW w:w="1900" w:type="dxa"/>
          </w:tcPr>
          <w:p w14:paraId="51BC80F8" w14:textId="77777777" w:rsidR="001370D8" w:rsidRDefault="00000000">
            <w:r>
              <w:rPr>
                <w:color w:val="000000"/>
                <w:sz w:val="17"/>
                <w:szCs w:val="17"/>
              </w:rPr>
              <w:t>-40,0 k€ (fin avril)</w:t>
            </w:r>
          </w:p>
        </w:tc>
        <w:tc>
          <w:tcPr>
            <w:tcW w:w="2500" w:type="dxa"/>
          </w:tcPr>
          <w:p w14:paraId="47AC7E63" w14:textId="77777777" w:rsidR="001370D8" w:rsidRDefault="00000000">
            <w:r>
              <w:rPr>
                <w:color w:val="000000"/>
                <w:sz w:val="17"/>
                <w:szCs w:val="17"/>
              </w:rPr>
              <w:t>Emprunt MT de 50 k€ dès avril</w:t>
            </w:r>
          </w:p>
        </w:tc>
      </w:tr>
      <w:tr w:rsidR="001370D8" w14:paraId="42099AA8" w14:textId="77777777">
        <w:tblPrEx>
          <w:tblCellMar>
            <w:top w:w="0" w:type="dxa"/>
            <w:bottom w:w="0" w:type="dxa"/>
          </w:tblCellMar>
        </w:tblPrEx>
        <w:tc>
          <w:tcPr>
            <w:tcW w:w="1900" w:type="dxa"/>
          </w:tcPr>
          <w:p w14:paraId="33A5FA9E" w14:textId="77777777" w:rsidR="001370D8" w:rsidRDefault="00000000">
            <w:r>
              <w:rPr>
                <w:color w:val="000000"/>
                <w:sz w:val="17"/>
                <w:szCs w:val="17"/>
              </w:rPr>
              <w:t>Liquidité</w:t>
            </w:r>
          </w:p>
        </w:tc>
        <w:tc>
          <w:tcPr>
            <w:tcW w:w="2100" w:type="dxa"/>
          </w:tcPr>
          <w:p w14:paraId="018C5844" w14:textId="77777777" w:rsidR="001370D8" w:rsidRDefault="00000000">
            <w:r>
              <w:rPr>
                <w:color w:val="000000"/>
                <w:sz w:val="17"/>
                <w:szCs w:val="17"/>
              </w:rPr>
              <w:t>Durée de la crise</w:t>
            </w:r>
          </w:p>
        </w:tc>
        <w:tc>
          <w:tcPr>
            <w:tcW w:w="1900" w:type="dxa"/>
          </w:tcPr>
          <w:p w14:paraId="0022EC84" w14:textId="77777777" w:rsidR="001370D8" w:rsidRDefault="00000000">
            <w:r>
              <w:rPr>
                <w:color w:val="000000"/>
                <w:sz w:val="17"/>
                <w:szCs w:val="17"/>
              </w:rPr>
              <w:t>4 mois (avril-juillet)</w:t>
            </w:r>
          </w:p>
        </w:tc>
        <w:tc>
          <w:tcPr>
            <w:tcW w:w="2500" w:type="dxa"/>
          </w:tcPr>
          <w:p w14:paraId="56D84631" w14:textId="77777777" w:rsidR="001370D8" w:rsidRDefault="00000000">
            <w:r>
              <w:rPr>
                <w:color w:val="000000"/>
                <w:sz w:val="17"/>
                <w:szCs w:val="17"/>
              </w:rPr>
              <w:t>Mobilisation Dailly/affacturage sur les créances à 60 j</w:t>
            </w:r>
          </w:p>
        </w:tc>
      </w:tr>
      <w:tr w:rsidR="001370D8" w14:paraId="74B9CBD9" w14:textId="77777777">
        <w:tblPrEx>
          <w:tblCellMar>
            <w:top w:w="0" w:type="dxa"/>
            <w:bottom w:w="0" w:type="dxa"/>
          </w:tblCellMar>
        </w:tblPrEx>
        <w:tc>
          <w:tcPr>
            <w:tcW w:w="1900" w:type="dxa"/>
          </w:tcPr>
          <w:p w14:paraId="057EECBC" w14:textId="77777777" w:rsidR="001370D8" w:rsidRDefault="00000000">
            <w:r>
              <w:rPr>
                <w:color w:val="000000"/>
                <w:sz w:val="17"/>
                <w:szCs w:val="17"/>
              </w:rPr>
              <w:t>BFR</w:t>
            </w:r>
          </w:p>
        </w:tc>
        <w:tc>
          <w:tcPr>
            <w:tcW w:w="2100" w:type="dxa"/>
          </w:tcPr>
          <w:p w14:paraId="714CA9A2" w14:textId="77777777" w:rsidR="001370D8" w:rsidRDefault="00000000">
            <w:r>
              <w:rPr>
                <w:color w:val="000000"/>
                <w:sz w:val="17"/>
                <w:szCs w:val="17"/>
              </w:rPr>
              <w:t>BFR d'exploitation (pic)</w:t>
            </w:r>
          </w:p>
        </w:tc>
        <w:tc>
          <w:tcPr>
            <w:tcW w:w="1900" w:type="dxa"/>
          </w:tcPr>
          <w:p w14:paraId="251494AE" w14:textId="77777777" w:rsidR="001370D8" w:rsidRDefault="00000000">
            <w:r>
              <w:rPr>
                <w:color w:val="000000"/>
                <w:sz w:val="17"/>
                <w:szCs w:val="17"/>
              </w:rPr>
              <w:t>84,6 k€ (juillet)</w:t>
            </w:r>
          </w:p>
        </w:tc>
        <w:tc>
          <w:tcPr>
            <w:tcW w:w="2500" w:type="dxa"/>
          </w:tcPr>
          <w:p w14:paraId="21988F2F" w14:textId="77777777" w:rsidR="001370D8" w:rsidRDefault="00000000">
            <w:r>
              <w:rPr>
                <w:color w:val="000000"/>
                <w:sz w:val="17"/>
                <w:szCs w:val="17"/>
              </w:rPr>
              <w:t>Renégociation des délais fournisseurs (30 → 45-60 j)</w:t>
            </w:r>
          </w:p>
        </w:tc>
      </w:tr>
      <w:tr w:rsidR="001370D8" w14:paraId="0E00ECE8" w14:textId="77777777">
        <w:tblPrEx>
          <w:tblCellMar>
            <w:top w:w="0" w:type="dxa"/>
            <w:bottom w:w="0" w:type="dxa"/>
          </w:tblCellMar>
        </w:tblPrEx>
        <w:tc>
          <w:tcPr>
            <w:tcW w:w="1900" w:type="dxa"/>
          </w:tcPr>
          <w:p w14:paraId="16CE3281" w14:textId="77777777" w:rsidR="001370D8" w:rsidRDefault="00000000">
            <w:r>
              <w:rPr>
                <w:color w:val="000000"/>
                <w:sz w:val="17"/>
                <w:szCs w:val="17"/>
              </w:rPr>
              <w:t>BFR</w:t>
            </w:r>
          </w:p>
        </w:tc>
        <w:tc>
          <w:tcPr>
            <w:tcW w:w="2100" w:type="dxa"/>
          </w:tcPr>
          <w:p w14:paraId="7F743D46" w14:textId="77777777" w:rsidR="001370D8" w:rsidRDefault="00000000">
            <w:r>
              <w:rPr>
                <w:color w:val="000000"/>
                <w:sz w:val="17"/>
                <w:szCs w:val="17"/>
              </w:rPr>
              <w:t>DSO moyen / DPO</w:t>
            </w:r>
          </w:p>
        </w:tc>
        <w:tc>
          <w:tcPr>
            <w:tcW w:w="1900" w:type="dxa"/>
          </w:tcPr>
          <w:p w14:paraId="295FB266" w14:textId="77777777" w:rsidR="001370D8" w:rsidRDefault="00000000">
            <w:r>
              <w:rPr>
                <w:color w:val="000000"/>
                <w:sz w:val="17"/>
                <w:szCs w:val="17"/>
              </w:rPr>
              <w:t>~33 j / 30 j</w:t>
            </w:r>
          </w:p>
        </w:tc>
        <w:tc>
          <w:tcPr>
            <w:tcW w:w="2500" w:type="dxa"/>
          </w:tcPr>
          <w:p w14:paraId="574BB238" w14:textId="77777777" w:rsidR="001370D8" w:rsidRDefault="00000000">
            <w:r>
              <w:rPr>
                <w:color w:val="000000"/>
                <w:sz w:val="17"/>
                <w:szCs w:val="17"/>
              </w:rPr>
              <w:t>Resserrer le DSO pour réduire le besoin de financement court terme</w:t>
            </w:r>
          </w:p>
        </w:tc>
      </w:tr>
      <w:tr w:rsidR="001370D8" w14:paraId="0ED1E3A0" w14:textId="77777777">
        <w:tblPrEx>
          <w:tblCellMar>
            <w:top w:w="0" w:type="dxa"/>
            <w:bottom w:w="0" w:type="dxa"/>
          </w:tblCellMar>
        </w:tblPrEx>
        <w:tc>
          <w:tcPr>
            <w:tcW w:w="1900" w:type="dxa"/>
          </w:tcPr>
          <w:p w14:paraId="548D3C99" w14:textId="77777777" w:rsidR="001370D8" w:rsidRDefault="00000000">
            <w:r>
              <w:rPr>
                <w:color w:val="000000"/>
                <w:sz w:val="17"/>
                <w:szCs w:val="17"/>
              </w:rPr>
              <w:t>Clôture</w:t>
            </w:r>
          </w:p>
        </w:tc>
        <w:tc>
          <w:tcPr>
            <w:tcW w:w="2100" w:type="dxa"/>
          </w:tcPr>
          <w:p w14:paraId="495A9BE3" w14:textId="77777777" w:rsidR="001370D8" w:rsidRDefault="00000000">
            <w:r>
              <w:rPr>
                <w:color w:val="000000"/>
                <w:sz w:val="17"/>
                <w:szCs w:val="17"/>
              </w:rPr>
              <w:t>Trésorerie finale</w:t>
            </w:r>
          </w:p>
        </w:tc>
        <w:tc>
          <w:tcPr>
            <w:tcW w:w="1900" w:type="dxa"/>
          </w:tcPr>
          <w:p w14:paraId="341B394B" w14:textId="77777777" w:rsidR="001370D8" w:rsidRDefault="00000000">
            <w:r>
              <w:rPr>
                <w:color w:val="000000"/>
                <w:sz w:val="17"/>
                <w:szCs w:val="17"/>
              </w:rPr>
              <w:t>+54,0 k€</w:t>
            </w:r>
          </w:p>
        </w:tc>
        <w:tc>
          <w:tcPr>
            <w:tcW w:w="2500" w:type="dxa"/>
          </w:tcPr>
          <w:p w14:paraId="1371C652" w14:textId="77777777" w:rsidR="001370D8" w:rsidRDefault="00000000">
            <w:r>
              <w:rPr>
                <w:color w:val="000000"/>
                <w:sz w:val="17"/>
                <w:szCs w:val="17"/>
              </w:rPr>
              <w:t>Excédent brut généré par l'activité annuelle</w:t>
            </w:r>
          </w:p>
        </w:tc>
      </w:tr>
    </w:tbl>
    <w:p w14:paraId="25162E91" w14:textId="77777777" w:rsidR="00E86952" w:rsidRDefault="00E86952"/>
    <w:sectPr w:rsidR="00E869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AAD"/>
    <w:multiLevelType w:val="hybridMultilevel"/>
    <w:tmpl w:val="DD0CBC5C"/>
    <w:lvl w:ilvl="0" w:tplc="B63C89D2">
      <w:start w:val="1"/>
      <w:numFmt w:val="bullet"/>
      <w:lvlText w:val="●"/>
      <w:lvlJc w:val="left"/>
      <w:pPr>
        <w:ind w:left="720" w:hanging="360"/>
      </w:pPr>
    </w:lvl>
    <w:lvl w:ilvl="1" w:tplc="BEF07590">
      <w:start w:val="1"/>
      <w:numFmt w:val="bullet"/>
      <w:lvlText w:val="○"/>
      <w:lvlJc w:val="left"/>
      <w:pPr>
        <w:ind w:left="1440" w:hanging="360"/>
      </w:pPr>
    </w:lvl>
    <w:lvl w:ilvl="2" w:tplc="7190FEA4">
      <w:start w:val="1"/>
      <w:numFmt w:val="bullet"/>
      <w:lvlText w:val="■"/>
      <w:lvlJc w:val="left"/>
      <w:pPr>
        <w:ind w:left="2160" w:hanging="360"/>
      </w:pPr>
    </w:lvl>
    <w:lvl w:ilvl="3" w:tplc="6B609AB2">
      <w:start w:val="1"/>
      <w:numFmt w:val="bullet"/>
      <w:lvlText w:val="●"/>
      <w:lvlJc w:val="left"/>
      <w:pPr>
        <w:ind w:left="2880" w:hanging="360"/>
      </w:pPr>
    </w:lvl>
    <w:lvl w:ilvl="4" w:tplc="273EB9C2">
      <w:start w:val="1"/>
      <w:numFmt w:val="bullet"/>
      <w:lvlText w:val="○"/>
      <w:lvlJc w:val="left"/>
      <w:pPr>
        <w:ind w:left="3600" w:hanging="360"/>
      </w:pPr>
    </w:lvl>
    <w:lvl w:ilvl="5" w:tplc="E42AC6DC">
      <w:start w:val="1"/>
      <w:numFmt w:val="bullet"/>
      <w:lvlText w:val="■"/>
      <w:lvlJc w:val="left"/>
      <w:pPr>
        <w:ind w:left="4320" w:hanging="360"/>
      </w:pPr>
    </w:lvl>
    <w:lvl w:ilvl="6" w:tplc="737CC2E8">
      <w:start w:val="1"/>
      <w:numFmt w:val="bullet"/>
      <w:lvlText w:val="●"/>
      <w:lvlJc w:val="left"/>
      <w:pPr>
        <w:ind w:left="5040" w:hanging="360"/>
      </w:pPr>
    </w:lvl>
    <w:lvl w:ilvl="7" w:tplc="FA82D2A2">
      <w:start w:val="1"/>
      <w:numFmt w:val="bullet"/>
      <w:lvlText w:val="●"/>
      <w:lvlJc w:val="left"/>
      <w:pPr>
        <w:ind w:left="5760" w:hanging="360"/>
      </w:pPr>
    </w:lvl>
    <w:lvl w:ilvl="8" w:tplc="358472AA">
      <w:start w:val="1"/>
      <w:numFmt w:val="bullet"/>
      <w:lvlText w:val="●"/>
      <w:lvlJc w:val="left"/>
      <w:pPr>
        <w:ind w:left="6480" w:hanging="360"/>
      </w:pPr>
    </w:lvl>
  </w:abstractNum>
  <w:num w:numId="1" w16cid:durableId="1726218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0D8"/>
    <w:rsid w:val="00032869"/>
    <w:rsid w:val="001370D8"/>
    <w:rsid w:val="00E86952"/>
    <w:rsid w:val="00F623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8FD3"/>
  <w15:docId w15:val="{7067BA05-D595-4250-A8EC-E73FD634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783</Words>
  <Characters>4309</Characters>
  <Application>Microsoft Office Word</Application>
  <DocSecurity>0</DocSecurity>
  <Lines>35</Lines>
  <Paragraphs>10</Paragraphs>
  <ScaleCrop>false</ScaleCrop>
  <Company>Universite de Reims champagne-ardennes</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Bakary SACKO</dc:creator>
  <cp:lastModifiedBy>BAKARY SACKO</cp:lastModifiedBy>
  <cp:revision>2</cp:revision>
  <dcterms:created xsi:type="dcterms:W3CDTF">2026-09-23T14:43:00Z</dcterms:created>
  <dcterms:modified xsi:type="dcterms:W3CDTF">2026-09-23T14:43:00Z</dcterms:modified>
</cp:coreProperties>
</file>