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555555"/>
          <w:sz w:val="16"/>
          <w:szCs w:val="16"/>
        </w:rPr>
        <w:t xml:space="preserve">PRODUCT REQUIREMENTS DOCUMENT</w:t>
      </w:r>
    </w:p>
    <w:p>
      <w:pPr>
        <w:spacing w:after="60" w:before="60"/>
      </w:pPr>
      <w:r>
        <w:rPr>
          <w:rFonts w:ascii="Arial" w:cs="Arial" w:eastAsia="Arial" w:hAnsi="Arial"/>
          <w:b/>
          <w:bCs/>
          <w:color w:val="1B4F8A"/>
          <w:sz w:val="44"/>
          <w:szCs w:val="44"/>
        </w:rPr>
        <w:t xml:space="preserve">Benefits Summary Landing Page</w:t>
      </w:r>
    </w:p>
    <w:p>
      <w:pPr>
        <w:spacing w:after="80" w:before="0"/>
      </w:pPr>
      <w:r>
        <w:rPr>
          <w:rFonts w:ascii="Arial" w:cs="Arial" w:eastAsia="Arial" w:hAnsi="Arial"/>
          <w:i/>
          <w:iCs/>
          <w:color w:val="0E7C86"/>
          <w:sz w:val="24"/>
          <w:szCs w:val="24"/>
        </w:rPr>
        <w:t xml:space="preserve">Personalized benefit recaps, usage history &amp; expiration nudges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1800"/>
        <w:gridCol w:w="2700"/>
      </w:tblGrid>
      <w:tr>
        <w:tc>
          <w:tcPr>
            <w:tcBorders>
              <w:top w:val="single" w:color="CCCCCC" w:sz="1"/>
              <w:left w:val="single" w:color="CCCCCC" w:sz="1"/>
              <w:bottom w:val="single" w:color="CCCCCC" w:sz="1"/>
              <w:right w:val="single" w:color="CCCCCC" w:sz="1"/>
            </w:tcBorders>
            <w:shd w:fill="EBF3FA" w:val="clear"/>
            <w:tcMar>
              <w:top w:type="dxa" w:w="80"/>
              <w:left w:type="dxa" w:w="120"/>
              <w:bottom w:type="dxa" w:w="80"/>
              <w:right w:type="dxa" w:w="80"/>
            </w:tcMar>
          </w:tcPr>
          <w:p>
            <w:pPr>
              <w:spacing w:after="20"/>
            </w:pPr>
            <w:r>
              <w:rPr>
                <w:rFonts w:ascii="Arial" w:cs="Arial" w:eastAsia="Arial" w:hAnsi="Arial"/>
                <w:b/>
                <w:bCs/>
                <w:color w:val="1B4F8A"/>
                <w:sz w:val="16"/>
                <w:szCs w:val="16"/>
              </w:rPr>
              <w:t xml:space="preserve">Status</w:t>
            </w:r>
          </w:p>
          <w:p>
            <w:r>
              <w:rPr>
                <w:rFonts w:ascii="Arial" w:cs="Arial" w:eastAsia="Arial" w:hAnsi="Arial"/>
                <w:color w:val="1A1A1A"/>
                <w:sz w:val="18"/>
                <w:szCs w:val="18"/>
              </w:rPr>
              <w:t xml:space="preserve">Draft</w:t>
            </w:r>
          </w:p>
        </w:tc>
        <w:tc>
          <w:tcPr>
            <w:tcBorders>
              <w:top w:val="single" w:color="CCCCCC" w:sz="1"/>
              <w:left w:val="single" w:color="CCCCCC" w:sz="1"/>
              <w:bottom w:val="single" w:color="CCCCCC" w:sz="1"/>
              <w:right w:val="single" w:color="CCCCCC" w:sz="1"/>
            </w:tcBorders>
            <w:shd w:fill="EBF3FA" w:val="clear"/>
            <w:tcMar>
              <w:top w:type="dxa" w:w="80"/>
              <w:left w:type="dxa" w:w="120"/>
              <w:bottom w:type="dxa" w:w="80"/>
              <w:right w:type="dxa" w:w="80"/>
            </w:tcMar>
          </w:tcPr>
          <w:p>
            <w:pPr>
              <w:spacing w:after="20"/>
            </w:pPr>
            <w:r>
              <w:rPr>
                <w:rFonts w:ascii="Arial" w:cs="Arial" w:eastAsia="Arial" w:hAnsi="Arial"/>
                <w:b/>
                <w:bCs/>
                <w:color w:val="1B4F8A"/>
                <w:sz w:val="16"/>
                <w:szCs w:val="16"/>
              </w:rPr>
              <w:t xml:space="preserve">Owner</w:t>
            </w:r>
          </w:p>
          <w:p>
            <w:r>
              <w:rPr>
                <w:rFonts w:ascii="Arial" w:cs="Arial" w:eastAsia="Arial" w:hAnsi="Arial"/>
                <w:color w:val="1A1A1A"/>
                <w:sz w:val="18"/>
                <w:szCs w:val="18"/>
              </w:rPr>
              <w:t xml:space="preserve">Trey (Product)</w:t>
            </w:r>
          </w:p>
        </w:tc>
        <w:tc>
          <w:tcPr>
            <w:tcBorders>
              <w:top w:val="single" w:color="CCCCCC" w:sz="1"/>
              <w:left w:val="single" w:color="CCCCCC" w:sz="1"/>
              <w:bottom w:val="single" w:color="CCCCCC" w:sz="1"/>
              <w:right w:val="single" w:color="CCCCCC" w:sz="1"/>
            </w:tcBorders>
            <w:shd w:fill="EBF3FA" w:val="clear"/>
            <w:tcMar>
              <w:top w:type="dxa" w:w="80"/>
              <w:left w:type="dxa" w:w="120"/>
              <w:bottom w:type="dxa" w:w="80"/>
              <w:right w:type="dxa" w:w="80"/>
            </w:tcMar>
          </w:tcPr>
          <w:p>
            <w:pPr>
              <w:spacing w:after="20"/>
            </w:pPr>
            <w:r>
              <w:rPr>
                <w:rFonts w:ascii="Arial" w:cs="Arial" w:eastAsia="Arial" w:hAnsi="Arial"/>
                <w:b/>
                <w:bCs/>
                <w:color w:val="1B4F8A"/>
                <w:sz w:val="16"/>
                <w:szCs w:val="16"/>
              </w:rPr>
              <w:t xml:space="preserve">Stakeholders</w:t>
            </w:r>
          </w:p>
          <w:p>
            <w:r>
              <w:rPr>
                <w:rFonts w:ascii="Arial" w:cs="Arial" w:eastAsia="Arial" w:hAnsi="Arial"/>
                <w:color w:val="1A1A1A"/>
                <w:sz w:val="18"/>
                <w:szCs w:val="18"/>
              </w:rPr>
              <w:t xml:space="preserve">Marketing, Engineering, CX</w:t>
            </w:r>
          </w:p>
        </w:tc>
        <w:tc>
          <w:tcPr>
            <w:tcBorders>
              <w:top w:val="single" w:color="CCCCCC" w:sz="1"/>
              <w:left w:val="single" w:color="CCCCCC" w:sz="1"/>
              <w:bottom w:val="single" w:color="CCCCCC" w:sz="1"/>
              <w:right w:val="single" w:color="CCCCCC" w:sz="1"/>
            </w:tcBorders>
            <w:shd w:fill="EBF3FA" w:val="clear"/>
            <w:tcMar>
              <w:top w:type="dxa" w:w="80"/>
              <w:left w:type="dxa" w:w="120"/>
              <w:bottom w:type="dxa" w:w="80"/>
              <w:right w:type="dxa" w:w="80"/>
            </w:tcMar>
          </w:tcPr>
          <w:p>
            <w:pPr>
              <w:spacing w:after="20"/>
            </w:pPr>
            <w:r>
              <w:rPr>
                <w:rFonts w:ascii="Arial" w:cs="Arial" w:eastAsia="Arial" w:hAnsi="Arial"/>
                <w:b/>
                <w:bCs/>
                <w:color w:val="1B4F8A"/>
                <w:sz w:val="16"/>
                <w:szCs w:val="16"/>
              </w:rPr>
              <w:t xml:space="preserve">Target Launch</w:t>
            </w:r>
          </w:p>
          <w:p>
            <w:r>
              <w:rPr>
                <w:rFonts w:ascii="Arial" w:cs="Arial" w:eastAsia="Arial" w:hAnsi="Arial"/>
                <w:color w:val="1A1A1A"/>
                <w:sz w:val="18"/>
                <w:szCs w:val="18"/>
              </w:rPr>
              <w:t xml:space="preserve">Q3 2026</w:t>
            </w:r>
          </w:p>
        </w:tc>
      </w:tr>
    </w:tbl>
    <w:p>
      <w:pPr>
        <w:spacing w:after="60" w:before="60"/>
      </w:pPr>
      <w:r>
        <w:t xml:space="preserve"/>
      </w:r>
    </w:p>
    <w:p>
      <w:pPr>
        <w:pStyle w:val="Heading1"/>
        <w:pBdr>
          <w:bottom w:val="single" w:color="1B4F8A" w:sz="4" w:space="4"/>
        </w:pBdr>
        <w:spacing w:after="120" w:before="320"/>
      </w:pPr>
      <w:r>
        <w:rPr>
          <w:rFonts w:ascii="Arial" w:cs="Arial" w:eastAsia="Arial" w:hAnsi="Arial"/>
          <w:b/>
          <w:bCs/>
          <w:color w:val="1B4F8A"/>
          <w:sz w:val="28"/>
          <w:szCs w:val="28"/>
        </w:rPr>
        <w:t xml:space="preserve">1. Executive Summary</w:t>
      </w:r>
    </w:p>
    <w:p>
      <w:pPr>
        <w:spacing w:after="80" w:before="60"/>
      </w:pPr>
      <w:r>
        <w:rPr>
          <w:rFonts w:ascii="Arial" w:cs="Arial" w:eastAsia="Arial" w:hAnsi="Arial"/>
          <w:color w:val="1A1A1A"/>
          <w:sz w:val="22"/>
          <w:szCs w:val="22"/>
        </w:rPr>
        <w:t xml:space="preserve">We are building a personalized Benefits Summary landing page — a marketing-partnered destination surfacing each user's benefit usage history, remaining eligibility, and expiring services. It targets enrolled users who actively use the platform to discover care and education benefits. The goal is to drive re-engagement, reduce benefit forfeitures, and increase platform trust by making the full value of a user's benefit portfolio visible in one place.</w:t>
      </w:r>
    </w:p>
    <w:p>
      <w:pPr>
        <w:spacing w:after="60" w:before="60"/>
      </w:pPr>
      <w:r>
        <w:t xml:space="preserve"/>
      </w:r>
    </w:p>
    <w:p>
      <w:pPr>
        <w:pStyle w:val="Heading1"/>
        <w:pBdr>
          <w:bottom w:val="single" w:color="1B4F8A" w:sz="4" w:space="4"/>
        </w:pBdr>
        <w:spacing w:after="120" w:before="320"/>
      </w:pPr>
      <w:r>
        <w:rPr>
          <w:rFonts w:ascii="Arial" w:cs="Arial" w:eastAsia="Arial" w:hAnsi="Arial"/>
          <w:b/>
          <w:bCs/>
          <w:color w:val="1B4F8A"/>
          <w:sz w:val="28"/>
          <w:szCs w:val="28"/>
        </w:rPr>
        <w:t xml:space="preserve">2. Why Now</w:t>
      </w:r>
    </w:p>
    <w:p>
      <w:pPr>
        <w:spacing w:after="80" w:before="60"/>
      </w:pPr>
      <w:r>
        <w:rPr>
          <w:rFonts w:ascii="Arial" w:cs="Arial" w:eastAsia="Arial" w:hAnsi="Arial"/>
          <w:color w:val="1A1A1A"/>
          <w:sz w:val="22"/>
          <w:szCs w:val="22"/>
        </w:rPr>
        <w:t xml:space="preserve">Marketing has identified benefit expiration as the leading cause of post-enrollment disengagement. Analysis shows ~38% of eligible services go unclaimed each plan year, and user research consistently surfaces "I didn't know I had that" as a top regret. We have the usage and eligibility data to address this now — building the surface requires product and marketing to align before Q3 enrollment season.</w:t>
      </w:r>
    </w:p>
    <w:p>
      <w:pPr>
        <w:spacing w:after="60" w:before="60"/>
      </w:pPr>
      <w:r>
        <w:t xml:space="preserve"/>
      </w:r>
    </w:p>
    <w:p>
      <w:pPr>
        <w:pStyle w:val="Heading1"/>
        <w:pBdr>
          <w:bottom w:val="single" w:color="1B4F8A" w:sz="4" w:space="4"/>
        </w:pBdr>
        <w:spacing w:after="120" w:before="320"/>
      </w:pPr>
      <w:r>
        <w:rPr>
          <w:rFonts w:ascii="Arial" w:cs="Arial" w:eastAsia="Arial" w:hAnsi="Arial"/>
          <w:b/>
          <w:bCs/>
          <w:color w:val="1B4F8A"/>
          <w:sz w:val="28"/>
          <w:szCs w:val="28"/>
        </w:rPr>
        <w:t xml:space="preserve">3. Problem Statement + Hypothesis</w:t>
      </w:r>
    </w:p>
    <w:p>
      <w:pPr>
        <w:pStyle w:val="Heading2"/>
        <w:spacing w:after="80" w:before="240"/>
      </w:pPr>
      <w:r>
        <w:rPr>
          <w:rFonts w:ascii="Arial" w:cs="Arial" w:eastAsia="Arial" w:hAnsi="Arial"/>
          <w:b/>
          <w:bCs/>
          <w:color w:val="0E7C86"/>
          <w:sz w:val="22"/>
          <w:szCs w:val="22"/>
        </w:rPr>
        <w:t xml:space="preserve">Problem Statement</w:t>
      </w:r>
    </w:p>
    <w:p>
      <w:pPr>
        <w:spacing w:after="80" w:before="60"/>
      </w:pPr>
      <w:r>
        <w:rPr>
          <w:rFonts w:ascii="Arial" w:cs="Arial" w:eastAsia="Arial" w:hAnsi="Arial"/>
          <w:color w:val="1A1A1A"/>
          <w:sz w:val="22"/>
          <w:szCs w:val="22"/>
        </w:rPr>
        <w:t xml:space="preserve">Users enroll in care and education benefit plans but rarely return to the platform outside of a specific task. They have no summary view of what they've used, what remains, or what's about to expire — so benefits lapse silently. CX data shows that refund and frustration tickets spike in the final 30 days of a benefit period, driven almost entirely by users who discovered too late that a service was expiring. The platform currently presents benefits at the category level on discovery, but provides no longitudinal view of a user's relationship with their benefits over time.</w:t>
      </w:r>
    </w:p>
    <w:p>
      <w:pPr>
        <w:spacing w:after="60" w:before="60"/>
      </w:pPr>
      <w:r>
        <w:t xml:space="preserve"/>
      </w:r>
    </w:p>
    <w:p>
      <w:pPr>
        <w:pStyle w:val="Heading2"/>
        <w:spacing w:after="80" w:before="240"/>
      </w:pPr>
      <w:r>
        <w:rPr>
          <w:rFonts w:ascii="Arial" w:cs="Arial" w:eastAsia="Arial" w:hAnsi="Arial"/>
          <w:b/>
          <w:bCs/>
          <w:color w:val="0E7C86"/>
          <w:sz w:val="22"/>
          <w:szCs w:val="22"/>
        </w:rPr>
        <w:t xml:space="preserve">Hypothesis</w:t>
      </w:r>
    </w:p>
    <w:p>
      <w:pPr>
        <w:pBdr>
          <w:left w:val="single" w:color="0E7C86" w:sz="12" w:space="6"/>
        </w:pBdr>
        <w:shd w:fill="EBF3FA" w:val="clear"/>
        <w:spacing w:after="120" w:before="80"/>
        <w:ind w:left="360"/>
      </w:pPr>
      <w:r>
        <w:rPr>
          <w:rFonts w:ascii="Arial" w:cs="Arial" w:eastAsia="Arial" w:hAnsi="Arial"/>
          <w:color w:val="1A1A1A"/>
          <w:sz w:val="21"/>
          <w:szCs w:val="21"/>
        </w:rPr>
        <w:t xml:space="preserve">We believe </w:t>
      </w:r>
      <w:r>
        <w:rPr>
          <w:rFonts w:ascii="Arial" w:cs="Arial" w:eastAsia="Arial" w:hAnsi="Arial"/>
          <w:b/>
          <w:bCs/>
          <w:color w:val="1A1A1A"/>
          <w:sz w:val="21"/>
          <w:szCs w:val="21"/>
        </w:rPr>
        <w:t xml:space="preserve">surfacing personalized benefit summaries with expiration nudges</w:t>
      </w:r>
      <w:r>
        <w:rPr>
          <w:rFonts w:ascii="Arial" w:cs="Arial" w:eastAsia="Arial" w:hAnsi="Arial"/>
          <w:color w:val="1A1A1A"/>
          <w:sz w:val="21"/>
          <w:szCs w:val="21"/>
        </w:rPr>
        <w:t xml:space="preserve"> for enrolled users will result in </w:t>
      </w:r>
      <w:r>
        <w:rPr>
          <w:rFonts w:ascii="Arial" w:cs="Arial" w:eastAsia="Arial" w:hAnsi="Arial"/>
          <w:b/>
          <w:bCs/>
          <w:color w:val="1A1A1A"/>
          <w:sz w:val="21"/>
          <w:szCs w:val="21"/>
        </w:rPr>
        <w:t xml:space="preserve">increased benefit utilization and reduced forfeitures</w:t>
      </w:r>
      <w:r>
        <w:rPr>
          <w:rFonts w:ascii="Arial" w:cs="Arial" w:eastAsia="Arial" w:hAnsi="Arial"/>
          <w:color w:val="1A1A1A"/>
          <w:sz w:val="21"/>
          <w:szCs w:val="21"/>
        </w:rPr>
        <w:t xml:space="preserve">, measured by </w:t>
      </w:r>
      <w:r>
        <w:rPr>
          <w:rFonts w:ascii="Arial" w:cs="Arial" w:eastAsia="Arial" w:hAnsi="Arial"/>
          <w:b/>
          <w:bCs/>
          <w:color w:val="1A1A1A"/>
          <w:sz w:val="21"/>
          <w:szCs w:val="21"/>
        </w:rPr>
        <w:t xml:space="preserve">claim rate in the 60 days before plan-year end.</w:t>
      </w:r>
    </w:p>
    <w:p>
      <w:pPr>
        <w:spacing w:after="60" w:before="60"/>
      </w:pPr>
      <w:r>
        <w:t xml:space="preserve"/>
      </w:r>
    </w:p>
    <w:p>
      <w:pPr>
        <w:pStyle w:val="Heading1"/>
        <w:pBdr>
          <w:bottom w:val="single" w:color="1B4F8A" w:sz="4" w:space="4"/>
        </w:pBdr>
        <w:spacing w:after="120" w:before="320"/>
      </w:pPr>
      <w:r>
        <w:rPr>
          <w:rFonts w:ascii="Arial" w:cs="Arial" w:eastAsia="Arial" w:hAnsi="Arial"/>
          <w:b/>
          <w:bCs/>
          <w:color w:val="1B4F8A"/>
          <w:sz w:val="28"/>
          <w:szCs w:val="28"/>
        </w:rPr>
        <w:t xml:space="preserve">4. User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Persona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Who They Are</w:t>
            </w:r>
          </w:p>
        </w:tc>
      </w:tr>
      <w:tr>
        <w:tc>
          <w:tcPr>
            <w:tcW w:type="dxa" w:w="1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00"/>
            </w:tcMar>
          </w:tcPr>
          <w:p>
            <w:r>
              <w:rPr>
                <w:rFonts w:ascii="Arial" w:cs="Arial" w:eastAsia="Arial" w:hAnsi="Arial"/>
                <w:b/>
                <w:bCs/>
                <w:color w:val="1B4F8A"/>
                <w:sz w:val="19"/>
                <w:szCs w:val="19"/>
              </w:rPr>
              <w:t xml:space="preserve">Active Utilizer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1A1A1A"/>
                <w:sz w:val="19"/>
                <w:szCs w:val="19"/>
              </w:rPr>
              <w:t xml:space="preserve">Enrolled user who regularly books services and returns monthly.</w:t>
            </w:r>
          </w:p>
        </w:tc>
        <w:tc>
          <w:tcPr>
            <w:tcW w:type="dxa" w:w="3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r>
              <w:rPr>
                <w:rFonts w:ascii="Arial" w:cs="Arial" w:eastAsia="Arial" w:hAnsi="Arial"/>
                <w:b w:val="false"/>
                <w:bCs w:val="false"/>
                <w:color w:val="1A1A1A"/>
                <w:sz w:val="19"/>
                <w:szCs w:val="19"/>
              </w:rPr>
              <w:t xml:space="preserve">Likely to engage with usage history; motivated by tracking remaining balance.</w:t>
            </w:r>
          </w:p>
        </w:tc>
      </w:tr>
      <w:tr>
        <w:tc>
          <w:tcPr>
            <w:tcW w:type="dxa" w:w="1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00"/>
            </w:tcMar>
          </w:tcPr>
          <w:p>
            <w:r>
              <w:rPr>
                <w:rFonts w:ascii="Arial" w:cs="Arial" w:eastAsia="Arial" w:hAnsi="Arial"/>
                <w:b/>
                <w:bCs/>
                <w:color w:val="1B4F8A"/>
                <w:sz w:val="19"/>
                <w:szCs w:val="19"/>
              </w:rPr>
              <w:t xml:space="preserve">Lapsed Claimer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1A1A1A"/>
                <w:sz w:val="19"/>
                <w:szCs w:val="19"/>
              </w:rPr>
              <w:t xml:space="preserve">Enrolled but hasn't booked a service in 60+ days.</w:t>
            </w:r>
          </w:p>
        </w:tc>
        <w:tc>
          <w:tcPr>
            <w:tcW w:type="dxa" w:w="3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r>
              <w:rPr>
                <w:rFonts w:ascii="Arial" w:cs="Arial" w:eastAsia="Arial" w:hAnsi="Arial"/>
                <w:b w:val="false"/>
                <w:bCs w:val="false"/>
                <w:color w:val="1A1A1A"/>
                <w:sz w:val="19"/>
                <w:szCs w:val="19"/>
              </w:rPr>
              <w:t xml:space="preserve">Highest risk for forfeitures. Key target for expiration nudges and re-engagement messaging.</w:t>
            </w:r>
          </w:p>
        </w:tc>
      </w:tr>
      <w:tr>
        <w:tc>
          <w:tcPr>
            <w:tcW w:type="dxa" w:w="1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00"/>
            </w:tcMar>
          </w:tcPr>
          <w:p>
            <w:r>
              <w:rPr>
                <w:rFonts w:ascii="Arial" w:cs="Arial" w:eastAsia="Arial" w:hAnsi="Arial"/>
                <w:b/>
                <w:bCs/>
                <w:color w:val="1B4F8A"/>
                <w:sz w:val="19"/>
                <w:szCs w:val="19"/>
              </w:rPr>
              <w:t xml:space="preserve">New Enrollee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1A1A1A"/>
                <w:sz w:val="19"/>
                <w:szCs w:val="19"/>
              </w:rPr>
              <w:t xml:space="preserve">Enrolled in last 30 days; has not yet used a benefit.</w:t>
            </w:r>
          </w:p>
        </w:tc>
        <w:tc>
          <w:tcPr>
            <w:tcW w:type="dxa" w:w="3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r>
              <w:rPr>
                <w:rFonts w:ascii="Arial" w:cs="Arial" w:eastAsia="Arial" w:hAnsi="Arial"/>
                <w:b w:val="false"/>
                <w:bCs w:val="false"/>
                <w:color w:val="1A1A1A"/>
                <w:sz w:val="19"/>
                <w:szCs w:val="19"/>
              </w:rPr>
              <w:t xml:space="preserve">Needs orientation, not history. Page should show available services and "get started" prompts.</w:t>
            </w:r>
          </w:p>
        </w:tc>
      </w:tr>
      <w:tr>
        <w:tc>
          <w:tcPr>
            <w:tcW w:type="dxa" w:w="1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00"/>
            </w:tcMar>
          </w:tcPr>
          <w:p>
            <w:r>
              <w:rPr>
                <w:rFonts w:ascii="Arial" w:cs="Arial" w:eastAsia="Arial" w:hAnsi="Arial"/>
                <w:b/>
                <w:bCs/>
                <w:color w:val="1B4F8A"/>
                <w:sz w:val="19"/>
                <w:szCs w:val="19"/>
              </w:rPr>
              <w:t xml:space="preserve">Multi-Child Family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1A1A1A"/>
                <w:sz w:val="19"/>
                <w:szCs w:val="19"/>
              </w:rPr>
              <w:t xml:space="preserve">Household with 2+ dependents and complex eligibility.</w:t>
            </w:r>
          </w:p>
        </w:tc>
        <w:tc>
          <w:tcPr>
            <w:tcW w:type="dxa" w:w="3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r>
              <w:rPr>
                <w:rFonts w:ascii="Arial" w:cs="Arial" w:eastAsia="Arial" w:hAnsi="Arial"/>
                <w:b w:val="false"/>
                <w:bCs w:val="false"/>
                <w:color w:val="1A1A1A"/>
                <w:sz w:val="19"/>
                <w:szCs w:val="19"/>
              </w:rPr>
              <w:t xml:space="preserve">Manages benefits across family members. Values a consolidated view of per-child usage.</w:t>
            </w:r>
          </w:p>
        </w:tc>
      </w:tr>
    </w:tbl>
    <w:p>
      <w:pPr>
        <w:spacing w:after="60" w:before="60"/>
      </w:pPr>
      <w:r>
        <w:t xml:space="preserve"/>
      </w:r>
    </w:p>
    <w:p>
      <w:pPr>
        <w:pStyle w:val="Heading1"/>
        <w:pBdr>
          <w:bottom w:val="single" w:color="1B4F8A" w:sz="4" w:space="4"/>
        </w:pBdr>
        <w:spacing w:after="120" w:before="320"/>
      </w:pPr>
      <w:r>
        <w:rPr>
          <w:rFonts w:ascii="Arial" w:cs="Arial" w:eastAsia="Arial" w:hAnsi="Arial"/>
          <w:b/>
          <w:bCs/>
          <w:color w:val="1B4F8A"/>
          <w:sz w:val="28"/>
          <w:szCs w:val="28"/>
        </w:rPr>
        <w:t xml:space="preserve">5. Jobs to Be Done</w:t>
      </w:r>
    </w:p>
    <w:p>
      <w:pPr>
        <w:pStyle w:val="ListParagraph"/>
        <w:numPr>
          <w:ilvl w:val="0"/>
          <w:numId w:val="2"/>
        </w:numPr>
        <w:spacing w:after="60" w:before="60"/>
      </w:pPr>
      <w:r>
        <w:rPr>
          <w:rFonts w:ascii="Arial" w:cs="Arial" w:eastAsia="Arial" w:hAnsi="Arial"/>
          <w:b/>
          <w:bCs/>
          <w:color w:val="0E7C86"/>
          <w:sz w:val="19"/>
          <w:szCs w:val="19"/>
        </w:rPr>
        <w:t xml:space="preserve">[Active Utilizer]  </w:t>
      </w:r>
      <w:r>
        <w:rPr>
          <w:rFonts w:ascii="Arial" w:cs="Arial" w:eastAsia="Arial" w:hAnsi="Arial"/>
          <w:i/>
          <w:iCs/>
          <w:color w:val="1A1A1A"/>
          <w:sz w:val="19"/>
          <w:szCs w:val="19"/>
        </w:rPr>
        <w:t xml:space="preserve">When I log into the platform mid-year, I want to see how much of my benefit I've used across categories, so I can plan what services to book before my balance resets.</w:t>
      </w:r>
    </w:p>
    <w:p>
      <w:pPr>
        <w:pStyle w:val="ListParagraph"/>
        <w:numPr>
          <w:ilvl w:val="0"/>
          <w:numId w:val="2"/>
        </w:numPr>
        <w:spacing w:after="60" w:before="60"/>
      </w:pPr>
      <w:r>
        <w:rPr>
          <w:rFonts w:ascii="Arial" w:cs="Arial" w:eastAsia="Arial" w:hAnsi="Arial"/>
          <w:b/>
          <w:bCs/>
          <w:color w:val="0E7C86"/>
          <w:sz w:val="19"/>
          <w:szCs w:val="19"/>
        </w:rPr>
        <w:t xml:space="preserve">[Lapsed Claimer]  </w:t>
      </w:r>
      <w:r>
        <w:rPr>
          <w:rFonts w:ascii="Arial" w:cs="Arial" w:eastAsia="Arial" w:hAnsi="Arial"/>
          <w:i/>
          <w:iCs/>
          <w:color w:val="1A1A1A"/>
          <w:sz w:val="19"/>
          <w:szCs w:val="19"/>
        </w:rPr>
        <w:t xml:space="preserve">When I receive a re-engagement prompt, I want to quickly understand what I still have available and what's expiring soon, so I can act before it's too late.</w:t>
      </w:r>
    </w:p>
    <w:p>
      <w:pPr>
        <w:pStyle w:val="ListParagraph"/>
        <w:numPr>
          <w:ilvl w:val="0"/>
          <w:numId w:val="2"/>
        </w:numPr>
        <w:spacing w:after="60" w:before="60"/>
      </w:pPr>
      <w:r>
        <w:rPr>
          <w:rFonts w:ascii="Arial" w:cs="Arial" w:eastAsia="Arial" w:hAnsi="Arial"/>
          <w:b/>
          <w:bCs/>
          <w:color w:val="0E7C86"/>
          <w:sz w:val="19"/>
          <w:szCs w:val="19"/>
        </w:rPr>
        <w:t xml:space="preserve">[New Enrollee]  </w:t>
      </w:r>
      <w:r>
        <w:rPr>
          <w:rFonts w:ascii="Arial" w:cs="Arial" w:eastAsia="Arial" w:hAnsi="Arial"/>
          <w:i/>
          <w:iCs/>
          <w:color w:val="1A1A1A"/>
          <w:sz w:val="19"/>
          <w:szCs w:val="19"/>
        </w:rPr>
        <w:t xml:space="preserve">When I first arrive at my benefit summary, I want to understand which services I'm eligible for and how to get started, so I don't leave value on the table.</w:t>
      </w:r>
    </w:p>
    <w:p>
      <w:pPr>
        <w:pStyle w:val="ListParagraph"/>
        <w:numPr>
          <w:ilvl w:val="0"/>
          <w:numId w:val="2"/>
        </w:numPr>
        <w:spacing w:after="60" w:before="60"/>
      </w:pPr>
      <w:r>
        <w:rPr>
          <w:rFonts w:ascii="Arial" w:cs="Arial" w:eastAsia="Arial" w:hAnsi="Arial"/>
          <w:b/>
          <w:bCs/>
          <w:color w:val="0E7C86"/>
          <w:sz w:val="19"/>
          <w:szCs w:val="19"/>
        </w:rPr>
        <w:t xml:space="preserve">[Multi-Child Family]  </w:t>
      </w:r>
      <w:r>
        <w:rPr>
          <w:rFonts w:ascii="Arial" w:cs="Arial" w:eastAsia="Arial" w:hAnsi="Arial"/>
          <w:i/>
          <w:iCs/>
          <w:color w:val="1A1A1A"/>
          <w:sz w:val="19"/>
          <w:szCs w:val="19"/>
        </w:rPr>
        <w:t xml:space="preserve">When reviewing my plan, I want to see eligibility and usage grouped by dependent, so I can prioritize which family member's needs to address first.</w:t>
      </w:r>
    </w:p>
    <w:p>
      <w:pPr>
        <w:spacing w:after="60" w:before="60"/>
      </w:pPr>
      <w:r>
        <w:t xml:space="preserve"/>
      </w:r>
    </w:p>
    <w:p>
      <w:pPr>
        <w:pStyle w:val="Heading1"/>
        <w:pBdr>
          <w:bottom w:val="single" w:color="1B4F8A" w:sz="4" w:space="4"/>
        </w:pBdr>
        <w:spacing w:after="120" w:before="320"/>
      </w:pPr>
      <w:r>
        <w:rPr>
          <w:rFonts w:ascii="Arial" w:cs="Arial" w:eastAsia="Arial" w:hAnsi="Arial"/>
          <w:b/>
          <w:bCs/>
          <w:color w:val="1B4F8A"/>
          <w:sz w:val="28"/>
          <w:szCs w:val="28"/>
        </w:rPr>
        <w:t xml:space="preserve">6. Success Metrics (OKR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20"/>
            </w:tcMar>
          </w:tcPr>
          <w:p>
            <w:r>
              <w:rPr>
                <w:rFonts w:ascii="Arial" w:cs="Arial" w:eastAsia="Arial" w:hAnsi="Arial"/>
                <w:b/>
                <w:bCs/>
                <w:color w:val="FFFFFF"/>
                <w:sz w:val="22"/>
                <w:szCs w:val="22"/>
              </w:rPr>
              <w:t xml:space="preserve">O</w:t>
            </w:r>
          </w:p>
        </w:tc>
        <w:tc>
          <w:tcPr>
            <w:tcW w:type="dxa" w:w="7960"/>
            <w:tcBorders>
              <w:top w:val="single" w:color="CCCCCC" w:sz="1"/>
              <w:left w:val="single" w:color="CCCCCC" w:sz="1"/>
              <w:bottom w:val="single" w:color="CCCCCC" w:sz="1"/>
              <w:right w:val="single" w:color="CCCCCC" w:sz="1"/>
            </w:tcBorders>
            <w:shd w:fill="F0F5FC" w:val="clear"/>
            <w:tcMar>
              <w:top w:type="dxa" w:w="80"/>
              <w:left w:type="dxa" w:w="160"/>
              <w:bottom w:type="dxa" w:w="80"/>
              <w:right w:type="dxa" w:w="120"/>
            </w:tcMar>
          </w:tcPr>
          <w:p>
            <w:r>
              <w:rPr>
                <w:rFonts w:ascii="Arial" w:cs="Arial" w:eastAsia="Arial" w:hAnsi="Arial"/>
                <w:color w:val="1A1A1A"/>
                <w:sz w:val="20"/>
                <w:szCs w:val="20"/>
              </w:rPr>
              <w:t xml:space="preserve">Drive measurable benefit utilization by making each user's benefit picture clear and actionable before plan-year end.</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20"/>
            </w:tcMar>
          </w:tcPr>
          <w:p>
            <w:r>
              <w:rPr>
                <w:rFonts w:ascii="Arial" w:cs="Arial" w:eastAsia="Arial" w:hAnsi="Arial"/>
                <w:b/>
                <w:bCs/>
                <w:color w:val="1B4F8A"/>
                <w:sz w:val="22"/>
                <w:szCs w:val="22"/>
              </w:rPr>
              <w:t xml:space="preserve">KR1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Reduce unclaimed benefit rate (forfeitures) by 15% in the first full plan year following launch.</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20"/>
            </w:tcMar>
          </w:tcPr>
          <w:p>
            <w:r>
              <w:rPr>
                <w:rFonts w:ascii="Arial" w:cs="Arial" w:eastAsia="Arial" w:hAnsi="Arial"/>
                <w:b/>
                <w:bCs/>
                <w:color w:val="1B4F8A"/>
                <w:sz w:val="22"/>
                <w:szCs w:val="22"/>
              </w:rPr>
              <w:t xml:space="preserve">KR2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Achieve 40% of enrolled users visiting the summary page at least once per quarter within 6 months of launch.</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20"/>
            </w:tcMar>
          </w:tcPr>
          <w:p>
            <w:r>
              <w:rPr>
                <w:rFonts w:ascii="Arial" w:cs="Arial" w:eastAsia="Arial" w:hAnsi="Arial"/>
                <w:b/>
                <w:bCs/>
                <w:color w:val="1B4F8A"/>
                <w:sz w:val="22"/>
                <w:szCs w:val="22"/>
              </w:rPr>
              <w:t xml:space="preserve">KR3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Reduce "didn't know I had that" CX tickets by 25% year-over-year.</w:t>
            </w:r>
          </w:p>
        </w:tc>
      </w:tr>
    </w:tbl>
    <w:p>
      <w:pPr>
        <w:spacing w:after="60" w:before="60"/>
      </w:pPr>
      <w:r>
        <w:t xml:space="preserve"/>
      </w:r>
    </w:p>
    <w:p>
      <w:pPr>
        <w:pStyle w:val="Heading1"/>
        <w:pBdr>
          <w:bottom w:val="single" w:color="1B4F8A" w:sz="4" w:space="4"/>
        </w:pBdr>
        <w:spacing w:after="120" w:before="320"/>
      </w:pPr>
      <w:r>
        <w:rPr>
          <w:rFonts w:ascii="Arial" w:cs="Arial" w:eastAsia="Arial" w:hAnsi="Arial"/>
          <w:b/>
          <w:bCs/>
          <w:color w:val="1B4F8A"/>
          <w:sz w:val="28"/>
          <w:szCs w:val="28"/>
        </w:rPr>
        <w:t xml:space="preserve">7.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20"/>
            </w:tcMar>
          </w:tcPr>
          <w:p>
            <w:r>
              <w:rPr>
                <w:rFonts w:ascii="Arial" w:cs="Arial" w:eastAsia="Arial" w:hAnsi="Arial"/>
                <w:b/>
                <w:bCs/>
                <w:color w:val="FFFFFF"/>
                <w:sz w:val="20"/>
                <w:szCs w:val="20"/>
              </w:rPr>
              <w:t xml:space="preserve">✓  In Scope</w:t>
            </w:r>
          </w:p>
        </w:tc>
        <w:tc>
          <w:tcPr>
            <w:tcW w:type="dxa" w:w="4680"/>
            <w:tcBorders>
              <w:top w:val="single" w:color="CCCCCC" w:sz="1"/>
              <w:left w:val="single" w:color="CCCCCC" w:sz="1"/>
              <w:bottom w:val="single" w:color="CCCCCC" w:sz="1"/>
              <w:right w:val="single" w:color="CCCCCC" w:sz="1"/>
            </w:tcBorders>
            <w:shd w:fill="6B6B6B" w:val="clear"/>
            <w:tcMar>
              <w:top w:type="dxa" w:w="80"/>
              <w:left w:type="dxa" w:w="160"/>
              <w:bottom w:type="dxa" w:w="80"/>
              <w:right w:type="dxa" w:w="120"/>
            </w:tcMar>
          </w:tcPr>
          <w:p>
            <w:r>
              <w:rPr>
                <w:rFonts w:ascii="Arial" w:cs="Arial" w:eastAsia="Arial" w:hAnsi="Arial"/>
                <w:b/>
                <w:bCs/>
                <w:color w:val="FFFFFF"/>
                <w:sz w:val="20"/>
                <w:szCs w:val="20"/>
              </w:rPr>
              <w:t xml:space="preserve">✗  Out of Scope</w:t>
            </w:r>
          </w:p>
        </w:tc>
      </w:tr>
      <w:tr>
        <w:tc>
          <w:tcPr>
            <w:tcW w:type="dxa" w:w="4680"/>
            <w:tcBorders>
              <w:top w:val="single" w:color="CCCCCC" w:sz="1"/>
              <w:left w:val="single" w:color="CCCCCC" w:sz="1"/>
              <w:bottom w:val="single" w:color="CCCCCC" w:sz="1"/>
              <w:right w:val="single" w:color="CCCCCC" w:sz="1"/>
            </w:tcBorders>
            <w:shd w:fill="F0F7EE" w:val="clear"/>
            <w:tcMar>
              <w:top w:type="dxa" w:w="60"/>
              <w:left w:type="dxa" w:w="160"/>
              <w:bottom w:type="dxa" w:w="60"/>
              <w:right w:type="dxa" w:w="120"/>
            </w:tcMar>
          </w:tcPr>
          <w:p>
            <w:r>
              <w:rPr>
                <w:rFonts w:ascii="Arial" w:cs="Arial" w:eastAsia="Arial" w:hAnsi="Arial"/>
                <w:color w:val="1A1A1A"/>
                <w:sz w:val="19"/>
                <w:szCs w:val="19"/>
              </w:rPr>
              <w:t xml:space="preserve">Personalized summary view of past benefit usage by category</w:t>
            </w:r>
          </w:p>
        </w:tc>
        <w:tc>
          <w:tcPr>
            <w:tcW w:type="dxa" w:w="4680"/>
            <w:tcBorders>
              <w:top w:val="single" w:color="CCCCCC" w:sz="1"/>
              <w:left w:val="single" w:color="CCCCCC" w:sz="1"/>
              <w:bottom w:val="single" w:color="CCCCCC" w:sz="1"/>
              <w:right w:val="single" w:color="CCCCCC" w:sz="1"/>
            </w:tcBorders>
            <w:shd w:fill="FAF0F0" w:val="clear"/>
            <w:tcMar>
              <w:top w:type="dxa" w:w="60"/>
              <w:left w:type="dxa" w:w="160"/>
              <w:bottom w:type="dxa" w:w="60"/>
              <w:right w:type="dxa" w:w="120"/>
            </w:tcMar>
          </w:tcPr>
          <w:p>
            <w:r>
              <w:rPr>
                <w:rFonts w:ascii="Arial" w:cs="Arial" w:eastAsia="Arial" w:hAnsi="Arial"/>
                <w:color w:val="1A1A1A"/>
                <w:sz w:val="19"/>
                <w:szCs w:val="19"/>
              </w:rPr>
              <w:t xml:space="preserve">New benefit discovery or browse experience</w:t>
            </w:r>
          </w:p>
        </w:tc>
      </w:tr>
      <w:tr>
        <w:tc>
          <w:tcPr>
            <w:tcW w:type="dxa" w:w="4680"/>
            <w:tcBorders>
              <w:top w:val="single" w:color="CCCCCC" w:sz="1"/>
              <w:left w:val="single" w:color="CCCCCC" w:sz="1"/>
              <w:bottom w:val="single" w:color="CCCCCC" w:sz="1"/>
              <w:right w:val="single" w:color="CCCCCC" w:sz="1"/>
            </w:tcBorders>
            <w:shd w:fill="F0F7EE" w:val="clear"/>
            <w:tcMar>
              <w:top w:type="dxa" w:w="60"/>
              <w:left w:type="dxa" w:w="160"/>
              <w:bottom w:type="dxa" w:w="60"/>
              <w:right w:type="dxa" w:w="120"/>
            </w:tcMar>
          </w:tcPr>
          <w:p>
            <w:r>
              <w:rPr>
                <w:rFonts w:ascii="Arial" w:cs="Arial" w:eastAsia="Arial" w:hAnsi="Arial"/>
                <w:color w:val="1A1A1A"/>
                <w:sz w:val="19"/>
                <w:szCs w:val="19"/>
              </w:rPr>
              <w:t xml:space="preserve">Remaining balance / eligibility display per benefit type</w:t>
            </w:r>
          </w:p>
        </w:tc>
        <w:tc>
          <w:tcPr>
            <w:tcW w:type="dxa" w:w="4680"/>
            <w:tcBorders>
              <w:top w:val="single" w:color="CCCCCC" w:sz="1"/>
              <w:left w:val="single" w:color="CCCCCC" w:sz="1"/>
              <w:bottom w:val="single" w:color="CCCCCC" w:sz="1"/>
              <w:right w:val="single" w:color="CCCCCC" w:sz="1"/>
            </w:tcBorders>
            <w:shd w:fill="FAF0F0" w:val="clear"/>
            <w:tcMar>
              <w:top w:type="dxa" w:w="60"/>
              <w:left w:type="dxa" w:w="160"/>
              <w:bottom w:type="dxa" w:w="60"/>
              <w:right w:type="dxa" w:w="120"/>
            </w:tcMar>
          </w:tcPr>
          <w:p>
            <w:r>
              <w:rPr>
                <w:rFonts w:ascii="Arial" w:cs="Arial" w:eastAsia="Arial" w:hAnsi="Arial"/>
                <w:color w:val="1A1A1A"/>
                <w:sz w:val="19"/>
                <w:szCs w:val="19"/>
              </w:rPr>
              <w:t xml:space="preserve">Real-time booking or transaction initiation from this page</w:t>
            </w:r>
          </w:p>
        </w:tc>
      </w:tr>
      <w:tr>
        <w:tc>
          <w:tcPr>
            <w:tcW w:type="dxa" w:w="4680"/>
            <w:tcBorders>
              <w:top w:val="single" w:color="CCCCCC" w:sz="1"/>
              <w:left w:val="single" w:color="CCCCCC" w:sz="1"/>
              <w:bottom w:val="single" w:color="CCCCCC" w:sz="1"/>
              <w:right w:val="single" w:color="CCCCCC" w:sz="1"/>
            </w:tcBorders>
            <w:shd w:fill="F0F7EE" w:val="clear"/>
            <w:tcMar>
              <w:top w:type="dxa" w:w="60"/>
              <w:left w:type="dxa" w:w="160"/>
              <w:bottom w:type="dxa" w:w="60"/>
              <w:right w:type="dxa" w:w="120"/>
            </w:tcMar>
          </w:tcPr>
          <w:p>
            <w:r>
              <w:rPr>
                <w:rFonts w:ascii="Arial" w:cs="Arial" w:eastAsia="Arial" w:hAnsi="Arial"/>
                <w:color w:val="1A1A1A"/>
                <w:sz w:val="19"/>
                <w:szCs w:val="19"/>
              </w:rPr>
              <w:t xml:space="preserve">Expiration alerts for services lapsing within 30 and 60 days</w:t>
            </w:r>
          </w:p>
        </w:tc>
        <w:tc>
          <w:tcPr>
            <w:tcW w:type="dxa" w:w="4680"/>
            <w:tcBorders>
              <w:top w:val="single" w:color="CCCCCC" w:sz="1"/>
              <w:left w:val="single" w:color="CCCCCC" w:sz="1"/>
              <w:bottom w:val="single" w:color="CCCCCC" w:sz="1"/>
              <w:right w:val="single" w:color="CCCCCC" w:sz="1"/>
            </w:tcBorders>
            <w:shd w:fill="FAF0F0" w:val="clear"/>
            <w:tcMar>
              <w:top w:type="dxa" w:w="60"/>
              <w:left w:type="dxa" w:w="160"/>
              <w:bottom w:type="dxa" w:w="60"/>
              <w:right w:type="dxa" w:w="120"/>
            </w:tcMar>
          </w:tcPr>
          <w:p>
            <w:r>
              <w:rPr>
                <w:rFonts w:ascii="Arial" w:cs="Arial" w:eastAsia="Arial" w:hAnsi="Arial"/>
                <w:color w:val="1A1A1A"/>
                <w:sz w:val="19"/>
                <w:szCs w:val="19"/>
              </w:rPr>
              <w:t xml:space="preserve">Email / push notification campaigns (handled by CRM team)</w:t>
            </w:r>
          </w:p>
        </w:tc>
      </w:tr>
      <w:tr>
        <w:tc>
          <w:tcPr>
            <w:tcW w:type="dxa" w:w="4680"/>
            <w:tcBorders>
              <w:top w:val="single" w:color="CCCCCC" w:sz="1"/>
              <w:left w:val="single" w:color="CCCCCC" w:sz="1"/>
              <w:bottom w:val="single" w:color="CCCCCC" w:sz="1"/>
              <w:right w:val="single" w:color="CCCCCC" w:sz="1"/>
            </w:tcBorders>
            <w:shd w:fill="F0F7EE" w:val="clear"/>
            <w:tcMar>
              <w:top w:type="dxa" w:w="60"/>
              <w:left w:type="dxa" w:w="160"/>
              <w:bottom w:type="dxa" w:w="60"/>
              <w:right w:type="dxa" w:w="120"/>
            </w:tcMar>
          </w:tcPr>
          <w:p>
            <w:r>
              <w:rPr>
                <w:rFonts w:ascii="Arial" w:cs="Arial" w:eastAsia="Arial" w:hAnsi="Arial"/>
                <w:color w:val="1A1A1A"/>
                <w:sz w:val="19"/>
                <w:szCs w:val="19"/>
              </w:rPr>
              <w:t xml:space="preserve">Multi-dependent view (usage grouped by family member)</w:t>
            </w:r>
          </w:p>
        </w:tc>
        <w:tc>
          <w:tcPr>
            <w:tcW w:type="dxa" w:w="4680"/>
            <w:tcBorders>
              <w:top w:val="single" w:color="CCCCCC" w:sz="1"/>
              <w:left w:val="single" w:color="CCCCCC" w:sz="1"/>
              <w:bottom w:val="single" w:color="CCCCCC" w:sz="1"/>
              <w:right w:val="single" w:color="CCCCCC" w:sz="1"/>
            </w:tcBorders>
            <w:shd w:fill="FAF0F0" w:val="clear"/>
            <w:tcMar>
              <w:top w:type="dxa" w:w="60"/>
              <w:left w:type="dxa" w:w="160"/>
              <w:bottom w:type="dxa" w:w="60"/>
              <w:right w:type="dxa" w:w="120"/>
            </w:tcMar>
          </w:tcPr>
          <w:p>
            <w:r>
              <w:rPr>
                <w:rFonts w:ascii="Arial" w:cs="Arial" w:eastAsia="Arial" w:hAnsi="Arial"/>
                <w:color w:val="1A1A1A"/>
                <w:sz w:val="19"/>
                <w:szCs w:val="19"/>
              </w:rPr>
              <w:t xml:space="preserve">Admin or employer-facing views of aggregate usage</w:t>
            </w:r>
          </w:p>
        </w:tc>
      </w:tr>
      <w:tr>
        <w:tc>
          <w:tcPr>
            <w:tcW w:type="dxa" w:w="4680"/>
            <w:tcBorders>
              <w:top w:val="single" w:color="CCCCCC" w:sz="1"/>
              <w:left w:val="single" w:color="CCCCCC" w:sz="1"/>
              <w:bottom w:val="single" w:color="CCCCCC" w:sz="1"/>
              <w:right w:val="single" w:color="CCCCCC" w:sz="1"/>
            </w:tcBorders>
            <w:shd w:fill="F0F7EE" w:val="clear"/>
            <w:tcMar>
              <w:top w:type="dxa" w:w="60"/>
              <w:left w:type="dxa" w:w="160"/>
              <w:bottom w:type="dxa" w:w="60"/>
              <w:right w:type="dxa" w:w="120"/>
            </w:tcMar>
          </w:tcPr>
          <w:p>
            <w:r>
              <w:rPr>
                <w:rFonts w:ascii="Arial" w:cs="Arial" w:eastAsia="Arial" w:hAnsi="Arial"/>
                <w:color w:val="1A1A1A"/>
                <w:sz w:val="19"/>
                <w:szCs w:val="19"/>
              </w:rPr>
              <w:t xml:space="preserve">"Get started" CTA surface for users with zero usage</w:t>
            </w:r>
          </w:p>
        </w:tc>
        <w:tc>
          <w:tcPr>
            <w:tcW w:type="dxa" w:w="4680"/>
            <w:tcBorders>
              <w:top w:val="single" w:color="CCCCCC" w:sz="1"/>
              <w:left w:val="single" w:color="CCCCCC" w:sz="1"/>
              <w:bottom w:val="single" w:color="CCCCCC" w:sz="1"/>
              <w:right w:val="single" w:color="CCCCCC" w:sz="1"/>
            </w:tcBorders>
            <w:shd w:fill="FAF0F0" w:val="clear"/>
            <w:tcMar>
              <w:top w:type="dxa" w:w="60"/>
              <w:left w:type="dxa" w:w="160"/>
              <w:bottom w:type="dxa" w:w="60"/>
              <w:right w:type="dxa" w:w="120"/>
            </w:tcMar>
          </w:tcPr>
          <w:p>
            <w:r>
              <w:rPr>
                <w:rFonts w:ascii="Arial" w:cs="Arial" w:eastAsia="Arial" w:hAnsi="Arial"/>
                <w:color w:val="1A1A1A"/>
                <w:sz w:val="19"/>
                <w:szCs w:val="19"/>
              </w:rPr>
              <w:t xml:space="preserve">Benefit plan configuration or enrollment changes</w:t>
            </w:r>
          </w:p>
        </w:tc>
      </w:tr>
      <w:tr>
        <w:tc>
          <w:tcPr>
            <w:tcW w:type="dxa" w:w="4680"/>
            <w:tcBorders>
              <w:top w:val="single" w:color="CCCCCC" w:sz="1"/>
              <w:left w:val="single" w:color="CCCCCC" w:sz="1"/>
              <w:bottom w:val="single" w:color="CCCCCC" w:sz="1"/>
              <w:right w:val="single" w:color="CCCCCC" w:sz="1"/>
            </w:tcBorders>
            <w:shd w:fill="F0F7EE" w:val="clear"/>
            <w:tcMar>
              <w:top w:type="dxa" w:w="60"/>
              <w:left w:type="dxa" w:w="160"/>
              <w:bottom w:type="dxa" w:w="60"/>
              <w:right w:type="dxa" w:w="120"/>
            </w:tcMar>
          </w:tcPr>
          <w:p>
            <w:r>
              <w:rPr>
                <w:rFonts w:ascii="Arial" w:cs="Arial" w:eastAsia="Arial" w:hAnsi="Arial"/>
                <w:color w:val="1A1A1A"/>
                <w:sz w:val="19"/>
                <w:szCs w:val="19"/>
              </w:rPr>
              <w:t xml:space="preserve">Marketing-configurable callout module (1 slot per page)</w:t>
            </w:r>
          </w:p>
        </w:tc>
        <w:tc>
          <w:tcPr>
            <w:tcW w:type="dxa" w:w="4680"/>
            <w:tcBorders>
              <w:top w:val="single" w:color="CCCCCC" w:sz="1"/>
              <w:left w:val="single" w:color="CCCCCC" w:sz="1"/>
              <w:bottom w:val="single" w:color="CCCCCC" w:sz="1"/>
              <w:right w:val="single" w:color="CCCCCC" w:sz="1"/>
            </w:tcBorders>
            <w:shd w:fill="FAF0F0" w:val="clear"/>
            <w:tcMar>
              <w:top w:type="dxa" w:w="60"/>
              <w:left w:type="dxa" w:w="160"/>
              <w:bottom w:type="dxa" w:w="60"/>
              <w:right w:type="dxa" w:w="120"/>
            </w:tcMar>
          </w:tcPr>
          <w:p>
            <w:r>
              <w:rPr>
                <w:rFonts w:ascii="Arial" w:cs="Arial" w:eastAsia="Arial" w:hAnsi="Arial"/>
                <w:color w:val="1A1A1A"/>
                <w:sz w:val="19"/>
                <w:szCs w:val="19"/>
              </w:rPr>
              <w:t xml:space="preserve"/>
            </w:r>
          </w:p>
        </w:tc>
      </w:tr>
    </w:tbl>
    <w:p>
      <w:pPr>
        <w:spacing w:after="60" w:before="60"/>
      </w:pPr>
      <w:r>
        <w:t xml:space="preserve"/>
      </w:r>
    </w:p>
    <w:p>
      <w:pPr>
        <w:pStyle w:val="Heading1"/>
        <w:pBdr>
          <w:bottom w:val="single" w:color="1B4F8A" w:sz="4" w:space="4"/>
        </w:pBdr>
        <w:spacing w:after="120" w:before="320"/>
      </w:pPr>
      <w:r>
        <w:rPr>
          <w:rFonts w:ascii="Arial" w:cs="Arial" w:eastAsia="Arial" w:hAnsi="Arial"/>
          <w:b/>
          <w:bCs/>
          <w:color w:val="1B4F8A"/>
          <w:sz w:val="28"/>
          <w:szCs w:val="28"/>
        </w:rPr>
        <w:t xml:space="preserve">8. Edge Cases</w:t>
      </w:r>
    </w:p>
    <w:p>
      <w:pPr>
        <w:pStyle w:val="ListParagraph"/>
        <w:numPr>
          <w:ilvl w:val="0"/>
          <w:numId w:val="2"/>
        </w:numPr>
        <w:spacing w:after="60" w:before="60"/>
      </w:pPr>
      <w:r>
        <w:rPr>
          <w:rFonts w:ascii="Arial" w:cs="Arial" w:eastAsia="Arial" w:hAnsi="Arial"/>
          <w:b/>
          <w:bCs/>
          <w:color w:val="1B4F8A"/>
          <w:sz w:val="19"/>
          <w:szCs w:val="19"/>
        </w:rPr>
        <w:t xml:space="preserve">Zero-usage new enrollee: </w:t>
      </w:r>
      <w:r>
        <w:rPr>
          <w:rFonts w:ascii="Arial" w:cs="Arial" w:eastAsia="Arial" w:hAnsi="Arial"/>
          <w:color w:val="1A1A1A"/>
          <w:sz w:val="19"/>
          <w:szCs w:val="19"/>
        </w:rPr>
        <w:t xml:space="preserve">User has no usage history to display. </w:t>
      </w:r>
      <w:r>
        <w:rPr>
          <w:rFonts w:ascii="Arial" w:cs="Arial" w:eastAsia="Arial" w:hAnsi="Arial"/>
          <w:i/>
          <w:iCs/>
          <w:color w:val="555555"/>
          <w:sz w:val="19"/>
          <w:szCs w:val="19"/>
        </w:rPr>
        <w:t xml:space="preserve">Show an orientation state with eligible services and a prompt to book — do not show an empty page.</w:t>
      </w:r>
    </w:p>
    <w:p>
      <w:pPr>
        <w:pStyle w:val="ListParagraph"/>
        <w:numPr>
          <w:ilvl w:val="0"/>
          <w:numId w:val="2"/>
        </w:numPr>
        <w:spacing w:after="60" w:before="60"/>
      </w:pPr>
      <w:r>
        <w:rPr>
          <w:rFonts w:ascii="Arial" w:cs="Arial" w:eastAsia="Arial" w:hAnsi="Arial"/>
          <w:b/>
          <w:bCs/>
          <w:color w:val="1B4F8A"/>
          <w:sz w:val="19"/>
          <w:szCs w:val="19"/>
        </w:rPr>
        <w:t xml:space="preserve">Mid-year plan change: </w:t>
      </w:r>
      <w:r>
        <w:rPr>
          <w:rFonts w:ascii="Arial" w:cs="Arial" w:eastAsia="Arial" w:hAnsi="Arial"/>
          <w:color w:val="1A1A1A"/>
          <w:sz w:val="19"/>
          <w:szCs w:val="19"/>
        </w:rPr>
        <w:t xml:space="preserve">User switches benefit tiers mid-year; historical usage spans two plans. </w:t>
      </w:r>
      <w:r>
        <w:rPr>
          <w:rFonts w:ascii="Arial" w:cs="Arial" w:eastAsia="Arial" w:hAnsi="Arial"/>
          <w:i/>
          <w:iCs/>
          <w:color w:val="555555"/>
          <w:sz w:val="19"/>
          <w:szCs w:val="19"/>
        </w:rPr>
        <w:t xml:space="preserve">Display usage segmented by plan period; avoid aggregating across plan types incorrectly. Flag for Engineering.</w:t>
      </w:r>
    </w:p>
    <w:p>
      <w:pPr>
        <w:pStyle w:val="ListParagraph"/>
        <w:numPr>
          <w:ilvl w:val="0"/>
          <w:numId w:val="2"/>
        </w:numPr>
        <w:spacing w:after="60" w:before="60"/>
      </w:pPr>
      <w:r>
        <w:rPr>
          <w:rFonts w:ascii="Arial" w:cs="Arial" w:eastAsia="Arial" w:hAnsi="Arial"/>
          <w:b/>
          <w:bCs/>
          <w:color w:val="1B4F8A"/>
          <w:sz w:val="19"/>
          <w:szCs w:val="19"/>
        </w:rPr>
        <w:t xml:space="preserve">Dependent removed from account: </w:t>
      </w:r>
      <w:r>
        <w:rPr>
          <w:rFonts w:ascii="Arial" w:cs="Arial" w:eastAsia="Arial" w:hAnsi="Arial"/>
          <w:color w:val="1A1A1A"/>
          <w:sz w:val="19"/>
          <w:szCs w:val="19"/>
        </w:rPr>
        <w:t xml:space="preserve">A child or dependent was removed after accruing usage. </w:t>
      </w:r>
      <w:r>
        <w:rPr>
          <w:rFonts w:ascii="Arial" w:cs="Arial" w:eastAsia="Arial" w:hAnsi="Arial"/>
          <w:i/>
          <w:iCs/>
          <w:color w:val="555555"/>
          <w:sz w:val="19"/>
          <w:szCs w:val="19"/>
        </w:rPr>
        <w:t xml:space="preserve">Retain historical usage records in the summary view to preserve accuracy. Do not delete from display on de-enrollment.</w:t>
      </w:r>
    </w:p>
    <w:p>
      <w:pPr>
        <w:spacing w:after="60" w:before="60"/>
      </w:pPr>
      <w:r>
        <w:t xml:space="preserve"/>
      </w:r>
    </w:p>
    <w:p>
      <w:pPr>
        <w:pStyle w:val="Heading1"/>
        <w:pBdr>
          <w:bottom w:val="single" w:color="1B4F8A" w:sz="4" w:space="4"/>
        </w:pBdr>
        <w:spacing w:after="120" w:before="320"/>
      </w:pPr>
      <w:r>
        <w:rPr>
          <w:rFonts w:ascii="Arial" w:cs="Arial" w:eastAsia="Arial" w:hAnsi="Arial"/>
          <w:b/>
          <w:bCs/>
          <w:color w:val="1B4F8A"/>
          <w:sz w:val="28"/>
          <w:szCs w:val="28"/>
        </w:rPr>
        <w:t xml:space="preserve">9. Open Questions</w:t>
      </w:r>
    </w:p>
    <w:p>
      <w:pPr>
        <w:pStyle w:val="Heading2"/>
        <w:spacing w:after="80" w:before="240"/>
      </w:pPr>
      <w:r>
        <w:rPr>
          <w:rFonts w:ascii="Arial" w:cs="Arial" w:eastAsia="Arial" w:hAnsi="Arial"/>
          <w:b/>
          <w:bCs/>
          <w:color w:val="0E7C86"/>
          <w:sz w:val="22"/>
          <w:szCs w:val="22"/>
        </w:rPr>
        <w:t xml:space="preserve">UX</w:t>
      </w:r>
    </w:p>
    <w:p>
      <w:pPr>
        <w:pStyle w:val="ListParagraph"/>
        <w:numPr>
          <w:ilvl w:val="0"/>
          <w:numId w:val="2"/>
        </w:numPr>
        <w:spacing w:after="40" w:before="40"/>
      </w:pPr>
      <w:r>
        <w:rPr>
          <w:rFonts w:ascii="Arial" w:cs="Arial" w:eastAsia="Arial" w:hAnsi="Arial"/>
          <w:color w:val="1A1A1A"/>
          <w:sz w:val="20"/>
          <w:szCs w:val="20"/>
        </w:rPr>
        <w:t xml:space="preserve">What is the canonical entry point — dedicated nav item, post-login home redirect, or both? (Owner: Design)</w:t>
      </w:r>
    </w:p>
    <w:p>
      <w:pPr>
        <w:pStyle w:val="ListParagraph"/>
        <w:numPr>
          <w:ilvl w:val="0"/>
          <w:numId w:val="2"/>
        </w:numPr>
        <w:spacing w:after="40" w:before="40"/>
      </w:pPr>
      <w:r>
        <w:rPr>
          <w:rFonts w:ascii="Arial" w:cs="Arial" w:eastAsia="Arial" w:hAnsi="Arial"/>
          <w:color w:val="1A1A1A"/>
          <w:sz w:val="20"/>
          <w:szCs w:val="20"/>
        </w:rPr>
        <w:t xml:space="preserve">How should the page handle users whose employer restricts benefit category visibility? (Owner: Design + Compliance)</w:t>
      </w:r>
    </w:p>
    <w:p>
      <w:pPr>
        <w:pStyle w:val="Heading2"/>
        <w:spacing w:after="80" w:before="240"/>
      </w:pPr>
      <w:r>
        <w:rPr>
          <w:rFonts w:ascii="Arial" w:cs="Arial" w:eastAsia="Arial" w:hAnsi="Arial"/>
          <w:b/>
          <w:bCs/>
          <w:color w:val="0E7C86"/>
          <w:sz w:val="22"/>
          <w:szCs w:val="22"/>
        </w:rPr>
        <w:t xml:space="preserve">Technical</w:t>
      </w:r>
    </w:p>
    <w:p>
      <w:pPr>
        <w:pStyle w:val="ListParagraph"/>
        <w:numPr>
          <w:ilvl w:val="0"/>
          <w:numId w:val="2"/>
        </w:numPr>
        <w:spacing w:after="40" w:before="40"/>
      </w:pPr>
      <w:r>
        <w:rPr>
          <w:rFonts w:ascii="Arial" w:cs="Arial" w:eastAsia="Arial" w:hAnsi="Arial"/>
          <w:color w:val="1A1A1A"/>
          <w:sz w:val="20"/>
          <w:szCs w:val="20"/>
        </w:rPr>
        <w:t xml:space="preserve">Is real-time balance data available via existing APIs, or is a nightly sync sufficient for this use case? (Owner: Engineering)</w:t>
      </w:r>
    </w:p>
    <w:p>
      <w:pPr>
        <w:pStyle w:val="ListParagraph"/>
        <w:numPr>
          <w:ilvl w:val="0"/>
          <w:numId w:val="2"/>
        </w:numPr>
        <w:spacing w:after="40" w:before="40"/>
      </w:pPr>
      <w:r>
        <w:rPr>
          <w:rFonts w:ascii="Arial" w:cs="Arial" w:eastAsia="Arial" w:hAnsi="Arial"/>
          <w:color w:val="1A1A1A"/>
          <w:sz w:val="20"/>
          <w:szCs w:val="20"/>
        </w:rPr>
        <w:t xml:space="preserve">Can the marketing callout slot be CMS-driven without a full deploy cycle? (Owner: Engineering)</w:t>
      </w:r>
    </w:p>
    <w:p>
      <w:pPr>
        <w:pStyle w:val="Heading2"/>
        <w:spacing w:after="80" w:before="240"/>
      </w:pPr>
      <w:r>
        <w:rPr>
          <w:rFonts w:ascii="Arial" w:cs="Arial" w:eastAsia="Arial" w:hAnsi="Arial"/>
          <w:b/>
          <w:bCs/>
          <w:color w:val="0E7C86"/>
          <w:sz w:val="22"/>
          <w:szCs w:val="22"/>
        </w:rPr>
        <w:t xml:space="preserve">Business</w:t>
      </w:r>
    </w:p>
    <w:p>
      <w:pPr>
        <w:pStyle w:val="ListParagraph"/>
        <w:numPr>
          <w:ilvl w:val="0"/>
          <w:numId w:val="2"/>
        </w:numPr>
        <w:spacing w:after="40" w:before="40"/>
      </w:pPr>
      <w:r>
        <w:rPr>
          <w:rFonts w:ascii="Arial" w:cs="Arial" w:eastAsia="Arial" w:hAnsi="Arial"/>
          <w:color w:val="1A1A1A"/>
          <w:sz w:val="20"/>
          <w:szCs w:val="20"/>
        </w:rPr>
        <w:t xml:space="preserve">Does Marketing own the expiration copy, or does Product set guardrails? (Owner: Trey + Marketing lead)</w:t>
      </w:r>
    </w:p>
    <w:p>
      <w:pPr>
        <w:pStyle w:val="ListParagraph"/>
        <w:numPr>
          <w:ilvl w:val="0"/>
          <w:numId w:val="2"/>
        </w:numPr>
        <w:spacing w:after="40" w:before="40"/>
      </w:pPr>
      <w:r>
        <w:rPr>
          <w:rFonts w:ascii="Arial" w:cs="Arial" w:eastAsia="Arial" w:hAnsi="Arial"/>
          <w:color w:val="1A1A1A"/>
          <w:sz w:val="20"/>
          <w:szCs w:val="20"/>
        </w:rPr>
        <w:t xml:space="preserve">Should the page be accessible pre-login as a teaser for non-enrolled users? (Owner: GTM)</w:t>
      </w:r>
    </w:p>
    <w:p>
      <w:pPr>
        <w:pStyle w:val="Heading2"/>
        <w:spacing w:after="80" w:before="240"/>
      </w:pPr>
      <w:r>
        <w:rPr>
          <w:rFonts w:ascii="Arial" w:cs="Arial" w:eastAsia="Arial" w:hAnsi="Arial"/>
          <w:b/>
          <w:bCs/>
          <w:color w:val="0E7C86"/>
          <w:sz w:val="22"/>
          <w:szCs w:val="22"/>
        </w:rPr>
        <w:t xml:space="preserve">Legal / Compliance</w:t>
      </w:r>
    </w:p>
    <w:p>
      <w:pPr>
        <w:pStyle w:val="ListParagraph"/>
        <w:numPr>
          <w:ilvl w:val="0"/>
          <w:numId w:val="2"/>
        </w:numPr>
        <w:spacing w:after="40" w:before="40"/>
      </w:pPr>
      <w:r>
        <w:rPr>
          <w:rFonts w:ascii="Arial" w:cs="Arial" w:eastAsia="Arial" w:hAnsi="Arial"/>
          <w:color w:val="1A1A1A"/>
          <w:sz w:val="20"/>
          <w:szCs w:val="20"/>
        </w:rPr>
        <w:t xml:space="preserve">Are there data residency or HIPAA considerations for surfacing dependent-level health benefit usage? (Owner: Legal)</w:t>
      </w:r>
    </w:p>
    <w:p>
      <w:pPr>
        <w:pStyle w:val="ListParagraph"/>
        <w:numPr>
          <w:ilvl w:val="0"/>
          <w:numId w:val="2"/>
        </w:numPr>
        <w:spacing w:after="40" w:before="40"/>
      </w:pPr>
      <w:r>
        <w:rPr>
          <w:rFonts w:ascii="Arial" w:cs="Arial" w:eastAsia="Arial" w:hAnsi="Arial"/>
          <w:color w:val="1A1A1A"/>
          <w:sz w:val="20"/>
          <w:szCs w:val="20"/>
        </w:rPr>
        <w:t xml:space="preserve">Do employer contracts allow us to surface per-category utilization data to employees directly? (Owner: Legal)</w:t>
      </w:r>
    </w:p>
    <w:p>
      <w:pPr>
        <w:spacing w:after="60" w:before="60"/>
      </w:pPr>
      <w:r>
        <w:t xml:space="preserve"/>
      </w:r>
    </w:p>
    <w:p>
      <w:pPr>
        <w:spacing w:after="40" w:before="40"/>
      </w:pPr>
      <w:r>
        <w:rPr>
          <w:rFonts w:ascii="Arial" w:cs="Arial" w:eastAsia="Arial" w:hAnsi="Arial"/>
          <w:i/>
          <w:iCs/>
          <w:color w:val="555555"/>
          <w:sz w:val="18"/>
          <w:szCs w:val="18"/>
        </w:rPr>
        <w:t xml:space="preserve">This document reflects current team understanding and assumptions. Open questions should be resolved before engineering kickoff.</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555555"/>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4"/>
      </w:pBdr>
      <w:spacing w:after="100"/>
    </w:pPr>
    <w:r>
      <w:rPr>
        <w:rFonts w:ascii="Arial" w:cs="Arial" w:eastAsia="Arial" w:hAnsi="Arial"/>
        <w:b/>
        <w:bCs/>
        <w:color w:val="1B4F8A"/>
        <w:sz w:val="18"/>
        <w:szCs w:val="18"/>
      </w:rPr>
      <w:t xml:space="preserve">PRD: Benefits Summary Landing Page</w:t>
    </w:r>
    <w:r>
      <w:rPr>
        <w:rFonts w:ascii="Arial" w:cs="Arial" w:eastAsia="Arial" w:hAnsi="Arial"/>
        <w:color w:val="555555"/>
        <w:sz w:val="16"/>
        <w:szCs w:val="16"/>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4F8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E7C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2026-06-07T02:13:35.648Z</dcterms:created>
  <dcterms:modified xsi:type="dcterms:W3CDTF">2026-06-07T02:13:35.648Z</dcterms:modified>
</cp:coreProperties>
</file>

<file path=docProps/custom.xml><?xml version="1.0" encoding="utf-8"?>
<Properties xmlns="http://schemas.openxmlformats.org/officeDocument/2006/custom-properties" xmlns:vt="http://schemas.openxmlformats.org/officeDocument/2006/docPropsVTypes"/>
</file>