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60D81" w14:textId="77777777" w:rsidR="005875D1" w:rsidRDefault="00782CAA">
      <w:pPr>
        <w:pStyle w:val="Title"/>
        <w:jc w:val="center"/>
      </w:pPr>
      <w:r>
        <w:t>Nexus Project Playbook</w:t>
      </w:r>
    </w:p>
    <w:p w14:paraId="39D0C071" w14:textId="77777777" w:rsidR="005875D1" w:rsidRDefault="00782CAA">
      <w:pPr>
        <w:jc w:val="center"/>
      </w:pPr>
      <w:r>
        <w:rPr>
          <w:i/>
          <w:sz w:val="26"/>
        </w:rPr>
        <w:t>Reference Notes for the GenAI Chatbot Capstone (Nexus)</w:t>
      </w:r>
    </w:p>
    <w:p w14:paraId="187379D5" w14:textId="77777777" w:rsidR="005875D1" w:rsidRDefault="00782CAA">
      <w:pPr>
        <w:jc w:val="center"/>
      </w:pPr>
      <w:r>
        <w:rPr>
          <w:sz w:val="20"/>
        </w:rPr>
        <w:t>Prepared for: Sachin Rathi</w:t>
      </w:r>
      <w:r>
        <w:rPr>
          <w:sz w:val="20"/>
        </w:rPr>
        <w:br/>
        <w:t>Maintained as a running reference — updated day by day as the project progresses.</w:t>
      </w:r>
    </w:p>
    <w:p w14:paraId="21159E7F" w14:textId="77777777" w:rsidR="005875D1" w:rsidRDefault="00782CAA">
      <w:r>
        <w:br w:type="page"/>
      </w:r>
    </w:p>
    <w:p w14:paraId="556E37DD" w14:textId="77777777" w:rsidR="005875D1" w:rsidRDefault="00782CAA">
      <w:pPr>
        <w:pStyle w:val="Heading1"/>
      </w:pPr>
      <w:r>
        <w:lastRenderedPageBreak/>
        <w:t>How to Use This Playbook</w:t>
      </w:r>
    </w:p>
    <w:p w14:paraId="00620F4D" w14:textId="77777777" w:rsidR="005875D1" w:rsidRDefault="00782CAA">
      <w:r>
        <w:t>This document is a running reference, not a build log. It captures the concepts, options, and reusable commands discussed while building the Nexus project, organized day by day. It intentionally leaves out specific errors and troubleshooting steps encountered along the way — those are one-time debugging detail, not knowledge worth revising. What's kept here is the kind of thing worth re-reading before starting a similar project again: the menu of options that exists, why one was chosen over another, and the commands that get used repeatedly.</w:t>
      </w:r>
    </w:p>
    <w:p w14:paraId="4CF1B3AB" w14:textId="77777777" w:rsidR="005875D1" w:rsidRDefault="00782CAA">
      <w:r>
        <w:t>Each day's section stands on its own. Later days may revisit or extend a topic from an earlier day — where that happens, it's noted explicitly rather than repeating the whole explanation.</w:t>
      </w:r>
    </w:p>
    <w:p w14:paraId="6F8697E3" w14:textId="77777777" w:rsidR="005875D1" w:rsidRDefault="00782CAA">
      <w:r>
        <w:br w:type="page"/>
      </w:r>
    </w:p>
    <w:p w14:paraId="197DD5DB" w14:textId="77777777" w:rsidR="005875D1" w:rsidRDefault="00782CAA" w:rsidP="0034622D">
      <w:pPr>
        <w:pStyle w:val="Heading1"/>
      </w:pPr>
      <w:r>
        <w:lastRenderedPageBreak/>
        <w:t>Day 1</w:t>
      </w:r>
    </w:p>
    <w:p w14:paraId="0B81E5BD" w14:textId="77777777" w:rsidR="005875D1" w:rsidRDefault="00782CAA">
      <w:r>
        <w:rPr>
          <w:i/>
        </w:rPr>
        <w:t>Topics covered: Git &amp; GitHub fundamentals for a solo project; the landscape of ways to get LLM/embedding access; how enterprises typically choose among them.</w:t>
      </w:r>
    </w:p>
    <w:p w14:paraId="11573976" w14:textId="77777777" w:rsidR="005875D1" w:rsidRDefault="00782CAA">
      <w:pPr>
        <w:pStyle w:val="Heading1"/>
      </w:pPr>
      <w:r>
        <w:t>1. Git &amp; GitHub — Core Workflow for a Solo Project</w:t>
      </w:r>
    </w:p>
    <w:p w14:paraId="5A442760" w14:textId="77777777" w:rsidR="005875D1" w:rsidRDefault="00782CAA">
      <w:pPr>
        <w:pStyle w:val="Heading2"/>
      </w:pPr>
      <w:r>
        <w:t>1.1 Branch Strategy</w:t>
      </w:r>
    </w:p>
    <w:p w14:paraId="03A780F8" w14:textId="77777777" w:rsidR="005875D1" w:rsidRDefault="00782CAA">
      <w:r>
        <w:t>A branch is an independent line of work. Branches do not automatically inherit each other's changes — work only moves from one branch to another via a merge. The common mistake is branching off an outdated branch; the fix is to always branch from the latest version of whatever you're building on top of.</w:t>
      </w:r>
    </w:p>
    <w:tbl>
      <w:tblPr>
        <w:tblStyle w:val="TableGrid"/>
        <w:tblW w:w="0" w:type="auto"/>
        <w:jc w:val="center"/>
        <w:tblLook w:val="04A0" w:firstRow="1" w:lastRow="0" w:firstColumn="1" w:lastColumn="0" w:noHBand="0" w:noVBand="1"/>
      </w:tblPr>
      <w:tblGrid>
        <w:gridCol w:w="2122"/>
        <w:gridCol w:w="6734"/>
      </w:tblGrid>
      <w:tr w:rsidR="005875D1" w14:paraId="18C3CE82" w14:textId="77777777">
        <w:trPr>
          <w:jc w:val="center"/>
        </w:trPr>
        <w:tc>
          <w:tcPr>
            <w:tcW w:w="2160" w:type="dxa"/>
            <w:shd w:val="clear" w:color="auto" w:fill="2F5496"/>
          </w:tcPr>
          <w:p w14:paraId="4C0B5D92" w14:textId="77777777" w:rsidR="005875D1" w:rsidRDefault="00782CAA">
            <w:r>
              <w:rPr>
                <w:b/>
                <w:color w:val="FFFFFF"/>
              </w:rPr>
              <w:t>Branch</w:t>
            </w:r>
          </w:p>
        </w:tc>
        <w:tc>
          <w:tcPr>
            <w:tcW w:w="7200" w:type="dxa"/>
            <w:shd w:val="clear" w:color="auto" w:fill="2F5496"/>
          </w:tcPr>
          <w:p w14:paraId="6B117BB5" w14:textId="77777777" w:rsidR="005875D1" w:rsidRDefault="00782CAA">
            <w:r>
              <w:rPr>
                <w:b/>
                <w:color w:val="FFFFFF"/>
              </w:rPr>
              <w:t>Purpose</w:t>
            </w:r>
          </w:p>
        </w:tc>
      </w:tr>
      <w:tr w:rsidR="005875D1" w14:paraId="361B370F" w14:textId="77777777">
        <w:trPr>
          <w:jc w:val="center"/>
        </w:trPr>
        <w:tc>
          <w:tcPr>
            <w:tcW w:w="2160" w:type="dxa"/>
          </w:tcPr>
          <w:p w14:paraId="2AD61F87" w14:textId="77777777" w:rsidR="005875D1" w:rsidRDefault="00782CAA">
            <w:r>
              <w:t>main</w:t>
            </w:r>
          </w:p>
        </w:tc>
        <w:tc>
          <w:tcPr>
            <w:tcW w:w="7200" w:type="dxa"/>
          </w:tcPr>
          <w:p w14:paraId="738450C3" w14:textId="77777777" w:rsidR="005875D1" w:rsidRDefault="00782CAA">
            <w:r>
              <w:t>Always stable, working code — the closest thing to a "deployed" or milestone version.</w:t>
            </w:r>
          </w:p>
        </w:tc>
      </w:tr>
      <w:tr w:rsidR="005875D1" w14:paraId="44927A0B" w14:textId="77777777">
        <w:trPr>
          <w:jc w:val="center"/>
        </w:trPr>
        <w:tc>
          <w:tcPr>
            <w:tcW w:w="2160" w:type="dxa"/>
          </w:tcPr>
          <w:p w14:paraId="4D1C1BC8" w14:textId="77777777" w:rsidR="005875D1" w:rsidRDefault="00782CAA">
            <w:r>
              <w:t>dev</w:t>
            </w:r>
          </w:p>
        </w:tc>
        <w:tc>
          <w:tcPr>
            <w:tcW w:w="7200" w:type="dxa"/>
          </w:tcPr>
          <w:p w14:paraId="4A629F9F" w14:textId="77777777" w:rsidR="005875D1" w:rsidRDefault="00782CAA">
            <w:r>
              <w:t>Day-to-day active work. Commit and push here regularly; merge into main once a chunk of work is solid.</w:t>
            </w:r>
          </w:p>
        </w:tc>
      </w:tr>
      <w:tr w:rsidR="005875D1" w14:paraId="3B7F3828" w14:textId="77777777">
        <w:trPr>
          <w:jc w:val="center"/>
        </w:trPr>
        <w:tc>
          <w:tcPr>
            <w:tcW w:w="2160" w:type="dxa"/>
          </w:tcPr>
          <w:p w14:paraId="4260C553" w14:textId="77777777" w:rsidR="005875D1" w:rsidRDefault="00782CAA">
            <w:r>
              <w:t>feature/&lt;name&gt;</w:t>
            </w:r>
          </w:p>
        </w:tc>
        <w:tc>
          <w:tcPr>
            <w:tcW w:w="7200" w:type="dxa"/>
          </w:tcPr>
          <w:p w14:paraId="157EC604" w14:textId="77777777" w:rsidR="005875D1" w:rsidRDefault="00782CAA">
            <w:r>
              <w:t>Optional — a short-lived branch for one specific task, merged into dev when done, then deleted. Useful with a team or for isolating risky experiments; not required for solo sequential work.</w:t>
            </w:r>
          </w:p>
        </w:tc>
      </w:tr>
    </w:tbl>
    <w:p w14:paraId="1A9A32EC" w14:textId="77777777" w:rsidR="005875D1" w:rsidRDefault="005875D1"/>
    <w:p w14:paraId="28A039CA" w14:textId="77777777" w:rsidR="005875D1" w:rsidRDefault="00782CAA">
      <w:r>
        <w:t>Decision made for this project: skip feature branches for now. Work directly on dev, and merge dev into main at natural milestones. This avoids unnecessary process overhead for a one-person, sequential build.</w:t>
      </w:r>
    </w:p>
    <w:p w14:paraId="25D5BAC0" w14:textId="77777777" w:rsidR="005875D1" w:rsidRDefault="00782CAA">
      <w:pPr>
        <w:pStyle w:val="Heading2"/>
      </w:pPr>
      <w:r>
        <w:t>1.2 Everyday Commands</w:t>
      </w:r>
    </w:p>
    <w:p w14:paraId="136A0C5A" w14:textId="77777777" w:rsidR="005875D1" w:rsidRDefault="00782CAA">
      <w:pPr>
        <w:pStyle w:val="ListBullet"/>
      </w:pPr>
      <w:r>
        <w:t>Clone an existing GitHub repo to a new machine:</w:t>
      </w:r>
    </w:p>
    <w:p w14:paraId="66689FCD" w14:textId="77777777" w:rsidR="005875D1" w:rsidRDefault="00782CAA">
      <w:pPr>
        <w:shd w:val="clear" w:color="auto" w:fill="F2F2F2"/>
        <w:ind w:left="432"/>
      </w:pPr>
      <w:r>
        <w:rPr>
          <w:rFonts w:ascii="Consolas" w:hAnsi="Consolas"/>
          <w:color w:val="1A1A1A"/>
          <w:sz w:val="20"/>
        </w:rPr>
        <w:t>git clone https://github.com/&lt;user&gt;/&lt;repo&gt;.git</w:t>
      </w:r>
    </w:p>
    <w:p w14:paraId="56C763C6" w14:textId="77777777" w:rsidR="005875D1" w:rsidRDefault="00782CAA">
      <w:pPr>
        <w:pStyle w:val="ListBullet"/>
      </w:pPr>
      <w:r>
        <w:t>Create a new branch and switch to it:</w:t>
      </w:r>
    </w:p>
    <w:p w14:paraId="3A4B76C6" w14:textId="77777777" w:rsidR="005875D1" w:rsidRDefault="00782CAA">
      <w:pPr>
        <w:shd w:val="clear" w:color="auto" w:fill="F2F2F2"/>
        <w:ind w:left="432"/>
      </w:pPr>
      <w:r>
        <w:rPr>
          <w:rFonts w:ascii="Consolas" w:hAnsi="Consolas"/>
          <w:color w:val="1A1A1A"/>
          <w:sz w:val="20"/>
        </w:rPr>
        <w:t>git checkout -b dev</w:t>
      </w:r>
    </w:p>
    <w:p w14:paraId="7C186D95" w14:textId="77777777" w:rsidR="005875D1" w:rsidRDefault="00782CAA">
      <w:pPr>
        <w:pStyle w:val="ListBullet"/>
      </w:pPr>
      <w:r>
        <w:t>Push a new branch to GitHub and link it for future push/pull:</w:t>
      </w:r>
    </w:p>
    <w:p w14:paraId="5030DD4C" w14:textId="77777777" w:rsidR="005875D1" w:rsidRDefault="00782CAA">
      <w:pPr>
        <w:shd w:val="clear" w:color="auto" w:fill="F2F2F2"/>
        <w:ind w:left="432"/>
      </w:pPr>
      <w:r>
        <w:rPr>
          <w:rFonts w:ascii="Consolas" w:hAnsi="Consolas"/>
          <w:color w:val="1A1A1A"/>
          <w:sz w:val="20"/>
        </w:rPr>
        <w:t>git push -u origin dev</w:t>
      </w:r>
    </w:p>
    <w:p w14:paraId="7DA6834C" w14:textId="77777777" w:rsidR="005875D1" w:rsidRDefault="00782CAA">
      <w:pPr>
        <w:pStyle w:val="ListBullet"/>
      </w:pPr>
      <w:r>
        <w:t>Switch between existing branches:</w:t>
      </w:r>
    </w:p>
    <w:p w14:paraId="780800E1" w14:textId="77777777" w:rsidR="005875D1" w:rsidRDefault="00782CAA">
      <w:pPr>
        <w:shd w:val="clear" w:color="auto" w:fill="F2F2F2"/>
        <w:ind w:left="432"/>
      </w:pPr>
      <w:r>
        <w:rPr>
          <w:rFonts w:ascii="Consolas" w:hAnsi="Consolas"/>
          <w:color w:val="1A1A1A"/>
          <w:sz w:val="20"/>
        </w:rPr>
        <w:t>git checkout main</w:t>
      </w:r>
      <w:r>
        <w:br/>
      </w:r>
      <w:r>
        <w:rPr>
          <w:rFonts w:ascii="Consolas" w:hAnsi="Consolas"/>
          <w:color w:val="1A1A1A"/>
          <w:sz w:val="20"/>
        </w:rPr>
        <w:t>git checkout dev</w:t>
      </w:r>
    </w:p>
    <w:p w14:paraId="6616A4C2" w14:textId="77777777" w:rsidR="005875D1" w:rsidRDefault="00782CAA">
      <w:pPr>
        <w:pStyle w:val="ListBullet"/>
      </w:pPr>
      <w:r>
        <w:t>See what changed before staging:</w:t>
      </w:r>
    </w:p>
    <w:p w14:paraId="0DBB8B69" w14:textId="77777777" w:rsidR="005875D1" w:rsidRDefault="00782CAA">
      <w:pPr>
        <w:shd w:val="clear" w:color="auto" w:fill="F2F2F2"/>
        <w:ind w:left="432"/>
      </w:pPr>
      <w:r>
        <w:rPr>
          <w:rFonts w:ascii="Consolas" w:hAnsi="Consolas"/>
          <w:color w:val="1A1A1A"/>
          <w:sz w:val="20"/>
        </w:rPr>
        <w:lastRenderedPageBreak/>
        <w:t>git status</w:t>
      </w:r>
    </w:p>
    <w:p w14:paraId="6EDFE1F4" w14:textId="77777777" w:rsidR="005875D1" w:rsidRDefault="00782CAA">
      <w:pPr>
        <w:pStyle w:val="ListBullet"/>
      </w:pPr>
      <w:r>
        <w:t>Stage, commit, and push changes (covers new files, edits, AND deletions):</w:t>
      </w:r>
    </w:p>
    <w:p w14:paraId="1DEC514B" w14:textId="77777777" w:rsidR="005875D1" w:rsidRDefault="00782CAA">
      <w:pPr>
        <w:shd w:val="clear" w:color="auto" w:fill="F2F2F2"/>
        <w:ind w:left="432"/>
      </w:pPr>
      <w:r>
        <w:rPr>
          <w:rFonts w:ascii="Consolas" w:hAnsi="Consolas"/>
          <w:color w:val="1A1A1A"/>
          <w:sz w:val="20"/>
        </w:rPr>
        <w:t>git add .</w:t>
      </w:r>
      <w:r>
        <w:br/>
      </w:r>
      <w:r>
        <w:rPr>
          <w:rFonts w:ascii="Consolas" w:hAnsi="Consolas"/>
          <w:color w:val="1A1A1A"/>
          <w:sz w:val="20"/>
        </w:rPr>
        <w:t>git commit -m "Describe the change"</w:t>
      </w:r>
      <w:r>
        <w:br/>
      </w:r>
      <w:r>
        <w:rPr>
          <w:rFonts w:ascii="Consolas" w:hAnsi="Consolas"/>
          <w:color w:val="1A1A1A"/>
          <w:sz w:val="20"/>
        </w:rPr>
        <w:t>git push</w:t>
      </w:r>
    </w:p>
    <w:p w14:paraId="0DF76345" w14:textId="77777777" w:rsidR="005875D1" w:rsidRDefault="00782CAA">
      <w:pPr>
        <w:pStyle w:val="ListBullet"/>
      </w:pPr>
      <w:r>
        <w:t>Stage and commit a deletion in one step:</w:t>
      </w:r>
    </w:p>
    <w:p w14:paraId="66A80A4F" w14:textId="77777777" w:rsidR="005875D1" w:rsidRDefault="00782CAA">
      <w:pPr>
        <w:shd w:val="clear" w:color="auto" w:fill="F2F2F2"/>
        <w:ind w:left="432"/>
      </w:pPr>
      <w:r>
        <w:rPr>
          <w:rFonts w:ascii="Consolas" w:hAnsi="Consolas"/>
          <w:color w:val="1A1A1A"/>
          <w:sz w:val="20"/>
        </w:rPr>
        <w:t>git rm filename.txt</w:t>
      </w:r>
      <w:r>
        <w:br/>
      </w:r>
      <w:r>
        <w:rPr>
          <w:rFonts w:ascii="Consolas" w:hAnsi="Consolas"/>
          <w:color w:val="1A1A1A"/>
          <w:sz w:val="20"/>
        </w:rPr>
        <w:t>git commit -m "Remove filename.txt"</w:t>
      </w:r>
      <w:r>
        <w:br/>
      </w:r>
      <w:r>
        <w:rPr>
          <w:rFonts w:ascii="Consolas" w:hAnsi="Consolas"/>
          <w:color w:val="1A1A1A"/>
          <w:sz w:val="20"/>
        </w:rPr>
        <w:t>git push</w:t>
      </w:r>
    </w:p>
    <w:p w14:paraId="57A05409" w14:textId="77777777" w:rsidR="005875D1" w:rsidRDefault="00782CAA">
      <w:pPr>
        <w:pStyle w:val="ListBullet"/>
      </w:pPr>
      <w:r>
        <w:t>Temporarily shelve uncommitted work to look at another branch, then restore it:</w:t>
      </w:r>
    </w:p>
    <w:p w14:paraId="3CC4C738" w14:textId="77777777" w:rsidR="005875D1" w:rsidRDefault="00782CAA">
      <w:pPr>
        <w:shd w:val="clear" w:color="auto" w:fill="F2F2F2"/>
        <w:ind w:left="432"/>
      </w:pPr>
      <w:r>
        <w:rPr>
          <w:rFonts w:ascii="Consolas" w:hAnsi="Consolas"/>
          <w:color w:val="1A1A1A"/>
          <w:sz w:val="20"/>
        </w:rPr>
        <w:t>git stash</w:t>
      </w:r>
      <w:r>
        <w:br/>
      </w:r>
      <w:r>
        <w:rPr>
          <w:rFonts w:ascii="Consolas" w:hAnsi="Consolas"/>
          <w:color w:val="1A1A1A"/>
          <w:sz w:val="20"/>
        </w:rPr>
        <w:t>git checkout main</w:t>
      </w:r>
      <w:r>
        <w:br/>
      </w:r>
      <w:r>
        <w:rPr>
          <w:rFonts w:ascii="Consolas" w:hAnsi="Consolas"/>
          <w:color w:val="1A1A1A"/>
          <w:sz w:val="20"/>
        </w:rPr>
        <w:t>git checkout dev</w:t>
      </w:r>
      <w:r>
        <w:br/>
      </w:r>
      <w:r>
        <w:rPr>
          <w:rFonts w:ascii="Consolas" w:hAnsi="Consolas"/>
          <w:color w:val="1A1A1A"/>
          <w:sz w:val="20"/>
        </w:rPr>
        <w:t>git stash pop</w:t>
      </w:r>
    </w:p>
    <w:p w14:paraId="641B8309" w14:textId="77777777" w:rsidR="005875D1" w:rsidRDefault="00782CAA">
      <w:pPr>
        <w:pStyle w:val="ListBullet"/>
      </w:pPr>
      <w:r>
        <w:t>Merge one branch into another (e.g., bring dev's work into main):</w:t>
      </w:r>
    </w:p>
    <w:p w14:paraId="0E7EEC5B" w14:textId="77777777" w:rsidR="005875D1" w:rsidRDefault="00782CAA">
      <w:pPr>
        <w:shd w:val="clear" w:color="auto" w:fill="F2F2F2"/>
        <w:ind w:left="432"/>
      </w:pPr>
      <w:r>
        <w:rPr>
          <w:rFonts w:ascii="Consolas" w:hAnsi="Consolas"/>
          <w:color w:val="1A1A1A"/>
          <w:sz w:val="20"/>
        </w:rPr>
        <w:t>git checkout main</w:t>
      </w:r>
      <w:r>
        <w:br/>
      </w:r>
      <w:r>
        <w:rPr>
          <w:rFonts w:ascii="Consolas" w:hAnsi="Consolas"/>
          <w:color w:val="1A1A1A"/>
          <w:sz w:val="20"/>
        </w:rPr>
        <w:t>git merge dev</w:t>
      </w:r>
      <w:r>
        <w:br/>
      </w:r>
      <w:r>
        <w:rPr>
          <w:rFonts w:ascii="Consolas" w:hAnsi="Consolas"/>
          <w:color w:val="1A1A1A"/>
          <w:sz w:val="20"/>
        </w:rPr>
        <w:t>git push</w:t>
      </w:r>
    </w:p>
    <w:p w14:paraId="363E0ABE" w14:textId="77777777" w:rsidR="005875D1" w:rsidRDefault="00782CAA">
      <w:pPr>
        <w:pStyle w:val="Heading2"/>
      </w:pPr>
      <w:r>
        <w:t>1.3 Pull Requests (PR) — "Compare &amp; pull request"</w:t>
      </w:r>
    </w:p>
    <w:p w14:paraId="052EF0E5" w14:textId="77777777" w:rsidR="005875D1" w:rsidRDefault="00782CAA">
      <w:r>
        <w:t>GitHub shows a "Compare &amp; pull request" banner whenever a pushed branch has commits that another branch (usually main) doesn't have yet. A Pull Request is a formal proposal to merge one branch into another.</w:t>
      </w:r>
    </w:p>
    <w:p w14:paraId="74DC3ACF" w14:textId="77777777" w:rsidR="005875D1" w:rsidRDefault="00782CAA">
      <w:pPr>
        <w:pStyle w:val="ListBullet"/>
      </w:pPr>
      <w:r>
        <w:t>Compare</w:t>
      </w:r>
    </w:p>
    <w:p w14:paraId="3FC90B30" w14:textId="77777777" w:rsidR="005875D1" w:rsidRDefault="00782CAA">
      <w:r>
        <w:t>Compare: shows the diff between the two branches — exactly what changed — before anything is merged.</w:t>
      </w:r>
    </w:p>
    <w:p w14:paraId="1EBF112C" w14:textId="77777777" w:rsidR="005875D1" w:rsidRDefault="00782CAA">
      <w:r>
        <w:t>Pull Request: the actual proposal to bring those changes in, with a title/description and (in team settings) a place for review before merging.</w:t>
      </w:r>
    </w:p>
    <w:p w14:paraId="23028B92" w14:textId="77777777" w:rsidR="005875D1" w:rsidRDefault="00782CAA">
      <w:r>
        <w:t>Not strictly required for a solo project (a direct git merge works fine), but using PRs anyway has real value: a clear diff view before merging, a permanent history of what shipped when ("Week 1 merged via PR #1"), and practice with the workflow used at most real companies.</w:t>
      </w:r>
    </w:p>
    <w:p w14:paraId="33B11790" w14:textId="77777777" w:rsidR="005875D1" w:rsidRDefault="00782CAA">
      <w:pPr>
        <w:pStyle w:val="Heading2"/>
      </w:pPr>
      <w:r>
        <w:t>1.4 Cloning &amp; Connecting via VS Code</w:t>
      </w:r>
    </w:p>
    <w:p w14:paraId="2BE1B9A5" w14:textId="77777777" w:rsidR="005875D1" w:rsidRDefault="00782CAA">
      <w:r>
        <w:t>VS Code can do everything Git Bash can, through its own UI:</w:t>
      </w:r>
    </w:p>
    <w:p w14:paraId="0D9BA99D" w14:textId="77777777" w:rsidR="005875D1" w:rsidRDefault="00782CAA">
      <w:pPr>
        <w:pStyle w:val="ListBullet"/>
      </w:pPr>
      <w:r>
        <w:lastRenderedPageBreak/>
        <w:t>Command Palette (Ctrl+Shift+P) → "Git: Clone" → pick "Clone from GitHub" or paste a URL → choose a local folder → "Open" the cloned repo.</w:t>
      </w:r>
    </w:p>
    <w:p w14:paraId="27C6A821" w14:textId="77777777" w:rsidR="005875D1" w:rsidRDefault="00782CAA">
      <w:pPr>
        <w:pStyle w:val="ListBullet"/>
      </w:pPr>
      <w:r>
        <w:t>GitHub sign-in: click the Accounts icon (bottom-left) or run "GitHub: Sign in" from the Command Palette. This authorizes VS Code's GitHub-specific features (repo picker, PR/issue browsing).</w:t>
      </w:r>
    </w:p>
    <w:p w14:paraId="0B2CC765" w14:textId="77777777" w:rsidR="005875D1" w:rsidRDefault="00782CAA">
      <w:r>
        <w:t>Important distinction: signing into VS Code's GitHub account is NOT required just to commit/push/pull. The first git push over HTTPS (from either Git Bash or VS Code) triggers a one-time browser authentication via Git Credential Manager, which Windows then caches and both tools share. VS Code's own "Sign in with GitHub" button is only needed for extra integrations (like browsing PRs inside the editor).</w:t>
      </w:r>
    </w:p>
    <w:p w14:paraId="4FEA1328" w14:textId="77777777" w:rsidR="005875D1" w:rsidRDefault="00782CAA">
      <w:r>
        <w:br w:type="page"/>
      </w:r>
    </w:p>
    <w:p w14:paraId="05AB66A0" w14:textId="1289939F" w:rsidR="0034622D" w:rsidRDefault="0034622D">
      <w:pPr>
        <w:pStyle w:val="Heading1"/>
      </w:pPr>
      <w:r>
        <w:lastRenderedPageBreak/>
        <w:t xml:space="preserve">Day </w:t>
      </w:r>
      <w:r>
        <w:t>2</w:t>
      </w:r>
    </w:p>
    <w:p w14:paraId="61EDB87A" w14:textId="4A284351" w:rsidR="005875D1" w:rsidRDefault="00782CAA">
      <w:pPr>
        <w:pStyle w:val="Heading1"/>
      </w:pPr>
      <w:r>
        <w:t>2. Ways to Get LLM / Embedding API Access</w:t>
      </w:r>
    </w:p>
    <w:p w14:paraId="77CAFD14" w14:textId="77777777" w:rsidR="005875D1" w:rsidRDefault="00782CAA">
      <w:r>
        <w:t>There are five broadly distinct paths to get a model answering questions programmatically. They differ mainly in who hosts the model and how you authenticate.</w:t>
      </w:r>
    </w:p>
    <w:tbl>
      <w:tblPr>
        <w:tblStyle w:val="TableGrid"/>
        <w:tblW w:w="0" w:type="auto"/>
        <w:jc w:val="center"/>
        <w:tblLook w:val="04A0" w:firstRow="1" w:lastRow="0" w:firstColumn="1" w:lastColumn="0" w:noHBand="0" w:noVBand="1"/>
      </w:tblPr>
      <w:tblGrid>
        <w:gridCol w:w="475"/>
        <w:gridCol w:w="1808"/>
        <w:gridCol w:w="3630"/>
        <w:gridCol w:w="2943"/>
      </w:tblGrid>
      <w:tr w:rsidR="005875D1" w14:paraId="4FBA2A84" w14:textId="77777777">
        <w:trPr>
          <w:jc w:val="center"/>
        </w:trPr>
        <w:tc>
          <w:tcPr>
            <w:tcW w:w="576" w:type="dxa"/>
            <w:shd w:val="clear" w:color="auto" w:fill="2F5496"/>
          </w:tcPr>
          <w:p w14:paraId="415BE386" w14:textId="77777777" w:rsidR="005875D1" w:rsidRDefault="00782CAA">
            <w:r>
              <w:rPr>
                <w:b/>
                <w:color w:val="FFFFFF"/>
              </w:rPr>
              <w:t>#</w:t>
            </w:r>
          </w:p>
        </w:tc>
        <w:tc>
          <w:tcPr>
            <w:tcW w:w="2160" w:type="dxa"/>
            <w:shd w:val="clear" w:color="auto" w:fill="2F5496"/>
          </w:tcPr>
          <w:p w14:paraId="7D345DDF" w14:textId="77777777" w:rsidR="005875D1" w:rsidRDefault="00782CAA">
            <w:r>
              <w:rPr>
                <w:b/>
                <w:color w:val="FFFFFF"/>
              </w:rPr>
              <w:t>Path</w:t>
            </w:r>
          </w:p>
        </w:tc>
        <w:tc>
          <w:tcPr>
            <w:tcW w:w="5184" w:type="dxa"/>
            <w:shd w:val="clear" w:color="auto" w:fill="2F5496"/>
          </w:tcPr>
          <w:p w14:paraId="5D023E2E" w14:textId="77777777" w:rsidR="005875D1" w:rsidRDefault="00782CAA">
            <w:r>
              <w:rPr>
                <w:b/>
                <w:color w:val="FFFFFF"/>
              </w:rPr>
              <w:t>How it works</w:t>
            </w:r>
          </w:p>
        </w:tc>
        <w:tc>
          <w:tcPr>
            <w:tcW w:w="3600" w:type="dxa"/>
            <w:shd w:val="clear" w:color="auto" w:fill="2F5496"/>
          </w:tcPr>
          <w:p w14:paraId="3A184274" w14:textId="77777777" w:rsidR="005875D1" w:rsidRDefault="00782CAA">
            <w:r>
              <w:rPr>
                <w:b/>
                <w:color w:val="FFFFFF"/>
              </w:rPr>
              <w:t>Key characteristic</w:t>
            </w:r>
          </w:p>
        </w:tc>
      </w:tr>
      <w:tr w:rsidR="005875D1" w14:paraId="12E045B2" w14:textId="77777777">
        <w:trPr>
          <w:jc w:val="center"/>
        </w:trPr>
        <w:tc>
          <w:tcPr>
            <w:tcW w:w="576" w:type="dxa"/>
          </w:tcPr>
          <w:p w14:paraId="33FDE3A5" w14:textId="77777777" w:rsidR="005875D1" w:rsidRDefault="00782CAA">
            <w:r>
              <w:t>1</w:t>
            </w:r>
          </w:p>
        </w:tc>
        <w:tc>
          <w:tcPr>
            <w:tcW w:w="2160" w:type="dxa"/>
          </w:tcPr>
          <w:p w14:paraId="2E12F4AE" w14:textId="77777777" w:rsidR="005875D1" w:rsidRDefault="00782CAA">
            <w:r>
              <w:t>Self-hosted open-source</w:t>
            </w:r>
          </w:p>
        </w:tc>
        <w:tc>
          <w:tcPr>
            <w:tcW w:w="5184" w:type="dxa"/>
          </w:tcPr>
          <w:p w14:paraId="2841727B" w14:textId="77777777" w:rsidR="005875D1" w:rsidRDefault="00782CAA">
            <w:r>
              <w:t>Download open-weight models (Llama, Mistral, Qwen, etc.) and run them yourself via tools like Ollama, llama.cpp, or Hugging Face's transformers library.</w:t>
            </w:r>
          </w:p>
        </w:tc>
        <w:tc>
          <w:tcPr>
            <w:tcW w:w="3600" w:type="dxa"/>
          </w:tcPr>
          <w:p w14:paraId="71D1A628" w14:textId="77777777" w:rsidR="005875D1" w:rsidRDefault="00782CAA">
            <w:r>
              <w:t>No API key at all — you are the server. Needs real GPU hardware for good speed/quality; a laptop with 8GB RAM struggles even with small (1-3B parameter) models.</w:t>
            </w:r>
          </w:p>
        </w:tc>
      </w:tr>
      <w:tr w:rsidR="005875D1" w14:paraId="64395537" w14:textId="77777777">
        <w:trPr>
          <w:jc w:val="center"/>
        </w:trPr>
        <w:tc>
          <w:tcPr>
            <w:tcW w:w="576" w:type="dxa"/>
          </w:tcPr>
          <w:p w14:paraId="40DE6633" w14:textId="77777777" w:rsidR="005875D1" w:rsidRDefault="00782CAA">
            <w:r>
              <w:t>2</w:t>
            </w:r>
          </w:p>
        </w:tc>
        <w:tc>
          <w:tcPr>
            <w:tcW w:w="2160" w:type="dxa"/>
          </w:tcPr>
          <w:p w14:paraId="2F0396A2" w14:textId="77777777" w:rsidR="005875D1" w:rsidRDefault="00782CAA">
            <w:r>
              <w:t>Hugging Face Inference API / Endpoints</w:t>
            </w:r>
          </w:p>
        </w:tc>
        <w:tc>
          <w:tcPr>
            <w:tcW w:w="5184" w:type="dxa"/>
          </w:tcPr>
          <w:p w14:paraId="37B6921A" w14:textId="77777777" w:rsidR="005875D1" w:rsidRDefault="00782CAA">
            <w:r>
              <w:t>Hugging Face hosts open models for you; you call them over HTTP with an HF-issued API key. Paid "Inference Endpoints" rent dedicated hosting for a specific model.</w:t>
            </w:r>
          </w:p>
        </w:tc>
        <w:tc>
          <w:tcPr>
            <w:tcW w:w="3600" w:type="dxa"/>
          </w:tcPr>
          <w:p w14:paraId="720FD3B2" w14:textId="77777777" w:rsidR="005875D1" w:rsidRDefault="00782CAA">
            <w:r>
              <w:t>Open-weight models, but hosted by someone else — no local GPU needed.</w:t>
            </w:r>
          </w:p>
        </w:tc>
      </w:tr>
      <w:tr w:rsidR="005875D1" w14:paraId="3CBB2D37" w14:textId="77777777">
        <w:trPr>
          <w:jc w:val="center"/>
        </w:trPr>
        <w:tc>
          <w:tcPr>
            <w:tcW w:w="576" w:type="dxa"/>
          </w:tcPr>
          <w:p w14:paraId="0686FB12" w14:textId="77777777" w:rsidR="005875D1" w:rsidRDefault="00782CAA">
            <w:r>
              <w:t>3</w:t>
            </w:r>
          </w:p>
        </w:tc>
        <w:tc>
          <w:tcPr>
            <w:tcW w:w="2160" w:type="dxa"/>
          </w:tcPr>
          <w:p w14:paraId="035A9E16" w14:textId="77777777" w:rsidR="005875D1" w:rsidRDefault="00782CAA">
            <w:r>
              <w:t>Direct proprietary provider API</w:t>
            </w:r>
          </w:p>
        </w:tc>
        <w:tc>
          <w:tcPr>
            <w:tcW w:w="5184" w:type="dxa"/>
          </w:tcPr>
          <w:p w14:paraId="466F5C7A" w14:textId="77777777" w:rsidR="005875D1" w:rsidRDefault="00782CAA">
            <w:r>
              <w:t>Go straight to the model maker: Anthropic (Claude), OpenAI (GPT), Google (Gemini/AI Studio), Mistral, etc. Each has its own console, own key, own billing.</w:t>
            </w:r>
          </w:p>
        </w:tc>
        <w:tc>
          <w:tcPr>
            <w:tcW w:w="3600" w:type="dxa"/>
          </w:tcPr>
          <w:p w14:paraId="393B8DC9" w14:textId="77777777" w:rsidR="005875D1" w:rsidRDefault="00782CAA">
            <w:r>
              <w:t>Simplest path for an individual developer — one signup, fast to start.</w:t>
            </w:r>
          </w:p>
        </w:tc>
      </w:tr>
      <w:tr w:rsidR="005875D1" w14:paraId="3450FA5F" w14:textId="77777777">
        <w:trPr>
          <w:jc w:val="center"/>
        </w:trPr>
        <w:tc>
          <w:tcPr>
            <w:tcW w:w="576" w:type="dxa"/>
          </w:tcPr>
          <w:p w14:paraId="73C25E9C" w14:textId="77777777" w:rsidR="005875D1" w:rsidRDefault="00782CAA">
            <w:r>
              <w:t>4</w:t>
            </w:r>
          </w:p>
        </w:tc>
        <w:tc>
          <w:tcPr>
            <w:tcW w:w="2160" w:type="dxa"/>
          </w:tcPr>
          <w:p w14:paraId="02B47964" w14:textId="77777777" w:rsidR="005875D1" w:rsidRDefault="00782CAA">
            <w:r>
              <w:t>Cloud platform gateway</w:t>
            </w:r>
          </w:p>
        </w:tc>
        <w:tc>
          <w:tcPr>
            <w:tcW w:w="5184" w:type="dxa"/>
          </w:tcPr>
          <w:p w14:paraId="60A1A866" w14:textId="77777777" w:rsidR="005875D1" w:rsidRDefault="00782CAA">
            <w:r>
              <w:t>The cloud provider re-sells access to multiple model providers (proprietary and open) through one unified service, billed via the existing cloud account. Examples: AWS Bedrock, Azure OpenAI Service, Google Vertex AI.</w:t>
            </w:r>
          </w:p>
        </w:tc>
        <w:tc>
          <w:tcPr>
            <w:tcW w:w="3600" w:type="dxa"/>
          </w:tcPr>
          <w:p w14:paraId="34C63E4E" w14:textId="77777777" w:rsidR="005875D1" w:rsidRDefault="00782CAA">
            <w:r>
              <w:t>Authenticates via cloud IAM credentials (not a simple copy-paste key by default). This is what most enterprises actually use — see Section 3.</w:t>
            </w:r>
          </w:p>
        </w:tc>
      </w:tr>
      <w:tr w:rsidR="005875D1" w14:paraId="73A0ECE3" w14:textId="77777777">
        <w:trPr>
          <w:jc w:val="center"/>
        </w:trPr>
        <w:tc>
          <w:tcPr>
            <w:tcW w:w="576" w:type="dxa"/>
          </w:tcPr>
          <w:p w14:paraId="21A1E5A8" w14:textId="77777777" w:rsidR="005875D1" w:rsidRDefault="00782CAA">
            <w:r>
              <w:t>5</w:t>
            </w:r>
          </w:p>
        </w:tc>
        <w:tc>
          <w:tcPr>
            <w:tcW w:w="2160" w:type="dxa"/>
          </w:tcPr>
          <w:p w14:paraId="5AF41B06" w14:textId="77777777" w:rsidR="005875D1" w:rsidRDefault="00782CAA">
            <w:r>
              <w:t>Aggregators / routers</w:t>
            </w:r>
          </w:p>
        </w:tc>
        <w:tc>
          <w:tcPr>
            <w:tcW w:w="5184" w:type="dxa"/>
          </w:tcPr>
          <w:p w14:paraId="61BD8979" w14:textId="77777777" w:rsidR="005875D1" w:rsidRDefault="00782CAA">
            <w:r>
              <w:t>Third-party services like OpenRouter, Together AI, Groq, Fireworks AI give one API key and one unified endpoint that can call dozens of different models, open and proprietary.</w:t>
            </w:r>
          </w:p>
        </w:tc>
        <w:tc>
          <w:tcPr>
            <w:tcW w:w="3600" w:type="dxa"/>
          </w:tcPr>
          <w:p w14:paraId="3F4FCE0F" w14:textId="77777777" w:rsidR="005875D1" w:rsidRDefault="00782CAA">
            <w:r>
              <w:t>Great for fast prototyping/model-swapping; not typically approved for enterprise production use since it adds an extra unmanaged vendor in the data path.</w:t>
            </w:r>
          </w:p>
        </w:tc>
      </w:tr>
    </w:tbl>
    <w:p w14:paraId="7FACBFB1" w14:textId="77777777" w:rsidR="005875D1" w:rsidRDefault="005875D1"/>
    <w:p w14:paraId="2142D3A0" w14:textId="77777777" w:rsidR="005875D1" w:rsidRDefault="00782CAA">
      <w:pPr>
        <w:pStyle w:val="Heading1"/>
      </w:pPr>
      <w:r>
        <w:t>3. The Enterprise Angle — Why Cloud Gateways Dominate</w:t>
      </w:r>
    </w:p>
    <w:p w14:paraId="1BBD7160" w14:textId="77777777" w:rsidR="005875D1" w:rsidRDefault="00782CAA">
      <w:r>
        <w:t>As a Solution Architect would weigh it, enterprises overwhelmingly choose path #4 (cloud gateways) for production, for reasons beyond "which model is smartest":</w:t>
      </w:r>
    </w:p>
    <w:p w14:paraId="4DB337F5" w14:textId="77777777" w:rsidR="005875D1" w:rsidRDefault="00782CAA">
      <w:pPr>
        <w:pStyle w:val="ListBullet"/>
      </w:pPr>
      <w:r>
        <w:lastRenderedPageBreak/>
        <w:t>Procurement/billing: LLM spend flows through the existing cloud contract, not a brand-new vendor relationship needing its own legal/security review.</w:t>
      </w:r>
    </w:p>
    <w:p w14:paraId="6F7681CD" w14:textId="77777777" w:rsidR="005875D1" w:rsidRDefault="00782CAA">
      <w:pPr>
        <w:pStyle w:val="ListBullet"/>
      </w:pPr>
      <w:r>
        <w:t>Data governance: traffic stays inside the enterprise's cloud account/VPC boundary — important for compliance (SOC2, HIPAA, data residency). A direct call to a third-party API from a regulated workload is often a blocker; the same model via Bedrock/Azure OpenAI, inside the org's own cloud account, usually isn't.</w:t>
      </w:r>
    </w:p>
    <w:p w14:paraId="305E8079" w14:textId="77777777" w:rsidR="005875D1" w:rsidRDefault="00782CAA">
      <w:pPr>
        <w:pStyle w:val="ListBullet"/>
      </w:pPr>
      <w:r>
        <w:t>IAM-based auth instead of floating API keys: access is controlled by roles and policies, not a key that can leak in a repo or chat message.</w:t>
      </w:r>
    </w:p>
    <w:p w14:paraId="3473641F" w14:textId="77777777" w:rsidR="005875D1" w:rsidRDefault="00782CAA">
      <w:pPr>
        <w:pStyle w:val="ListBullet"/>
      </w:pPr>
      <w:r>
        <w:t>One vendor relationship, many models: switching from Claude to Llama to Titan is a config change, not a new contract.</w:t>
      </w:r>
    </w:p>
    <w:p w14:paraId="49D4BBA6" w14:textId="77777777" w:rsidR="005875D1" w:rsidRDefault="00782CAA">
      <w:pPr>
        <w:pStyle w:val="Heading2"/>
      </w:pPr>
      <w:r>
        <w:t>3.1 Which Cloud Gateway, and Who They Bundle</w:t>
      </w:r>
    </w:p>
    <w:tbl>
      <w:tblPr>
        <w:tblStyle w:val="TableGrid"/>
        <w:tblW w:w="0" w:type="auto"/>
        <w:jc w:val="center"/>
        <w:tblLook w:val="04A0" w:firstRow="1" w:lastRow="0" w:firstColumn="1" w:lastColumn="0" w:noHBand="0" w:noVBand="1"/>
      </w:tblPr>
      <w:tblGrid>
        <w:gridCol w:w="1758"/>
        <w:gridCol w:w="3264"/>
        <w:gridCol w:w="3834"/>
      </w:tblGrid>
      <w:tr w:rsidR="005875D1" w14:paraId="4D9CD5EE" w14:textId="77777777">
        <w:trPr>
          <w:jc w:val="center"/>
        </w:trPr>
        <w:tc>
          <w:tcPr>
            <w:tcW w:w="2016" w:type="dxa"/>
            <w:shd w:val="clear" w:color="auto" w:fill="2F5496"/>
          </w:tcPr>
          <w:p w14:paraId="012FA69A" w14:textId="77777777" w:rsidR="005875D1" w:rsidRDefault="00782CAA">
            <w:r>
              <w:rPr>
                <w:b/>
                <w:color w:val="FFFFFF"/>
              </w:rPr>
              <w:t>Cloud Gateway</w:t>
            </w:r>
          </w:p>
        </w:tc>
        <w:tc>
          <w:tcPr>
            <w:tcW w:w="4032" w:type="dxa"/>
            <w:shd w:val="clear" w:color="auto" w:fill="2F5496"/>
          </w:tcPr>
          <w:p w14:paraId="1C170683" w14:textId="77777777" w:rsidR="005875D1" w:rsidRDefault="00782CAA">
            <w:r>
              <w:rPr>
                <w:b/>
                <w:color w:val="FFFFFF"/>
              </w:rPr>
              <w:t>Typically chosen when...</w:t>
            </w:r>
          </w:p>
        </w:tc>
        <w:tc>
          <w:tcPr>
            <w:tcW w:w="4752" w:type="dxa"/>
            <w:shd w:val="clear" w:color="auto" w:fill="2F5496"/>
          </w:tcPr>
          <w:p w14:paraId="3A619BA5" w14:textId="77777777" w:rsidR="005875D1" w:rsidRDefault="00782CAA">
            <w:r>
              <w:rPr>
                <w:b/>
                <w:color w:val="FFFFFF"/>
              </w:rPr>
              <w:t>Notable models bundled</w:t>
            </w:r>
          </w:p>
        </w:tc>
      </w:tr>
      <w:tr w:rsidR="005875D1" w14:paraId="67417C18" w14:textId="77777777">
        <w:trPr>
          <w:jc w:val="center"/>
        </w:trPr>
        <w:tc>
          <w:tcPr>
            <w:tcW w:w="2016" w:type="dxa"/>
          </w:tcPr>
          <w:p w14:paraId="14C7EA79" w14:textId="77777777" w:rsidR="005875D1" w:rsidRDefault="00782CAA">
            <w:r>
              <w:t>AWS Bedrock</w:t>
            </w:r>
          </w:p>
        </w:tc>
        <w:tc>
          <w:tcPr>
            <w:tcW w:w="4032" w:type="dxa"/>
          </w:tcPr>
          <w:p w14:paraId="547AE3B8" w14:textId="77777777" w:rsidR="005875D1" w:rsidRDefault="00782CAA">
            <w:r>
              <w:t>The org is already AWS-native.</w:t>
            </w:r>
          </w:p>
        </w:tc>
        <w:tc>
          <w:tcPr>
            <w:tcW w:w="4752" w:type="dxa"/>
          </w:tcPr>
          <w:p w14:paraId="097EF9CA" w14:textId="77777777" w:rsidR="005875D1" w:rsidRDefault="00782CAA">
            <w:r>
              <w:t>Anthropic Claude, Meta Llama, Amazon Titan/Nova (Amazon's own), Mistral, Cohere, AI21 Labs (Jamba).</w:t>
            </w:r>
          </w:p>
        </w:tc>
      </w:tr>
      <w:tr w:rsidR="005875D1" w14:paraId="74D25B6A" w14:textId="77777777">
        <w:trPr>
          <w:jc w:val="center"/>
        </w:trPr>
        <w:tc>
          <w:tcPr>
            <w:tcW w:w="2016" w:type="dxa"/>
          </w:tcPr>
          <w:p w14:paraId="56428A05" w14:textId="77777777" w:rsidR="005875D1" w:rsidRDefault="00782CAA">
            <w:r>
              <w:t>Azure OpenAI Service</w:t>
            </w:r>
          </w:p>
        </w:tc>
        <w:tc>
          <w:tcPr>
            <w:tcW w:w="4032" w:type="dxa"/>
          </w:tcPr>
          <w:p w14:paraId="51B5D1D5" w14:textId="77777777" w:rsidR="005875D1" w:rsidRDefault="00782CAA">
            <w:r>
              <w:t>The org is a Microsoft shop (O365, Entra ID, existing Azure spend). Despite the name, now offers more than just OpenAI's models too.</w:t>
            </w:r>
          </w:p>
        </w:tc>
        <w:tc>
          <w:tcPr>
            <w:tcW w:w="4752" w:type="dxa"/>
          </w:tcPr>
          <w:p w14:paraId="473FC76C" w14:textId="77777777" w:rsidR="005875D1" w:rsidRDefault="00782CAA">
            <w:r>
              <w:t>OpenAI's GPT family primarily; expanding to other partner models.</w:t>
            </w:r>
          </w:p>
        </w:tc>
      </w:tr>
      <w:tr w:rsidR="005875D1" w14:paraId="7D51095E" w14:textId="77777777">
        <w:trPr>
          <w:jc w:val="center"/>
        </w:trPr>
        <w:tc>
          <w:tcPr>
            <w:tcW w:w="2016" w:type="dxa"/>
          </w:tcPr>
          <w:p w14:paraId="4509E1E6" w14:textId="77777777" w:rsidR="005875D1" w:rsidRDefault="00782CAA">
            <w:r>
              <w:t>Google Vertex AI</w:t>
            </w:r>
          </w:p>
        </w:tc>
        <w:tc>
          <w:tcPr>
            <w:tcW w:w="4032" w:type="dxa"/>
          </w:tcPr>
          <w:p w14:paraId="272C2014" w14:textId="77777777" w:rsidR="005875D1" w:rsidRDefault="00782CAA">
            <w:r>
              <w:t>The org is GCP-native.</w:t>
            </w:r>
          </w:p>
        </w:tc>
        <w:tc>
          <w:tcPr>
            <w:tcW w:w="4752" w:type="dxa"/>
          </w:tcPr>
          <w:p w14:paraId="62D76BD7" w14:textId="77777777" w:rsidR="005875D1" w:rsidRDefault="00782CAA">
            <w:r>
              <w:t>Google's own Gemini family plus select third-party/open models.</w:t>
            </w:r>
          </w:p>
        </w:tc>
      </w:tr>
    </w:tbl>
    <w:p w14:paraId="28E15B6D" w14:textId="77777777" w:rsidR="005875D1" w:rsidRDefault="005875D1"/>
    <w:p w14:paraId="687D3D3C" w14:textId="77777777" w:rsidR="005875D1" w:rsidRDefault="00782CAA">
      <w:r>
        <w:t>For this project: AWS Bedrock was the natural starting choice since the AWS account already existed — directly transferable, real-world-relevant knowledge (IAM-based model access, multi-model flexibility).</w:t>
      </w:r>
    </w:p>
    <w:p w14:paraId="27A3226E" w14:textId="77777777" w:rsidR="005875D1" w:rsidRDefault="00782CAA">
      <w:pPr>
        <w:pStyle w:val="Heading2"/>
      </w:pPr>
      <w:r>
        <w:t>3.2 A Notable Gap: Anthropic Has No First-Party Embeddings</w:t>
      </w:r>
    </w:p>
    <w:p w14:paraId="386CA490" w14:textId="77777777" w:rsidR="005875D1" w:rsidRDefault="00782CAA">
      <w:r>
        <w:t>Anthropic offers Claude (the LLM) but does not offer its own embeddings model or API. Anthropic's own documentation points developers to a third-party embeddings provider instead — most commonly Voyage AI (a close Anthropic partner), or alternatives like Cohere or OpenAI's embeddings.</w:t>
      </w:r>
    </w:p>
    <w:p w14:paraId="3AF1F08B" w14:textId="77777777" w:rsidR="005875D1" w:rsidRDefault="00782CAA">
      <w:r>
        <w:t>Practical implication: choosing Claude as the LLM means a second provider/key is needed just for the RAG vector-search half of the system. OpenAI, by contrast, offers both an LLM and its own embeddings model (text-embedding-3-small/large) under one account — simpler if using OpenAI directly. AWS Bedrock sidesteps this by bundling Amazon's own Titan Embeddings alongside Claude, Titan Text, etc., all under one Bedrock account.</w:t>
      </w:r>
    </w:p>
    <w:p w14:paraId="6EA5E23B" w14:textId="77777777" w:rsidR="005875D1" w:rsidRDefault="00782CAA">
      <w:pPr>
        <w:pStyle w:val="Heading2"/>
      </w:pPr>
      <w:r>
        <w:lastRenderedPageBreak/>
        <w:t>3.3 Security Principle: Root vs. IAM User, and "Blast Radius"</w:t>
      </w:r>
    </w:p>
    <w:p w14:paraId="6CE4D430" w14:textId="77777777" w:rsidR="005875D1" w:rsidRDefault="00782CAA">
      <w:r>
        <w:t>Never use a cloud account's root/master login for day-to-day work like generating API credentials. Create a dedicated IAM user (or IAM Identity Center user) scoped to only what's needed (e.g., Bedrock actions), and do routine work as that user instead.</w:t>
      </w:r>
    </w:p>
    <w:p w14:paraId="21AD1EDD" w14:textId="77777777" w:rsidR="005875D1" w:rsidRDefault="00782CAA">
      <w:r>
        <w:t>"Blast radius" is the term for how much damage is possible if a credential is compromised or something goes wrong — not how likely it is to happen, but how far the damage would spread. Root credentials leaking exposes the entire account (billing, all services, ability to delete everything). An IAM user scoped to one service exposes only that service if its credentials leak. Designing systems (and permissions) so failures stay contained is a core architecture habit, not just a credentials rule.</w:t>
      </w:r>
    </w:p>
    <w:p w14:paraId="0985CDA5" w14:textId="77777777" w:rsidR="005875D1" w:rsidRDefault="00782CAA">
      <w:r>
        <w:br w:type="page"/>
      </w:r>
    </w:p>
    <w:p w14:paraId="6D2EDFBF" w14:textId="77777777" w:rsidR="005875D1" w:rsidRDefault="00782CAA">
      <w:pPr>
        <w:pStyle w:val="Title"/>
        <w:jc w:val="center"/>
      </w:pPr>
      <w:r>
        <w:lastRenderedPageBreak/>
        <w:t>Day 2</w:t>
      </w:r>
    </w:p>
    <w:p w14:paraId="3A4A940E" w14:textId="77777777" w:rsidR="005875D1" w:rsidRDefault="00782CAA">
      <w:r>
        <w:rPr>
          <w:i/>
        </w:rPr>
        <w:t>Topics covered: Actually acquiring a working LLM + embedding key; the general process for both AWS Bedrock and Google AI Studio; Python project environment setup.</w:t>
      </w:r>
    </w:p>
    <w:p w14:paraId="5A1EA5B1" w14:textId="77777777" w:rsidR="005875D1" w:rsidRDefault="00782CAA">
      <w:pPr>
        <w:pStyle w:val="Heading1"/>
      </w:pPr>
      <w:r>
        <w:t>1. AWS Bedrock — General Setup Process</w:t>
      </w:r>
    </w:p>
    <w:p w14:paraId="64C75183" w14:textId="77777777" w:rsidR="005875D1" w:rsidRDefault="00782CAA">
      <w:r>
        <w:t>Bedrock does not hand out a single copy-paste key by default; access is authenticated through the cloud account's own credential system. General steps, done as an IAM user (not root):</w:t>
      </w:r>
    </w:p>
    <w:p w14:paraId="4D8F031A" w14:textId="77777777" w:rsidR="005875D1" w:rsidRDefault="00782CAA">
      <w:pPr>
        <w:pStyle w:val="ListBullet"/>
      </w:pPr>
      <w:r>
        <w:t>Attach a Bedrock-scoped policy to the IAM user, e.g. the AWS-managed AmazonBedrockFullAccess (fine for learning; in production, a custom policy scoped to only the specific actions/models needed is preferred).</w:t>
      </w:r>
    </w:p>
    <w:p w14:paraId="0276E799" w14:textId="77777777" w:rsidR="005875D1" w:rsidRDefault="00782CAA">
      <w:pPr>
        <w:pStyle w:val="ListBullet"/>
      </w:pPr>
      <w:r>
        <w:t>Bedrock's "Model catalog" lists every available model across providers, filterable by provider name.</w:t>
      </w:r>
    </w:p>
    <w:p w14:paraId="269F8252" w14:textId="77777777" w:rsidR="005875D1" w:rsidRDefault="00782CAA">
      <w:pPr>
        <w:pStyle w:val="ListBullet"/>
      </w:pPr>
      <w:r>
        <w:t>Amazon's own serverless models (Titan, Nova) are enabled automatically the first time they're invoked — no manual approval step. AWS has retired the old manual "Model access" approval page for this reason.</w:t>
      </w:r>
    </w:p>
    <w:p w14:paraId="50573DEF" w14:textId="77777777" w:rsidR="005875D1" w:rsidRDefault="00782CAA">
      <w:pPr>
        <w:pStyle w:val="ListBullet"/>
      </w:pPr>
      <w:r>
        <w:t>Anthropic's models (Claude) still require a one-time "use case details" form per AWS account before first use, since they're provisioned through AWS Marketplace behind the scenes. This can occasionally fail with an authorization error on brand-new or low-activity accounts — usually resolved by AWS's own account verification process (can take anywhere from under 2 hours to needing a support case), and is unrelated to anything mis-configured locally.</w:t>
      </w:r>
    </w:p>
    <w:p w14:paraId="3DEFE8DE" w14:textId="77777777" w:rsidR="005875D1" w:rsidRDefault="00782CAA">
      <w:pPr>
        <w:pStyle w:val="Heading2"/>
      </w:pPr>
      <w:r>
        <w:t>1.1 Generating Credentials — Two Options</w:t>
      </w:r>
    </w:p>
    <w:tbl>
      <w:tblPr>
        <w:tblStyle w:val="TableGrid"/>
        <w:tblW w:w="0" w:type="auto"/>
        <w:jc w:val="center"/>
        <w:tblLook w:val="04A0" w:firstRow="1" w:lastRow="0" w:firstColumn="1" w:lastColumn="0" w:noHBand="0" w:noVBand="1"/>
      </w:tblPr>
      <w:tblGrid>
        <w:gridCol w:w="2105"/>
        <w:gridCol w:w="4450"/>
        <w:gridCol w:w="2301"/>
      </w:tblGrid>
      <w:tr w:rsidR="005875D1" w14:paraId="3D5797EA" w14:textId="77777777">
        <w:trPr>
          <w:jc w:val="center"/>
        </w:trPr>
        <w:tc>
          <w:tcPr>
            <w:tcW w:w="2592" w:type="dxa"/>
            <w:shd w:val="clear" w:color="auto" w:fill="2F5496"/>
          </w:tcPr>
          <w:p w14:paraId="37C56DD5" w14:textId="77777777" w:rsidR="005875D1" w:rsidRDefault="00782CAA">
            <w:r>
              <w:rPr>
                <w:b/>
                <w:color w:val="FFFFFF"/>
              </w:rPr>
              <w:t>Option</w:t>
            </w:r>
          </w:p>
        </w:tc>
        <w:tc>
          <w:tcPr>
            <w:tcW w:w="5760" w:type="dxa"/>
            <w:shd w:val="clear" w:color="auto" w:fill="2F5496"/>
          </w:tcPr>
          <w:p w14:paraId="2C134E69" w14:textId="77777777" w:rsidR="005875D1" w:rsidRDefault="00782CAA">
            <w:r>
              <w:rPr>
                <w:b/>
                <w:color w:val="FFFFFF"/>
              </w:rPr>
              <w:t>What it is</w:t>
            </w:r>
          </w:p>
        </w:tc>
        <w:tc>
          <w:tcPr>
            <w:tcW w:w="2448" w:type="dxa"/>
            <w:shd w:val="clear" w:color="auto" w:fill="2F5496"/>
          </w:tcPr>
          <w:p w14:paraId="7BB3D74D" w14:textId="77777777" w:rsidR="005875D1" w:rsidRDefault="00782CAA">
            <w:r>
              <w:rPr>
                <w:b/>
                <w:color w:val="FFFFFF"/>
              </w:rPr>
              <w:t>When to use</w:t>
            </w:r>
          </w:p>
        </w:tc>
      </w:tr>
      <w:tr w:rsidR="005875D1" w14:paraId="5DDAFB87" w14:textId="77777777">
        <w:trPr>
          <w:jc w:val="center"/>
        </w:trPr>
        <w:tc>
          <w:tcPr>
            <w:tcW w:w="2592" w:type="dxa"/>
          </w:tcPr>
          <w:p w14:paraId="646BB80F" w14:textId="77777777" w:rsidR="005875D1" w:rsidRDefault="00782CAA">
            <w:r>
              <w:t>IAM Access Key + Secret Key</w:t>
            </w:r>
          </w:p>
        </w:tc>
        <w:tc>
          <w:tcPr>
            <w:tcW w:w="5760" w:type="dxa"/>
          </w:tcPr>
          <w:p w14:paraId="1380FF4E" w14:textId="77777777" w:rsidR="005875D1" w:rsidRDefault="00782CAA">
            <w:r>
              <w:t>Standard AWS credential pair, generated from IAM → Users → [user] → Security credentials → Create access key. Works with the AWS SDK (boto3) and LangChain's AWS integrations everywhere.</w:t>
            </w:r>
          </w:p>
        </w:tc>
        <w:tc>
          <w:tcPr>
            <w:tcW w:w="2448" w:type="dxa"/>
          </w:tcPr>
          <w:p w14:paraId="56CEFD5F" w14:textId="77777777" w:rsidR="005875D1" w:rsidRDefault="00782CAA">
            <w:r>
              <w:t>Recommended default — this is what most LangChain/Bedrock integrations expect.</w:t>
            </w:r>
          </w:p>
        </w:tc>
      </w:tr>
      <w:tr w:rsidR="005875D1" w14:paraId="1311155C" w14:textId="77777777">
        <w:trPr>
          <w:jc w:val="center"/>
        </w:trPr>
        <w:tc>
          <w:tcPr>
            <w:tcW w:w="2592" w:type="dxa"/>
          </w:tcPr>
          <w:p w14:paraId="34F057F7" w14:textId="77777777" w:rsidR="005875D1" w:rsidRDefault="00782CAA">
            <w:r>
              <w:t>Bedrock API key</w:t>
            </w:r>
          </w:p>
        </w:tc>
        <w:tc>
          <w:tcPr>
            <w:tcW w:w="5760" w:type="dxa"/>
          </w:tcPr>
          <w:p w14:paraId="036B641E" w14:textId="77777777" w:rsidR="005875D1" w:rsidRDefault="00782CAA">
            <w:r>
              <w:t>A newer, simpler bearer-token-style key generated directly from the Bedrock console (Bedrock → API keys), scoped to the current IAM identity's permissions.</w:t>
            </w:r>
          </w:p>
        </w:tc>
        <w:tc>
          <w:tcPr>
            <w:tcW w:w="2448" w:type="dxa"/>
          </w:tcPr>
          <w:p w14:paraId="49EC8E04" w14:textId="77777777" w:rsidR="005875D1" w:rsidRDefault="00782CAA">
            <w:r>
              <w:t>Good for a very quick start or simple scripts; less standard for LangChain integrations.</w:t>
            </w:r>
          </w:p>
        </w:tc>
      </w:tr>
    </w:tbl>
    <w:p w14:paraId="116D1F1A" w14:textId="77777777" w:rsidR="005875D1" w:rsidRDefault="005875D1"/>
    <w:p w14:paraId="224ED029" w14:textId="77777777" w:rsidR="005875D1" w:rsidRDefault="00782CAA">
      <w:r>
        <w:t>Either way, a specific AWS region must also be noted (e.g. us-east-1) — model availability varies by region, and the region is required in code when making calls.</w:t>
      </w:r>
    </w:p>
    <w:p w14:paraId="449472B6" w14:textId="77777777" w:rsidR="005875D1" w:rsidRDefault="00782CAA">
      <w:pPr>
        <w:pStyle w:val="Heading2"/>
      </w:pPr>
      <w:r>
        <w:lastRenderedPageBreak/>
        <w:t>1.2 Cost Controls on AWS</w:t>
      </w:r>
    </w:p>
    <w:p w14:paraId="0E018457" w14:textId="77777777" w:rsidR="005875D1" w:rsidRDefault="00782CAA">
      <w:pPr>
        <w:pStyle w:val="ListBullet"/>
      </w:pPr>
      <w:r>
        <w:t>Bedrock is pay-per-use (billed by tokens sent/received); it is not part of AWS's standard 12-month free tier.</w:t>
      </w:r>
    </w:p>
    <w:p w14:paraId="6B3EB75F" w14:textId="77777777" w:rsidR="005875D1" w:rsidRDefault="00782CAA">
      <w:pPr>
        <w:pStyle w:val="ListBullet"/>
      </w:pPr>
      <w:r>
        <w:t>Whether a promotional account credit applies to Bedrock depends on the credit type — check Billing → Credits to confirm.</w:t>
      </w:r>
    </w:p>
    <w:p w14:paraId="600DB970" w14:textId="77777777" w:rsidR="005875D1" w:rsidRDefault="00782CAA">
      <w:pPr>
        <w:pStyle w:val="ListBullet"/>
      </w:pPr>
      <w:r>
        <w:t>The Billing/Cost Management console is only accessible to the root user by default. An IAM user can be granted billing access, but this is an account-level setting root must enable first.</w:t>
      </w:r>
    </w:p>
    <w:p w14:paraId="098FD655" w14:textId="77777777" w:rsidR="005875D1" w:rsidRDefault="00782CAA">
      <w:pPr>
        <w:pStyle w:val="ListBullet"/>
      </w:pPr>
      <w:r>
        <w:t>A cost safety net worth setting up before real usage: Billing → Budgets → Create budget → set a small monthly cap with an email alert at 80%/100%.</w:t>
      </w:r>
    </w:p>
    <w:p w14:paraId="6E1E29C8" w14:textId="77777777" w:rsidR="005875D1" w:rsidRDefault="00782CAA">
      <w:r>
        <w:br w:type="page"/>
      </w:r>
    </w:p>
    <w:p w14:paraId="1635D29F" w14:textId="77777777" w:rsidR="005875D1" w:rsidRDefault="00782CAA">
      <w:pPr>
        <w:pStyle w:val="Heading1"/>
      </w:pPr>
      <w:r>
        <w:lastRenderedPageBreak/>
        <w:t>2. Google AI Studio / Gemini API — General Setup Process</w:t>
      </w:r>
    </w:p>
    <w:p w14:paraId="29DDE612" w14:textId="77777777" w:rsidR="005875D1" w:rsidRDefault="00782CAA">
      <w:r>
        <w:t>This path was used as a faster alternative once AWS's Anthropic-model verification introduced an unpredictable wait. Google AI Studio issues a key almost instantly with a genuine free tier.</w:t>
      </w:r>
    </w:p>
    <w:p w14:paraId="40CFFEE1" w14:textId="77777777" w:rsidR="005875D1" w:rsidRDefault="00782CAA">
      <w:pPr>
        <w:pStyle w:val="Heading2"/>
      </w:pPr>
      <w:r>
        <w:t>2.1 Key Facts</w:t>
      </w:r>
    </w:p>
    <w:p w14:paraId="0671DC60" w14:textId="77777777" w:rsidR="005875D1" w:rsidRDefault="00782CAA">
      <w:pPr>
        <w:pStyle w:val="ListBullet"/>
      </w:pPr>
      <w:r>
        <w:t>A single Gemini API key is not scoped to one model. It authenticates to the whole Gemini API — which model responds (chat/LLM vs. embeddings) is determined purely by the model name specified in code, not the key itself.</w:t>
      </w:r>
    </w:p>
    <w:p w14:paraId="59201229" w14:textId="77777777" w:rsidR="005875D1" w:rsidRDefault="00782CAA">
      <w:pPr>
        <w:pStyle w:val="ListBullet"/>
      </w:pPr>
      <w:r>
        <w:t>Google Cloud projects and Google AI Studio share the same underlying project list — a project created in one shows up in the other automatically. No need to separately create a same-named project in both places.</w:t>
      </w:r>
    </w:p>
    <w:p w14:paraId="3E658D14" w14:textId="77777777" w:rsidR="005875D1" w:rsidRDefault="00782CAA">
      <w:pPr>
        <w:pStyle w:val="ListBullet"/>
      </w:pPr>
      <w:r>
        <w:t>Generate a key at: aistudio.google.com -&gt; API keys -&gt; Create API key -&gt; select the target Google Cloud project.</w:t>
      </w:r>
    </w:p>
    <w:p w14:paraId="58E21E77" w14:textId="77777777" w:rsidR="005875D1" w:rsidRDefault="00782CAA">
      <w:pPr>
        <w:pStyle w:val="ListBullet"/>
      </w:pPr>
      <w:r>
        <w:t>Google Cloud's general $300/90-day free trial credit is a separate thing from the Gemini API's own standalone free tier. A project's general Cloud trial expiring does not necessarily block Gemini API usage — creating/using a key directly through AI Studio can still work on the Gemini free tier independent of that.</w:t>
      </w:r>
    </w:p>
    <w:p w14:paraId="75B7B224" w14:textId="77777777" w:rsidR="005875D1" w:rsidRDefault="00782CAA">
      <w:pPr>
        <w:pStyle w:val="Heading2"/>
      </w:pPr>
      <w:r>
        <w:t>2.2 Billing Tiers Observed</w:t>
      </w:r>
    </w:p>
    <w:tbl>
      <w:tblPr>
        <w:tblStyle w:val="TableGrid"/>
        <w:tblW w:w="0" w:type="auto"/>
        <w:jc w:val="center"/>
        <w:tblLook w:val="04A0" w:firstRow="1" w:lastRow="0" w:firstColumn="1" w:lastColumn="0" w:noHBand="0" w:noVBand="1"/>
      </w:tblPr>
      <w:tblGrid>
        <w:gridCol w:w="1926"/>
        <w:gridCol w:w="4143"/>
        <w:gridCol w:w="2787"/>
      </w:tblGrid>
      <w:tr w:rsidR="005875D1" w14:paraId="5BC27F58" w14:textId="77777777">
        <w:trPr>
          <w:jc w:val="center"/>
        </w:trPr>
        <w:tc>
          <w:tcPr>
            <w:tcW w:w="2304" w:type="dxa"/>
            <w:shd w:val="clear" w:color="auto" w:fill="2F5496"/>
          </w:tcPr>
          <w:p w14:paraId="2339F309" w14:textId="77777777" w:rsidR="005875D1" w:rsidRDefault="00782CAA">
            <w:r>
              <w:rPr>
                <w:b/>
                <w:color w:val="FFFFFF"/>
              </w:rPr>
              <w:t>Tier shown</w:t>
            </w:r>
          </w:p>
        </w:tc>
        <w:tc>
          <w:tcPr>
            <w:tcW w:w="5184" w:type="dxa"/>
            <w:shd w:val="clear" w:color="auto" w:fill="2F5496"/>
          </w:tcPr>
          <w:p w14:paraId="012D5FBD" w14:textId="77777777" w:rsidR="005875D1" w:rsidRDefault="00782CAA">
            <w:r>
              <w:rPr>
                <w:b/>
                <w:color w:val="FFFFFF"/>
              </w:rPr>
              <w:t>Meaning</w:t>
            </w:r>
          </w:p>
        </w:tc>
        <w:tc>
          <w:tcPr>
            <w:tcW w:w="3312" w:type="dxa"/>
            <w:shd w:val="clear" w:color="auto" w:fill="2F5496"/>
          </w:tcPr>
          <w:p w14:paraId="44BE835E" w14:textId="77777777" w:rsidR="005875D1" w:rsidRDefault="00782CAA">
            <w:r>
              <w:rPr>
                <w:b/>
                <w:color w:val="FFFFFF"/>
              </w:rPr>
              <w:t>Risk</w:t>
            </w:r>
          </w:p>
        </w:tc>
      </w:tr>
      <w:tr w:rsidR="005875D1" w14:paraId="391A6DA3" w14:textId="77777777">
        <w:trPr>
          <w:jc w:val="center"/>
        </w:trPr>
        <w:tc>
          <w:tcPr>
            <w:tcW w:w="2304" w:type="dxa"/>
          </w:tcPr>
          <w:p w14:paraId="4F9C423D" w14:textId="77777777" w:rsidR="005875D1" w:rsidRDefault="00782CAA">
            <w:r>
              <w:t>Free tier</w:t>
            </w:r>
          </w:p>
        </w:tc>
        <w:tc>
          <w:tcPr>
            <w:tcW w:w="5184" w:type="dxa"/>
          </w:tcPr>
          <w:p w14:paraId="38A5EDE2" w14:textId="77777777" w:rsidR="005875D1" w:rsidRDefault="00782CAA">
            <w:r>
              <w:t>No billing account linked to the project. Usage is capped by rate limits, not cost.</w:t>
            </w:r>
          </w:p>
        </w:tc>
        <w:tc>
          <w:tcPr>
            <w:tcW w:w="3312" w:type="dxa"/>
          </w:tcPr>
          <w:p w14:paraId="50A3DB21" w14:textId="77777777" w:rsidR="005875D1" w:rsidRDefault="00782CAA">
            <w:r>
              <w:t>None — cannot be charged.</w:t>
            </w:r>
          </w:p>
        </w:tc>
      </w:tr>
      <w:tr w:rsidR="005875D1" w14:paraId="7D96EB64" w14:textId="77777777">
        <w:trPr>
          <w:jc w:val="center"/>
        </w:trPr>
        <w:tc>
          <w:tcPr>
            <w:tcW w:w="2304" w:type="dxa"/>
          </w:tcPr>
          <w:p w14:paraId="45ECC83A" w14:textId="77777777" w:rsidR="005875D1" w:rsidRDefault="00782CAA">
            <w:r>
              <w:t>Tier 1 · Prepay</w:t>
            </w:r>
          </w:p>
        </w:tc>
        <w:tc>
          <w:tcPr>
            <w:tcW w:w="5184" w:type="dxa"/>
          </w:tcPr>
          <w:p w14:paraId="27CA33E3" w14:textId="77777777" w:rsidR="005875D1" w:rsidRDefault="00782CAA">
            <w:r>
              <w:t>A billing account has been linked (this can happen just by clicking into "Set up billing" to look, even without buying anything). Usage beyond free quota draws down from a manually-purchased credit balance.</w:t>
            </w:r>
          </w:p>
        </w:tc>
        <w:tc>
          <w:tcPr>
            <w:tcW w:w="3312" w:type="dxa"/>
          </w:tcPr>
          <w:p w14:paraId="133544A3" w14:textId="77777777" w:rsidR="005875D1" w:rsidRDefault="00782CAA">
            <w:r>
              <w:t>None if the credit balance is Rs 0 and Auto-reload is left off — calls simply fail with an insufficient-balance error rather than silently charging a card.</w:t>
            </w:r>
          </w:p>
        </w:tc>
      </w:tr>
    </w:tbl>
    <w:p w14:paraId="21D154CA" w14:textId="77777777" w:rsidR="005875D1" w:rsidRDefault="005875D1"/>
    <w:p w14:paraId="76AE8DCA" w14:textId="77777777" w:rsidR="005875D1" w:rsidRDefault="00782CAA">
      <w:r>
        <w:t>Practical takeaway: it's safe to explore the billing screens out of curiosity as long as Auto-reload is never enabled and no credit purchase is confirmed — the worst case is a failed call, not a surprise charge.</w:t>
      </w:r>
    </w:p>
    <w:p w14:paraId="2182785E" w14:textId="77777777" w:rsidR="005875D1" w:rsidRDefault="00782CAA">
      <w:pPr>
        <w:pStyle w:val="Heading2"/>
      </w:pPr>
      <w:r>
        <w:t>2.3 Model Naming Turnover</w:t>
      </w:r>
    </w:p>
    <w:p w14:paraId="25507CE6" w14:textId="77777777" w:rsidR="005875D1" w:rsidRDefault="00782CAA">
      <w:r>
        <w:t>Provider model names change/deprecate over time (e.g. a model called gemini-2.0-flash-lite may later return a 404 "no longer available" error, pointing to a newer replacement name). The reliable way to get the current, valid model name for an account/region is to check the model-selector dropdown inside the provider's own Playground/console (for Gemini: AI Studio -&gt; Playground -&gt; model selector), rather than relying on a name from memory or an older tutorial.</w:t>
      </w:r>
    </w:p>
    <w:p w14:paraId="1BD459BA" w14:textId="77777777" w:rsidR="005875D1" w:rsidRDefault="00782CAA">
      <w:r>
        <w:br w:type="page"/>
      </w:r>
    </w:p>
    <w:p w14:paraId="3C82E3B3" w14:textId="77777777" w:rsidR="005875D1" w:rsidRDefault="00782CAA">
      <w:pPr>
        <w:pStyle w:val="Heading1"/>
      </w:pPr>
      <w:r>
        <w:lastRenderedPageBreak/>
        <w:t>3. Python Project Environment Setup</w:t>
      </w:r>
    </w:p>
    <w:p w14:paraId="04662D89" w14:textId="77777777" w:rsidR="005875D1" w:rsidRDefault="00782CAA">
      <w:r>
        <w:t>General-purpose steps for starting any Python + LangChain project cleanly, independent of which LLM provider is used.</w:t>
      </w:r>
    </w:p>
    <w:p w14:paraId="5EED9CA3" w14:textId="77777777" w:rsidR="005875D1" w:rsidRDefault="00782CAA">
      <w:pPr>
        <w:pStyle w:val="Heading2"/>
      </w:pPr>
      <w:r>
        <w:t>3.1 Virtual Environment</w:t>
      </w:r>
    </w:p>
    <w:p w14:paraId="5C9EF813" w14:textId="77777777" w:rsidR="005875D1" w:rsidRDefault="00782CAA">
      <w:pPr>
        <w:pStyle w:val="ListBullet"/>
      </w:pPr>
      <w:r>
        <w:t>Create a named virtual environment inside the project folder:</w:t>
      </w:r>
    </w:p>
    <w:p w14:paraId="599FC917" w14:textId="77777777" w:rsidR="005875D1" w:rsidRDefault="00782CAA">
      <w:pPr>
        <w:shd w:val="clear" w:color="auto" w:fill="F2F2F2"/>
        <w:ind w:left="432"/>
      </w:pPr>
      <w:r>
        <w:rPr>
          <w:rFonts w:ascii="Consolas" w:hAnsi="Consolas"/>
          <w:color w:val="1A1A1A"/>
          <w:sz w:val="20"/>
        </w:rPr>
        <w:t>python -m venv nexus</w:t>
      </w:r>
    </w:p>
    <w:p w14:paraId="61F26F8A" w14:textId="77777777" w:rsidR="005875D1" w:rsidRDefault="00782CAA">
      <w:pPr>
        <w:pStyle w:val="ListBullet"/>
      </w:pPr>
      <w:r>
        <w:t>Activate it — Git Bash:</w:t>
      </w:r>
    </w:p>
    <w:p w14:paraId="2CADE876" w14:textId="77777777" w:rsidR="005875D1" w:rsidRDefault="00782CAA">
      <w:pPr>
        <w:shd w:val="clear" w:color="auto" w:fill="F2F2F2"/>
        <w:ind w:left="432"/>
      </w:pPr>
      <w:r>
        <w:rPr>
          <w:rFonts w:ascii="Consolas" w:hAnsi="Consolas"/>
          <w:color w:val="1A1A1A"/>
          <w:sz w:val="20"/>
        </w:rPr>
        <w:t>source nexus/Scripts/activate</w:t>
      </w:r>
    </w:p>
    <w:p w14:paraId="26BBBCDA" w14:textId="77777777" w:rsidR="005875D1" w:rsidRDefault="00782CAA">
      <w:pPr>
        <w:pStyle w:val="ListBullet"/>
      </w:pPr>
      <w:r>
        <w:t>Activate it — PowerShell:</w:t>
      </w:r>
    </w:p>
    <w:p w14:paraId="0B48C3B3" w14:textId="77777777" w:rsidR="005875D1" w:rsidRDefault="00782CAA">
      <w:pPr>
        <w:shd w:val="clear" w:color="auto" w:fill="F2F2F2"/>
        <w:ind w:left="432"/>
      </w:pPr>
      <w:r>
        <w:rPr>
          <w:rFonts w:ascii="Consolas" w:hAnsi="Consolas"/>
          <w:color w:val="1A1A1A"/>
          <w:sz w:val="20"/>
        </w:rPr>
        <w:t>.\nexus\Scripts\Activate.ps1</w:t>
      </w:r>
    </w:p>
    <w:p w14:paraId="01886EF7" w14:textId="77777777" w:rsidR="005875D1" w:rsidRDefault="00782CAA">
      <w:r>
        <w:t>An active environment shows its name in parentheses at the start of the terminal prompt, e.g. (nexus).</w:t>
      </w:r>
    </w:p>
    <w:p w14:paraId="6A15B166" w14:textId="77777777" w:rsidR="005875D1" w:rsidRDefault="00782CAA">
      <w:pPr>
        <w:pStyle w:val="Heading2"/>
      </w:pPr>
      <w:r>
        <w:t>3.2 Installing Core Packages</w:t>
      </w:r>
    </w:p>
    <w:p w14:paraId="5D4394AF" w14:textId="77777777" w:rsidR="005875D1" w:rsidRDefault="00782CAA">
      <w:pPr>
        <w:shd w:val="clear" w:color="auto" w:fill="F2F2F2"/>
        <w:ind w:left="432"/>
      </w:pPr>
      <w:r>
        <w:rPr>
          <w:rFonts w:ascii="Consolas" w:hAnsi="Consolas"/>
          <w:color w:val="1A1A1A"/>
          <w:sz w:val="20"/>
        </w:rPr>
        <w:t>python -m pip install --upgrade pip</w:t>
      </w:r>
      <w:r>
        <w:br/>
      </w:r>
      <w:r>
        <w:rPr>
          <w:rFonts w:ascii="Consolas" w:hAnsi="Consolas"/>
          <w:color w:val="1A1A1A"/>
          <w:sz w:val="20"/>
        </w:rPr>
        <w:t>pip install langchain langgraph langchain-google-genai langchain-community python-dotenv</w:t>
      </w:r>
    </w:p>
    <w:tbl>
      <w:tblPr>
        <w:tblStyle w:val="TableGrid"/>
        <w:tblW w:w="0" w:type="auto"/>
        <w:jc w:val="center"/>
        <w:tblLook w:val="04A0" w:firstRow="1" w:lastRow="0" w:firstColumn="1" w:lastColumn="0" w:noHBand="0" w:noVBand="1"/>
      </w:tblPr>
      <w:tblGrid>
        <w:gridCol w:w="2726"/>
        <w:gridCol w:w="6130"/>
      </w:tblGrid>
      <w:tr w:rsidR="005875D1" w14:paraId="091B6FE8" w14:textId="77777777">
        <w:trPr>
          <w:jc w:val="center"/>
        </w:trPr>
        <w:tc>
          <w:tcPr>
            <w:tcW w:w="3024" w:type="dxa"/>
            <w:shd w:val="clear" w:color="auto" w:fill="2F5496"/>
          </w:tcPr>
          <w:p w14:paraId="04ABE1D5" w14:textId="77777777" w:rsidR="005875D1" w:rsidRDefault="00782CAA">
            <w:r>
              <w:rPr>
                <w:b/>
                <w:color w:val="FFFFFF"/>
              </w:rPr>
              <w:t>Package</w:t>
            </w:r>
          </w:p>
        </w:tc>
        <w:tc>
          <w:tcPr>
            <w:tcW w:w="7056" w:type="dxa"/>
            <w:shd w:val="clear" w:color="auto" w:fill="2F5496"/>
          </w:tcPr>
          <w:p w14:paraId="51035D34" w14:textId="77777777" w:rsidR="005875D1" w:rsidRDefault="00782CAA">
            <w:r>
              <w:rPr>
                <w:b/>
                <w:color w:val="FFFFFF"/>
              </w:rPr>
              <w:t>Purpose</w:t>
            </w:r>
          </w:p>
        </w:tc>
      </w:tr>
      <w:tr w:rsidR="005875D1" w14:paraId="06368E49" w14:textId="77777777">
        <w:trPr>
          <w:jc w:val="center"/>
        </w:trPr>
        <w:tc>
          <w:tcPr>
            <w:tcW w:w="3024" w:type="dxa"/>
          </w:tcPr>
          <w:p w14:paraId="7CA0CCDA" w14:textId="77777777" w:rsidR="005875D1" w:rsidRDefault="00782CAA">
            <w:r>
              <w:t>langchain</w:t>
            </w:r>
          </w:p>
        </w:tc>
        <w:tc>
          <w:tcPr>
            <w:tcW w:w="7056" w:type="dxa"/>
          </w:tcPr>
          <w:p w14:paraId="3FDFC287" w14:textId="77777777" w:rsidR="005875D1" w:rsidRDefault="00782CAA">
            <w:r>
              <w:t>Core framework — prompts, chains, orchestration.</w:t>
            </w:r>
          </w:p>
        </w:tc>
      </w:tr>
      <w:tr w:rsidR="005875D1" w14:paraId="56C21477" w14:textId="77777777">
        <w:trPr>
          <w:jc w:val="center"/>
        </w:trPr>
        <w:tc>
          <w:tcPr>
            <w:tcW w:w="3024" w:type="dxa"/>
          </w:tcPr>
          <w:p w14:paraId="75FD46CE" w14:textId="77777777" w:rsidR="005875D1" w:rsidRDefault="00782CAA">
            <w:r>
              <w:t>langgraph</w:t>
            </w:r>
          </w:p>
        </w:tc>
        <w:tc>
          <w:tcPr>
            <w:tcW w:w="7056" w:type="dxa"/>
          </w:tcPr>
          <w:p w14:paraId="10924732" w14:textId="77777777" w:rsidR="005875D1" w:rsidRDefault="00782CAA">
            <w:r>
              <w:t>For multi-step/agentic flows (relevant later for the HITL/self-heal feature).</w:t>
            </w:r>
          </w:p>
        </w:tc>
      </w:tr>
      <w:tr w:rsidR="005875D1" w14:paraId="194EEB5C" w14:textId="77777777">
        <w:trPr>
          <w:jc w:val="center"/>
        </w:trPr>
        <w:tc>
          <w:tcPr>
            <w:tcW w:w="3024" w:type="dxa"/>
          </w:tcPr>
          <w:p w14:paraId="6E98081F" w14:textId="77777777" w:rsidR="005875D1" w:rsidRDefault="00782CAA">
            <w:r>
              <w:t>langchain-google-genai</w:t>
            </w:r>
          </w:p>
        </w:tc>
        <w:tc>
          <w:tcPr>
            <w:tcW w:w="7056" w:type="dxa"/>
          </w:tcPr>
          <w:p w14:paraId="597C86DE" w14:textId="77777777" w:rsidR="005875D1" w:rsidRDefault="00782CAA">
            <w:r>
              <w:t>Gemini-specific integration — chat model and embeddings classes.</w:t>
            </w:r>
          </w:p>
        </w:tc>
      </w:tr>
      <w:tr w:rsidR="005875D1" w14:paraId="1A50F595" w14:textId="77777777">
        <w:trPr>
          <w:jc w:val="center"/>
        </w:trPr>
        <w:tc>
          <w:tcPr>
            <w:tcW w:w="3024" w:type="dxa"/>
          </w:tcPr>
          <w:p w14:paraId="03A7F3CE" w14:textId="77777777" w:rsidR="005875D1" w:rsidRDefault="00782CAA">
            <w:r>
              <w:t>langchain-community</w:t>
            </w:r>
          </w:p>
        </w:tc>
        <w:tc>
          <w:tcPr>
            <w:tcW w:w="7056" w:type="dxa"/>
          </w:tcPr>
          <w:p w14:paraId="5D40CEF8" w14:textId="77777777" w:rsidR="005875D1" w:rsidRDefault="00782CAA">
            <w:r>
              <w:t>Extra community integrations (vector stores, document loaders, etc.), needed as the RAG pipeline grows.</w:t>
            </w:r>
          </w:p>
        </w:tc>
      </w:tr>
      <w:tr w:rsidR="005875D1" w14:paraId="1900D017" w14:textId="77777777">
        <w:trPr>
          <w:jc w:val="center"/>
        </w:trPr>
        <w:tc>
          <w:tcPr>
            <w:tcW w:w="3024" w:type="dxa"/>
          </w:tcPr>
          <w:p w14:paraId="2EEA27C7" w14:textId="77777777" w:rsidR="005875D1" w:rsidRDefault="00782CAA">
            <w:r>
              <w:t>python-dotenv</w:t>
            </w:r>
          </w:p>
        </w:tc>
        <w:tc>
          <w:tcPr>
            <w:tcW w:w="7056" w:type="dxa"/>
          </w:tcPr>
          <w:p w14:paraId="6804BE2E" w14:textId="77777777" w:rsidR="005875D1" w:rsidRDefault="00782CAA">
            <w:r>
              <w:t>Loads variables from a .env file into the Python process at runtime.</w:t>
            </w:r>
          </w:p>
        </w:tc>
      </w:tr>
    </w:tbl>
    <w:p w14:paraId="4F3BD2FA" w14:textId="77777777" w:rsidR="005875D1" w:rsidRDefault="005875D1"/>
    <w:p w14:paraId="4519ABBE" w14:textId="77777777" w:rsidR="005875D1" w:rsidRDefault="00782CAA">
      <w:pPr>
        <w:pStyle w:val="Heading2"/>
      </w:pPr>
      <w:r>
        <w:t>3.3 Environment Variables Pattern</w:t>
      </w:r>
    </w:p>
    <w:p w14:paraId="04DE7996" w14:textId="77777777" w:rsidR="005875D1" w:rsidRDefault="00782CAA">
      <w:r>
        <w:t>Store secrets and config in a .env file (never committed to git), and load them through a small config module rather than scattering os.getenv calls through the codebase:</w:t>
      </w:r>
    </w:p>
    <w:p w14:paraId="65EB0FA2" w14:textId="77777777" w:rsidR="005875D1" w:rsidRDefault="00782CAA">
      <w:pPr>
        <w:shd w:val="clear" w:color="auto" w:fill="F2F2F2"/>
        <w:ind w:left="432"/>
      </w:pPr>
      <w:r>
        <w:rPr>
          <w:rFonts w:ascii="Consolas" w:hAnsi="Consolas"/>
          <w:color w:val="1A1A1A"/>
          <w:sz w:val="20"/>
        </w:rPr>
        <w:t>import os</w:t>
      </w:r>
      <w:r>
        <w:br/>
      </w:r>
      <w:r>
        <w:rPr>
          <w:rFonts w:ascii="Consolas" w:hAnsi="Consolas"/>
          <w:color w:val="1A1A1A"/>
          <w:sz w:val="20"/>
        </w:rPr>
        <w:t>from dotenv import load_dotenv</w:t>
      </w:r>
      <w:r>
        <w:br/>
      </w:r>
      <w:r>
        <w:br/>
      </w:r>
      <w:r>
        <w:rPr>
          <w:rFonts w:ascii="Consolas" w:hAnsi="Consolas"/>
          <w:color w:val="1A1A1A"/>
          <w:sz w:val="20"/>
        </w:rPr>
        <w:t>load_dotenv()</w:t>
      </w:r>
      <w:r>
        <w:br/>
      </w:r>
      <w:r>
        <w:br/>
      </w:r>
      <w:r>
        <w:rPr>
          <w:rFonts w:ascii="Consolas" w:hAnsi="Consolas"/>
          <w:color w:val="1A1A1A"/>
          <w:sz w:val="20"/>
        </w:rPr>
        <w:t>GOOGLE_API_KEY = os.getenv("GOOGLE_API_KEY")</w:t>
      </w:r>
      <w:r>
        <w:br/>
      </w:r>
      <w:r>
        <w:rPr>
          <w:rFonts w:ascii="Consolas" w:hAnsi="Consolas"/>
          <w:color w:val="1A1A1A"/>
          <w:sz w:val="20"/>
        </w:rPr>
        <w:lastRenderedPageBreak/>
        <w:t>GEMINI_MODEL = os.getenv("GEMINI_MODEL", "gemini-2.0-flash-lite")</w:t>
      </w:r>
      <w:r>
        <w:br/>
      </w:r>
      <w:r>
        <w:rPr>
          <w:rFonts w:ascii="Consolas" w:hAnsi="Consolas"/>
          <w:color w:val="1A1A1A"/>
          <w:sz w:val="20"/>
        </w:rPr>
        <w:t>EMBED_MODEL = os.getenv("EMBED_MODEL", "models/gemini-embedding-001")</w:t>
      </w:r>
    </w:p>
    <w:p w14:paraId="05C3B723" w14:textId="77777777" w:rsidR="005875D1" w:rsidRDefault="00782CAA">
      <w:r>
        <w:t>Note: the default value passed to os.getenv only applies if the variable is completely absent from .env. If .env explicitly sets a value (even an outdated one), that value always wins over the code's default — worth remembering when a model name update in code doesn't seem to take effect.</w:t>
      </w:r>
    </w:p>
    <w:p w14:paraId="405561CD" w14:textId="77777777" w:rsidR="005875D1" w:rsidRDefault="00782CAA">
      <w:pPr>
        <w:pStyle w:val="ListBullet"/>
      </w:pPr>
      <w:r>
        <w:t>Keep the virtual environment folder and .env out of version control:</w:t>
      </w:r>
    </w:p>
    <w:p w14:paraId="2695D622" w14:textId="77777777" w:rsidR="005875D1" w:rsidRDefault="00782CAA">
      <w:pPr>
        <w:shd w:val="clear" w:color="auto" w:fill="F2F2F2"/>
        <w:ind w:left="432"/>
      </w:pPr>
      <w:r>
        <w:rPr>
          <w:rFonts w:ascii="Consolas" w:hAnsi="Consolas"/>
          <w:color w:val="1A1A1A"/>
          <w:sz w:val="20"/>
        </w:rPr>
        <w:t>echo "nexus/" &gt;&gt; .gitignore</w:t>
      </w:r>
      <w:r>
        <w:br/>
      </w:r>
      <w:r>
        <w:rPr>
          <w:rFonts w:ascii="Consolas" w:hAnsi="Consolas"/>
          <w:color w:val="1A1A1A"/>
          <w:sz w:val="20"/>
        </w:rPr>
        <w:t>echo ".env" &gt;&gt; .gitignore</w:t>
      </w:r>
      <w:r>
        <w:br/>
      </w:r>
      <w:r>
        <w:rPr>
          <w:rFonts w:ascii="Consolas" w:hAnsi="Consolas"/>
          <w:color w:val="1A1A1A"/>
          <w:sz w:val="20"/>
        </w:rPr>
        <w:t>git add .gitignore</w:t>
      </w:r>
      <w:r>
        <w:br/>
      </w:r>
      <w:r>
        <w:rPr>
          <w:rFonts w:ascii="Consolas" w:hAnsi="Consolas"/>
          <w:color w:val="1A1A1A"/>
          <w:sz w:val="20"/>
        </w:rPr>
        <w:t>git commit -m "Ignore venv and env file"</w:t>
      </w:r>
      <w:r>
        <w:br/>
      </w:r>
      <w:r>
        <w:rPr>
          <w:rFonts w:ascii="Consolas" w:hAnsi="Consolas"/>
          <w:color w:val="1A1A1A"/>
          <w:sz w:val="20"/>
        </w:rPr>
        <w:t>git push</w:t>
      </w:r>
    </w:p>
    <w:p w14:paraId="5D4495F7" w14:textId="77777777" w:rsidR="005875D1" w:rsidRDefault="00782CAA">
      <w:pPr>
        <w:pStyle w:val="ListBullet"/>
      </w:pPr>
      <w:r>
        <w:t>Freeze installed packages for reproducibility (useful later for Docker/CI):</w:t>
      </w:r>
    </w:p>
    <w:p w14:paraId="2B3A06BD" w14:textId="77777777" w:rsidR="005875D1" w:rsidRDefault="00782CAA">
      <w:pPr>
        <w:shd w:val="clear" w:color="auto" w:fill="F2F2F2"/>
        <w:ind w:left="432"/>
      </w:pPr>
      <w:r>
        <w:rPr>
          <w:rFonts w:ascii="Consolas" w:hAnsi="Consolas"/>
          <w:color w:val="1A1A1A"/>
          <w:sz w:val="20"/>
        </w:rPr>
        <w:t>pip freeze &gt; requirements.txt</w:t>
      </w:r>
      <w:r>
        <w:br/>
      </w:r>
      <w:r>
        <w:rPr>
          <w:rFonts w:ascii="Consolas" w:hAnsi="Consolas"/>
          <w:color w:val="1A1A1A"/>
          <w:sz w:val="20"/>
        </w:rPr>
        <w:t>git add requirements.txt</w:t>
      </w:r>
      <w:r>
        <w:br/>
      </w:r>
      <w:r>
        <w:rPr>
          <w:rFonts w:ascii="Consolas" w:hAnsi="Consolas"/>
          <w:color w:val="1A1A1A"/>
          <w:sz w:val="20"/>
        </w:rPr>
        <w:t>git commit -m "Add requirements.txt"</w:t>
      </w:r>
      <w:r>
        <w:br/>
      </w:r>
      <w:r>
        <w:rPr>
          <w:rFonts w:ascii="Consolas" w:hAnsi="Consolas"/>
          <w:color w:val="1A1A1A"/>
          <w:sz w:val="20"/>
        </w:rPr>
        <w:t>git push</w:t>
      </w:r>
    </w:p>
    <w:p w14:paraId="6C214A9D" w14:textId="77777777" w:rsidR="005875D1" w:rsidRDefault="00782CAA">
      <w:pPr>
        <w:pStyle w:val="Heading2"/>
      </w:pPr>
      <w:r>
        <w:t>3.4 A Note on VS Code's ".env terminal injection" Prompt</w:t>
      </w:r>
    </w:p>
    <w:p w14:paraId="54384D97" w14:textId="77777777" w:rsidR="005875D1" w:rsidRDefault="00782CAA">
      <w:r>
        <w:t>VS Code may offer to auto-load a project's .env file into its own integrated terminal's environment (a setting called python.terminal.useEnvFile). This is separate from, and unnecessary alongside, loading the .env file inside the Python code itself via python-dotenv's load_dotenv(). Since the code already handles it, this VS Code convenience feature can be safely dismissed/ignored — the code-level approach also works identically regardless of what terminal or environment runs the script (VS Code, Git Bash, or eventually a deployed AWS environment).</w:t>
      </w:r>
    </w:p>
    <w:p w14:paraId="0F056AB5" w14:textId="77777777" w:rsidR="005875D1" w:rsidRDefault="00782CAA">
      <w:r>
        <w:br w:type="page"/>
      </w:r>
    </w:p>
    <w:p w14:paraId="5DDB54DA" w14:textId="77777777" w:rsidR="005875D1" w:rsidRDefault="00782CAA">
      <w:pPr>
        <w:pStyle w:val="Heading1"/>
      </w:pPr>
      <w:r>
        <w:lastRenderedPageBreak/>
        <w:t>Running Glossary</w:t>
      </w:r>
    </w:p>
    <w:tbl>
      <w:tblPr>
        <w:tblStyle w:val="TableGrid"/>
        <w:tblW w:w="0" w:type="auto"/>
        <w:jc w:val="center"/>
        <w:tblLook w:val="04A0" w:firstRow="1" w:lastRow="0" w:firstColumn="1" w:lastColumn="0" w:noHBand="0" w:noVBand="1"/>
      </w:tblPr>
      <w:tblGrid>
        <w:gridCol w:w="2352"/>
        <w:gridCol w:w="6504"/>
      </w:tblGrid>
      <w:tr w:rsidR="005875D1" w14:paraId="792F6CBC" w14:textId="77777777">
        <w:trPr>
          <w:jc w:val="center"/>
        </w:trPr>
        <w:tc>
          <w:tcPr>
            <w:tcW w:w="2592" w:type="dxa"/>
            <w:shd w:val="clear" w:color="auto" w:fill="2F5496"/>
          </w:tcPr>
          <w:p w14:paraId="42532AC1" w14:textId="77777777" w:rsidR="005875D1" w:rsidRDefault="00782CAA">
            <w:r>
              <w:rPr>
                <w:b/>
                <w:color w:val="FFFFFF"/>
              </w:rPr>
              <w:t>Term</w:t>
            </w:r>
          </w:p>
        </w:tc>
        <w:tc>
          <w:tcPr>
            <w:tcW w:w="7488" w:type="dxa"/>
            <w:shd w:val="clear" w:color="auto" w:fill="2F5496"/>
          </w:tcPr>
          <w:p w14:paraId="0B9BF5C0" w14:textId="77777777" w:rsidR="005875D1" w:rsidRDefault="00782CAA">
            <w:r>
              <w:rPr>
                <w:b/>
                <w:color w:val="FFFFFF"/>
              </w:rPr>
              <w:t>Meaning</w:t>
            </w:r>
          </w:p>
        </w:tc>
      </w:tr>
      <w:tr w:rsidR="005875D1" w14:paraId="6FC349F9" w14:textId="77777777">
        <w:trPr>
          <w:jc w:val="center"/>
        </w:trPr>
        <w:tc>
          <w:tcPr>
            <w:tcW w:w="2592" w:type="dxa"/>
          </w:tcPr>
          <w:p w14:paraId="2B6B6C06" w14:textId="77777777" w:rsidR="005875D1" w:rsidRDefault="00782CAA">
            <w:r>
              <w:t>Blast radius</w:t>
            </w:r>
          </w:p>
        </w:tc>
        <w:tc>
          <w:tcPr>
            <w:tcW w:w="7488" w:type="dxa"/>
          </w:tcPr>
          <w:p w14:paraId="531BE23E" w14:textId="77777777" w:rsidR="005875D1" w:rsidRDefault="00782CAA">
            <w:r>
              <w:t>How much damage is possible if a credential/component is compromised or fails — a measure of impact scope, not likelihood.</w:t>
            </w:r>
          </w:p>
        </w:tc>
      </w:tr>
      <w:tr w:rsidR="005875D1" w14:paraId="4F948AB7" w14:textId="77777777">
        <w:trPr>
          <w:jc w:val="center"/>
        </w:trPr>
        <w:tc>
          <w:tcPr>
            <w:tcW w:w="2592" w:type="dxa"/>
          </w:tcPr>
          <w:p w14:paraId="31F9D36A" w14:textId="77777777" w:rsidR="005875D1" w:rsidRDefault="00782CAA">
            <w:r>
              <w:t>IAM user</w:t>
            </w:r>
          </w:p>
        </w:tc>
        <w:tc>
          <w:tcPr>
            <w:tcW w:w="7488" w:type="dxa"/>
          </w:tcPr>
          <w:p w14:paraId="58304A05" w14:textId="77777777" w:rsidR="005875D1" w:rsidRDefault="00782CAA">
            <w:r>
              <w:t>A named identity within a cloud account with its own scoped permissions, used instead of the root/master login for routine work.</w:t>
            </w:r>
          </w:p>
        </w:tc>
      </w:tr>
      <w:tr w:rsidR="005875D1" w14:paraId="4711DEA3" w14:textId="77777777">
        <w:trPr>
          <w:jc w:val="center"/>
        </w:trPr>
        <w:tc>
          <w:tcPr>
            <w:tcW w:w="2592" w:type="dxa"/>
          </w:tcPr>
          <w:p w14:paraId="109A73B6" w14:textId="77777777" w:rsidR="005875D1" w:rsidRDefault="00782CAA">
            <w:r>
              <w:t>RAG</w:t>
            </w:r>
          </w:p>
        </w:tc>
        <w:tc>
          <w:tcPr>
            <w:tcW w:w="7488" w:type="dxa"/>
          </w:tcPr>
          <w:p w14:paraId="1055CFCE" w14:textId="77777777" w:rsidR="005875D1" w:rsidRDefault="00782CAA">
            <w:r>
              <w:t>Retrieval-Augmented Generation — retrieving relevant text chunks from a knowledge base and feeding them to an LLM as context before it answers.</w:t>
            </w:r>
          </w:p>
        </w:tc>
      </w:tr>
      <w:tr w:rsidR="005875D1" w14:paraId="575E7AB2" w14:textId="77777777">
        <w:trPr>
          <w:jc w:val="center"/>
        </w:trPr>
        <w:tc>
          <w:tcPr>
            <w:tcW w:w="2592" w:type="dxa"/>
          </w:tcPr>
          <w:p w14:paraId="1396F406" w14:textId="77777777" w:rsidR="005875D1" w:rsidRDefault="00782CAA">
            <w:r>
              <w:t>Embeddings</w:t>
            </w:r>
          </w:p>
        </w:tc>
        <w:tc>
          <w:tcPr>
            <w:tcW w:w="7488" w:type="dxa"/>
          </w:tcPr>
          <w:p w14:paraId="211C57BC" w14:textId="77777777" w:rsidR="005875D1" w:rsidRDefault="00782CAA">
            <w:r>
              <w:t>A numeric vector representation of text's meaning, used to find semantically similar text (the retrieval half of RAG).</w:t>
            </w:r>
          </w:p>
        </w:tc>
      </w:tr>
      <w:tr w:rsidR="005875D1" w14:paraId="50D60144" w14:textId="77777777">
        <w:trPr>
          <w:jc w:val="center"/>
        </w:trPr>
        <w:tc>
          <w:tcPr>
            <w:tcW w:w="2592" w:type="dxa"/>
          </w:tcPr>
          <w:p w14:paraId="5E95EFBB" w14:textId="77777777" w:rsidR="005875D1" w:rsidRDefault="00782CAA">
            <w:r>
              <w:t>NL2SQL</w:t>
            </w:r>
          </w:p>
        </w:tc>
        <w:tc>
          <w:tcPr>
            <w:tcW w:w="7488" w:type="dxa"/>
          </w:tcPr>
          <w:p w14:paraId="391AB672" w14:textId="77777777" w:rsidR="005875D1" w:rsidRDefault="00782CAA">
            <w:r>
              <w:t>Natural-language-to-SQL — generating a database query from a plain-language question.</w:t>
            </w:r>
          </w:p>
        </w:tc>
      </w:tr>
      <w:tr w:rsidR="005875D1" w14:paraId="0D97256E" w14:textId="77777777">
        <w:trPr>
          <w:jc w:val="center"/>
        </w:trPr>
        <w:tc>
          <w:tcPr>
            <w:tcW w:w="2592" w:type="dxa"/>
          </w:tcPr>
          <w:p w14:paraId="3CFB5CFA" w14:textId="77777777" w:rsidR="005875D1" w:rsidRDefault="00782CAA">
            <w:r>
              <w:t>HITL</w:t>
            </w:r>
          </w:p>
        </w:tc>
        <w:tc>
          <w:tcPr>
            <w:tcW w:w="7488" w:type="dxa"/>
          </w:tcPr>
          <w:p w14:paraId="122AC368" w14:textId="77777777" w:rsidR="005875D1" w:rsidRDefault="00782CAA">
            <w:r>
              <w:t>Human-in-the-loop — a workflow where human feedback (e.g. thumbs up/down) is captured and acted on.</w:t>
            </w:r>
          </w:p>
        </w:tc>
      </w:tr>
      <w:tr w:rsidR="005875D1" w14:paraId="3D4C0B08" w14:textId="77777777">
        <w:trPr>
          <w:jc w:val="center"/>
        </w:trPr>
        <w:tc>
          <w:tcPr>
            <w:tcW w:w="2592" w:type="dxa"/>
          </w:tcPr>
          <w:p w14:paraId="7A83ACB9" w14:textId="77777777" w:rsidR="005875D1" w:rsidRDefault="00782CAA">
            <w:r>
              <w:t>PR (Pull Request)</w:t>
            </w:r>
          </w:p>
        </w:tc>
        <w:tc>
          <w:tcPr>
            <w:tcW w:w="7488" w:type="dxa"/>
          </w:tcPr>
          <w:p w14:paraId="28862527" w14:textId="77777777" w:rsidR="005875D1" w:rsidRDefault="00782CAA">
            <w:r>
              <w:t>A formal, reviewable proposal to merge one Git branch's changes into another.</w:t>
            </w:r>
          </w:p>
        </w:tc>
      </w:tr>
      <w:tr w:rsidR="005875D1" w14:paraId="574539C1" w14:textId="77777777">
        <w:trPr>
          <w:jc w:val="center"/>
        </w:trPr>
        <w:tc>
          <w:tcPr>
            <w:tcW w:w="2592" w:type="dxa"/>
          </w:tcPr>
          <w:p w14:paraId="294FFEC9" w14:textId="77777777" w:rsidR="005875D1" w:rsidRDefault="00782CAA">
            <w:r>
              <w:t>Prepay (billing)</w:t>
            </w:r>
          </w:p>
        </w:tc>
        <w:tc>
          <w:tcPr>
            <w:tcW w:w="7488" w:type="dxa"/>
          </w:tcPr>
          <w:p w14:paraId="7CEE266E" w14:textId="77777777" w:rsidR="005875D1" w:rsidRDefault="00782CAA">
            <w:r>
              <w:t>A billing model where usage draws down from a pre-purchased credit balance rather than being invoiced after the fact.</w:t>
            </w:r>
          </w:p>
        </w:tc>
      </w:tr>
    </w:tbl>
    <w:p w14:paraId="15C57B41" w14:textId="77777777" w:rsidR="005875D1" w:rsidRDefault="005875D1"/>
    <w:p w14:paraId="541633CB" w14:textId="77777777" w:rsidR="005875D1" w:rsidRDefault="00782CAA">
      <w:r>
        <w:br w:type="page"/>
      </w:r>
    </w:p>
    <w:sectPr w:rsidR="005875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22D"/>
    <w:rsid w:val="005875D1"/>
    <w:rsid w:val="00782C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1D48E"/>
  <w14:defaultImageDpi w14:val="300"/>
  <w15:docId w15:val="{975682B0-2A2A-4A5A-A76E-AA190D45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2795</Words>
  <Characters>15932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Rathi</cp:lastModifiedBy>
  <cp:revision>3</cp:revision>
  <dcterms:created xsi:type="dcterms:W3CDTF">2013-12-23T23:15:00Z</dcterms:created>
  <dcterms:modified xsi:type="dcterms:W3CDTF">2026-09-23T04:55:00Z</dcterms:modified>
  <cp:category/>
</cp:coreProperties>
</file>