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项目立项与采购流程（测试资料）</w:t>
      </w:r>
    </w:p>
    <w:p>
      <w:r>
        <w:t>本文件用于验证 DOCX 上传、解析、检索和引用展示。</w:t>
      </w:r>
    </w:p>
    <w:p>
      <w:pPr>
        <w:pStyle w:val="Heading1"/>
      </w:pPr>
      <w:r>
        <w:t>一、立项条件</w:t>
      </w:r>
    </w:p>
    <w:p>
      <w:r>
        <w:t>涉及新项目、外包服务或单笔预算超过 5000 元的采购，须先提交项目立项申请，明确目标、预算、负责人和预计完成时间。</w:t>
      </w:r>
    </w:p>
    <w:p>
      <w:pPr>
        <w:pStyle w:val="Heading1"/>
      </w:pPr>
      <w:r>
        <w:t>二、采购流程</w:t>
      </w:r>
    </w:p>
    <w:p>
      <w:pPr>
        <w:pStyle w:val="ListBullet"/>
      </w:pPr>
      <w:r>
        <w:t>需求部门提交采购申请和技术规格说明。</w:t>
      </w:r>
    </w:p>
    <w:p>
      <w:pPr>
        <w:pStyle w:val="ListBullet"/>
      </w:pPr>
      <w:r>
        <w:t>采购人员至少收集两家供应商报价，并完成比价记录。</w:t>
      </w:r>
    </w:p>
    <w:p>
      <w:pPr>
        <w:pStyle w:val="ListBullet"/>
      </w:pPr>
      <w:r>
        <w:t>部门负责人和财务分别完成业务与预算审批。</w:t>
      </w:r>
    </w:p>
    <w:p>
      <w:pPr>
        <w:pStyle w:val="ListBullet"/>
      </w:pPr>
      <w:r>
        <w:t>采购合同审批完成后方可下单，付款须附合同和验收记录。</w:t>
      </w:r>
    </w:p>
    <w:p>
      <w:pPr>
        <w:pStyle w:val="Heading1"/>
      </w:pPr>
      <w:r>
        <w:t>三、验收与归档</w:t>
      </w:r>
    </w:p>
    <w:p>
      <w:r>
        <w:t>项目交付后由需求部门填写验收单，采购资料、合同、发票和付款凭证统一归档，保存期限不少于三年。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