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8.png" ContentType="image/png"/>
  <Override PartName="/word/media/rId33.png" ContentType="image/png"/>
  <Override PartName="/word/media/rId38.png" ContentType="image/png"/>
  <Override PartName="/word/media/rId44.png" ContentType="image/png"/>
  <Override PartName="/word/media/rId47.png" ContentType="image/png"/>
  <Override PartName="/word/media/rId52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Теплопроводность,</w:t>
      </w:r>
      <w:r>
        <w:t xml:space="preserve"> </w:t>
      </w:r>
      <w:r>
        <w:t xml:space="preserve">детерминированное</w:t>
      </w:r>
      <w:r>
        <w:t xml:space="preserve"> </w:t>
      </w:r>
      <w:r>
        <w:t xml:space="preserve">горение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методы математического моделирования на примере теплопроводности и детерминированного горения.</w:t>
      </w:r>
    </w:p>
    <w:bookmarkEnd w:id="20"/>
    <w:bookmarkStart w:id="21" w:name="задачи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 проекта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решающую одномерное уравнение теплопроводности с адиабатическими граничными условиями, используя явную разностную схему. Исследовать поведение численного решения при различных значениях</w:t>
      </w:r>
      <w:r>
        <w:t xml:space="preserve"> </w:t>
      </w:r>
      <m:oMath>
        <m:r>
          <m:t>χ</m:t>
        </m:r>
        <m:r>
          <m:rPr>
            <m:sty m:val="p"/>
          </m:rPr>
          <m:t>∆</m:t>
        </m:r>
        <m:r>
          <m:t>t</m:t>
        </m:r>
        <m:r>
          <m:rPr>
            <m:sty m:val="p"/>
          </m:rPr>
          <m:t>/</m:t>
        </m:r>
        <m:r>
          <m:t>h</m:t>
        </m:r>
        <m:r>
          <m:t>2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Исследовать влияние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на режим горения. При каком минимальном значении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возникает пульсирующий режим?</w:t>
      </w:r>
    </w:p>
    <w:p>
      <w:pPr>
        <w:numPr>
          <w:ilvl w:val="0"/>
          <w:numId w:val="1001"/>
        </w:numPr>
        <w:pStyle w:val="Compact"/>
      </w:pPr>
      <w:r>
        <w:t xml:space="preserve">По профилю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рассчитать положение фронта. Достаточно точным и простым способом является нахождение координаты с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. Предлагается воспользоваться линейной интерполяцией между двумя соседними точками.</w:t>
      </w:r>
      <w:r>
        <w:t xml:space="preserve"> </w:t>
      </w:r>
      <w:r>
        <w:t xml:space="preserve">Построить график скорости горения от координаты фронта.</w:t>
      </w:r>
    </w:p>
    <w:bookmarkEnd w:id="21"/>
    <w:bookmarkStart w:id="22" w:name="определ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Определения</w:t>
      </w:r>
    </w:p>
    <w:p>
      <w:pPr>
        <w:numPr>
          <w:ilvl w:val="0"/>
          <w:numId w:val="1002"/>
        </w:numPr>
        <w:pStyle w:val="Compact"/>
      </w:pPr>
      <w:r>
        <w:t xml:space="preserve">Горение — это яркий и сложный природный процесс, который можно описать с помощью относительно простых моделей.</w:t>
      </w:r>
    </w:p>
    <w:p>
      <w:pPr>
        <w:numPr>
          <w:ilvl w:val="0"/>
          <w:numId w:val="1002"/>
        </w:numPr>
        <w:pStyle w:val="Compact"/>
      </w:pPr>
      <w:r>
        <w:t xml:space="preserve">Детерминированное горение - это процесс горения, который подчиняется определенным законам физики и химии.</w:t>
      </w:r>
    </w:p>
    <w:p>
      <w:pPr>
        <w:numPr>
          <w:ilvl w:val="0"/>
          <w:numId w:val="1002"/>
        </w:numPr>
        <w:pStyle w:val="Compact"/>
      </w:pPr>
      <w:r>
        <w:t xml:space="preserve">Теплопроводность — это передача тепла в веществе от горячих участков к</w:t>
      </w:r>
      <w:r>
        <w:t xml:space="preserve"> </w:t>
      </w:r>
      <w:r>
        <w:t xml:space="preserve">холодным за счет взаимодействия частиц.</w:t>
      </w:r>
    </w:p>
    <w:bookmarkEnd w:id="22"/>
    <w:bookmarkStart w:id="82" w:name="основная-часть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Основная часть</w:t>
      </w:r>
    </w:p>
    <w:bookmarkStart w:id="27" w:name="размерная-система-уравнени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Размерная система уравнений</w:t>
      </w:r>
    </w:p>
    <w:bookmarkStart w:id="26" w:name="X2b774b1a9b23a419608007dcc63ae8f5958f41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Закон Аррениуса для реакции первого порядка</w:t>
      </w:r>
    </w:p>
    <w:p>
      <w:pPr>
        <w:pStyle w:val="FirstParagraph"/>
      </w:pPr>
      <w:r>
        <w:t xml:space="preserve">Будем моделировать</w:t>
      </w:r>
      <w:r>
        <w:t xml:space="preserve"> </w:t>
      </w:r>
      <m:oMath>
        <m:r>
          <m:t>Х</m:t>
        </m:r>
        <m:r>
          <m:t>Р</m:t>
        </m:r>
      </m:oMath>
      <w:r>
        <w:t xml:space="preserve"> </w:t>
      </w:r>
      <w:r>
        <w:t xml:space="preserve">простейшим образом: вещество вида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переходит в</w:t>
      </w:r>
      <w:r>
        <w:t xml:space="preserve"> </w:t>
      </w:r>
      <m:oMath>
        <m:r>
          <m:t>B</m:t>
        </m:r>
      </m:oMath>
      <w:r>
        <w:t xml:space="preserve">, при этом выделяется тепло. Для скорости</w:t>
      </w:r>
      <w:r>
        <w:t xml:space="preserve"> </w:t>
      </w:r>
      <m:oMath>
        <m:r>
          <m:t>Х</m:t>
        </m:r>
        <m:r>
          <m:t>Р</m:t>
        </m:r>
      </m:oMath>
      <w:r>
        <w:t xml:space="preserve"> </w:t>
      </w:r>
      <w:r>
        <w:t xml:space="preserve">воспользуемся законом Аррениуса для реакции первого порядка:</w:t>
      </w:r>
    </w:p>
    <w:p>
      <w:pPr>
        <w:pStyle w:val="BodyText"/>
      </w:pPr>
      <w:r>
        <w:drawing>
          <wp:inline>
            <wp:extent cx="1600200" cy="54406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4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m:oMath>
        <m:r>
          <m:t>N</m:t>
        </m:r>
      </m:oMath>
      <w:r>
        <w:t xml:space="preserve"> </w:t>
      </w:r>
      <w:r>
        <w:t xml:space="preserve">— доля непрореагировавшего вещества</w:t>
      </w:r>
      <w:r>
        <w:t xml:space="preserve"> </w:t>
      </w:r>
      <m:oMath>
        <m:r>
          <m:t>A</m:t>
        </m:r>
      </m:oMath>
      <w:r>
        <w:t xml:space="preserve">, меняющаяся от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— исходное состояние, до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— все прореагировало.</w:t>
      </w:r>
    </w:p>
    <w:p>
      <w:pPr>
        <w:numPr>
          <w:ilvl w:val="0"/>
          <w:numId w:val="1003"/>
        </w:numPr>
        <w:pStyle w:val="Compact"/>
      </w:pPr>
      <m:oMath>
        <m:r>
          <m:t>E</m:t>
        </m:r>
      </m:oMath>
      <w:r>
        <w:t xml:space="preserve"> </w:t>
      </w:r>
      <w:r>
        <w:t xml:space="preserve">— энергия активации</w:t>
      </w:r>
      <w:r>
        <w:t xml:space="preserve"> </w:t>
      </w:r>
      <m:oMath>
        <m:r>
          <m:t>Х</m:t>
        </m:r>
        <m:r>
          <m:t>Р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r>
          <m:t>τ</m:t>
        </m:r>
      </m:oMath>
      <w:r>
        <w:t xml:space="preserve"> </w:t>
      </w:r>
      <w:r>
        <w:t xml:space="preserve">— характерное время перераспределения энергии.</w:t>
      </w:r>
    </w:p>
    <w:p>
      <w:pPr>
        <w:numPr>
          <w:ilvl w:val="0"/>
          <w:numId w:val="1003"/>
        </w:numPr>
        <w:pStyle w:val="Compact"/>
      </w:pPr>
      <m:oMath>
        <m:r>
          <m:t>T</m:t>
        </m:r>
      </m:oMath>
      <w:r>
        <w:t xml:space="preserve"> </w:t>
      </w:r>
      <w:r>
        <w:t xml:space="preserve">— температура в данной точке.</w:t>
      </w:r>
    </w:p>
    <w:bookmarkEnd w:id="26"/>
    <w:bookmarkEnd w:id="27"/>
    <w:bookmarkStart w:id="32" w:name="размерная-система-уравнений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Размерная система уравнений</w:t>
      </w:r>
    </w:p>
    <w:bookmarkStart w:id="31" w:name="одномерный-случай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Одномерный случай</w:t>
      </w:r>
    </w:p>
    <w:p>
      <w:pPr>
        <w:pStyle w:val="FirstParagraph"/>
      </w:pPr>
      <w:r>
        <w:t xml:space="preserve">В одномерном случае необходимо добавить уравнение теплопроводности с дополнительным членом, отвечающим за энерговыделение:</w:t>
      </w:r>
    </w:p>
    <w:p>
      <w:pPr>
        <w:pStyle w:val="BodyText"/>
      </w:pPr>
      <w:r>
        <w:drawing>
          <wp:inline>
            <wp:extent cx="1866900" cy="52580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2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m:oMath>
        <m:r>
          <m:t>ρ</m:t>
        </m:r>
      </m:oMath>
      <w:r>
        <w:t xml:space="preserve"> </w:t>
      </w:r>
      <w:r>
        <w:t xml:space="preserve">— плотность,</w:t>
      </w:r>
    </w:p>
    <w:p>
      <w:pPr>
        <w:numPr>
          <w:ilvl w:val="0"/>
          <w:numId w:val="1004"/>
        </w:numPr>
        <w:pStyle w:val="Compact"/>
      </w:pPr>
      <m:oMath>
        <m:r>
          <m:t>c</m:t>
        </m:r>
      </m:oMath>
      <w:r>
        <w:t xml:space="preserve"> </w:t>
      </w:r>
      <w:r>
        <w:t xml:space="preserve">— удельная теплоемкость.</w:t>
      </w:r>
    </w:p>
    <w:p>
      <w:pPr>
        <w:numPr>
          <w:ilvl w:val="0"/>
          <w:numId w:val="1004"/>
        </w:numPr>
        <w:pStyle w:val="Compact"/>
      </w:pPr>
      <m:oMath>
        <m:r>
          <m:t>κ</m:t>
        </m:r>
      </m:oMath>
      <w:r>
        <w:t xml:space="preserve"> </w:t>
      </w:r>
      <w:r>
        <w:t xml:space="preserve">— коэффициент теплопроводности.</w:t>
      </w:r>
    </w:p>
    <w:p>
      <w:pPr>
        <w:numPr>
          <w:ilvl w:val="0"/>
          <w:numId w:val="1004"/>
        </w:numPr>
        <w:pStyle w:val="Compact"/>
      </w:pPr>
      <m:oMath>
        <m:r>
          <m:t>Q</m:t>
        </m:r>
      </m:oMath>
      <w:r>
        <w:t xml:space="preserve"> </w:t>
      </w:r>
      <w:r>
        <w:t xml:space="preserve">— удельное энерговыделение при</w:t>
      </w:r>
      <w:r>
        <w:t xml:space="preserve"> </w:t>
      </w:r>
      <m:oMath>
        <m:r>
          <m:t>Х</m:t>
        </m:r>
        <m:r>
          <m:t>Р</m:t>
        </m:r>
      </m:oMath>
      <w:r>
        <w:t xml:space="preserve">.</w:t>
      </w:r>
    </w:p>
    <w:bookmarkEnd w:id="31"/>
    <w:bookmarkEnd w:id="32"/>
    <w:bookmarkStart w:id="37" w:name="размерная-система-уравнений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Размерная система уравнений</w:t>
      </w:r>
    </w:p>
    <w:bookmarkStart w:id="36" w:name="одномерный-случай-1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Одномерный случай</w:t>
      </w:r>
    </w:p>
    <w:p>
      <w:pPr>
        <w:pStyle w:val="FirstParagraph"/>
      </w:pPr>
      <w:r>
        <w:t xml:space="preserve">В этой системе уравнений возможен режим в виде самостоятельно распространяющейся волны горения:</w:t>
      </w:r>
    </w:p>
    <w:p>
      <w:pPr>
        <w:pStyle w:val="BodyText"/>
      </w:pPr>
      <w:r>
        <w:drawing>
          <wp:inline>
            <wp:extent cx="2933700" cy="151281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1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Xcaa1066dc1b8230b0926627740218b4fba8ed5f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Система уравнений для безразмерных величин</w:t>
      </w:r>
    </w:p>
    <w:p>
      <w:pPr>
        <w:pStyle w:val="FirstParagraph"/>
      </w:pPr>
      <w:r>
        <w:t xml:space="preserve">Поделив уравнение теплопроводности на</w:t>
      </w:r>
      <w:r>
        <w:t xml:space="preserve"> </w:t>
      </w:r>
      <m:oMath>
        <m:r>
          <m:t>ρ</m:t>
        </m:r>
        <m:r>
          <m:t>Q</m:t>
        </m:r>
      </m:oMath>
      <w:r>
        <w:t xml:space="preserve"> </w:t>
      </w:r>
      <w:r>
        <w:t xml:space="preserve">и перейдя к безразмерным температуре</w:t>
      </w:r>
      <w:r>
        <w:t xml:space="preserve"> </w:t>
      </w:r>
      <m:oMath>
        <m:r>
          <m:t>T</m:t>
        </m:r>
        <m:r>
          <m:rPr>
            <m:sty m:val="p"/>
          </m:rPr>
          <m:t>˜</m:t>
        </m:r>
        <m:r>
          <m:rPr>
            <m:sty m:val="p"/>
          </m:rPr>
          <m:t>=</m:t>
        </m:r>
        <m:r>
          <m:t>c</m:t>
        </m:r>
        <m:r>
          <m:t>T</m:t>
        </m:r>
        <m:r>
          <m:rPr>
            <m:sty m:val="p"/>
          </m:rPr>
          <m:t>/</m:t>
        </m:r>
        <m:r>
          <m:t>Q</m:t>
        </m:r>
      </m:oMath>
      <w:r>
        <w:t xml:space="preserve"> </w:t>
      </w:r>
      <w:r>
        <w:t xml:space="preserve">и энергии активации</w:t>
      </w:r>
      <w:r>
        <w:t xml:space="preserve"> </w:t>
      </w:r>
      <m:oMath>
        <m:r>
          <m:t>E</m:t>
        </m:r>
        <m:r>
          <m:rPr>
            <m:sty m:val="p"/>
          </m:rPr>
          <m:t>˜</m:t>
        </m:r>
        <m:r>
          <m:rPr>
            <m:sty m:val="p"/>
          </m:rPr>
          <m:t>=</m:t>
        </m:r>
        <m:r>
          <m:t>c</m:t>
        </m:r>
        <m:r>
          <m:t>E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Q</m:t>
            </m:r>
          </m:e>
        </m:d>
      </m:oMath>
      <w:r>
        <w:t xml:space="preserve">, получим систему уравнений:</w:t>
      </w:r>
    </w:p>
    <w:p>
      <w:pPr>
        <w:pStyle w:val="BodyText"/>
      </w:pPr>
      <w:r>
        <w:drawing>
          <wp:inline>
            <wp:extent cx="1600200" cy="90522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0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χ</m:t>
        </m:r>
      </m:oMath>
      <w:r>
        <w:t xml:space="preserve"> </w:t>
      </w:r>
      <w:r>
        <w:t xml:space="preserve">= κ/ρc называется коэффициентом температуропроводности.</w:t>
      </w:r>
    </w:p>
    <w:p>
      <w:pPr>
        <w:pStyle w:val="BodyText"/>
      </w:pPr>
      <w:r>
        <w:t xml:space="preserve">Из имеющихся в системе уравнений и трех параметров наиболее интересна безразмерная энергия активации</w:t>
      </w:r>
      <w:r>
        <w:t xml:space="preserve"> </w:t>
      </w:r>
      <m:oMath>
        <m:r>
          <m:t>E</m:t>
        </m:r>
      </m:oMath>
      <w:r>
        <w:t xml:space="preserve">, равная отношению энергии активации к теплоте реакции. Именно этот параметр определяет режим волны горения, а остальные параметры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χ</m:t>
        </m:r>
      </m:oMath>
      <w:r>
        <w:t xml:space="preserve"> </w:t>
      </w:r>
      <w:r>
        <w:t xml:space="preserve">только масштабируют явление во времени и в пространстве.</w:t>
      </w:r>
    </w:p>
    <w:bookmarkEnd w:id="41"/>
    <w:bookmarkStart w:id="43" w:name="различные-режимы-горения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Различные режимы горения</w:t>
      </w:r>
    </w:p>
    <w:bookmarkStart w:id="42" w:name="одномерный-случай-2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t xml:space="preserve">Одномерный случай</w:t>
      </w:r>
    </w:p>
    <w:p>
      <w:pPr>
        <w:numPr>
          <w:ilvl w:val="0"/>
          <w:numId w:val="1005"/>
        </w:numPr>
        <w:pStyle w:val="Compact"/>
      </w:pPr>
      <w:r>
        <w:t xml:space="preserve">Первый режим — скорость распространения волны постоянна, а профили температуры и концентрации переносятся вдоль оси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не деформируясь.</w:t>
      </w:r>
    </w:p>
    <w:p>
      <w:pPr>
        <w:numPr>
          <w:ilvl w:val="0"/>
          <w:numId w:val="1005"/>
        </w:numPr>
        <w:pStyle w:val="Compact"/>
      </w:pPr>
      <w:r>
        <w:t xml:space="preserve">Второй режим — скорость волны переменная, и горение распространяется в виде чередующихся вспышек и угасаний. От значения параметра</w:t>
      </w:r>
      <w:r>
        <w:t xml:space="preserve"> </w:t>
      </w:r>
      <m:oMath>
        <m:r>
          <m:t>E</m:t>
        </m:r>
      </m:oMath>
      <w:r>
        <w:t xml:space="preserve">, зависит какой режим реализуется.</w:t>
      </w:r>
    </w:p>
    <w:bookmarkEnd w:id="42"/>
    <w:bookmarkEnd w:id="43"/>
    <w:bookmarkStart w:id="51" w:name="различные-режимы-горения-1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Различные режимы горения</w:t>
      </w:r>
    </w:p>
    <w:bookmarkStart w:id="50" w:name="двумерный-случай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Двумерный случай</w:t>
      </w:r>
    </w:p>
    <w:p>
      <w:pPr>
        <w:pStyle w:val="FirstParagraph"/>
      </w:pPr>
      <w:r>
        <w:t xml:space="preserve">Для моделирования волны горения в двумерном случае в уравнение:</w:t>
      </w:r>
    </w:p>
    <w:p>
      <w:pPr>
        <w:pStyle w:val="BodyText"/>
      </w:pPr>
      <w:r>
        <w:drawing>
          <wp:inline>
            <wp:extent cx="1600200" cy="45495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Нужно добавить перенос тепла по второй координате:</w:t>
      </w:r>
    </w:p>
    <w:p>
      <w:pPr>
        <w:pStyle w:val="BodyText"/>
      </w:pPr>
      <w:r>
        <w:drawing>
          <wp:inline>
            <wp:extent cx="533400" cy="483393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56" w:name="различные-режимы-горения-2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Различные режимы горения</w:t>
      </w:r>
    </w:p>
    <w:bookmarkStart w:id="55" w:name="спиновое-горение"/>
    <w:p>
      <w:pPr>
        <w:pStyle w:val="Heading3"/>
      </w:pPr>
      <w:r>
        <w:rPr>
          <w:rStyle w:val="SectionNumber"/>
        </w:rPr>
        <w:t xml:space="preserve">4.7.1</w:t>
      </w:r>
      <w:r>
        <w:tab/>
      </w:r>
      <w:r>
        <w:t xml:space="preserve">Спиновое горение</w:t>
      </w:r>
    </w:p>
    <w:p>
      <w:pPr>
        <w:pStyle w:val="FirstParagraph"/>
      </w:pPr>
      <w:r>
        <w:t xml:space="preserve">Кроме стационарного и пульсирующего режимов для этой двухмерной системы возможен третий режим распространения волны горения — спиновый. При этом фронт состоит из нескольких зон горения, распространяющихся по винтовой линии</w:t>
      </w:r>
      <w:r>
        <w:t xml:space="preserve"> </w:t>
      </w:r>
      <w:r>
        <w:t xml:space="preserve">вдоль цилиндра.</w:t>
      </w:r>
    </w:p>
    <w:p>
      <w:pPr>
        <w:pStyle w:val="BodyText"/>
      </w:pPr>
      <w:r>
        <w:drawing>
          <wp:inline>
            <wp:extent cx="1066800" cy="1430413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Start w:id="63" w:name="явная-разностная-схема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Явная разностная схема</w:t>
      </w:r>
    </w:p>
    <w:p>
      <w:pPr>
        <w:pStyle w:val="FirstParagraph"/>
      </w:pPr>
      <w:r>
        <w:t xml:space="preserve">Рассмотрим численные методы решения одномерного уравнения теплопроводности без химических реакций:</w:t>
      </w:r>
    </w:p>
    <w:p>
      <w:pPr>
        <w:pStyle w:val="BodyText"/>
      </w:pPr>
      <w:r>
        <w:drawing>
          <wp:inline>
            <wp:extent cx="809625" cy="41927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1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этого в уравнении теплопроводности заменим частные производные на разностные:</w:t>
      </w:r>
    </w:p>
    <w:p>
      <w:pPr>
        <w:pStyle w:val="BodyText"/>
      </w:pPr>
      <w:r>
        <w:drawing>
          <wp:inline>
            <wp:extent cx="3467100" cy="50835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0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явная-разностная-схема-1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Явная разностная схема</w:t>
      </w:r>
    </w:p>
    <w:p>
      <w:pPr>
        <w:pStyle w:val="FirstParagraph"/>
      </w:pPr>
      <w:r>
        <w:t xml:space="preserve">Теперь, чтобы учесть</w:t>
      </w:r>
      <w:r>
        <w:t xml:space="preserve"> </w:t>
      </w:r>
      <m:oMath>
        <m:r>
          <m:t>Х</m:t>
        </m:r>
        <m:r>
          <m:t>Р</m:t>
        </m:r>
      </m:oMath>
      <w:r>
        <w:t xml:space="preserve">, добавим к прошлой формуле изменение безразмерной температуры за счет энерговыделения в химических реакциях за шаг по времени:</w:t>
      </w:r>
    </w:p>
    <w:p>
      <w:pPr>
        <w:pStyle w:val="BodyText"/>
      </w:pPr>
      <w:r>
        <w:drawing>
          <wp:inline>
            <wp:extent cx="3467100" cy="122444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2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</m:oMath>
    </w:p>
    <w:bookmarkEnd w:id="67"/>
    <w:bookmarkStart w:id="77" w:name="неявные-разностные-схемы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Неявные разностные схемы</w:t>
      </w:r>
    </w:p>
    <w:p>
      <w:pPr>
        <w:pStyle w:val="FirstParagraph"/>
      </w:pPr>
      <w:r>
        <w:t xml:space="preserve">Явная схема, устойчива:</w:t>
      </w:r>
    </w:p>
    <w:p>
      <w:pPr>
        <w:pStyle w:val="BodyText"/>
      </w:pPr>
      <w:r>
        <w:drawing>
          <wp:inline>
            <wp:extent cx="3200400" cy="40005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Неявная схема, всегда устойчива:</w:t>
      </w:r>
    </w:p>
    <w:p>
      <w:pPr>
        <w:pStyle w:val="BodyText"/>
      </w:pPr>
      <w:r>
        <w:drawing>
          <wp:inline>
            <wp:extent cx="3200400" cy="39331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Неявная схема Кранка-Николсон, всегда устойчива:</w:t>
      </w:r>
    </w:p>
    <w:p>
      <w:pPr>
        <w:pStyle w:val="BodyText"/>
      </w:pPr>
      <w:r>
        <w:drawing>
          <wp:inline>
            <wp:extent cx="3200400" cy="35318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неявные-разностные-схемы-1"/>
    <w:p>
      <w:pPr>
        <w:pStyle w:val="Heading2"/>
      </w:pPr>
      <w:r>
        <w:rPr>
          <w:rStyle w:val="SectionNumber"/>
        </w:rPr>
        <w:t xml:space="preserve">4.11</w:t>
      </w:r>
      <w:r>
        <w:tab/>
      </w:r>
      <w:r>
        <w:t xml:space="preserve">Неявные разностные схемы</w:t>
      </w:r>
    </w:p>
    <w:p>
      <w:pPr>
        <w:pStyle w:val="FirstParagraph"/>
      </w:pPr>
      <w:r>
        <w:t xml:space="preserve">Преобразовав выражение для третьей схемы, получим систему n уравнений:</w:t>
      </w:r>
    </w:p>
    <w:p>
      <w:pPr>
        <w:pStyle w:val="BodyText"/>
      </w:pPr>
      <w:r>
        <w:drawing>
          <wp:inline>
            <wp:extent cx="4533900" cy="553104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5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Start w:id="85" w:name="заключительная-часть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Заключительная часть</w:t>
      </w:r>
    </w:p>
    <w:bookmarkStart w:id="83" w:name="результаты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Мы рассмотрели понятия теплопроводности и горения (детерминированного в том числе). Мы познакомились с понятиями, используемыми при изучении и построении уравнений теплопроводности и детерминированного горения.</w:t>
      </w:r>
    </w:p>
    <w:bookmarkEnd w:id="83"/>
    <w:bookmarkStart w:id="84" w:name="источники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Источники</w:t>
      </w:r>
    </w:p>
    <w:p>
      <w:pPr>
        <w:pStyle w:val="FirstParagraph"/>
      </w:pPr>
      <w:r>
        <w:t xml:space="preserve">Медведев Д. А., Куперштох А. Л., Прууэл Э. Р., Сатонкина Н. П., Карпов Д. И. Моделирование физических процессов и явлений на ПК: Учеб. пособие / Новосибирск: Новосиб. гос. ун-т., 2010. — 101 с.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Теплопроводность, детерминированное горение</dc:title>
  <dc:creator/>
  <dc:language>ru-RU</dc:language>
  <cp:keywords/>
  <dcterms:created xsi:type="dcterms:W3CDTF">2025-03-22T17:35:55Z</dcterms:created>
  <dcterms:modified xsi:type="dcterms:W3CDTF">2025-03-22T17:35:55Z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Этап № 1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