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6ACD7" w14:textId="61DDFED3" w:rsidR="00287689" w:rsidRPr="00B81A15" w:rsidRDefault="00287689" w:rsidP="00287689">
      <w:pPr>
        <w:pStyle w:val="SEPMainTitle"/>
        <w:rPr>
          <w:noProof/>
          <w:szCs w:val="22"/>
        </w:rPr>
      </w:pPr>
      <w:r w:rsidRPr="00FB057A">
        <w:rPr>
          <w:noProof/>
          <w:color w:val="auto"/>
        </w:rPr>
        <mc:AlternateContent>
          <mc:Choice Requires="wps">
            <w:drawing>
              <wp:anchor distT="0" distB="0" distL="114300" distR="114300" simplePos="0" relativeHeight="251694080" behindDoc="0" locked="0" layoutInCell="1" allowOverlap="1" wp14:anchorId="2F460EEC" wp14:editId="2DB72F01">
                <wp:simplePos x="0" y="0"/>
                <wp:positionH relativeFrom="page">
                  <wp:align>right</wp:align>
                </wp:positionH>
                <wp:positionV relativeFrom="paragraph">
                  <wp:posOffset>5237187</wp:posOffset>
                </wp:positionV>
                <wp:extent cx="1947672" cy="2286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947672"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4D857D86" w14:textId="77777777" w:rsidR="00943601" w:rsidRPr="00CF2FD5" w:rsidRDefault="00943601" w:rsidP="00287689">
                            <w:pPr>
                              <w:pStyle w:val="Right-Credit"/>
                              <w:rPr>
                                <w:color w:val="FFFFFF" w:themeColor="background1"/>
                              </w:rPr>
                            </w:pPr>
                            <w:r w:rsidRPr="00CF2FD5">
                              <w:rPr>
                                <w:color w:val="FFFFFF" w:themeColor="background1"/>
                              </w:rPr>
                              <w:t>Morgana Wingard For USAID</w:t>
                            </w:r>
                          </w:p>
                        </w:txbxContent>
                      </wps:txbx>
                      <wps:bodyPr rot="0" spcFirstLastPara="0" vertOverflow="overflow" horzOverflow="overflow" vert="horz" wrap="square" lIns="2"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F460EEC" id="_x0000_t202" coordsize="21600,21600" o:spt="202" path="m,l,21600r21600,l21600,xe">
                <v:stroke joinstyle="miter"/>
                <v:path gradientshapeok="t" o:connecttype="rect"/>
              </v:shapetype>
              <v:shape id="Text Box 23" o:spid="_x0000_s1026" type="#_x0000_t202" style="position:absolute;left:0;text-align:left;margin-left:102.15pt;margin-top:412.4pt;width:153.35pt;height:18pt;z-index:2516940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" filled="f" stroked="f">
                <v:textbox style="mso-fit-shape-to-text:t" inset="6e-5mm">
                  <w:txbxContent>
                    <w:p w14:paraId="4D857D86" w14:textId="77777777" w:rsidR="00943601" w:rsidRPr="00CF2FD5" w:rsidRDefault="00943601" w:rsidP="00287689">
                      <w:pPr>
                        <w:pStyle w:val="Right-Credit"/>
                        <w:rPr>
                          <w:color w:val="FFFFFF" w:themeColor="background1"/>
                        </w:rPr>
                      </w:pPr>
                      <w:r w:rsidRPr="00CF2FD5">
                        <w:rPr>
                          <w:color w:val="FFFFFF" w:themeColor="background1"/>
                        </w:rPr>
                        <w:t>Morgana Wingard For USAID</w:t>
                      </w:r>
                    </w:p>
                  </w:txbxContent>
                </v:textbox>
                <w10:wrap type="square" anchorx="page"/>
              </v:shape>
            </w:pict>
          </mc:Fallback>
        </mc:AlternateContent>
      </w:r>
    </w:p>
    <w:p w14:paraId="6DAB6CCB" w14:textId="55FBDF93" w:rsidR="00E151DD" w:rsidRPr="00DC3267" w:rsidRDefault="00E151DD" w:rsidP="00287689">
      <w:pPr>
        <w:jc w:val="center"/>
        <w:rPr>
          <w:rFonts w:asciiTheme="minorHAnsi" w:hAnsiTheme="minorHAnsi" w:cstheme="minorHAnsi"/>
        </w:rPr>
      </w:pPr>
    </w:p>
    <w:p w14:paraId="5C33D7D6" w14:textId="602CEB5B" w:rsidR="004F2B7B" w:rsidRPr="00287689" w:rsidRDefault="004F2B7B" w:rsidP="00287689">
      <w:pPr>
        <w:pStyle w:val="SEPMainTitle"/>
        <w:rPr>
          <w:noProof/>
          <w:szCs w:val="22"/>
        </w:rPr>
      </w:pPr>
    </w:p>
    <w:p w14:paraId="1BECFEF4" w14:textId="5D4000D7" w:rsidR="00804C30" w:rsidRDefault="00804C30" w:rsidP="00BA4846">
      <w:pPr>
        <w:spacing w:line="240" w:lineRule="auto"/>
        <w:jc w:val="center"/>
        <w:rPr>
          <w:color w:val="7F7F7F"/>
          <w:sz w:val="48"/>
          <w:szCs w:val="48"/>
        </w:rPr>
      </w:pPr>
      <w:r>
        <w:rPr>
          <w:color w:val="7F7F7F"/>
          <w:sz w:val="48"/>
          <w:szCs w:val="48"/>
        </w:rPr>
        <w:t>Commercial Code</w:t>
      </w:r>
    </w:p>
    <w:p w14:paraId="44A903F1" w14:textId="401941EC" w:rsidR="004F2B7B" w:rsidRPr="00DC3267" w:rsidRDefault="004F2B7B" w:rsidP="00A22D29">
      <w:pPr>
        <w:pStyle w:val="BodyText"/>
        <w:sectPr w:rsidR="004F2B7B" w:rsidRPr="00DC3267" w:rsidSect="00E56A80">
          <w:footerReference w:type="first" r:id="rId12"/>
          <w:pgSz w:w="11907" w:h="16840" w:code="9"/>
          <w:pgMar w:top="1418" w:right="1701" w:bottom="1418" w:left="1701" w:header="709" w:footer="709" w:gutter="0"/>
          <w:pgNumType w:fmt="lowerRoman" w:start="1"/>
          <w:cols w:space="708"/>
          <w:titlePg/>
          <w:docGrid w:linePitch="360"/>
        </w:sectPr>
      </w:pPr>
    </w:p>
    <w:p w14:paraId="40326265" w14:textId="60EA7347" w:rsidR="0048723D" w:rsidRPr="00DC3267" w:rsidRDefault="0048723D" w:rsidP="00DC004F">
      <w:pPr>
        <w:pStyle w:val="Title"/>
        <w:spacing w:line="276" w:lineRule="auto"/>
        <w:rPr>
          <w:rFonts w:asciiTheme="minorHAnsi" w:hAnsiTheme="minorHAnsi" w:cstheme="minorHAnsi"/>
        </w:rPr>
      </w:pPr>
      <w:r w:rsidRPr="00DC3267">
        <w:rPr>
          <w:rFonts w:asciiTheme="minorHAnsi" w:hAnsiTheme="minorHAnsi" w:cstheme="minorHAnsi"/>
        </w:rPr>
        <w:lastRenderedPageBreak/>
        <w:t>Table of Contents</w:t>
      </w:r>
    </w:p>
    <w:p w14:paraId="67F582F9" w14:textId="77777777" w:rsidR="00F739D7" w:rsidRPr="00DC3267" w:rsidRDefault="00F739D7" w:rsidP="00DC004F">
      <w:pPr>
        <w:rPr>
          <w:rFonts w:asciiTheme="minorHAnsi" w:hAnsiTheme="minorHAnsi" w:cstheme="minorHAnsi"/>
        </w:rPr>
      </w:pPr>
    </w:p>
    <w:p w14:paraId="6861FFD3" w14:textId="33732FFE" w:rsidR="00587185" w:rsidRDefault="001C4A85">
      <w:pPr>
        <w:pStyle w:val="TOC1"/>
        <w:tabs>
          <w:tab w:val="left" w:pos="1540"/>
          <w:tab w:val="right" w:leader="dot" w:pos="9345"/>
        </w:tabs>
        <w:rPr>
          <w:rFonts w:asciiTheme="minorHAnsi" w:eastAsiaTheme="minorEastAsia" w:hAnsiTheme="minorHAnsi"/>
          <w:b w:val="0"/>
          <w:smallCaps w:val="0"/>
          <w:noProof/>
          <w:color w:val="auto"/>
          <w:lang w:val="en-IN" w:eastAsia="en-IN"/>
        </w:rPr>
      </w:pPr>
      <w:r>
        <w:rPr>
          <w:rFonts w:asciiTheme="minorHAnsi" w:hAnsiTheme="minorHAnsi" w:cstheme="minorHAnsi"/>
          <w:u w:val="single"/>
        </w:rPr>
        <w:fldChar w:fldCharType="begin"/>
      </w:r>
      <w:r>
        <w:rPr>
          <w:rFonts w:asciiTheme="minorHAnsi" w:hAnsiTheme="minorHAnsi" w:cstheme="minorHAnsi"/>
          <w:u w:val="single"/>
        </w:rPr>
        <w:instrText xml:space="preserve"> TOC \o "1-2" \h \z \u </w:instrText>
      </w:r>
      <w:r>
        <w:rPr>
          <w:rFonts w:asciiTheme="minorHAnsi" w:hAnsiTheme="minorHAnsi" w:cstheme="minorHAnsi"/>
          <w:u w:val="single"/>
        </w:rPr>
        <w:fldChar w:fldCharType="separate"/>
      </w:r>
      <w:hyperlink w:anchor="_Toc69476944" w:history="1">
        <w:r w:rsidR="00587185" w:rsidRPr="00A067E3">
          <w:rPr>
            <w:rStyle w:val="Hyperlink"/>
            <w:noProof/>
          </w:rPr>
          <w:t>Chapter 1.</w:t>
        </w:r>
        <w:r w:rsidR="00587185">
          <w:rPr>
            <w:rFonts w:asciiTheme="minorHAnsi" w:eastAsiaTheme="minorEastAsia" w:hAnsiTheme="minorHAnsi"/>
            <w:b w:val="0"/>
            <w:smallCaps w:val="0"/>
            <w:noProof/>
            <w:color w:val="auto"/>
            <w:lang w:val="en-IN" w:eastAsia="en-IN"/>
          </w:rPr>
          <w:tab/>
        </w:r>
        <w:r w:rsidR="00587185" w:rsidRPr="00A067E3">
          <w:rPr>
            <w:rStyle w:val="Hyperlink"/>
            <w:noProof/>
          </w:rPr>
          <w:t>GENERAL CONDITIONS</w:t>
        </w:r>
        <w:r w:rsidR="00587185">
          <w:rPr>
            <w:noProof/>
            <w:webHidden/>
          </w:rPr>
          <w:tab/>
        </w:r>
        <w:r w:rsidR="00587185">
          <w:rPr>
            <w:noProof/>
            <w:webHidden/>
          </w:rPr>
          <w:fldChar w:fldCharType="begin"/>
        </w:r>
        <w:r w:rsidR="00587185">
          <w:rPr>
            <w:noProof/>
            <w:webHidden/>
          </w:rPr>
          <w:instrText xml:space="preserve"> PAGEREF _Toc69476944 \h </w:instrText>
        </w:r>
        <w:r w:rsidR="00587185">
          <w:rPr>
            <w:noProof/>
            <w:webHidden/>
          </w:rPr>
        </w:r>
        <w:r w:rsidR="00587185">
          <w:rPr>
            <w:noProof/>
            <w:webHidden/>
          </w:rPr>
          <w:fldChar w:fldCharType="separate"/>
        </w:r>
        <w:r w:rsidR="00587185">
          <w:rPr>
            <w:noProof/>
            <w:webHidden/>
          </w:rPr>
          <w:t>7</w:t>
        </w:r>
        <w:r w:rsidR="00587185">
          <w:rPr>
            <w:noProof/>
            <w:webHidden/>
          </w:rPr>
          <w:fldChar w:fldCharType="end"/>
        </w:r>
      </w:hyperlink>
    </w:p>
    <w:p w14:paraId="12A02E74" w14:textId="4CF47D3A"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45" w:history="1">
        <w:r w:rsidR="00587185" w:rsidRPr="00A067E3">
          <w:rPr>
            <w:rStyle w:val="Hyperlink"/>
            <w:noProof/>
          </w:rPr>
          <w:t>1.1. Objectives and Scope</w:t>
        </w:r>
        <w:r w:rsidR="00587185">
          <w:rPr>
            <w:noProof/>
            <w:webHidden/>
          </w:rPr>
          <w:tab/>
        </w:r>
        <w:r w:rsidR="00587185">
          <w:rPr>
            <w:noProof/>
            <w:webHidden/>
          </w:rPr>
          <w:fldChar w:fldCharType="begin"/>
        </w:r>
        <w:r w:rsidR="00587185">
          <w:rPr>
            <w:noProof/>
            <w:webHidden/>
          </w:rPr>
          <w:instrText xml:space="preserve"> PAGEREF _Toc69476945 \h </w:instrText>
        </w:r>
        <w:r w:rsidR="00587185">
          <w:rPr>
            <w:noProof/>
            <w:webHidden/>
          </w:rPr>
        </w:r>
        <w:r w:rsidR="00587185">
          <w:rPr>
            <w:noProof/>
            <w:webHidden/>
          </w:rPr>
          <w:fldChar w:fldCharType="separate"/>
        </w:r>
        <w:r w:rsidR="00587185">
          <w:rPr>
            <w:noProof/>
            <w:webHidden/>
          </w:rPr>
          <w:t>7</w:t>
        </w:r>
        <w:r w:rsidR="00587185">
          <w:rPr>
            <w:noProof/>
            <w:webHidden/>
          </w:rPr>
          <w:fldChar w:fldCharType="end"/>
        </w:r>
      </w:hyperlink>
    </w:p>
    <w:p w14:paraId="2622C1BA" w14:textId="4DE2F258"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46" w:history="1">
        <w:r w:rsidR="00587185" w:rsidRPr="00A067E3">
          <w:rPr>
            <w:rStyle w:val="Hyperlink"/>
            <w:noProof/>
          </w:rPr>
          <w:t>1.2. Interpretation</w:t>
        </w:r>
        <w:r w:rsidR="00587185">
          <w:rPr>
            <w:noProof/>
            <w:webHidden/>
          </w:rPr>
          <w:tab/>
        </w:r>
        <w:r w:rsidR="00587185">
          <w:rPr>
            <w:noProof/>
            <w:webHidden/>
          </w:rPr>
          <w:fldChar w:fldCharType="begin"/>
        </w:r>
        <w:r w:rsidR="00587185">
          <w:rPr>
            <w:noProof/>
            <w:webHidden/>
          </w:rPr>
          <w:instrText xml:space="preserve"> PAGEREF _Toc69476946 \h </w:instrText>
        </w:r>
        <w:r w:rsidR="00587185">
          <w:rPr>
            <w:noProof/>
            <w:webHidden/>
          </w:rPr>
        </w:r>
        <w:r w:rsidR="00587185">
          <w:rPr>
            <w:noProof/>
            <w:webHidden/>
          </w:rPr>
          <w:fldChar w:fldCharType="separate"/>
        </w:r>
        <w:r w:rsidR="00587185">
          <w:rPr>
            <w:noProof/>
            <w:webHidden/>
          </w:rPr>
          <w:t>7</w:t>
        </w:r>
        <w:r w:rsidR="00587185">
          <w:rPr>
            <w:noProof/>
            <w:webHidden/>
          </w:rPr>
          <w:fldChar w:fldCharType="end"/>
        </w:r>
      </w:hyperlink>
    </w:p>
    <w:p w14:paraId="1E6ECF25" w14:textId="073B7317"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47" w:history="1">
        <w:r w:rsidR="00587185" w:rsidRPr="00A067E3">
          <w:rPr>
            <w:rStyle w:val="Hyperlink"/>
            <w:noProof/>
          </w:rPr>
          <w:t>1.3. Amendments to this Code</w:t>
        </w:r>
        <w:r w:rsidR="00587185">
          <w:rPr>
            <w:noProof/>
            <w:webHidden/>
          </w:rPr>
          <w:tab/>
        </w:r>
        <w:r w:rsidR="00587185">
          <w:rPr>
            <w:noProof/>
            <w:webHidden/>
          </w:rPr>
          <w:fldChar w:fldCharType="begin"/>
        </w:r>
        <w:r w:rsidR="00587185">
          <w:rPr>
            <w:noProof/>
            <w:webHidden/>
          </w:rPr>
          <w:instrText xml:space="preserve"> PAGEREF _Toc69476947 \h </w:instrText>
        </w:r>
        <w:r w:rsidR="00587185">
          <w:rPr>
            <w:noProof/>
            <w:webHidden/>
          </w:rPr>
        </w:r>
        <w:r w:rsidR="00587185">
          <w:rPr>
            <w:noProof/>
            <w:webHidden/>
          </w:rPr>
          <w:fldChar w:fldCharType="separate"/>
        </w:r>
        <w:r w:rsidR="00587185">
          <w:rPr>
            <w:noProof/>
            <w:webHidden/>
          </w:rPr>
          <w:t>22</w:t>
        </w:r>
        <w:r w:rsidR="00587185">
          <w:rPr>
            <w:noProof/>
            <w:webHidden/>
          </w:rPr>
          <w:fldChar w:fldCharType="end"/>
        </w:r>
      </w:hyperlink>
    </w:p>
    <w:p w14:paraId="1C0D785D" w14:textId="42146F4B" w:rsidR="00587185" w:rsidRDefault="004D6075">
      <w:pPr>
        <w:pStyle w:val="TOC1"/>
        <w:tabs>
          <w:tab w:val="left" w:pos="1540"/>
          <w:tab w:val="right" w:leader="dot" w:pos="9345"/>
        </w:tabs>
        <w:rPr>
          <w:rFonts w:asciiTheme="minorHAnsi" w:eastAsiaTheme="minorEastAsia" w:hAnsiTheme="minorHAnsi"/>
          <w:b w:val="0"/>
          <w:smallCaps w:val="0"/>
          <w:noProof/>
          <w:color w:val="auto"/>
          <w:lang w:val="en-IN" w:eastAsia="en-IN"/>
        </w:rPr>
      </w:pPr>
      <w:hyperlink w:anchor="_Toc69476948" w:history="1">
        <w:r w:rsidR="00587185" w:rsidRPr="00A067E3">
          <w:rPr>
            <w:rStyle w:val="Hyperlink"/>
            <w:noProof/>
          </w:rPr>
          <w:t>Chapter 2.</w:t>
        </w:r>
        <w:r w:rsidR="00587185">
          <w:rPr>
            <w:rFonts w:asciiTheme="minorHAnsi" w:eastAsiaTheme="minorEastAsia" w:hAnsiTheme="minorHAnsi"/>
            <w:b w:val="0"/>
            <w:smallCaps w:val="0"/>
            <w:noProof/>
            <w:color w:val="auto"/>
            <w:lang w:val="en-IN" w:eastAsia="en-IN"/>
          </w:rPr>
          <w:tab/>
        </w:r>
        <w:r w:rsidR="00587185" w:rsidRPr="00A067E3">
          <w:rPr>
            <w:rStyle w:val="Hyperlink"/>
            <w:noProof/>
          </w:rPr>
          <w:t>ROLES OF INSTITUTIONS IN THE CTBCM</w:t>
        </w:r>
        <w:r w:rsidR="00587185">
          <w:rPr>
            <w:noProof/>
            <w:webHidden/>
          </w:rPr>
          <w:tab/>
        </w:r>
        <w:r w:rsidR="00587185">
          <w:rPr>
            <w:noProof/>
            <w:webHidden/>
          </w:rPr>
          <w:fldChar w:fldCharType="begin"/>
        </w:r>
        <w:r w:rsidR="00587185">
          <w:rPr>
            <w:noProof/>
            <w:webHidden/>
          </w:rPr>
          <w:instrText xml:space="preserve"> PAGEREF _Toc69476948 \h </w:instrText>
        </w:r>
        <w:r w:rsidR="00587185">
          <w:rPr>
            <w:noProof/>
            <w:webHidden/>
          </w:rPr>
        </w:r>
        <w:r w:rsidR="00587185">
          <w:rPr>
            <w:noProof/>
            <w:webHidden/>
          </w:rPr>
          <w:fldChar w:fldCharType="separate"/>
        </w:r>
        <w:r w:rsidR="00587185">
          <w:rPr>
            <w:noProof/>
            <w:webHidden/>
          </w:rPr>
          <w:t>30</w:t>
        </w:r>
        <w:r w:rsidR="00587185">
          <w:rPr>
            <w:noProof/>
            <w:webHidden/>
          </w:rPr>
          <w:fldChar w:fldCharType="end"/>
        </w:r>
      </w:hyperlink>
    </w:p>
    <w:p w14:paraId="4BCF4AEC" w14:textId="74413DA3"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49" w:history="1">
        <w:r w:rsidR="00587185" w:rsidRPr="00A067E3">
          <w:rPr>
            <w:rStyle w:val="Hyperlink"/>
            <w:noProof/>
          </w:rPr>
          <w:t>2.1. Operators</w:t>
        </w:r>
        <w:r w:rsidR="00587185">
          <w:rPr>
            <w:noProof/>
            <w:webHidden/>
          </w:rPr>
          <w:tab/>
        </w:r>
        <w:r w:rsidR="00587185">
          <w:rPr>
            <w:noProof/>
            <w:webHidden/>
          </w:rPr>
          <w:fldChar w:fldCharType="begin"/>
        </w:r>
        <w:r w:rsidR="00587185">
          <w:rPr>
            <w:noProof/>
            <w:webHidden/>
          </w:rPr>
          <w:instrText xml:space="preserve"> PAGEREF _Toc69476949 \h </w:instrText>
        </w:r>
        <w:r w:rsidR="00587185">
          <w:rPr>
            <w:noProof/>
            <w:webHidden/>
          </w:rPr>
        </w:r>
        <w:r w:rsidR="00587185">
          <w:rPr>
            <w:noProof/>
            <w:webHidden/>
          </w:rPr>
          <w:fldChar w:fldCharType="separate"/>
        </w:r>
        <w:r w:rsidR="00587185">
          <w:rPr>
            <w:noProof/>
            <w:webHidden/>
          </w:rPr>
          <w:t>30</w:t>
        </w:r>
        <w:r w:rsidR="00587185">
          <w:rPr>
            <w:noProof/>
            <w:webHidden/>
          </w:rPr>
          <w:fldChar w:fldCharType="end"/>
        </w:r>
      </w:hyperlink>
    </w:p>
    <w:p w14:paraId="6A7A0FFB" w14:textId="5F250652"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50" w:history="1">
        <w:r w:rsidR="00587185" w:rsidRPr="00A067E3">
          <w:rPr>
            <w:rStyle w:val="Hyperlink"/>
            <w:noProof/>
          </w:rPr>
          <w:t>2.2. Market Participants</w:t>
        </w:r>
        <w:r w:rsidR="00587185">
          <w:rPr>
            <w:noProof/>
            <w:webHidden/>
          </w:rPr>
          <w:tab/>
        </w:r>
        <w:r w:rsidR="00587185">
          <w:rPr>
            <w:noProof/>
            <w:webHidden/>
          </w:rPr>
          <w:fldChar w:fldCharType="begin"/>
        </w:r>
        <w:r w:rsidR="00587185">
          <w:rPr>
            <w:noProof/>
            <w:webHidden/>
          </w:rPr>
          <w:instrText xml:space="preserve"> PAGEREF _Toc69476950 \h </w:instrText>
        </w:r>
        <w:r w:rsidR="00587185">
          <w:rPr>
            <w:noProof/>
            <w:webHidden/>
          </w:rPr>
        </w:r>
        <w:r w:rsidR="00587185">
          <w:rPr>
            <w:noProof/>
            <w:webHidden/>
          </w:rPr>
          <w:fldChar w:fldCharType="separate"/>
        </w:r>
        <w:r w:rsidR="00587185">
          <w:rPr>
            <w:noProof/>
            <w:webHidden/>
          </w:rPr>
          <w:t>31</w:t>
        </w:r>
        <w:r w:rsidR="00587185">
          <w:rPr>
            <w:noProof/>
            <w:webHidden/>
          </w:rPr>
          <w:fldChar w:fldCharType="end"/>
        </w:r>
      </w:hyperlink>
    </w:p>
    <w:p w14:paraId="67C3FEA0" w14:textId="3BB491C1"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51" w:history="1">
        <w:r w:rsidR="00587185" w:rsidRPr="00A067E3">
          <w:rPr>
            <w:rStyle w:val="Hyperlink"/>
            <w:noProof/>
          </w:rPr>
          <w:t>2.3. Service Providers</w:t>
        </w:r>
        <w:r w:rsidR="00587185">
          <w:rPr>
            <w:noProof/>
            <w:webHidden/>
          </w:rPr>
          <w:tab/>
        </w:r>
        <w:r w:rsidR="00587185">
          <w:rPr>
            <w:noProof/>
            <w:webHidden/>
          </w:rPr>
          <w:fldChar w:fldCharType="begin"/>
        </w:r>
        <w:r w:rsidR="00587185">
          <w:rPr>
            <w:noProof/>
            <w:webHidden/>
          </w:rPr>
          <w:instrText xml:space="preserve"> PAGEREF _Toc69476951 \h </w:instrText>
        </w:r>
        <w:r w:rsidR="00587185">
          <w:rPr>
            <w:noProof/>
            <w:webHidden/>
          </w:rPr>
        </w:r>
        <w:r w:rsidR="00587185">
          <w:rPr>
            <w:noProof/>
            <w:webHidden/>
          </w:rPr>
          <w:fldChar w:fldCharType="separate"/>
        </w:r>
        <w:r w:rsidR="00587185">
          <w:rPr>
            <w:noProof/>
            <w:webHidden/>
          </w:rPr>
          <w:t>33</w:t>
        </w:r>
        <w:r w:rsidR="00587185">
          <w:rPr>
            <w:noProof/>
            <w:webHidden/>
          </w:rPr>
          <w:fldChar w:fldCharType="end"/>
        </w:r>
      </w:hyperlink>
    </w:p>
    <w:p w14:paraId="650C3649" w14:textId="220BE6B8"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52" w:history="1">
        <w:r w:rsidR="00587185" w:rsidRPr="00A067E3">
          <w:rPr>
            <w:rStyle w:val="Hyperlink"/>
            <w:noProof/>
          </w:rPr>
          <w:t>2.4. Power Procurement</w:t>
        </w:r>
        <w:r w:rsidR="00587185">
          <w:rPr>
            <w:noProof/>
            <w:webHidden/>
          </w:rPr>
          <w:tab/>
        </w:r>
        <w:r w:rsidR="00587185">
          <w:rPr>
            <w:noProof/>
            <w:webHidden/>
          </w:rPr>
          <w:fldChar w:fldCharType="begin"/>
        </w:r>
        <w:r w:rsidR="00587185">
          <w:rPr>
            <w:noProof/>
            <w:webHidden/>
          </w:rPr>
          <w:instrText xml:space="preserve"> PAGEREF _Toc69476952 \h </w:instrText>
        </w:r>
        <w:r w:rsidR="00587185">
          <w:rPr>
            <w:noProof/>
            <w:webHidden/>
          </w:rPr>
        </w:r>
        <w:r w:rsidR="00587185">
          <w:rPr>
            <w:noProof/>
            <w:webHidden/>
          </w:rPr>
          <w:fldChar w:fldCharType="separate"/>
        </w:r>
        <w:r w:rsidR="00587185">
          <w:rPr>
            <w:noProof/>
            <w:webHidden/>
          </w:rPr>
          <w:t>33</w:t>
        </w:r>
        <w:r w:rsidR="00587185">
          <w:rPr>
            <w:noProof/>
            <w:webHidden/>
          </w:rPr>
          <w:fldChar w:fldCharType="end"/>
        </w:r>
      </w:hyperlink>
    </w:p>
    <w:p w14:paraId="208B7985" w14:textId="6F242A25" w:rsidR="00587185" w:rsidRDefault="004D6075">
      <w:pPr>
        <w:pStyle w:val="TOC1"/>
        <w:tabs>
          <w:tab w:val="left" w:pos="1540"/>
          <w:tab w:val="right" w:leader="dot" w:pos="9345"/>
        </w:tabs>
        <w:rPr>
          <w:rFonts w:asciiTheme="minorHAnsi" w:eastAsiaTheme="minorEastAsia" w:hAnsiTheme="minorHAnsi"/>
          <w:b w:val="0"/>
          <w:smallCaps w:val="0"/>
          <w:noProof/>
          <w:color w:val="auto"/>
          <w:lang w:val="en-IN" w:eastAsia="en-IN"/>
        </w:rPr>
      </w:pPr>
      <w:hyperlink w:anchor="_Toc69476953" w:history="1">
        <w:r w:rsidR="00587185" w:rsidRPr="00A067E3">
          <w:rPr>
            <w:rStyle w:val="Hyperlink"/>
            <w:noProof/>
          </w:rPr>
          <w:t>Chapter 3.</w:t>
        </w:r>
        <w:r w:rsidR="00587185">
          <w:rPr>
            <w:rFonts w:asciiTheme="minorHAnsi" w:eastAsiaTheme="minorEastAsia" w:hAnsiTheme="minorHAnsi"/>
            <w:b w:val="0"/>
            <w:smallCaps w:val="0"/>
            <w:noProof/>
            <w:color w:val="auto"/>
            <w:lang w:val="en-IN" w:eastAsia="en-IN"/>
          </w:rPr>
          <w:tab/>
        </w:r>
        <w:r w:rsidR="00587185" w:rsidRPr="00A067E3">
          <w:rPr>
            <w:rStyle w:val="Hyperlink"/>
            <w:noProof/>
          </w:rPr>
          <w:t>MARKET PARTICIPATION</w:t>
        </w:r>
        <w:r w:rsidR="00587185">
          <w:rPr>
            <w:noProof/>
            <w:webHidden/>
          </w:rPr>
          <w:tab/>
        </w:r>
        <w:r w:rsidR="00587185">
          <w:rPr>
            <w:noProof/>
            <w:webHidden/>
          </w:rPr>
          <w:fldChar w:fldCharType="begin"/>
        </w:r>
        <w:r w:rsidR="00587185">
          <w:rPr>
            <w:noProof/>
            <w:webHidden/>
          </w:rPr>
          <w:instrText xml:space="preserve"> PAGEREF _Toc69476953 \h </w:instrText>
        </w:r>
        <w:r w:rsidR="00587185">
          <w:rPr>
            <w:noProof/>
            <w:webHidden/>
          </w:rPr>
        </w:r>
        <w:r w:rsidR="00587185">
          <w:rPr>
            <w:noProof/>
            <w:webHidden/>
          </w:rPr>
          <w:fldChar w:fldCharType="separate"/>
        </w:r>
        <w:r w:rsidR="00587185">
          <w:rPr>
            <w:noProof/>
            <w:webHidden/>
          </w:rPr>
          <w:t>35</w:t>
        </w:r>
        <w:r w:rsidR="00587185">
          <w:rPr>
            <w:noProof/>
            <w:webHidden/>
          </w:rPr>
          <w:fldChar w:fldCharType="end"/>
        </w:r>
      </w:hyperlink>
    </w:p>
    <w:p w14:paraId="21C1A57B" w14:textId="07D84E0E"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54" w:history="1">
        <w:r w:rsidR="00587185" w:rsidRPr="00A067E3">
          <w:rPr>
            <w:rStyle w:val="Hyperlink"/>
            <w:noProof/>
          </w:rPr>
          <w:t>3.1. Market Participant Eligibility Requirements</w:t>
        </w:r>
        <w:r w:rsidR="00587185">
          <w:rPr>
            <w:noProof/>
            <w:webHidden/>
          </w:rPr>
          <w:tab/>
        </w:r>
        <w:r w:rsidR="00587185">
          <w:rPr>
            <w:noProof/>
            <w:webHidden/>
          </w:rPr>
          <w:fldChar w:fldCharType="begin"/>
        </w:r>
        <w:r w:rsidR="00587185">
          <w:rPr>
            <w:noProof/>
            <w:webHidden/>
          </w:rPr>
          <w:instrText xml:space="preserve"> PAGEREF _Toc69476954 \h </w:instrText>
        </w:r>
        <w:r w:rsidR="00587185">
          <w:rPr>
            <w:noProof/>
            <w:webHidden/>
          </w:rPr>
        </w:r>
        <w:r w:rsidR="00587185">
          <w:rPr>
            <w:noProof/>
            <w:webHidden/>
          </w:rPr>
          <w:fldChar w:fldCharType="separate"/>
        </w:r>
        <w:r w:rsidR="00587185">
          <w:rPr>
            <w:noProof/>
            <w:webHidden/>
          </w:rPr>
          <w:t>35</w:t>
        </w:r>
        <w:r w:rsidR="00587185">
          <w:rPr>
            <w:noProof/>
            <w:webHidden/>
          </w:rPr>
          <w:fldChar w:fldCharType="end"/>
        </w:r>
      </w:hyperlink>
    </w:p>
    <w:p w14:paraId="1CF62213" w14:textId="4EE6196D"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55" w:history="1">
        <w:r w:rsidR="00587185" w:rsidRPr="00A067E3">
          <w:rPr>
            <w:rStyle w:val="Hyperlink"/>
            <w:noProof/>
          </w:rPr>
          <w:t>3.2. Rights and Obligations of the Market Participants</w:t>
        </w:r>
        <w:r w:rsidR="00587185">
          <w:rPr>
            <w:noProof/>
            <w:webHidden/>
          </w:rPr>
          <w:tab/>
        </w:r>
        <w:r w:rsidR="00587185">
          <w:rPr>
            <w:noProof/>
            <w:webHidden/>
          </w:rPr>
          <w:fldChar w:fldCharType="begin"/>
        </w:r>
        <w:r w:rsidR="00587185">
          <w:rPr>
            <w:noProof/>
            <w:webHidden/>
          </w:rPr>
          <w:instrText xml:space="preserve"> PAGEREF _Toc69476955 \h </w:instrText>
        </w:r>
        <w:r w:rsidR="00587185">
          <w:rPr>
            <w:noProof/>
            <w:webHidden/>
          </w:rPr>
        </w:r>
        <w:r w:rsidR="00587185">
          <w:rPr>
            <w:noProof/>
            <w:webHidden/>
          </w:rPr>
          <w:fldChar w:fldCharType="separate"/>
        </w:r>
        <w:r w:rsidR="00587185">
          <w:rPr>
            <w:noProof/>
            <w:webHidden/>
          </w:rPr>
          <w:t>35</w:t>
        </w:r>
        <w:r w:rsidR="00587185">
          <w:rPr>
            <w:noProof/>
            <w:webHidden/>
          </w:rPr>
          <w:fldChar w:fldCharType="end"/>
        </w:r>
      </w:hyperlink>
    </w:p>
    <w:p w14:paraId="2985E3D5" w14:textId="639216B1"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56" w:history="1">
        <w:r w:rsidR="00587185" w:rsidRPr="00A067E3">
          <w:rPr>
            <w:rStyle w:val="Hyperlink"/>
            <w:noProof/>
          </w:rPr>
          <w:t>3.3. Procedures to become Market Participant</w:t>
        </w:r>
        <w:r w:rsidR="00587185">
          <w:rPr>
            <w:noProof/>
            <w:webHidden/>
          </w:rPr>
          <w:tab/>
        </w:r>
        <w:r w:rsidR="00587185">
          <w:rPr>
            <w:noProof/>
            <w:webHidden/>
          </w:rPr>
          <w:fldChar w:fldCharType="begin"/>
        </w:r>
        <w:r w:rsidR="00587185">
          <w:rPr>
            <w:noProof/>
            <w:webHidden/>
          </w:rPr>
          <w:instrText xml:space="preserve"> PAGEREF _Toc69476956 \h </w:instrText>
        </w:r>
        <w:r w:rsidR="00587185">
          <w:rPr>
            <w:noProof/>
            <w:webHidden/>
          </w:rPr>
        </w:r>
        <w:r w:rsidR="00587185">
          <w:rPr>
            <w:noProof/>
            <w:webHidden/>
          </w:rPr>
          <w:fldChar w:fldCharType="separate"/>
        </w:r>
        <w:r w:rsidR="00587185">
          <w:rPr>
            <w:noProof/>
            <w:webHidden/>
          </w:rPr>
          <w:t>36</w:t>
        </w:r>
        <w:r w:rsidR="00587185">
          <w:rPr>
            <w:noProof/>
            <w:webHidden/>
          </w:rPr>
          <w:fldChar w:fldCharType="end"/>
        </w:r>
      </w:hyperlink>
    </w:p>
    <w:p w14:paraId="10822D4F" w14:textId="2E6D6DB4"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57" w:history="1">
        <w:r w:rsidR="00587185" w:rsidRPr="00A067E3">
          <w:rPr>
            <w:rStyle w:val="Hyperlink"/>
            <w:noProof/>
          </w:rPr>
          <w:t>3.4. Market Participant Registration</w:t>
        </w:r>
        <w:r w:rsidR="00587185">
          <w:rPr>
            <w:noProof/>
            <w:webHidden/>
          </w:rPr>
          <w:tab/>
        </w:r>
        <w:r w:rsidR="00587185">
          <w:rPr>
            <w:noProof/>
            <w:webHidden/>
          </w:rPr>
          <w:fldChar w:fldCharType="begin"/>
        </w:r>
        <w:r w:rsidR="00587185">
          <w:rPr>
            <w:noProof/>
            <w:webHidden/>
          </w:rPr>
          <w:instrText xml:space="preserve"> PAGEREF _Toc69476957 \h </w:instrText>
        </w:r>
        <w:r w:rsidR="00587185">
          <w:rPr>
            <w:noProof/>
            <w:webHidden/>
          </w:rPr>
        </w:r>
        <w:r w:rsidR="00587185">
          <w:rPr>
            <w:noProof/>
            <w:webHidden/>
          </w:rPr>
          <w:fldChar w:fldCharType="separate"/>
        </w:r>
        <w:r w:rsidR="00587185">
          <w:rPr>
            <w:noProof/>
            <w:webHidden/>
          </w:rPr>
          <w:t>39</w:t>
        </w:r>
        <w:r w:rsidR="00587185">
          <w:rPr>
            <w:noProof/>
            <w:webHidden/>
          </w:rPr>
          <w:fldChar w:fldCharType="end"/>
        </w:r>
      </w:hyperlink>
    </w:p>
    <w:p w14:paraId="6D10FBC0" w14:textId="515CDD07"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58" w:history="1">
        <w:r w:rsidR="00587185" w:rsidRPr="00A067E3">
          <w:rPr>
            <w:rStyle w:val="Hyperlink"/>
            <w:noProof/>
          </w:rPr>
          <w:t>3.5. Termination Of Market Participation</w:t>
        </w:r>
        <w:r w:rsidR="00587185">
          <w:rPr>
            <w:noProof/>
            <w:webHidden/>
          </w:rPr>
          <w:tab/>
        </w:r>
        <w:r w:rsidR="00587185">
          <w:rPr>
            <w:noProof/>
            <w:webHidden/>
          </w:rPr>
          <w:fldChar w:fldCharType="begin"/>
        </w:r>
        <w:r w:rsidR="00587185">
          <w:rPr>
            <w:noProof/>
            <w:webHidden/>
          </w:rPr>
          <w:instrText xml:space="preserve"> PAGEREF _Toc69476958 \h </w:instrText>
        </w:r>
        <w:r w:rsidR="00587185">
          <w:rPr>
            <w:noProof/>
            <w:webHidden/>
          </w:rPr>
        </w:r>
        <w:r w:rsidR="00587185">
          <w:rPr>
            <w:noProof/>
            <w:webHidden/>
          </w:rPr>
          <w:fldChar w:fldCharType="separate"/>
        </w:r>
        <w:r w:rsidR="00587185">
          <w:rPr>
            <w:noProof/>
            <w:webHidden/>
          </w:rPr>
          <w:t>40</w:t>
        </w:r>
        <w:r w:rsidR="00587185">
          <w:rPr>
            <w:noProof/>
            <w:webHidden/>
          </w:rPr>
          <w:fldChar w:fldCharType="end"/>
        </w:r>
      </w:hyperlink>
    </w:p>
    <w:p w14:paraId="3F96DC9A" w14:textId="1E94073E" w:rsidR="00587185" w:rsidRDefault="004D6075">
      <w:pPr>
        <w:pStyle w:val="TOC1"/>
        <w:tabs>
          <w:tab w:val="left" w:pos="1540"/>
          <w:tab w:val="right" w:leader="dot" w:pos="9345"/>
        </w:tabs>
        <w:rPr>
          <w:rFonts w:asciiTheme="minorHAnsi" w:eastAsiaTheme="minorEastAsia" w:hAnsiTheme="minorHAnsi"/>
          <w:b w:val="0"/>
          <w:smallCaps w:val="0"/>
          <w:noProof/>
          <w:color w:val="auto"/>
          <w:lang w:val="en-IN" w:eastAsia="en-IN"/>
        </w:rPr>
      </w:pPr>
      <w:hyperlink w:anchor="_Toc69476959" w:history="1">
        <w:r w:rsidR="00587185" w:rsidRPr="00A067E3">
          <w:rPr>
            <w:rStyle w:val="Hyperlink"/>
            <w:noProof/>
          </w:rPr>
          <w:t>Chapter 4.</w:t>
        </w:r>
        <w:r w:rsidR="00587185">
          <w:rPr>
            <w:rFonts w:asciiTheme="minorHAnsi" w:eastAsiaTheme="minorEastAsia" w:hAnsiTheme="minorHAnsi"/>
            <w:b w:val="0"/>
            <w:smallCaps w:val="0"/>
            <w:noProof/>
            <w:color w:val="auto"/>
            <w:lang w:val="en-IN" w:eastAsia="en-IN"/>
          </w:rPr>
          <w:tab/>
        </w:r>
        <w:r w:rsidR="00587185" w:rsidRPr="00A067E3">
          <w:rPr>
            <w:rStyle w:val="Hyperlink"/>
            <w:noProof/>
          </w:rPr>
          <w:t>CONTRACTS AND CONTRACT REGISTRATION</w:t>
        </w:r>
        <w:r w:rsidR="00587185">
          <w:rPr>
            <w:noProof/>
            <w:webHidden/>
          </w:rPr>
          <w:tab/>
        </w:r>
        <w:r w:rsidR="00587185">
          <w:rPr>
            <w:noProof/>
            <w:webHidden/>
          </w:rPr>
          <w:fldChar w:fldCharType="begin"/>
        </w:r>
        <w:r w:rsidR="00587185">
          <w:rPr>
            <w:noProof/>
            <w:webHidden/>
          </w:rPr>
          <w:instrText xml:space="preserve"> PAGEREF _Toc69476959 \h </w:instrText>
        </w:r>
        <w:r w:rsidR="00587185">
          <w:rPr>
            <w:noProof/>
            <w:webHidden/>
          </w:rPr>
        </w:r>
        <w:r w:rsidR="00587185">
          <w:rPr>
            <w:noProof/>
            <w:webHidden/>
          </w:rPr>
          <w:fldChar w:fldCharType="separate"/>
        </w:r>
        <w:r w:rsidR="00587185">
          <w:rPr>
            <w:noProof/>
            <w:webHidden/>
          </w:rPr>
          <w:t>42</w:t>
        </w:r>
        <w:r w:rsidR="00587185">
          <w:rPr>
            <w:noProof/>
            <w:webHidden/>
          </w:rPr>
          <w:fldChar w:fldCharType="end"/>
        </w:r>
      </w:hyperlink>
    </w:p>
    <w:p w14:paraId="1999D07F" w14:textId="72D41791"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60" w:history="1">
        <w:r w:rsidR="00587185" w:rsidRPr="00A067E3">
          <w:rPr>
            <w:rStyle w:val="Hyperlink"/>
            <w:noProof/>
          </w:rPr>
          <w:t>4.1. Contract Market</w:t>
        </w:r>
        <w:r w:rsidR="00587185">
          <w:rPr>
            <w:noProof/>
            <w:webHidden/>
          </w:rPr>
          <w:tab/>
        </w:r>
        <w:r w:rsidR="00587185">
          <w:rPr>
            <w:noProof/>
            <w:webHidden/>
          </w:rPr>
          <w:fldChar w:fldCharType="begin"/>
        </w:r>
        <w:r w:rsidR="00587185">
          <w:rPr>
            <w:noProof/>
            <w:webHidden/>
          </w:rPr>
          <w:instrText xml:space="preserve"> PAGEREF _Toc69476960 \h </w:instrText>
        </w:r>
        <w:r w:rsidR="00587185">
          <w:rPr>
            <w:noProof/>
            <w:webHidden/>
          </w:rPr>
        </w:r>
        <w:r w:rsidR="00587185">
          <w:rPr>
            <w:noProof/>
            <w:webHidden/>
          </w:rPr>
          <w:fldChar w:fldCharType="separate"/>
        </w:r>
        <w:r w:rsidR="00587185">
          <w:rPr>
            <w:noProof/>
            <w:webHidden/>
          </w:rPr>
          <w:t>42</w:t>
        </w:r>
        <w:r w:rsidR="00587185">
          <w:rPr>
            <w:noProof/>
            <w:webHidden/>
          </w:rPr>
          <w:fldChar w:fldCharType="end"/>
        </w:r>
      </w:hyperlink>
    </w:p>
    <w:p w14:paraId="3CE055BA" w14:textId="3A840656"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61" w:history="1">
        <w:r w:rsidR="00587185" w:rsidRPr="00A067E3">
          <w:rPr>
            <w:rStyle w:val="Hyperlink"/>
            <w:noProof/>
          </w:rPr>
          <w:t>4.2. Contract Formats</w:t>
        </w:r>
        <w:r w:rsidR="00587185">
          <w:rPr>
            <w:noProof/>
            <w:webHidden/>
          </w:rPr>
          <w:tab/>
        </w:r>
        <w:r w:rsidR="00587185">
          <w:rPr>
            <w:noProof/>
            <w:webHidden/>
          </w:rPr>
          <w:fldChar w:fldCharType="begin"/>
        </w:r>
        <w:r w:rsidR="00587185">
          <w:rPr>
            <w:noProof/>
            <w:webHidden/>
          </w:rPr>
          <w:instrText xml:space="preserve"> PAGEREF _Toc69476961 \h </w:instrText>
        </w:r>
        <w:r w:rsidR="00587185">
          <w:rPr>
            <w:noProof/>
            <w:webHidden/>
          </w:rPr>
        </w:r>
        <w:r w:rsidR="00587185">
          <w:rPr>
            <w:noProof/>
            <w:webHidden/>
          </w:rPr>
          <w:fldChar w:fldCharType="separate"/>
        </w:r>
        <w:r w:rsidR="00587185">
          <w:rPr>
            <w:noProof/>
            <w:webHidden/>
          </w:rPr>
          <w:t>43</w:t>
        </w:r>
        <w:r w:rsidR="00587185">
          <w:rPr>
            <w:noProof/>
            <w:webHidden/>
          </w:rPr>
          <w:fldChar w:fldCharType="end"/>
        </w:r>
      </w:hyperlink>
    </w:p>
    <w:p w14:paraId="0545A640" w14:textId="053C025B"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62" w:history="1">
        <w:r w:rsidR="00587185" w:rsidRPr="00A067E3">
          <w:rPr>
            <w:rStyle w:val="Hyperlink"/>
            <w:noProof/>
          </w:rPr>
          <w:t>4.3. Characteristics of Standardized Contracts</w:t>
        </w:r>
        <w:r w:rsidR="00587185">
          <w:rPr>
            <w:noProof/>
            <w:webHidden/>
          </w:rPr>
          <w:tab/>
        </w:r>
        <w:r w:rsidR="00587185">
          <w:rPr>
            <w:noProof/>
            <w:webHidden/>
          </w:rPr>
          <w:fldChar w:fldCharType="begin"/>
        </w:r>
        <w:r w:rsidR="00587185">
          <w:rPr>
            <w:noProof/>
            <w:webHidden/>
          </w:rPr>
          <w:instrText xml:space="preserve"> PAGEREF _Toc69476962 \h </w:instrText>
        </w:r>
        <w:r w:rsidR="00587185">
          <w:rPr>
            <w:noProof/>
            <w:webHidden/>
          </w:rPr>
        </w:r>
        <w:r w:rsidR="00587185">
          <w:rPr>
            <w:noProof/>
            <w:webHidden/>
          </w:rPr>
          <w:fldChar w:fldCharType="separate"/>
        </w:r>
        <w:r w:rsidR="00587185">
          <w:rPr>
            <w:noProof/>
            <w:webHidden/>
          </w:rPr>
          <w:t>44</w:t>
        </w:r>
        <w:r w:rsidR="00587185">
          <w:rPr>
            <w:noProof/>
            <w:webHidden/>
          </w:rPr>
          <w:fldChar w:fldCharType="end"/>
        </w:r>
      </w:hyperlink>
    </w:p>
    <w:p w14:paraId="5C07AB62" w14:textId="4625DA18"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63" w:history="1">
        <w:r w:rsidR="00587185" w:rsidRPr="00A067E3">
          <w:rPr>
            <w:rStyle w:val="Hyperlink"/>
            <w:noProof/>
          </w:rPr>
          <w:t>4.4. Customized Contracts</w:t>
        </w:r>
        <w:r w:rsidR="00587185">
          <w:rPr>
            <w:noProof/>
            <w:webHidden/>
          </w:rPr>
          <w:tab/>
        </w:r>
        <w:r w:rsidR="00587185">
          <w:rPr>
            <w:noProof/>
            <w:webHidden/>
          </w:rPr>
          <w:fldChar w:fldCharType="begin"/>
        </w:r>
        <w:r w:rsidR="00587185">
          <w:rPr>
            <w:noProof/>
            <w:webHidden/>
          </w:rPr>
          <w:instrText xml:space="preserve"> PAGEREF _Toc69476963 \h </w:instrText>
        </w:r>
        <w:r w:rsidR="00587185">
          <w:rPr>
            <w:noProof/>
            <w:webHidden/>
          </w:rPr>
        </w:r>
        <w:r w:rsidR="00587185">
          <w:rPr>
            <w:noProof/>
            <w:webHidden/>
          </w:rPr>
          <w:fldChar w:fldCharType="separate"/>
        </w:r>
        <w:r w:rsidR="00587185">
          <w:rPr>
            <w:noProof/>
            <w:webHidden/>
          </w:rPr>
          <w:t>48</w:t>
        </w:r>
        <w:r w:rsidR="00587185">
          <w:rPr>
            <w:noProof/>
            <w:webHidden/>
          </w:rPr>
          <w:fldChar w:fldCharType="end"/>
        </w:r>
      </w:hyperlink>
    </w:p>
    <w:p w14:paraId="2D46A90B" w14:textId="6D4144A2"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64" w:history="1">
        <w:r w:rsidR="00587185" w:rsidRPr="00A067E3">
          <w:rPr>
            <w:rStyle w:val="Hyperlink"/>
            <w:noProof/>
          </w:rPr>
          <w:t>4.5. Contract Registration</w:t>
        </w:r>
        <w:r w:rsidR="00587185">
          <w:rPr>
            <w:noProof/>
            <w:webHidden/>
          </w:rPr>
          <w:tab/>
        </w:r>
        <w:r w:rsidR="00587185">
          <w:rPr>
            <w:noProof/>
            <w:webHidden/>
          </w:rPr>
          <w:fldChar w:fldCharType="begin"/>
        </w:r>
        <w:r w:rsidR="00587185">
          <w:rPr>
            <w:noProof/>
            <w:webHidden/>
          </w:rPr>
          <w:instrText xml:space="preserve"> PAGEREF _Toc69476964 \h </w:instrText>
        </w:r>
        <w:r w:rsidR="00587185">
          <w:rPr>
            <w:noProof/>
            <w:webHidden/>
          </w:rPr>
        </w:r>
        <w:r w:rsidR="00587185">
          <w:rPr>
            <w:noProof/>
            <w:webHidden/>
          </w:rPr>
          <w:fldChar w:fldCharType="separate"/>
        </w:r>
        <w:r w:rsidR="00587185">
          <w:rPr>
            <w:noProof/>
            <w:webHidden/>
          </w:rPr>
          <w:t>50</w:t>
        </w:r>
        <w:r w:rsidR="00587185">
          <w:rPr>
            <w:noProof/>
            <w:webHidden/>
          </w:rPr>
          <w:fldChar w:fldCharType="end"/>
        </w:r>
      </w:hyperlink>
    </w:p>
    <w:p w14:paraId="0ACFC7B1" w14:textId="746A1195"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65" w:history="1">
        <w:r w:rsidR="00587185" w:rsidRPr="00A067E3">
          <w:rPr>
            <w:rStyle w:val="Hyperlink"/>
            <w:noProof/>
            <w:lang w:val="it-IT"/>
          </w:rPr>
          <w:t>4.6. Contracts Unregistration</w:t>
        </w:r>
        <w:r w:rsidR="00587185">
          <w:rPr>
            <w:noProof/>
            <w:webHidden/>
          </w:rPr>
          <w:tab/>
        </w:r>
        <w:r w:rsidR="00587185">
          <w:rPr>
            <w:noProof/>
            <w:webHidden/>
          </w:rPr>
          <w:fldChar w:fldCharType="begin"/>
        </w:r>
        <w:r w:rsidR="00587185">
          <w:rPr>
            <w:noProof/>
            <w:webHidden/>
          </w:rPr>
          <w:instrText xml:space="preserve"> PAGEREF _Toc69476965 \h </w:instrText>
        </w:r>
        <w:r w:rsidR="00587185">
          <w:rPr>
            <w:noProof/>
            <w:webHidden/>
          </w:rPr>
        </w:r>
        <w:r w:rsidR="00587185">
          <w:rPr>
            <w:noProof/>
            <w:webHidden/>
          </w:rPr>
          <w:fldChar w:fldCharType="separate"/>
        </w:r>
        <w:r w:rsidR="00587185">
          <w:rPr>
            <w:noProof/>
            <w:webHidden/>
          </w:rPr>
          <w:t>54</w:t>
        </w:r>
        <w:r w:rsidR="00587185">
          <w:rPr>
            <w:noProof/>
            <w:webHidden/>
          </w:rPr>
          <w:fldChar w:fldCharType="end"/>
        </w:r>
      </w:hyperlink>
    </w:p>
    <w:p w14:paraId="602C89B8" w14:textId="2F4C9CCC"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66" w:history="1">
        <w:r w:rsidR="00587185" w:rsidRPr="00A067E3">
          <w:rPr>
            <w:rStyle w:val="Hyperlink"/>
            <w:noProof/>
          </w:rPr>
          <w:t>4.7. Legacy Contracts</w:t>
        </w:r>
        <w:r w:rsidR="00587185">
          <w:rPr>
            <w:noProof/>
            <w:webHidden/>
          </w:rPr>
          <w:tab/>
        </w:r>
        <w:r w:rsidR="00587185">
          <w:rPr>
            <w:noProof/>
            <w:webHidden/>
          </w:rPr>
          <w:fldChar w:fldCharType="begin"/>
        </w:r>
        <w:r w:rsidR="00587185">
          <w:rPr>
            <w:noProof/>
            <w:webHidden/>
          </w:rPr>
          <w:instrText xml:space="preserve"> PAGEREF _Toc69476966 \h </w:instrText>
        </w:r>
        <w:r w:rsidR="00587185">
          <w:rPr>
            <w:noProof/>
            <w:webHidden/>
          </w:rPr>
        </w:r>
        <w:r w:rsidR="00587185">
          <w:rPr>
            <w:noProof/>
            <w:webHidden/>
          </w:rPr>
          <w:fldChar w:fldCharType="separate"/>
        </w:r>
        <w:r w:rsidR="00587185">
          <w:rPr>
            <w:noProof/>
            <w:webHidden/>
          </w:rPr>
          <w:t>58</w:t>
        </w:r>
        <w:r w:rsidR="00587185">
          <w:rPr>
            <w:noProof/>
            <w:webHidden/>
          </w:rPr>
          <w:fldChar w:fldCharType="end"/>
        </w:r>
      </w:hyperlink>
    </w:p>
    <w:p w14:paraId="27AC4F6E" w14:textId="028D670D" w:rsidR="00587185" w:rsidRDefault="004D6075">
      <w:pPr>
        <w:pStyle w:val="TOC1"/>
        <w:tabs>
          <w:tab w:val="left" w:pos="1540"/>
          <w:tab w:val="right" w:leader="dot" w:pos="9345"/>
        </w:tabs>
        <w:rPr>
          <w:rFonts w:asciiTheme="minorHAnsi" w:eastAsiaTheme="minorEastAsia" w:hAnsiTheme="minorHAnsi"/>
          <w:b w:val="0"/>
          <w:smallCaps w:val="0"/>
          <w:noProof/>
          <w:color w:val="auto"/>
          <w:lang w:val="en-IN" w:eastAsia="en-IN"/>
        </w:rPr>
      </w:pPr>
      <w:hyperlink w:anchor="_Toc69476967" w:history="1">
        <w:r w:rsidR="00587185" w:rsidRPr="00A067E3">
          <w:rPr>
            <w:rStyle w:val="Hyperlink"/>
            <w:noProof/>
          </w:rPr>
          <w:t>Chapter 5.</w:t>
        </w:r>
        <w:r w:rsidR="00587185">
          <w:rPr>
            <w:rFonts w:asciiTheme="minorHAnsi" w:eastAsiaTheme="minorEastAsia" w:hAnsiTheme="minorHAnsi"/>
            <w:b w:val="0"/>
            <w:smallCaps w:val="0"/>
            <w:noProof/>
            <w:color w:val="auto"/>
            <w:lang w:val="en-IN" w:eastAsia="en-IN"/>
          </w:rPr>
          <w:tab/>
        </w:r>
        <w:r w:rsidR="00587185" w:rsidRPr="00A067E3">
          <w:rPr>
            <w:rStyle w:val="Hyperlink"/>
            <w:noProof/>
          </w:rPr>
          <w:t>COMMERCIAL METERING SYSTEM</w:t>
        </w:r>
        <w:r w:rsidR="00587185">
          <w:rPr>
            <w:noProof/>
            <w:webHidden/>
          </w:rPr>
          <w:tab/>
        </w:r>
        <w:r w:rsidR="00587185">
          <w:rPr>
            <w:noProof/>
            <w:webHidden/>
          </w:rPr>
          <w:fldChar w:fldCharType="begin"/>
        </w:r>
        <w:r w:rsidR="00587185">
          <w:rPr>
            <w:noProof/>
            <w:webHidden/>
          </w:rPr>
          <w:instrText xml:space="preserve"> PAGEREF _Toc69476967 \h </w:instrText>
        </w:r>
        <w:r w:rsidR="00587185">
          <w:rPr>
            <w:noProof/>
            <w:webHidden/>
          </w:rPr>
        </w:r>
        <w:r w:rsidR="00587185">
          <w:rPr>
            <w:noProof/>
            <w:webHidden/>
          </w:rPr>
          <w:fldChar w:fldCharType="separate"/>
        </w:r>
        <w:r w:rsidR="00587185">
          <w:rPr>
            <w:noProof/>
            <w:webHidden/>
          </w:rPr>
          <w:t>60</w:t>
        </w:r>
        <w:r w:rsidR="00587185">
          <w:rPr>
            <w:noProof/>
            <w:webHidden/>
          </w:rPr>
          <w:fldChar w:fldCharType="end"/>
        </w:r>
      </w:hyperlink>
    </w:p>
    <w:p w14:paraId="187004E8" w14:textId="387DA852"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68" w:history="1">
        <w:r w:rsidR="00587185" w:rsidRPr="00A067E3">
          <w:rPr>
            <w:rStyle w:val="Hyperlink"/>
            <w:noProof/>
          </w:rPr>
          <w:t>5.1. Commercial Metering Requirements</w:t>
        </w:r>
        <w:r w:rsidR="00587185">
          <w:rPr>
            <w:noProof/>
            <w:webHidden/>
          </w:rPr>
          <w:tab/>
        </w:r>
        <w:r w:rsidR="00587185">
          <w:rPr>
            <w:noProof/>
            <w:webHidden/>
          </w:rPr>
          <w:fldChar w:fldCharType="begin"/>
        </w:r>
        <w:r w:rsidR="00587185">
          <w:rPr>
            <w:noProof/>
            <w:webHidden/>
          </w:rPr>
          <w:instrText xml:space="preserve"> PAGEREF _Toc69476968 \h </w:instrText>
        </w:r>
        <w:r w:rsidR="00587185">
          <w:rPr>
            <w:noProof/>
            <w:webHidden/>
          </w:rPr>
        </w:r>
        <w:r w:rsidR="00587185">
          <w:rPr>
            <w:noProof/>
            <w:webHidden/>
          </w:rPr>
          <w:fldChar w:fldCharType="separate"/>
        </w:r>
        <w:r w:rsidR="00587185">
          <w:rPr>
            <w:noProof/>
            <w:webHidden/>
          </w:rPr>
          <w:t>60</w:t>
        </w:r>
        <w:r w:rsidR="00587185">
          <w:rPr>
            <w:noProof/>
            <w:webHidden/>
          </w:rPr>
          <w:fldChar w:fldCharType="end"/>
        </w:r>
      </w:hyperlink>
    </w:p>
    <w:p w14:paraId="1C78F8DF" w14:textId="0D233D40"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69" w:history="1">
        <w:r w:rsidR="00587185" w:rsidRPr="00A067E3">
          <w:rPr>
            <w:rStyle w:val="Hyperlink"/>
            <w:noProof/>
          </w:rPr>
          <w:t>5.2. Meter Reading and Data Collection</w:t>
        </w:r>
        <w:r w:rsidR="00587185">
          <w:rPr>
            <w:noProof/>
            <w:webHidden/>
          </w:rPr>
          <w:tab/>
        </w:r>
        <w:r w:rsidR="00587185">
          <w:rPr>
            <w:noProof/>
            <w:webHidden/>
          </w:rPr>
          <w:fldChar w:fldCharType="begin"/>
        </w:r>
        <w:r w:rsidR="00587185">
          <w:rPr>
            <w:noProof/>
            <w:webHidden/>
          </w:rPr>
          <w:instrText xml:space="preserve"> PAGEREF _Toc69476969 \h </w:instrText>
        </w:r>
        <w:r w:rsidR="00587185">
          <w:rPr>
            <w:noProof/>
            <w:webHidden/>
          </w:rPr>
        </w:r>
        <w:r w:rsidR="00587185">
          <w:rPr>
            <w:noProof/>
            <w:webHidden/>
          </w:rPr>
          <w:fldChar w:fldCharType="separate"/>
        </w:r>
        <w:r w:rsidR="00587185">
          <w:rPr>
            <w:noProof/>
            <w:webHidden/>
          </w:rPr>
          <w:t>61</w:t>
        </w:r>
        <w:r w:rsidR="00587185">
          <w:rPr>
            <w:noProof/>
            <w:webHidden/>
          </w:rPr>
          <w:fldChar w:fldCharType="end"/>
        </w:r>
      </w:hyperlink>
    </w:p>
    <w:p w14:paraId="67F04C84" w14:textId="181F2AE2"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70" w:history="1">
        <w:r w:rsidR="00587185" w:rsidRPr="00A067E3">
          <w:rPr>
            <w:rStyle w:val="Hyperlink"/>
            <w:noProof/>
          </w:rPr>
          <w:t>5.3. Meter Reading Verifications</w:t>
        </w:r>
        <w:r w:rsidR="00587185">
          <w:rPr>
            <w:noProof/>
            <w:webHidden/>
          </w:rPr>
          <w:tab/>
        </w:r>
        <w:r w:rsidR="00587185">
          <w:rPr>
            <w:noProof/>
            <w:webHidden/>
          </w:rPr>
          <w:fldChar w:fldCharType="begin"/>
        </w:r>
        <w:r w:rsidR="00587185">
          <w:rPr>
            <w:noProof/>
            <w:webHidden/>
          </w:rPr>
          <w:instrText xml:space="preserve"> PAGEREF _Toc69476970 \h </w:instrText>
        </w:r>
        <w:r w:rsidR="00587185">
          <w:rPr>
            <w:noProof/>
            <w:webHidden/>
          </w:rPr>
        </w:r>
        <w:r w:rsidR="00587185">
          <w:rPr>
            <w:noProof/>
            <w:webHidden/>
          </w:rPr>
          <w:fldChar w:fldCharType="separate"/>
        </w:r>
        <w:r w:rsidR="00587185">
          <w:rPr>
            <w:noProof/>
            <w:webHidden/>
          </w:rPr>
          <w:t>64</w:t>
        </w:r>
        <w:r w:rsidR="00587185">
          <w:rPr>
            <w:noProof/>
            <w:webHidden/>
          </w:rPr>
          <w:fldChar w:fldCharType="end"/>
        </w:r>
      </w:hyperlink>
    </w:p>
    <w:p w14:paraId="08B44510" w14:textId="29BE9B2A"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71" w:history="1">
        <w:r w:rsidR="00587185" w:rsidRPr="00A067E3">
          <w:rPr>
            <w:rStyle w:val="Hyperlink"/>
            <w:noProof/>
          </w:rPr>
          <w:t>5.4. Storage And Custody Of Commercial Metering Data</w:t>
        </w:r>
        <w:r w:rsidR="00587185">
          <w:rPr>
            <w:noProof/>
            <w:webHidden/>
          </w:rPr>
          <w:tab/>
        </w:r>
        <w:r w:rsidR="00587185">
          <w:rPr>
            <w:noProof/>
            <w:webHidden/>
          </w:rPr>
          <w:fldChar w:fldCharType="begin"/>
        </w:r>
        <w:r w:rsidR="00587185">
          <w:rPr>
            <w:noProof/>
            <w:webHidden/>
          </w:rPr>
          <w:instrText xml:space="preserve"> PAGEREF _Toc69476971 \h </w:instrText>
        </w:r>
        <w:r w:rsidR="00587185">
          <w:rPr>
            <w:noProof/>
            <w:webHidden/>
          </w:rPr>
        </w:r>
        <w:r w:rsidR="00587185">
          <w:rPr>
            <w:noProof/>
            <w:webHidden/>
          </w:rPr>
          <w:fldChar w:fldCharType="separate"/>
        </w:r>
        <w:r w:rsidR="00587185">
          <w:rPr>
            <w:noProof/>
            <w:webHidden/>
          </w:rPr>
          <w:t>65</w:t>
        </w:r>
        <w:r w:rsidR="00587185">
          <w:rPr>
            <w:noProof/>
            <w:webHidden/>
          </w:rPr>
          <w:fldChar w:fldCharType="end"/>
        </w:r>
      </w:hyperlink>
    </w:p>
    <w:p w14:paraId="06CA39E1" w14:textId="61ABC06F"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72" w:history="1">
        <w:r w:rsidR="00587185" w:rsidRPr="00A067E3">
          <w:rPr>
            <w:rStyle w:val="Hyperlink"/>
            <w:noProof/>
          </w:rPr>
          <w:t>5.5. Commercial Metering Report</w:t>
        </w:r>
        <w:r w:rsidR="00587185">
          <w:rPr>
            <w:noProof/>
            <w:webHidden/>
          </w:rPr>
          <w:tab/>
        </w:r>
        <w:r w:rsidR="00587185">
          <w:rPr>
            <w:noProof/>
            <w:webHidden/>
          </w:rPr>
          <w:fldChar w:fldCharType="begin"/>
        </w:r>
        <w:r w:rsidR="00587185">
          <w:rPr>
            <w:noProof/>
            <w:webHidden/>
          </w:rPr>
          <w:instrText xml:space="preserve"> PAGEREF _Toc69476972 \h </w:instrText>
        </w:r>
        <w:r w:rsidR="00587185">
          <w:rPr>
            <w:noProof/>
            <w:webHidden/>
          </w:rPr>
        </w:r>
        <w:r w:rsidR="00587185">
          <w:rPr>
            <w:noProof/>
            <w:webHidden/>
          </w:rPr>
          <w:fldChar w:fldCharType="separate"/>
        </w:r>
        <w:r w:rsidR="00587185">
          <w:rPr>
            <w:noProof/>
            <w:webHidden/>
          </w:rPr>
          <w:t>66</w:t>
        </w:r>
        <w:r w:rsidR="00587185">
          <w:rPr>
            <w:noProof/>
            <w:webHidden/>
          </w:rPr>
          <w:fldChar w:fldCharType="end"/>
        </w:r>
      </w:hyperlink>
    </w:p>
    <w:p w14:paraId="171B0FA8" w14:textId="48645D17" w:rsidR="00587185" w:rsidRDefault="004D6075">
      <w:pPr>
        <w:pStyle w:val="TOC1"/>
        <w:tabs>
          <w:tab w:val="left" w:pos="1540"/>
          <w:tab w:val="right" w:leader="dot" w:pos="9345"/>
        </w:tabs>
        <w:rPr>
          <w:rFonts w:asciiTheme="minorHAnsi" w:eastAsiaTheme="minorEastAsia" w:hAnsiTheme="minorHAnsi"/>
          <w:b w:val="0"/>
          <w:smallCaps w:val="0"/>
          <w:noProof/>
          <w:color w:val="auto"/>
          <w:lang w:val="en-IN" w:eastAsia="en-IN"/>
        </w:rPr>
      </w:pPr>
      <w:hyperlink w:anchor="_Toc69476973" w:history="1">
        <w:r w:rsidR="00587185" w:rsidRPr="00A067E3">
          <w:rPr>
            <w:rStyle w:val="Hyperlink"/>
            <w:noProof/>
          </w:rPr>
          <w:t>Chapter 6.</w:t>
        </w:r>
        <w:r w:rsidR="00587185">
          <w:rPr>
            <w:rFonts w:asciiTheme="minorHAnsi" w:eastAsiaTheme="minorEastAsia" w:hAnsiTheme="minorHAnsi"/>
            <w:b w:val="0"/>
            <w:smallCaps w:val="0"/>
            <w:noProof/>
            <w:color w:val="auto"/>
            <w:lang w:val="en-IN" w:eastAsia="en-IN"/>
          </w:rPr>
          <w:tab/>
        </w:r>
        <w:r w:rsidR="00587185" w:rsidRPr="00A067E3">
          <w:rPr>
            <w:rStyle w:val="Hyperlink"/>
            <w:noProof/>
          </w:rPr>
          <w:t>BALANCING MECHANISM  FOR ENERGY</w:t>
        </w:r>
        <w:r w:rsidR="00587185">
          <w:rPr>
            <w:noProof/>
            <w:webHidden/>
          </w:rPr>
          <w:tab/>
        </w:r>
        <w:r w:rsidR="00587185">
          <w:rPr>
            <w:noProof/>
            <w:webHidden/>
          </w:rPr>
          <w:fldChar w:fldCharType="begin"/>
        </w:r>
        <w:r w:rsidR="00587185">
          <w:rPr>
            <w:noProof/>
            <w:webHidden/>
          </w:rPr>
          <w:instrText xml:space="preserve"> PAGEREF _Toc69476973 \h </w:instrText>
        </w:r>
        <w:r w:rsidR="00587185">
          <w:rPr>
            <w:noProof/>
            <w:webHidden/>
          </w:rPr>
        </w:r>
        <w:r w:rsidR="00587185">
          <w:rPr>
            <w:noProof/>
            <w:webHidden/>
          </w:rPr>
          <w:fldChar w:fldCharType="separate"/>
        </w:r>
        <w:r w:rsidR="00587185">
          <w:rPr>
            <w:noProof/>
            <w:webHidden/>
          </w:rPr>
          <w:t>67</w:t>
        </w:r>
        <w:r w:rsidR="00587185">
          <w:rPr>
            <w:noProof/>
            <w:webHidden/>
          </w:rPr>
          <w:fldChar w:fldCharType="end"/>
        </w:r>
      </w:hyperlink>
    </w:p>
    <w:p w14:paraId="04346C3D" w14:textId="2A23608A"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74" w:history="1">
        <w:r w:rsidR="00587185" w:rsidRPr="00A067E3">
          <w:rPr>
            <w:rStyle w:val="Hyperlink"/>
            <w:noProof/>
          </w:rPr>
          <w:t>6.1. Balancing Mechanism</w:t>
        </w:r>
        <w:r w:rsidR="00587185">
          <w:rPr>
            <w:noProof/>
            <w:webHidden/>
          </w:rPr>
          <w:tab/>
        </w:r>
        <w:r w:rsidR="00587185">
          <w:rPr>
            <w:noProof/>
            <w:webHidden/>
          </w:rPr>
          <w:fldChar w:fldCharType="begin"/>
        </w:r>
        <w:r w:rsidR="00587185">
          <w:rPr>
            <w:noProof/>
            <w:webHidden/>
          </w:rPr>
          <w:instrText xml:space="preserve"> PAGEREF _Toc69476974 \h </w:instrText>
        </w:r>
        <w:r w:rsidR="00587185">
          <w:rPr>
            <w:noProof/>
            <w:webHidden/>
          </w:rPr>
        </w:r>
        <w:r w:rsidR="00587185">
          <w:rPr>
            <w:noProof/>
            <w:webHidden/>
          </w:rPr>
          <w:fldChar w:fldCharType="separate"/>
        </w:r>
        <w:r w:rsidR="00587185">
          <w:rPr>
            <w:noProof/>
            <w:webHidden/>
          </w:rPr>
          <w:t>67</w:t>
        </w:r>
        <w:r w:rsidR="00587185">
          <w:rPr>
            <w:noProof/>
            <w:webHidden/>
          </w:rPr>
          <w:fldChar w:fldCharType="end"/>
        </w:r>
      </w:hyperlink>
    </w:p>
    <w:p w14:paraId="6A290938" w14:textId="7BBC09FD"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75" w:history="1">
        <w:r w:rsidR="00587185" w:rsidRPr="00A067E3">
          <w:rPr>
            <w:rStyle w:val="Hyperlink"/>
            <w:noProof/>
          </w:rPr>
          <w:t>6.2. Consideration of Distribution Losses</w:t>
        </w:r>
        <w:r w:rsidR="00587185">
          <w:rPr>
            <w:noProof/>
            <w:webHidden/>
          </w:rPr>
          <w:tab/>
        </w:r>
        <w:r w:rsidR="00587185">
          <w:rPr>
            <w:noProof/>
            <w:webHidden/>
          </w:rPr>
          <w:fldChar w:fldCharType="begin"/>
        </w:r>
        <w:r w:rsidR="00587185">
          <w:rPr>
            <w:noProof/>
            <w:webHidden/>
          </w:rPr>
          <w:instrText xml:space="preserve"> PAGEREF _Toc69476975 \h </w:instrText>
        </w:r>
        <w:r w:rsidR="00587185">
          <w:rPr>
            <w:noProof/>
            <w:webHidden/>
          </w:rPr>
        </w:r>
        <w:r w:rsidR="00587185">
          <w:rPr>
            <w:noProof/>
            <w:webHidden/>
          </w:rPr>
          <w:fldChar w:fldCharType="separate"/>
        </w:r>
        <w:r w:rsidR="00587185">
          <w:rPr>
            <w:noProof/>
            <w:webHidden/>
          </w:rPr>
          <w:t>67</w:t>
        </w:r>
        <w:r w:rsidR="00587185">
          <w:rPr>
            <w:noProof/>
            <w:webHidden/>
          </w:rPr>
          <w:fldChar w:fldCharType="end"/>
        </w:r>
      </w:hyperlink>
    </w:p>
    <w:p w14:paraId="435397DD" w14:textId="62EFCBAF"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76" w:history="1">
        <w:r w:rsidR="00587185" w:rsidRPr="00A067E3">
          <w:rPr>
            <w:rStyle w:val="Hyperlink"/>
            <w:noProof/>
          </w:rPr>
          <w:t>6.3. Consideration of the Transmission Losses</w:t>
        </w:r>
        <w:r w:rsidR="00587185">
          <w:rPr>
            <w:noProof/>
            <w:webHidden/>
          </w:rPr>
          <w:tab/>
        </w:r>
        <w:r w:rsidR="00587185">
          <w:rPr>
            <w:noProof/>
            <w:webHidden/>
          </w:rPr>
          <w:fldChar w:fldCharType="begin"/>
        </w:r>
        <w:r w:rsidR="00587185">
          <w:rPr>
            <w:noProof/>
            <w:webHidden/>
          </w:rPr>
          <w:instrText xml:space="preserve"> PAGEREF _Toc69476976 \h </w:instrText>
        </w:r>
        <w:r w:rsidR="00587185">
          <w:rPr>
            <w:noProof/>
            <w:webHidden/>
          </w:rPr>
        </w:r>
        <w:r w:rsidR="00587185">
          <w:rPr>
            <w:noProof/>
            <w:webHidden/>
          </w:rPr>
          <w:fldChar w:fldCharType="separate"/>
        </w:r>
        <w:r w:rsidR="00587185">
          <w:rPr>
            <w:noProof/>
            <w:webHidden/>
          </w:rPr>
          <w:t>68</w:t>
        </w:r>
        <w:r w:rsidR="00587185">
          <w:rPr>
            <w:noProof/>
            <w:webHidden/>
          </w:rPr>
          <w:fldChar w:fldCharType="end"/>
        </w:r>
      </w:hyperlink>
    </w:p>
    <w:p w14:paraId="78F5D00D" w14:textId="40A5DB32"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77" w:history="1">
        <w:r w:rsidR="00587185" w:rsidRPr="00A067E3">
          <w:rPr>
            <w:rStyle w:val="Hyperlink"/>
            <w:noProof/>
          </w:rPr>
          <w:t>6.4. Determination of the Imbalance Amounts</w:t>
        </w:r>
        <w:r w:rsidR="00587185">
          <w:rPr>
            <w:noProof/>
            <w:webHidden/>
          </w:rPr>
          <w:tab/>
        </w:r>
        <w:r w:rsidR="00587185">
          <w:rPr>
            <w:noProof/>
            <w:webHidden/>
          </w:rPr>
          <w:fldChar w:fldCharType="begin"/>
        </w:r>
        <w:r w:rsidR="00587185">
          <w:rPr>
            <w:noProof/>
            <w:webHidden/>
          </w:rPr>
          <w:instrText xml:space="preserve"> PAGEREF _Toc69476977 \h </w:instrText>
        </w:r>
        <w:r w:rsidR="00587185">
          <w:rPr>
            <w:noProof/>
            <w:webHidden/>
          </w:rPr>
        </w:r>
        <w:r w:rsidR="00587185">
          <w:rPr>
            <w:noProof/>
            <w:webHidden/>
          </w:rPr>
          <w:fldChar w:fldCharType="separate"/>
        </w:r>
        <w:r w:rsidR="00587185">
          <w:rPr>
            <w:noProof/>
            <w:webHidden/>
          </w:rPr>
          <w:t>70</w:t>
        </w:r>
        <w:r w:rsidR="00587185">
          <w:rPr>
            <w:noProof/>
            <w:webHidden/>
          </w:rPr>
          <w:fldChar w:fldCharType="end"/>
        </w:r>
      </w:hyperlink>
    </w:p>
    <w:p w14:paraId="093B699A" w14:textId="68F3593C"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78" w:history="1">
        <w:r w:rsidR="00587185" w:rsidRPr="00A067E3">
          <w:rPr>
            <w:rStyle w:val="Hyperlink"/>
            <w:noProof/>
          </w:rPr>
          <w:t>6.5. Determination of the Applicable Marginal Price</w:t>
        </w:r>
        <w:r w:rsidR="00587185">
          <w:rPr>
            <w:noProof/>
            <w:webHidden/>
          </w:rPr>
          <w:tab/>
        </w:r>
        <w:r w:rsidR="00587185">
          <w:rPr>
            <w:noProof/>
            <w:webHidden/>
          </w:rPr>
          <w:fldChar w:fldCharType="begin"/>
        </w:r>
        <w:r w:rsidR="00587185">
          <w:rPr>
            <w:noProof/>
            <w:webHidden/>
          </w:rPr>
          <w:instrText xml:space="preserve"> PAGEREF _Toc69476978 \h </w:instrText>
        </w:r>
        <w:r w:rsidR="00587185">
          <w:rPr>
            <w:noProof/>
            <w:webHidden/>
          </w:rPr>
        </w:r>
        <w:r w:rsidR="00587185">
          <w:rPr>
            <w:noProof/>
            <w:webHidden/>
          </w:rPr>
          <w:fldChar w:fldCharType="separate"/>
        </w:r>
        <w:r w:rsidR="00587185">
          <w:rPr>
            <w:noProof/>
            <w:webHidden/>
          </w:rPr>
          <w:t>72</w:t>
        </w:r>
        <w:r w:rsidR="00587185">
          <w:rPr>
            <w:noProof/>
            <w:webHidden/>
          </w:rPr>
          <w:fldChar w:fldCharType="end"/>
        </w:r>
      </w:hyperlink>
    </w:p>
    <w:p w14:paraId="474EFB8E" w14:textId="28F8DF1E"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79" w:history="1">
        <w:r w:rsidR="00587185" w:rsidRPr="00A067E3">
          <w:rPr>
            <w:rStyle w:val="Hyperlink"/>
            <w:noProof/>
          </w:rPr>
          <w:t>6.6. Determination of the receivable and payable amounts</w:t>
        </w:r>
        <w:r w:rsidR="00587185">
          <w:rPr>
            <w:noProof/>
            <w:webHidden/>
          </w:rPr>
          <w:tab/>
        </w:r>
        <w:r w:rsidR="00587185">
          <w:rPr>
            <w:noProof/>
            <w:webHidden/>
          </w:rPr>
          <w:fldChar w:fldCharType="begin"/>
        </w:r>
        <w:r w:rsidR="00587185">
          <w:rPr>
            <w:noProof/>
            <w:webHidden/>
          </w:rPr>
          <w:instrText xml:space="preserve"> PAGEREF _Toc69476979 \h </w:instrText>
        </w:r>
        <w:r w:rsidR="00587185">
          <w:rPr>
            <w:noProof/>
            <w:webHidden/>
          </w:rPr>
        </w:r>
        <w:r w:rsidR="00587185">
          <w:rPr>
            <w:noProof/>
            <w:webHidden/>
          </w:rPr>
          <w:fldChar w:fldCharType="separate"/>
        </w:r>
        <w:r w:rsidR="00587185">
          <w:rPr>
            <w:noProof/>
            <w:webHidden/>
          </w:rPr>
          <w:t>72</w:t>
        </w:r>
        <w:r w:rsidR="00587185">
          <w:rPr>
            <w:noProof/>
            <w:webHidden/>
          </w:rPr>
          <w:fldChar w:fldCharType="end"/>
        </w:r>
      </w:hyperlink>
    </w:p>
    <w:p w14:paraId="3C1562C8" w14:textId="1FB7729D" w:rsidR="00587185" w:rsidRDefault="004D6075">
      <w:pPr>
        <w:pStyle w:val="TOC1"/>
        <w:tabs>
          <w:tab w:val="left" w:pos="1540"/>
          <w:tab w:val="right" w:leader="dot" w:pos="9345"/>
        </w:tabs>
        <w:rPr>
          <w:rFonts w:asciiTheme="minorHAnsi" w:eastAsiaTheme="minorEastAsia" w:hAnsiTheme="minorHAnsi"/>
          <w:b w:val="0"/>
          <w:smallCaps w:val="0"/>
          <w:noProof/>
          <w:color w:val="auto"/>
          <w:lang w:val="en-IN" w:eastAsia="en-IN"/>
        </w:rPr>
      </w:pPr>
      <w:hyperlink w:anchor="_Toc69476980" w:history="1">
        <w:r w:rsidR="00587185" w:rsidRPr="00A067E3">
          <w:rPr>
            <w:rStyle w:val="Hyperlink"/>
            <w:noProof/>
          </w:rPr>
          <w:t>Chapter 7.</w:t>
        </w:r>
        <w:r w:rsidR="00587185">
          <w:rPr>
            <w:rFonts w:asciiTheme="minorHAnsi" w:eastAsiaTheme="minorEastAsia" w:hAnsiTheme="minorHAnsi"/>
            <w:b w:val="0"/>
            <w:smallCaps w:val="0"/>
            <w:noProof/>
            <w:color w:val="auto"/>
            <w:lang w:val="en-IN" w:eastAsia="en-IN"/>
          </w:rPr>
          <w:tab/>
        </w:r>
        <w:r w:rsidR="00587185" w:rsidRPr="00A067E3">
          <w:rPr>
            <w:rStyle w:val="Hyperlink"/>
            <w:noProof/>
          </w:rPr>
          <w:t>ADDITIONAL MARKET CHARGES (Ancillary Service Charges (ASC), MUST RUN GENERATION AND SERVICE PROVIDERS Charges)</w:t>
        </w:r>
        <w:r w:rsidR="00587185">
          <w:rPr>
            <w:noProof/>
            <w:webHidden/>
          </w:rPr>
          <w:tab/>
        </w:r>
        <w:r w:rsidR="00587185">
          <w:rPr>
            <w:noProof/>
            <w:webHidden/>
          </w:rPr>
          <w:fldChar w:fldCharType="begin"/>
        </w:r>
        <w:r w:rsidR="00587185">
          <w:rPr>
            <w:noProof/>
            <w:webHidden/>
          </w:rPr>
          <w:instrText xml:space="preserve"> PAGEREF _Toc69476980 \h </w:instrText>
        </w:r>
        <w:r w:rsidR="00587185">
          <w:rPr>
            <w:noProof/>
            <w:webHidden/>
          </w:rPr>
        </w:r>
        <w:r w:rsidR="00587185">
          <w:rPr>
            <w:noProof/>
            <w:webHidden/>
          </w:rPr>
          <w:fldChar w:fldCharType="separate"/>
        </w:r>
        <w:r w:rsidR="00587185">
          <w:rPr>
            <w:noProof/>
            <w:webHidden/>
          </w:rPr>
          <w:t>74</w:t>
        </w:r>
        <w:r w:rsidR="00587185">
          <w:rPr>
            <w:noProof/>
            <w:webHidden/>
          </w:rPr>
          <w:fldChar w:fldCharType="end"/>
        </w:r>
      </w:hyperlink>
    </w:p>
    <w:p w14:paraId="1B7B7796" w14:textId="2ABCBCA9"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81" w:history="1">
        <w:r w:rsidR="00587185" w:rsidRPr="00A067E3">
          <w:rPr>
            <w:rStyle w:val="Hyperlink"/>
            <w:noProof/>
          </w:rPr>
          <w:t>7.1. Must Run Generation</w:t>
        </w:r>
        <w:r w:rsidR="00587185">
          <w:rPr>
            <w:noProof/>
            <w:webHidden/>
          </w:rPr>
          <w:tab/>
        </w:r>
        <w:r w:rsidR="00587185">
          <w:rPr>
            <w:noProof/>
            <w:webHidden/>
          </w:rPr>
          <w:fldChar w:fldCharType="begin"/>
        </w:r>
        <w:r w:rsidR="00587185">
          <w:rPr>
            <w:noProof/>
            <w:webHidden/>
          </w:rPr>
          <w:instrText xml:space="preserve"> PAGEREF _Toc69476981 \h </w:instrText>
        </w:r>
        <w:r w:rsidR="00587185">
          <w:rPr>
            <w:noProof/>
            <w:webHidden/>
          </w:rPr>
        </w:r>
        <w:r w:rsidR="00587185">
          <w:rPr>
            <w:noProof/>
            <w:webHidden/>
          </w:rPr>
          <w:fldChar w:fldCharType="separate"/>
        </w:r>
        <w:r w:rsidR="00587185">
          <w:rPr>
            <w:noProof/>
            <w:webHidden/>
          </w:rPr>
          <w:t>74</w:t>
        </w:r>
        <w:r w:rsidR="00587185">
          <w:rPr>
            <w:noProof/>
            <w:webHidden/>
          </w:rPr>
          <w:fldChar w:fldCharType="end"/>
        </w:r>
      </w:hyperlink>
    </w:p>
    <w:p w14:paraId="6AA782AB" w14:textId="5E95D99F"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82" w:history="1">
        <w:r w:rsidR="00587185" w:rsidRPr="00A067E3">
          <w:rPr>
            <w:rStyle w:val="Hyperlink"/>
            <w:noProof/>
          </w:rPr>
          <w:t>7.2. Ancillary Services</w:t>
        </w:r>
        <w:r w:rsidR="00587185">
          <w:rPr>
            <w:noProof/>
            <w:webHidden/>
          </w:rPr>
          <w:tab/>
        </w:r>
        <w:r w:rsidR="00587185">
          <w:rPr>
            <w:noProof/>
            <w:webHidden/>
          </w:rPr>
          <w:fldChar w:fldCharType="begin"/>
        </w:r>
        <w:r w:rsidR="00587185">
          <w:rPr>
            <w:noProof/>
            <w:webHidden/>
          </w:rPr>
          <w:instrText xml:space="preserve"> PAGEREF _Toc69476982 \h </w:instrText>
        </w:r>
        <w:r w:rsidR="00587185">
          <w:rPr>
            <w:noProof/>
            <w:webHidden/>
          </w:rPr>
        </w:r>
        <w:r w:rsidR="00587185">
          <w:rPr>
            <w:noProof/>
            <w:webHidden/>
          </w:rPr>
          <w:fldChar w:fldCharType="separate"/>
        </w:r>
        <w:r w:rsidR="00587185">
          <w:rPr>
            <w:noProof/>
            <w:webHidden/>
          </w:rPr>
          <w:t>76</w:t>
        </w:r>
        <w:r w:rsidR="00587185">
          <w:rPr>
            <w:noProof/>
            <w:webHidden/>
          </w:rPr>
          <w:fldChar w:fldCharType="end"/>
        </w:r>
      </w:hyperlink>
    </w:p>
    <w:p w14:paraId="374CB768" w14:textId="670F00D7"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83" w:history="1">
        <w:r w:rsidR="00587185" w:rsidRPr="00A067E3">
          <w:rPr>
            <w:rStyle w:val="Hyperlink"/>
            <w:noProof/>
          </w:rPr>
          <w:t>7.3. Compensation for Provision of Ancillary Services</w:t>
        </w:r>
        <w:r w:rsidR="00587185">
          <w:rPr>
            <w:noProof/>
            <w:webHidden/>
          </w:rPr>
          <w:tab/>
        </w:r>
        <w:r w:rsidR="00587185">
          <w:rPr>
            <w:noProof/>
            <w:webHidden/>
          </w:rPr>
          <w:fldChar w:fldCharType="begin"/>
        </w:r>
        <w:r w:rsidR="00587185">
          <w:rPr>
            <w:noProof/>
            <w:webHidden/>
          </w:rPr>
          <w:instrText xml:space="preserve"> PAGEREF _Toc69476983 \h </w:instrText>
        </w:r>
        <w:r w:rsidR="00587185">
          <w:rPr>
            <w:noProof/>
            <w:webHidden/>
          </w:rPr>
        </w:r>
        <w:r w:rsidR="00587185">
          <w:rPr>
            <w:noProof/>
            <w:webHidden/>
          </w:rPr>
          <w:fldChar w:fldCharType="separate"/>
        </w:r>
        <w:r w:rsidR="00587185">
          <w:rPr>
            <w:noProof/>
            <w:webHidden/>
          </w:rPr>
          <w:t>77</w:t>
        </w:r>
        <w:r w:rsidR="00587185">
          <w:rPr>
            <w:noProof/>
            <w:webHidden/>
          </w:rPr>
          <w:fldChar w:fldCharType="end"/>
        </w:r>
      </w:hyperlink>
    </w:p>
    <w:p w14:paraId="1524F018" w14:textId="018938D4"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84" w:history="1">
        <w:r w:rsidR="00587185" w:rsidRPr="00A067E3">
          <w:rPr>
            <w:rStyle w:val="Hyperlink"/>
            <w:noProof/>
          </w:rPr>
          <w:t>7.4. Determination of the Amounts Receivable and Payable for ASC and Must Run Generation</w:t>
        </w:r>
        <w:r w:rsidR="00587185">
          <w:rPr>
            <w:noProof/>
            <w:webHidden/>
          </w:rPr>
          <w:tab/>
        </w:r>
        <w:r w:rsidR="00587185">
          <w:rPr>
            <w:noProof/>
            <w:webHidden/>
          </w:rPr>
          <w:fldChar w:fldCharType="begin"/>
        </w:r>
        <w:r w:rsidR="00587185">
          <w:rPr>
            <w:noProof/>
            <w:webHidden/>
          </w:rPr>
          <w:instrText xml:space="preserve"> PAGEREF _Toc69476984 \h </w:instrText>
        </w:r>
        <w:r w:rsidR="00587185">
          <w:rPr>
            <w:noProof/>
            <w:webHidden/>
          </w:rPr>
        </w:r>
        <w:r w:rsidR="00587185">
          <w:rPr>
            <w:noProof/>
            <w:webHidden/>
          </w:rPr>
          <w:fldChar w:fldCharType="separate"/>
        </w:r>
        <w:r w:rsidR="00587185">
          <w:rPr>
            <w:noProof/>
            <w:webHidden/>
          </w:rPr>
          <w:t>81</w:t>
        </w:r>
        <w:r w:rsidR="00587185">
          <w:rPr>
            <w:noProof/>
            <w:webHidden/>
          </w:rPr>
          <w:fldChar w:fldCharType="end"/>
        </w:r>
      </w:hyperlink>
    </w:p>
    <w:p w14:paraId="451B7DFE" w14:textId="150D8BAB"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85" w:history="1">
        <w:r w:rsidR="00587185" w:rsidRPr="00A067E3">
          <w:rPr>
            <w:rStyle w:val="Hyperlink"/>
            <w:noProof/>
          </w:rPr>
          <w:t>7.5. Service Providers Charges</w:t>
        </w:r>
        <w:r w:rsidR="00587185">
          <w:rPr>
            <w:noProof/>
            <w:webHidden/>
          </w:rPr>
          <w:tab/>
        </w:r>
        <w:r w:rsidR="00587185">
          <w:rPr>
            <w:noProof/>
            <w:webHidden/>
          </w:rPr>
          <w:fldChar w:fldCharType="begin"/>
        </w:r>
        <w:r w:rsidR="00587185">
          <w:rPr>
            <w:noProof/>
            <w:webHidden/>
          </w:rPr>
          <w:instrText xml:space="preserve"> PAGEREF _Toc69476985 \h </w:instrText>
        </w:r>
        <w:r w:rsidR="00587185">
          <w:rPr>
            <w:noProof/>
            <w:webHidden/>
          </w:rPr>
        </w:r>
        <w:r w:rsidR="00587185">
          <w:rPr>
            <w:noProof/>
            <w:webHidden/>
          </w:rPr>
          <w:fldChar w:fldCharType="separate"/>
        </w:r>
        <w:r w:rsidR="00587185">
          <w:rPr>
            <w:noProof/>
            <w:webHidden/>
          </w:rPr>
          <w:t>86</w:t>
        </w:r>
        <w:r w:rsidR="00587185">
          <w:rPr>
            <w:noProof/>
            <w:webHidden/>
          </w:rPr>
          <w:fldChar w:fldCharType="end"/>
        </w:r>
      </w:hyperlink>
    </w:p>
    <w:p w14:paraId="4ABD58BB" w14:textId="7EC8D513"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86" w:history="1">
        <w:r w:rsidR="00587185" w:rsidRPr="00A067E3">
          <w:rPr>
            <w:rStyle w:val="Hyperlink"/>
            <w:noProof/>
          </w:rPr>
          <w:t>7.6. Operators Fee</w:t>
        </w:r>
        <w:r w:rsidR="00587185">
          <w:rPr>
            <w:noProof/>
            <w:webHidden/>
          </w:rPr>
          <w:tab/>
        </w:r>
        <w:r w:rsidR="00587185">
          <w:rPr>
            <w:noProof/>
            <w:webHidden/>
          </w:rPr>
          <w:fldChar w:fldCharType="begin"/>
        </w:r>
        <w:r w:rsidR="00587185">
          <w:rPr>
            <w:noProof/>
            <w:webHidden/>
          </w:rPr>
          <w:instrText xml:space="preserve"> PAGEREF _Toc69476986 \h </w:instrText>
        </w:r>
        <w:r w:rsidR="00587185">
          <w:rPr>
            <w:noProof/>
            <w:webHidden/>
          </w:rPr>
        </w:r>
        <w:r w:rsidR="00587185">
          <w:rPr>
            <w:noProof/>
            <w:webHidden/>
          </w:rPr>
          <w:fldChar w:fldCharType="separate"/>
        </w:r>
        <w:r w:rsidR="00587185">
          <w:rPr>
            <w:noProof/>
            <w:webHidden/>
          </w:rPr>
          <w:t>87</w:t>
        </w:r>
        <w:r w:rsidR="00587185">
          <w:rPr>
            <w:noProof/>
            <w:webHidden/>
          </w:rPr>
          <w:fldChar w:fldCharType="end"/>
        </w:r>
      </w:hyperlink>
    </w:p>
    <w:p w14:paraId="5D01E782" w14:textId="5AB75584" w:rsidR="00587185" w:rsidRDefault="004D6075">
      <w:pPr>
        <w:pStyle w:val="TOC1"/>
        <w:tabs>
          <w:tab w:val="left" w:pos="1540"/>
          <w:tab w:val="right" w:leader="dot" w:pos="9345"/>
        </w:tabs>
        <w:rPr>
          <w:rFonts w:asciiTheme="minorHAnsi" w:eastAsiaTheme="minorEastAsia" w:hAnsiTheme="minorHAnsi"/>
          <w:b w:val="0"/>
          <w:smallCaps w:val="0"/>
          <w:noProof/>
          <w:color w:val="auto"/>
          <w:lang w:val="en-IN" w:eastAsia="en-IN"/>
        </w:rPr>
      </w:pPr>
      <w:hyperlink w:anchor="_Toc69476987" w:history="1">
        <w:r w:rsidR="00587185" w:rsidRPr="00A067E3">
          <w:rPr>
            <w:rStyle w:val="Hyperlink"/>
            <w:noProof/>
          </w:rPr>
          <w:t>Chapter 8.</w:t>
        </w:r>
        <w:r w:rsidR="00587185">
          <w:rPr>
            <w:rFonts w:asciiTheme="minorHAnsi" w:eastAsiaTheme="minorEastAsia" w:hAnsiTheme="minorHAnsi"/>
            <w:b w:val="0"/>
            <w:smallCaps w:val="0"/>
            <w:noProof/>
            <w:color w:val="auto"/>
            <w:lang w:val="en-IN" w:eastAsia="en-IN"/>
          </w:rPr>
          <w:tab/>
        </w:r>
        <w:r w:rsidR="00587185" w:rsidRPr="00A067E3">
          <w:rPr>
            <w:rStyle w:val="Hyperlink"/>
            <w:noProof/>
          </w:rPr>
          <w:t>MONTHLY SETTLEMENT (Market Participants and Service Providers)</w:t>
        </w:r>
        <w:r w:rsidR="00587185">
          <w:rPr>
            <w:noProof/>
            <w:webHidden/>
          </w:rPr>
          <w:tab/>
        </w:r>
        <w:r w:rsidR="00587185">
          <w:rPr>
            <w:noProof/>
            <w:webHidden/>
          </w:rPr>
          <w:fldChar w:fldCharType="begin"/>
        </w:r>
        <w:r w:rsidR="00587185">
          <w:rPr>
            <w:noProof/>
            <w:webHidden/>
          </w:rPr>
          <w:instrText xml:space="preserve"> PAGEREF _Toc69476987 \h </w:instrText>
        </w:r>
        <w:r w:rsidR="00587185">
          <w:rPr>
            <w:noProof/>
            <w:webHidden/>
          </w:rPr>
        </w:r>
        <w:r w:rsidR="00587185">
          <w:rPr>
            <w:noProof/>
            <w:webHidden/>
          </w:rPr>
          <w:fldChar w:fldCharType="separate"/>
        </w:r>
        <w:r w:rsidR="00587185">
          <w:rPr>
            <w:noProof/>
            <w:webHidden/>
          </w:rPr>
          <w:t>88</w:t>
        </w:r>
        <w:r w:rsidR="00587185">
          <w:rPr>
            <w:noProof/>
            <w:webHidden/>
          </w:rPr>
          <w:fldChar w:fldCharType="end"/>
        </w:r>
      </w:hyperlink>
    </w:p>
    <w:p w14:paraId="2D1B3D72" w14:textId="46A27AA3"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88" w:history="1">
        <w:r w:rsidR="00587185" w:rsidRPr="00A067E3">
          <w:rPr>
            <w:rStyle w:val="Hyperlink"/>
            <w:noProof/>
          </w:rPr>
          <w:t>8.1. Market Settlement System</w:t>
        </w:r>
        <w:r w:rsidR="00587185">
          <w:rPr>
            <w:noProof/>
            <w:webHidden/>
          </w:rPr>
          <w:tab/>
        </w:r>
        <w:r w:rsidR="00587185">
          <w:rPr>
            <w:noProof/>
            <w:webHidden/>
          </w:rPr>
          <w:fldChar w:fldCharType="begin"/>
        </w:r>
        <w:r w:rsidR="00587185">
          <w:rPr>
            <w:noProof/>
            <w:webHidden/>
          </w:rPr>
          <w:instrText xml:space="preserve"> PAGEREF _Toc69476988 \h </w:instrText>
        </w:r>
        <w:r w:rsidR="00587185">
          <w:rPr>
            <w:noProof/>
            <w:webHidden/>
          </w:rPr>
        </w:r>
        <w:r w:rsidR="00587185">
          <w:rPr>
            <w:noProof/>
            <w:webHidden/>
          </w:rPr>
          <w:fldChar w:fldCharType="separate"/>
        </w:r>
        <w:r w:rsidR="00587185">
          <w:rPr>
            <w:noProof/>
            <w:webHidden/>
          </w:rPr>
          <w:t>88</w:t>
        </w:r>
        <w:r w:rsidR="00587185">
          <w:rPr>
            <w:noProof/>
            <w:webHidden/>
          </w:rPr>
          <w:fldChar w:fldCharType="end"/>
        </w:r>
      </w:hyperlink>
    </w:p>
    <w:p w14:paraId="09110261" w14:textId="1A435C54"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89" w:history="1">
        <w:r w:rsidR="00587185" w:rsidRPr="00A067E3">
          <w:rPr>
            <w:rStyle w:val="Hyperlink"/>
            <w:noProof/>
          </w:rPr>
          <w:t>8.2. Settlement Statements</w:t>
        </w:r>
        <w:r w:rsidR="00587185">
          <w:rPr>
            <w:noProof/>
            <w:webHidden/>
          </w:rPr>
          <w:tab/>
        </w:r>
        <w:r w:rsidR="00587185">
          <w:rPr>
            <w:noProof/>
            <w:webHidden/>
          </w:rPr>
          <w:fldChar w:fldCharType="begin"/>
        </w:r>
        <w:r w:rsidR="00587185">
          <w:rPr>
            <w:noProof/>
            <w:webHidden/>
          </w:rPr>
          <w:instrText xml:space="preserve"> PAGEREF _Toc69476989 \h </w:instrText>
        </w:r>
        <w:r w:rsidR="00587185">
          <w:rPr>
            <w:noProof/>
            <w:webHidden/>
          </w:rPr>
        </w:r>
        <w:r w:rsidR="00587185">
          <w:rPr>
            <w:noProof/>
            <w:webHidden/>
          </w:rPr>
          <w:fldChar w:fldCharType="separate"/>
        </w:r>
        <w:r w:rsidR="00587185">
          <w:rPr>
            <w:noProof/>
            <w:webHidden/>
          </w:rPr>
          <w:t>89</w:t>
        </w:r>
        <w:r w:rsidR="00587185">
          <w:rPr>
            <w:noProof/>
            <w:webHidden/>
          </w:rPr>
          <w:fldChar w:fldCharType="end"/>
        </w:r>
      </w:hyperlink>
    </w:p>
    <w:p w14:paraId="6C94ED0C" w14:textId="6C5C089D" w:rsidR="00587185" w:rsidRDefault="008E7CAB">
      <w:pPr>
        <w:pStyle w:val="TOC2"/>
        <w:tabs>
          <w:tab w:val="right" w:leader="dot" w:pos="9345"/>
        </w:tabs>
        <w:rPr>
          <w:rFonts w:asciiTheme="minorHAnsi" w:eastAsiaTheme="minorEastAsia" w:hAnsiTheme="minorHAnsi"/>
          <w:b w:val="0"/>
          <w:noProof/>
          <w:color w:val="auto"/>
          <w:u w:val="none"/>
          <w:lang w:val="en-IN" w:eastAsia="en-IN"/>
        </w:rPr>
      </w:pPr>
      <w:hyperlink w:anchor="_Toc69476990" w:history="1">
        <w:r w:rsidR="00587185" w:rsidRPr="00A067E3">
          <w:rPr>
            <w:rStyle w:val="Hyperlink"/>
            <w:noProof/>
          </w:rPr>
          <w:t xml:space="preserve">8.3. </w:t>
        </w:r>
        <w:r w:rsidR="008E7D79">
          <w:rPr>
            <w:rStyle w:val="Hyperlink"/>
            <w:noProof/>
          </w:rPr>
          <w:t>Debit Notification</w:t>
        </w:r>
        <w:r w:rsidR="00587185" w:rsidRPr="00A067E3">
          <w:rPr>
            <w:rStyle w:val="Hyperlink"/>
            <w:noProof/>
          </w:rPr>
          <w:t>s and Credited Amounts</w:t>
        </w:r>
        <w:r w:rsidR="00587185">
          <w:rPr>
            <w:noProof/>
            <w:webHidden/>
          </w:rPr>
          <w:tab/>
        </w:r>
        <w:r w:rsidR="00587185">
          <w:rPr>
            <w:noProof/>
            <w:webHidden/>
          </w:rPr>
          <w:fldChar w:fldCharType="begin"/>
        </w:r>
        <w:r w:rsidR="00587185">
          <w:rPr>
            <w:noProof/>
            <w:webHidden/>
          </w:rPr>
          <w:instrText xml:space="preserve"> PAGEREF _Toc69476990 \h </w:instrText>
        </w:r>
        <w:r w:rsidR="00587185">
          <w:rPr>
            <w:noProof/>
            <w:webHidden/>
          </w:rPr>
        </w:r>
        <w:r w:rsidR="00587185">
          <w:rPr>
            <w:noProof/>
            <w:webHidden/>
          </w:rPr>
          <w:fldChar w:fldCharType="separate"/>
        </w:r>
        <w:r w:rsidR="00587185">
          <w:rPr>
            <w:noProof/>
            <w:webHidden/>
          </w:rPr>
          <w:t>92</w:t>
        </w:r>
        <w:r w:rsidR="00587185">
          <w:rPr>
            <w:noProof/>
            <w:webHidden/>
          </w:rPr>
          <w:fldChar w:fldCharType="end"/>
        </w:r>
      </w:hyperlink>
    </w:p>
    <w:p w14:paraId="2856CCD6" w14:textId="6BAB3EA0" w:rsidR="00587185" w:rsidRDefault="004D6075">
      <w:pPr>
        <w:pStyle w:val="TOC1"/>
        <w:tabs>
          <w:tab w:val="left" w:pos="1540"/>
          <w:tab w:val="right" w:leader="dot" w:pos="9345"/>
        </w:tabs>
        <w:rPr>
          <w:rFonts w:asciiTheme="minorHAnsi" w:eastAsiaTheme="minorEastAsia" w:hAnsiTheme="minorHAnsi"/>
          <w:b w:val="0"/>
          <w:smallCaps w:val="0"/>
          <w:noProof/>
          <w:color w:val="auto"/>
          <w:lang w:val="en-IN" w:eastAsia="en-IN"/>
        </w:rPr>
      </w:pPr>
      <w:hyperlink w:anchor="_Toc69476991" w:history="1">
        <w:r w:rsidR="00587185" w:rsidRPr="00A067E3">
          <w:rPr>
            <w:rStyle w:val="Hyperlink"/>
            <w:noProof/>
          </w:rPr>
          <w:t>Chapter 9.</w:t>
        </w:r>
        <w:r w:rsidR="00587185">
          <w:rPr>
            <w:rFonts w:asciiTheme="minorHAnsi" w:eastAsiaTheme="minorEastAsia" w:hAnsiTheme="minorHAnsi"/>
            <w:b w:val="0"/>
            <w:smallCaps w:val="0"/>
            <w:noProof/>
            <w:color w:val="auto"/>
            <w:lang w:val="en-IN" w:eastAsia="en-IN"/>
          </w:rPr>
          <w:tab/>
        </w:r>
        <w:r w:rsidR="00587185" w:rsidRPr="00A067E3">
          <w:rPr>
            <w:rStyle w:val="Hyperlink"/>
            <w:noProof/>
          </w:rPr>
          <w:t>FIRM CAPACITY CERTIFICATION</w:t>
        </w:r>
        <w:r w:rsidR="00587185">
          <w:rPr>
            <w:noProof/>
            <w:webHidden/>
          </w:rPr>
          <w:tab/>
        </w:r>
        <w:r w:rsidR="00587185">
          <w:rPr>
            <w:noProof/>
            <w:webHidden/>
          </w:rPr>
          <w:fldChar w:fldCharType="begin"/>
        </w:r>
        <w:r w:rsidR="00587185">
          <w:rPr>
            <w:noProof/>
            <w:webHidden/>
          </w:rPr>
          <w:instrText xml:space="preserve"> PAGEREF _Toc69476991 \h </w:instrText>
        </w:r>
        <w:r w:rsidR="00587185">
          <w:rPr>
            <w:noProof/>
            <w:webHidden/>
          </w:rPr>
        </w:r>
        <w:r w:rsidR="00587185">
          <w:rPr>
            <w:noProof/>
            <w:webHidden/>
          </w:rPr>
          <w:fldChar w:fldCharType="separate"/>
        </w:r>
        <w:r w:rsidR="00587185">
          <w:rPr>
            <w:noProof/>
            <w:webHidden/>
          </w:rPr>
          <w:t>93</w:t>
        </w:r>
        <w:r w:rsidR="00587185">
          <w:rPr>
            <w:noProof/>
            <w:webHidden/>
          </w:rPr>
          <w:fldChar w:fldCharType="end"/>
        </w:r>
      </w:hyperlink>
    </w:p>
    <w:p w14:paraId="24FD01BD" w14:textId="1CD25E0B"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92" w:history="1">
        <w:r w:rsidR="00587185" w:rsidRPr="00A067E3">
          <w:rPr>
            <w:rStyle w:val="Hyperlink"/>
            <w:noProof/>
          </w:rPr>
          <w:t>9.1. Procedures for Firm Capacity Certification</w:t>
        </w:r>
        <w:r w:rsidR="00587185">
          <w:rPr>
            <w:noProof/>
            <w:webHidden/>
          </w:rPr>
          <w:tab/>
        </w:r>
        <w:r w:rsidR="00587185">
          <w:rPr>
            <w:noProof/>
            <w:webHidden/>
          </w:rPr>
          <w:fldChar w:fldCharType="begin"/>
        </w:r>
        <w:r w:rsidR="00587185">
          <w:rPr>
            <w:noProof/>
            <w:webHidden/>
          </w:rPr>
          <w:instrText xml:space="preserve"> PAGEREF _Toc69476992 \h </w:instrText>
        </w:r>
        <w:r w:rsidR="00587185">
          <w:rPr>
            <w:noProof/>
            <w:webHidden/>
          </w:rPr>
        </w:r>
        <w:r w:rsidR="00587185">
          <w:rPr>
            <w:noProof/>
            <w:webHidden/>
          </w:rPr>
          <w:fldChar w:fldCharType="separate"/>
        </w:r>
        <w:r w:rsidR="00587185">
          <w:rPr>
            <w:noProof/>
            <w:webHidden/>
          </w:rPr>
          <w:t>93</w:t>
        </w:r>
        <w:r w:rsidR="00587185">
          <w:rPr>
            <w:noProof/>
            <w:webHidden/>
          </w:rPr>
          <w:fldChar w:fldCharType="end"/>
        </w:r>
      </w:hyperlink>
    </w:p>
    <w:p w14:paraId="19387AE4" w14:textId="5318D3E5"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93" w:history="1">
        <w:r w:rsidR="00587185" w:rsidRPr="00A067E3">
          <w:rPr>
            <w:rStyle w:val="Hyperlink"/>
            <w:noProof/>
          </w:rPr>
          <w:t>9.2. Determination of Initial Firm Capacity</w:t>
        </w:r>
        <w:r w:rsidR="00587185">
          <w:rPr>
            <w:noProof/>
            <w:webHidden/>
          </w:rPr>
          <w:tab/>
        </w:r>
        <w:r w:rsidR="00587185">
          <w:rPr>
            <w:noProof/>
            <w:webHidden/>
          </w:rPr>
          <w:fldChar w:fldCharType="begin"/>
        </w:r>
        <w:r w:rsidR="00587185">
          <w:rPr>
            <w:noProof/>
            <w:webHidden/>
          </w:rPr>
          <w:instrText xml:space="preserve"> PAGEREF _Toc69476993 \h </w:instrText>
        </w:r>
        <w:r w:rsidR="00587185">
          <w:rPr>
            <w:noProof/>
            <w:webHidden/>
          </w:rPr>
        </w:r>
        <w:r w:rsidR="00587185">
          <w:rPr>
            <w:noProof/>
            <w:webHidden/>
          </w:rPr>
          <w:fldChar w:fldCharType="separate"/>
        </w:r>
        <w:r w:rsidR="00587185">
          <w:rPr>
            <w:noProof/>
            <w:webHidden/>
          </w:rPr>
          <w:t>95</w:t>
        </w:r>
        <w:r w:rsidR="00587185">
          <w:rPr>
            <w:noProof/>
            <w:webHidden/>
          </w:rPr>
          <w:fldChar w:fldCharType="end"/>
        </w:r>
      </w:hyperlink>
    </w:p>
    <w:p w14:paraId="26CF3E64" w14:textId="4BC8AA09"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94" w:history="1">
        <w:r w:rsidR="00587185" w:rsidRPr="00A067E3">
          <w:rPr>
            <w:rStyle w:val="Hyperlink"/>
            <w:noProof/>
          </w:rPr>
          <w:t>9.3. Review of Firm Capacity Certification</w:t>
        </w:r>
        <w:r w:rsidR="00587185">
          <w:rPr>
            <w:noProof/>
            <w:webHidden/>
          </w:rPr>
          <w:tab/>
        </w:r>
        <w:r w:rsidR="00587185">
          <w:rPr>
            <w:noProof/>
            <w:webHidden/>
          </w:rPr>
          <w:fldChar w:fldCharType="begin"/>
        </w:r>
        <w:r w:rsidR="00587185">
          <w:rPr>
            <w:noProof/>
            <w:webHidden/>
          </w:rPr>
          <w:instrText xml:space="preserve"> PAGEREF _Toc69476994 \h </w:instrText>
        </w:r>
        <w:r w:rsidR="00587185">
          <w:rPr>
            <w:noProof/>
            <w:webHidden/>
          </w:rPr>
        </w:r>
        <w:r w:rsidR="00587185">
          <w:rPr>
            <w:noProof/>
            <w:webHidden/>
          </w:rPr>
          <w:fldChar w:fldCharType="separate"/>
        </w:r>
        <w:r w:rsidR="00587185">
          <w:rPr>
            <w:noProof/>
            <w:webHidden/>
          </w:rPr>
          <w:t>96</w:t>
        </w:r>
        <w:r w:rsidR="00587185">
          <w:rPr>
            <w:noProof/>
            <w:webHidden/>
          </w:rPr>
          <w:fldChar w:fldCharType="end"/>
        </w:r>
      </w:hyperlink>
    </w:p>
    <w:p w14:paraId="779959B1" w14:textId="1F9E8AE8"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95" w:history="1">
        <w:r w:rsidR="00587185" w:rsidRPr="00A067E3">
          <w:rPr>
            <w:rStyle w:val="Hyperlink"/>
            <w:noProof/>
          </w:rPr>
          <w:t>9.4. Determination of the Firm Capacity at Certificates Renewal</w:t>
        </w:r>
        <w:r w:rsidR="00587185">
          <w:rPr>
            <w:noProof/>
            <w:webHidden/>
          </w:rPr>
          <w:tab/>
        </w:r>
        <w:r w:rsidR="00587185">
          <w:rPr>
            <w:noProof/>
            <w:webHidden/>
          </w:rPr>
          <w:fldChar w:fldCharType="begin"/>
        </w:r>
        <w:r w:rsidR="00587185">
          <w:rPr>
            <w:noProof/>
            <w:webHidden/>
          </w:rPr>
          <w:instrText xml:space="preserve"> PAGEREF _Toc69476995 \h </w:instrText>
        </w:r>
        <w:r w:rsidR="00587185">
          <w:rPr>
            <w:noProof/>
            <w:webHidden/>
          </w:rPr>
        </w:r>
        <w:r w:rsidR="00587185">
          <w:rPr>
            <w:noProof/>
            <w:webHidden/>
          </w:rPr>
          <w:fldChar w:fldCharType="separate"/>
        </w:r>
        <w:r w:rsidR="00587185">
          <w:rPr>
            <w:noProof/>
            <w:webHidden/>
          </w:rPr>
          <w:t>99</w:t>
        </w:r>
        <w:r w:rsidR="00587185">
          <w:rPr>
            <w:noProof/>
            <w:webHidden/>
          </w:rPr>
          <w:fldChar w:fldCharType="end"/>
        </w:r>
      </w:hyperlink>
    </w:p>
    <w:p w14:paraId="5112D38F" w14:textId="5B2E8A98"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96" w:history="1">
        <w:r w:rsidR="00587185" w:rsidRPr="00A067E3">
          <w:rPr>
            <w:rStyle w:val="Hyperlink"/>
            <w:noProof/>
          </w:rPr>
          <w:t>9.5. Issuing of Firm Capacity Certificates</w:t>
        </w:r>
        <w:r w:rsidR="00587185">
          <w:rPr>
            <w:noProof/>
            <w:webHidden/>
          </w:rPr>
          <w:tab/>
        </w:r>
        <w:r w:rsidR="00587185">
          <w:rPr>
            <w:noProof/>
            <w:webHidden/>
          </w:rPr>
          <w:fldChar w:fldCharType="begin"/>
        </w:r>
        <w:r w:rsidR="00587185">
          <w:rPr>
            <w:noProof/>
            <w:webHidden/>
          </w:rPr>
          <w:instrText xml:space="preserve"> PAGEREF _Toc69476996 \h </w:instrText>
        </w:r>
        <w:r w:rsidR="00587185">
          <w:rPr>
            <w:noProof/>
            <w:webHidden/>
          </w:rPr>
        </w:r>
        <w:r w:rsidR="00587185">
          <w:rPr>
            <w:noProof/>
            <w:webHidden/>
          </w:rPr>
          <w:fldChar w:fldCharType="separate"/>
        </w:r>
        <w:r w:rsidR="00587185">
          <w:rPr>
            <w:noProof/>
            <w:webHidden/>
          </w:rPr>
          <w:t>99</w:t>
        </w:r>
        <w:r w:rsidR="00587185">
          <w:rPr>
            <w:noProof/>
            <w:webHidden/>
          </w:rPr>
          <w:fldChar w:fldCharType="end"/>
        </w:r>
      </w:hyperlink>
    </w:p>
    <w:p w14:paraId="5A4B0351" w14:textId="78823977" w:rsidR="00587185" w:rsidRDefault="004D6075">
      <w:pPr>
        <w:pStyle w:val="TOC1"/>
        <w:tabs>
          <w:tab w:val="left" w:pos="1540"/>
          <w:tab w:val="right" w:leader="dot" w:pos="9345"/>
        </w:tabs>
        <w:rPr>
          <w:rFonts w:asciiTheme="minorHAnsi" w:eastAsiaTheme="minorEastAsia" w:hAnsiTheme="minorHAnsi"/>
          <w:b w:val="0"/>
          <w:smallCaps w:val="0"/>
          <w:noProof/>
          <w:color w:val="auto"/>
          <w:lang w:val="en-IN" w:eastAsia="en-IN"/>
        </w:rPr>
      </w:pPr>
      <w:hyperlink w:anchor="_Toc69476997" w:history="1">
        <w:r w:rsidR="00587185" w:rsidRPr="00A067E3">
          <w:rPr>
            <w:rStyle w:val="Hyperlink"/>
            <w:noProof/>
          </w:rPr>
          <w:t>Chapter 10.</w:t>
        </w:r>
        <w:r w:rsidR="00587185">
          <w:rPr>
            <w:rFonts w:asciiTheme="minorHAnsi" w:eastAsiaTheme="minorEastAsia" w:hAnsiTheme="minorHAnsi"/>
            <w:b w:val="0"/>
            <w:smallCaps w:val="0"/>
            <w:noProof/>
            <w:color w:val="auto"/>
            <w:lang w:val="en-IN" w:eastAsia="en-IN"/>
          </w:rPr>
          <w:tab/>
        </w:r>
        <w:r w:rsidR="00587185" w:rsidRPr="00A067E3">
          <w:rPr>
            <w:rStyle w:val="Hyperlink"/>
            <w:noProof/>
          </w:rPr>
          <w:t>BALANCING MECHANISM FOR CAPACITY</w:t>
        </w:r>
        <w:r w:rsidR="00587185">
          <w:rPr>
            <w:noProof/>
            <w:webHidden/>
          </w:rPr>
          <w:tab/>
        </w:r>
        <w:r w:rsidR="00587185">
          <w:rPr>
            <w:noProof/>
            <w:webHidden/>
          </w:rPr>
          <w:fldChar w:fldCharType="begin"/>
        </w:r>
        <w:r w:rsidR="00587185">
          <w:rPr>
            <w:noProof/>
            <w:webHidden/>
          </w:rPr>
          <w:instrText xml:space="preserve"> PAGEREF _Toc69476997 \h </w:instrText>
        </w:r>
        <w:r w:rsidR="00587185">
          <w:rPr>
            <w:noProof/>
            <w:webHidden/>
          </w:rPr>
        </w:r>
        <w:r w:rsidR="00587185">
          <w:rPr>
            <w:noProof/>
            <w:webHidden/>
          </w:rPr>
          <w:fldChar w:fldCharType="separate"/>
        </w:r>
        <w:r w:rsidR="00587185">
          <w:rPr>
            <w:noProof/>
            <w:webHidden/>
          </w:rPr>
          <w:t>101</w:t>
        </w:r>
        <w:r w:rsidR="00587185">
          <w:rPr>
            <w:noProof/>
            <w:webHidden/>
          </w:rPr>
          <w:fldChar w:fldCharType="end"/>
        </w:r>
      </w:hyperlink>
    </w:p>
    <w:p w14:paraId="0ACB299F" w14:textId="1E47E995"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98" w:history="1">
        <w:r w:rsidR="00587185" w:rsidRPr="00A067E3">
          <w:rPr>
            <w:rStyle w:val="Hyperlink"/>
            <w:noProof/>
          </w:rPr>
          <w:t>10.1. Introduction</w:t>
        </w:r>
        <w:r w:rsidR="00587185">
          <w:rPr>
            <w:noProof/>
            <w:webHidden/>
          </w:rPr>
          <w:tab/>
        </w:r>
        <w:r w:rsidR="00587185">
          <w:rPr>
            <w:noProof/>
            <w:webHidden/>
          </w:rPr>
          <w:fldChar w:fldCharType="begin"/>
        </w:r>
        <w:r w:rsidR="00587185">
          <w:rPr>
            <w:noProof/>
            <w:webHidden/>
          </w:rPr>
          <w:instrText xml:space="preserve"> PAGEREF _Toc69476998 \h </w:instrText>
        </w:r>
        <w:r w:rsidR="00587185">
          <w:rPr>
            <w:noProof/>
            <w:webHidden/>
          </w:rPr>
        </w:r>
        <w:r w:rsidR="00587185">
          <w:rPr>
            <w:noProof/>
            <w:webHidden/>
          </w:rPr>
          <w:fldChar w:fldCharType="separate"/>
        </w:r>
        <w:r w:rsidR="00587185">
          <w:rPr>
            <w:noProof/>
            <w:webHidden/>
          </w:rPr>
          <w:t>101</w:t>
        </w:r>
        <w:r w:rsidR="00587185">
          <w:rPr>
            <w:noProof/>
            <w:webHidden/>
          </w:rPr>
          <w:fldChar w:fldCharType="end"/>
        </w:r>
      </w:hyperlink>
    </w:p>
    <w:p w14:paraId="2F088185" w14:textId="4D9AAAEE"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6999" w:history="1">
        <w:r w:rsidR="00587185" w:rsidRPr="00A067E3">
          <w:rPr>
            <w:rStyle w:val="Hyperlink"/>
            <w:noProof/>
          </w:rPr>
          <w:t>10.2. Procedures for running the Balancing  Mechanism for Capacity</w:t>
        </w:r>
        <w:r w:rsidR="00587185">
          <w:rPr>
            <w:noProof/>
            <w:webHidden/>
          </w:rPr>
          <w:tab/>
        </w:r>
        <w:r w:rsidR="00587185">
          <w:rPr>
            <w:noProof/>
            <w:webHidden/>
          </w:rPr>
          <w:fldChar w:fldCharType="begin"/>
        </w:r>
        <w:r w:rsidR="00587185">
          <w:rPr>
            <w:noProof/>
            <w:webHidden/>
          </w:rPr>
          <w:instrText xml:space="preserve"> PAGEREF _Toc69476999 \h </w:instrText>
        </w:r>
        <w:r w:rsidR="00587185">
          <w:rPr>
            <w:noProof/>
            <w:webHidden/>
          </w:rPr>
        </w:r>
        <w:r w:rsidR="00587185">
          <w:rPr>
            <w:noProof/>
            <w:webHidden/>
          </w:rPr>
          <w:fldChar w:fldCharType="separate"/>
        </w:r>
        <w:r w:rsidR="00587185">
          <w:rPr>
            <w:noProof/>
            <w:webHidden/>
          </w:rPr>
          <w:t>102</w:t>
        </w:r>
        <w:r w:rsidR="00587185">
          <w:rPr>
            <w:noProof/>
            <w:webHidden/>
          </w:rPr>
          <w:fldChar w:fldCharType="end"/>
        </w:r>
      </w:hyperlink>
    </w:p>
    <w:p w14:paraId="745D8D1A" w14:textId="68E6FF54"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00" w:history="1">
        <w:r w:rsidR="00587185" w:rsidRPr="00A067E3">
          <w:rPr>
            <w:rStyle w:val="Hyperlink"/>
            <w:noProof/>
          </w:rPr>
          <w:t>10.3. Determination of the Preliminary Receivable and Payable amounts</w:t>
        </w:r>
        <w:r w:rsidR="00587185">
          <w:rPr>
            <w:noProof/>
            <w:webHidden/>
          </w:rPr>
          <w:tab/>
        </w:r>
        <w:r w:rsidR="00587185">
          <w:rPr>
            <w:noProof/>
            <w:webHidden/>
          </w:rPr>
          <w:fldChar w:fldCharType="begin"/>
        </w:r>
        <w:r w:rsidR="00587185">
          <w:rPr>
            <w:noProof/>
            <w:webHidden/>
          </w:rPr>
          <w:instrText xml:space="preserve"> PAGEREF _Toc69477000 \h </w:instrText>
        </w:r>
        <w:r w:rsidR="00587185">
          <w:rPr>
            <w:noProof/>
            <w:webHidden/>
          </w:rPr>
        </w:r>
        <w:r w:rsidR="00587185">
          <w:rPr>
            <w:noProof/>
            <w:webHidden/>
          </w:rPr>
          <w:fldChar w:fldCharType="separate"/>
        </w:r>
        <w:r w:rsidR="00587185">
          <w:rPr>
            <w:noProof/>
            <w:webHidden/>
          </w:rPr>
          <w:t>112</w:t>
        </w:r>
        <w:r w:rsidR="00587185">
          <w:rPr>
            <w:noProof/>
            <w:webHidden/>
          </w:rPr>
          <w:fldChar w:fldCharType="end"/>
        </w:r>
      </w:hyperlink>
    </w:p>
    <w:p w14:paraId="43FB0AB7" w14:textId="790AEFA2"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01" w:history="1">
        <w:r w:rsidR="00587185" w:rsidRPr="00A067E3">
          <w:rPr>
            <w:rStyle w:val="Hyperlink"/>
            <w:noProof/>
          </w:rPr>
          <w:t>10.4. Execution of the Balancing Mechanism for Capacity</w:t>
        </w:r>
        <w:r w:rsidR="00587185">
          <w:rPr>
            <w:noProof/>
            <w:webHidden/>
          </w:rPr>
          <w:tab/>
        </w:r>
        <w:r w:rsidR="00587185">
          <w:rPr>
            <w:noProof/>
            <w:webHidden/>
          </w:rPr>
          <w:fldChar w:fldCharType="begin"/>
        </w:r>
        <w:r w:rsidR="00587185">
          <w:rPr>
            <w:noProof/>
            <w:webHidden/>
          </w:rPr>
          <w:instrText xml:space="preserve"> PAGEREF _Toc69477001 \h </w:instrText>
        </w:r>
        <w:r w:rsidR="00587185">
          <w:rPr>
            <w:noProof/>
            <w:webHidden/>
          </w:rPr>
        </w:r>
        <w:r w:rsidR="00587185">
          <w:rPr>
            <w:noProof/>
            <w:webHidden/>
          </w:rPr>
          <w:fldChar w:fldCharType="separate"/>
        </w:r>
        <w:r w:rsidR="00587185">
          <w:rPr>
            <w:noProof/>
            <w:webHidden/>
          </w:rPr>
          <w:t>113</w:t>
        </w:r>
        <w:r w:rsidR="00587185">
          <w:rPr>
            <w:noProof/>
            <w:webHidden/>
          </w:rPr>
          <w:fldChar w:fldCharType="end"/>
        </w:r>
      </w:hyperlink>
    </w:p>
    <w:p w14:paraId="10D6FA75" w14:textId="08103AC2"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02" w:history="1">
        <w:r w:rsidR="00587185" w:rsidRPr="00A067E3">
          <w:rPr>
            <w:rStyle w:val="Hyperlink"/>
            <w:noProof/>
          </w:rPr>
          <w:t>10.5. Actions after Execution of the BMC</w:t>
        </w:r>
        <w:r w:rsidR="00587185">
          <w:rPr>
            <w:noProof/>
            <w:webHidden/>
          </w:rPr>
          <w:tab/>
        </w:r>
        <w:r w:rsidR="00587185">
          <w:rPr>
            <w:noProof/>
            <w:webHidden/>
          </w:rPr>
          <w:fldChar w:fldCharType="begin"/>
        </w:r>
        <w:r w:rsidR="00587185">
          <w:rPr>
            <w:noProof/>
            <w:webHidden/>
          </w:rPr>
          <w:instrText xml:space="preserve"> PAGEREF _Toc69477002 \h </w:instrText>
        </w:r>
        <w:r w:rsidR="00587185">
          <w:rPr>
            <w:noProof/>
            <w:webHidden/>
          </w:rPr>
        </w:r>
        <w:r w:rsidR="00587185">
          <w:rPr>
            <w:noProof/>
            <w:webHidden/>
          </w:rPr>
          <w:fldChar w:fldCharType="separate"/>
        </w:r>
        <w:r w:rsidR="00587185">
          <w:rPr>
            <w:noProof/>
            <w:webHidden/>
          </w:rPr>
          <w:t>114</w:t>
        </w:r>
        <w:r w:rsidR="00587185">
          <w:rPr>
            <w:noProof/>
            <w:webHidden/>
          </w:rPr>
          <w:fldChar w:fldCharType="end"/>
        </w:r>
      </w:hyperlink>
    </w:p>
    <w:p w14:paraId="2253042B" w14:textId="20963B1F" w:rsidR="00587185" w:rsidRDefault="004D6075">
      <w:pPr>
        <w:pStyle w:val="TOC1"/>
        <w:tabs>
          <w:tab w:val="left" w:pos="1540"/>
          <w:tab w:val="right" w:leader="dot" w:pos="9345"/>
        </w:tabs>
        <w:rPr>
          <w:rFonts w:asciiTheme="minorHAnsi" w:eastAsiaTheme="minorEastAsia" w:hAnsiTheme="minorHAnsi"/>
          <w:b w:val="0"/>
          <w:smallCaps w:val="0"/>
          <w:noProof/>
          <w:color w:val="auto"/>
          <w:lang w:val="en-IN" w:eastAsia="en-IN"/>
        </w:rPr>
      </w:pPr>
      <w:hyperlink w:anchor="_Toc69477003" w:history="1">
        <w:r w:rsidR="00587185" w:rsidRPr="00A067E3">
          <w:rPr>
            <w:rStyle w:val="Hyperlink"/>
            <w:noProof/>
          </w:rPr>
          <w:t>Chapter 11.</w:t>
        </w:r>
        <w:r w:rsidR="00587185">
          <w:rPr>
            <w:rFonts w:asciiTheme="minorHAnsi" w:eastAsiaTheme="minorEastAsia" w:hAnsiTheme="minorHAnsi"/>
            <w:b w:val="0"/>
            <w:smallCaps w:val="0"/>
            <w:noProof/>
            <w:color w:val="auto"/>
            <w:lang w:val="en-IN" w:eastAsia="en-IN"/>
          </w:rPr>
          <w:tab/>
        </w:r>
        <w:r w:rsidR="00587185" w:rsidRPr="00A067E3">
          <w:rPr>
            <w:rStyle w:val="Hyperlink"/>
            <w:noProof/>
          </w:rPr>
          <w:t>COMPLIANCE WITH EX-ANTE CAPACITY OBLIGATIONS</w:t>
        </w:r>
        <w:r w:rsidR="00587185">
          <w:rPr>
            <w:noProof/>
            <w:webHidden/>
          </w:rPr>
          <w:tab/>
        </w:r>
        <w:r w:rsidR="00587185">
          <w:rPr>
            <w:noProof/>
            <w:webHidden/>
          </w:rPr>
          <w:fldChar w:fldCharType="begin"/>
        </w:r>
        <w:r w:rsidR="00587185">
          <w:rPr>
            <w:noProof/>
            <w:webHidden/>
          </w:rPr>
          <w:instrText xml:space="preserve"> PAGEREF _Toc69477003 \h </w:instrText>
        </w:r>
        <w:r w:rsidR="00587185">
          <w:rPr>
            <w:noProof/>
            <w:webHidden/>
          </w:rPr>
        </w:r>
        <w:r w:rsidR="00587185">
          <w:rPr>
            <w:noProof/>
            <w:webHidden/>
          </w:rPr>
          <w:fldChar w:fldCharType="separate"/>
        </w:r>
        <w:r w:rsidR="00587185">
          <w:rPr>
            <w:noProof/>
            <w:webHidden/>
          </w:rPr>
          <w:t>116</w:t>
        </w:r>
        <w:r w:rsidR="00587185">
          <w:rPr>
            <w:noProof/>
            <w:webHidden/>
          </w:rPr>
          <w:fldChar w:fldCharType="end"/>
        </w:r>
      </w:hyperlink>
    </w:p>
    <w:p w14:paraId="65D398CC" w14:textId="1EF42FBC"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04" w:history="1">
        <w:r w:rsidR="00587185" w:rsidRPr="00A067E3">
          <w:rPr>
            <w:rStyle w:val="Hyperlink"/>
            <w:noProof/>
          </w:rPr>
          <w:t>11.1. Capacity Obligations of market participants</w:t>
        </w:r>
        <w:r w:rsidR="00587185">
          <w:rPr>
            <w:noProof/>
            <w:webHidden/>
          </w:rPr>
          <w:tab/>
        </w:r>
        <w:r w:rsidR="00587185">
          <w:rPr>
            <w:noProof/>
            <w:webHidden/>
          </w:rPr>
          <w:fldChar w:fldCharType="begin"/>
        </w:r>
        <w:r w:rsidR="00587185">
          <w:rPr>
            <w:noProof/>
            <w:webHidden/>
          </w:rPr>
          <w:instrText xml:space="preserve"> PAGEREF _Toc69477004 \h </w:instrText>
        </w:r>
        <w:r w:rsidR="00587185">
          <w:rPr>
            <w:noProof/>
            <w:webHidden/>
          </w:rPr>
        </w:r>
        <w:r w:rsidR="00587185">
          <w:rPr>
            <w:noProof/>
            <w:webHidden/>
          </w:rPr>
          <w:fldChar w:fldCharType="separate"/>
        </w:r>
        <w:r w:rsidR="00587185">
          <w:rPr>
            <w:noProof/>
            <w:webHidden/>
          </w:rPr>
          <w:t>116</w:t>
        </w:r>
        <w:r w:rsidR="00587185">
          <w:rPr>
            <w:noProof/>
            <w:webHidden/>
          </w:rPr>
          <w:fldChar w:fldCharType="end"/>
        </w:r>
      </w:hyperlink>
    </w:p>
    <w:p w14:paraId="0199A646" w14:textId="7F0C9E42"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05" w:history="1">
        <w:r w:rsidR="00587185" w:rsidRPr="00A067E3">
          <w:rPr>
            <w:rStyle w:val="Hyperlink"/>
            <w:noProof/>
          </w:rPr>
          <w:t>11.2. Demand forecasts</w:t>
        </w:r>
        <w:r w:rsidR="00587185">
          <w:rPr>
            <w:noProof/>
            <w:webHidden/>
          </w:rPr>
          <w:tab/>
        </w:r>
        <w:r w:rsidR="00587185">
          <w:rPr>
            <w:noProof/>
            <w:webHidden/>
          </w:rPr>
          <w:fldChar w:fldCharType="begin"/>
        </w:r>
        <w:r w:rsidR="00587185">
          <w:rPr>
            <w:noProof/>
            <w:webHidden/>
          </w:rPr>
          <w:instrText xml:space="preserve"> PAGEREF _Toc69477005 \h </w:instrText>
        </w:r>
        <w:r w:rsidR="00587185">
          <w:rPr>
            <w:noProof/>
            <w:webHidden/>
          </w:rPr>
        </w:r>
        <w:r w:rsidR="00587185">
          <w:rPr>
            <w:noProof/>
            <w:webHidden/>
          </w:rPr>
          <w:fldChar w:fldCharType="separate"/>
        </w:r>
        <w:r w:rsidR="00587185">
          <w:rPr>
            <w:noProof/>
            <w:webHidden/>
          </w:rPr>
          <w:t>116</w:t>
        </w:r>
        <w:r w:rsidR="00587185">
          <w:rPr>
            <w:noProof/>
            <w:webHidden/>
          </w:rPr>
          <w:fldChar w:fldCharType="end"/>
        </w:r>
      </w:hyperlink>
    </w:p>
    <w:p w14:paraId="7E8C8EF0" w14:textId="0B10B434"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06" w:history="1">
        <w:r w:rsidR="00587185" w:rsidRPr="00A067E3">
          <w:rPr>
            <w:rStyle w:val="Hyperlink"/>
            <w:noProof/>
          </w:rPr>
          <w:t>11.3. Capacity Obligations</w:t>
        </w:r>
        <w:r w:rsidR="00587185">
          <w:rPr>
            <w:noProof/>
            <w:webHidden/>
          </w:rPr>
          <w:tab/>
        </w:r>
        <w:r w:rsidR="00587185">
          <w:rPr>
            <w:noProof/>
            <w:webHidden/>
          </w:rPr>
          <w:fldChar w:fldCharType="begin"/>
        </w:r>
        <w:r w:rsidR="00587185">
          <w:rPr>
            <w:noProof/>
            <w:webHidden/>
          </w:rPr>
          <w:instrText xml:space="preserve"> PAGEREF _Toc69477006 \h </w:instrText>
        </w:r>
        <w:r w:rsidR="00587185">
          <w:rPr>
            <w:noProof/>
            <w:webHidden/>
          </w:rPr>
        </w:r>
        <w:r w:rsidR="00587185">
          <w:rPr>
            <w:noProof/>
            <w:webHidden/>
          </w:rPr>
          <w:fldChar w:fldCharType="separate"/>
        </w:r>
        <w:r w:rsidR="00587185">
          <w:rPr>
            <w:noProof/>
            <w:webHidden/>
          </w:rPr>
          <w:t>118</w:t>
        </w:r>
        <w:r w:rsidR="00587185">
          <w:rPr>
            <w:noProof/>
            <w:webHidden/>
          </w:rPr>
          <w:fldChar w:fldCharType="end"/>
        </w:r>
      </w:hyperlink>
    </w:p>
    <w:p w14:paraId="71548047" w14:textId="305D43F4"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07" w:history="1">
        <w:r w:rsidR="00587185" w:rsidRPr="00A067E3">
          <w:rPr>
            <w:rStyle w:val="Hyperlink"/>
            <w:noProof/>
          </w:rPr>
          <w:t>11.4. Ex-Ante Verification of Capacity Obligations (current and subsequent years)</w:t>
        </w:r>
        <w:r w:rsidR="00587185">
          <w:rPr>
            <w:noProof/>
            <w:webHidden/>
          </w:rPr>
          <w:tab/>
        </w:r>
        <w:r w:rsidR="00587185">
          <w:rPr>
            <w:noProof/>
            <w:webHidden/>
          </w:rPr>
          <w:fldChar w:fldCharType="begin"/>
        </w:r>
        <w:r w:rsidR="00587185">
          <w:rPr>
            <w:noProof/>
            <w:webHidden/>
          </w:rPr>
          <w:instrText xml:space="preserve"> PAGEREF _Toc69477007 \h </w:instrText>
        </w:r>
        <w:r w:rsidR="00587185">
          <w:rPr>
            <w:noProof/>
            <w:webHidden/>
          </w:rPr>
        </w:r>
        <w:r w:rsidR="00587185">
          <w:rPr>
            <w:noProof/>
            <w:webHidden/>
          </w:rPr>
          <w:fldChar w:fldCharType="separate"/>
        </w:r>
        <w:r w:rsidR="00587185">
          <w:rPr>
            <w:noProof/>
            <w:webHidden/>
          </w:rPr>
          <w:t>120</w:t>
        </w:r>
        <w:r w:rsidR="00587185">
          <w:rPr>
            <w:noProof/>
            <w:webHidden/>
          </w:rPr>
          <w:fldChar w:fldCharType="end"/>
        </w:r>
      </w:hyperlink>
    </w:p>
    <w:p w14:paraId="51CA092C" w14:textId="01FC3706"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08" w:history="1">
        <w:r w:rsidR="00587185" w:rsidRPr="00A067E3">
          <w:rPr>
            <w:rStyle w:val="Hyperlink"/>
            <w:noProof/>
          </w:rPr>
          <w:t>11.5. Dissemination of the Results and Actions in Case of Non-Compliance</w:t>
        </w:r>
        <w:r w:rsidR="00587185">
          <w:rPr>
            <w:noProof/>
            <w:webHidden/>
          </w:rPr>
          <w:tab/>
        </w:r>
        <w:r w:rsidR="00587185">
          <w:rPr>
            <w:noProof/>
            <w:webHidden/>
          </w:rPr>
          <w:fldChar w:fldCharType="begin"/>
        </w:r>
        <w:r w:rsidR="00587185">
          <w:rPr>
            <w:noProof/>
            <w:webHidden/>
          </w:rPr>
          <w:instrText xml:space="preserve"> PAGEREF _Toc69477008 \h </w:instrText>
        </w:r>
        <w:r w:rsidR="00587185">
          <w:rPr>
            <w:noProof/>
            <w:webHidden/>
          </w:rPr>
        </w:r>
        <w:r w:rsidR="00587185">
          <w:rPr>
            <w:noProof/>
            <w:webHidden/>
          </w:rPr>
          <w:fldChar w:fldCharType="separate"/>
        </w:r>
        <w:r w:rsidR="00587185">
          <w:rPr>
            <w:noProof/>
            <w:webHidden/>
          </w:rPr>
          <w:t>123</w:t>
        </w:r>
        <w:r w:rsidR="00587185">
          <w:rPr>
            <w:noProof/>
            <w:webHidden/>
          </w:rPr>
          <w:fldChar w:fldCharType="end"/>
        </w:r>
      </w:hyperlink>
    </w:p>
    <w:p w14:paraId="4ECEADAE" w14:textId="400899C6" w:rsidR="00587185" w:rsidRDefault="004D6075">
      <w:pPr>
        <w:pStyle w:val="TOC1"/>
        <w:tabs>
          <w:tab w:val="left" w:pos="1540"/>
          <w:tab w:val="right" w:leader="dot" w:pos="9345"/>
        </w:tabs>
        <w:rPr>
          <w:rFonts w:asciiTheme="minorHAnsi" w:eastAsiaTheme="minorEastAsia" w:hAnsiTheme="minorHAnsi"/>
          <w:b w:val="0"/>
          <w:smallCaps w:val="0"/>
          <w:noProof/>
          <w:color w:val="auto"/>
          <w:lang w:val="en-IN" w:eastAsia="en-IN"/>
        </w:rPr>
      </w:pPr>
      <w:hyperlink w:anchor="_Toc69477009" w:history="1">
        <w:r w:rsidR="00587185" w:rsidRPr="00A067E3">
          <w:rPr>
            <w:rStyle w:val="Hyperlink"/>
            <w:noProof/>
          </w:rPr>
          <w:t>Chapter 12.</w:t>
        </w:r>
        <w:r w:rsidR="00587185">
          <w:rPr>
            <w:rFonts w:asciiTheme="minorHAnsi" w:eastAsiaTheme="minorEastAsia" w:hAnsiTheme="minorHAnsi"/>
            <w:b w:val="0"/>
            <w:smallCaps w:val="0"/>
            <w:noProof/>
            <w:color w:val="auto"/>
            <w:lang w:val="en-IN" w:eastAsia="en-IN"/>
          </w:rPr>
          <w:tab/>
        </w:r>
        <w:r w:rsidR="00587185" w:rsidRPr="00A067E3">
          <w:rPr>
            <w:rStyle w:val="Hyperlink"/>
            <w:noProof/>
          </w:rPr>
          <w:t>YEARLY SETTLEMENT (FOR BMC AND EXCESS LOSSES)</w:t>
        </w:r>
        <w:r w:rsidR="00587185">
          <w:rPr>
            <w:noProof/>
            <w:webHidden/>
          </w:rPr>
          <w:tab/>
        </w:r>
        <w:r w:rsidR="00587185">
          <w:rPr>
            <w:noProof/>
            <w:webHidden/>
          </w:rPr>
          <w:fldChar w:fldCharType="begin"/>
        </w:r>
        <w:r w:rsidR="00587185">
          <w:rPr>
            <w:noProof/>
            <w:webHidden/>
          </w:rPr>
          <w:instrText xml:space="preserve"> PAGEREF _Toc69477009 \h </w:instrText>
        </w:r>
        <w:r w:rsidR="00587185">
          <w:rPr>
            <w:noProof/>
            <w:webHidden/>
          </w:rPr>
        </w:r>
        <w:r w:rsidR="00587185">
          <w:rPr>
            <w:noProof/>
            <w:webHidden/>
          </w:rPr>
          <w:fldChar w:fldCharType="separate"/>
        </w:r>
        <w:r w:rsidR="00587185">
          <w:rPr>
            <w:noProof/>
            <w:webHidden/>
          </w:rPr>
          <w:t>125</w:t>
        </w:r>
        <w:r w:rsidR="00587185">
          <w:rPr>
            <w:noProof/>
            <w:webHidden/>
          </w:rPr>
          <w:fldChar w:fldCharType="end"/>
        </w:r>
      </w:hyperlink>
    </w:p>
    <w:p w14:paraId="69E9DE1A" w14:textId="54696909"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10" w:history="1">
        <w:r w:rsidR="00587185" w:rsidRPr="00A067E3">
          <w:rPr>
            <w:rStyle w:val="Hyperlink"/>
            <w:noProof/>
          </w:rPr>
          <w:t>12.1. Yearly Settlement Statement</w:t>
        </w:r>
        <w:r w:rsidR="00587185">
          <w:rPr>
            <w:noProof/>
            <w:webHidden/>
          </w:rPr>
          <w:tab/>
        </w:r>
        <w:r w:rsidR="00587185">
          <w:rPr>
            <w:noProof/>
            <w:webHidden/>
          </w:rPr>
          <w:fldChar w:fldCharType="begin"/>
        </w:r>
        <w:r w:rsidR="00587185">
          <w:rPr>
            <w:noProof/>
            <w:webHidden/>
          </w:rPr>
          <w:instrText xml:space="preserve"> PAGEREF _Toc69477010 \h </w:instrText>
        </w:r>
        <w:r w:rsidR="00587185">
          <w:rPr>
            <w:noProof/>
            <w:webHidden/>
          </w:rPr>
        </w:r>
        <w:r w:rsidR="00587185">
          <w:rPr>
            <w:noProof/>
            <w:webHidden/>
          </w:rPr>
          <w:fldChar w:fldCharType="separate"/>
        </w:r>
        <w:r w:rsidR="00587185">
          <w:rPr>
            <w:noProof/>
            <w:webHidden/>
          </w:rPr>
          <w:t>125</w:t>
        </w:r>
        <w:r w:rsidR="00587185">
          <w:rPr>
            <w:noProof/>
            <w:webHidden/>
          </w:rPr>
          <w:fldChar w:fldCharType="end"/>
        </w:r>
      </w:hyperlink>
    </w:p>
    <w:p w14:paraId="4BFA68E1" w14:textId="1255E375"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11" w:history="1">
        <w:r w:rsidR="00587185" w:rsidRPr="00A067E3">
          <w:rPr>
            <w:rStyle w:val="Hyperlink"/>
            <w:noProof/>
          </w:rPr>
          <w:t>12.2. Charges and Compensations for Excess Losses of a TSP</w:t>
        </w:r>
        <w:r w:rsidR="00587185">
          <w:rPr>
            <w:noProof/>
            <w:webHidden/>
          </w:rPr>
          <w:tab/>
        </w:r>
        <w:r w:rsidR="00587185">
          <w:rPr>
            <w:noProof/>
            <w:webHidden/>
          </w:rPr>
          <w:fldChar w:fldCharType="begin"/>
        </w:r>
        <w:r w:rsidR="00587185">
          <w:rPr>
            <w:noProof/>
            <w:webHidden/>
          </w:rPr>
          <w:instrText xml:space="preserve"> PAGEREF _Toc69477011 \h </w:instrText>
        </w:r>
        <w:r w:rsidR="00587185">
          <w:rPr>
            <w:noProof/>
            <w:webHidden/>
          </w:rPr>
        </w:r>
        <w:r w:rsidR="00587185">
          <w:rPr>
            <w:noProof/>
            <w:webHidden/>
          </w:rPr>
          <w:fldChar w:fldCharType="separate"/>
        </w:r>
        <w:r w:rsidR="00587185">
          <w:rPr>
            <w:noProof/>
            <w:webHidden/>
          </w:rPr>
          <w:t>125</w:t>
        </w:r>
        <w:r w:rsidR="00587185">
          <w:rPr>
            <w:noProof/>
            <w:webHidden/>
          </w:rPr>
          <w:fldChar w:fldCharType="end"/>
        </w:r>
      </w:hyperlink>
    </w:p>
    <w:p w14:paraId="60966CFB" w14:textId="4E3E0966"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12" w:history="1">
        <w:r w:rsidR="00587185" w:rsidRPr="00A067E3">
          <w:rPr>
            <w:rStyle w:val="Hyperlink"/>
            <w:noProof/>
          </w:rPr>
          <w:t>12.3. Settlement Statements</w:t>
        </w:r>
        <w:r w:rsidR="00587185">
          <w:rPr>
            <w:noProof/>
            <w:webHidden/>
          </w:rPr>
          <w:tab/>
        </w:r>
        <w:r w:rsidR="00587185">
          <w:rPr>
            <w:noProof/>
            <w:webHidden/>
          </w:rPr>
          <w:fldChar w:fldCharType="begin"/>
        </w:r>
        <w:r w:rsidR="00587185">
          <w:rPr>
            <w:noProof/>
            <w:webHidden/>
          </w:rPr>
          <w:instrText xml:space="preserve"> PAGEREF _Toc69477012 \h </w:instrText>
        </w:r>
        <w:r w:rsidR="00587185">
          <w:rPr>
            <w:noProof/>
            <w:webHidden/>
          </w:rPr>
        </w:r>
        <w:r w:rsidR="00587185">
          <w:rPr>
            <w:noProof/>
            <w:webHidden/>
          </w:rPr>
          <w:fldChar w:fldCharType="separate"/>
        </w:r>
        <w:r w:rsidR="00587185">
          <w:rPr>
            <w:noProof/>
            <w:webHidden/>
          </w:rPr>
          <w:t>129</w:t>
        </w:r>
        <w:r w:rsidR="00587185">
          <w:rPr>
            <w:noProof/>
            <w:webHidden/>
          </w:rPr>
          <w:fldChar w:fldCharType="end"/>
        </w:r>
      </w:hyperlink>
    </w:p>
    <w:p w14:paraId="05DFD2F2" w14:textId="05ECB53D" w:rsidR="00587185" w:rsidRDefault="008E7CAB">
      <w:pPr>
        <w:pStyle w:val="TOC2"/>
        <w:tabs>
          <w:tab w:val="right" w:leader="dot" w:pos="9345"/>
        </w:tabs>
        <w:rPr>
          <w:rFonts w:asciiTheme="minorHAnsi" w:eastAsiaTheme="minorEastAsia" w:hAnsiTheme="minorHAnsi"/>
          <w:b w:val="0"/>
          <w:noProof/>
          <w:color w:val="auto"/>
          <w:u w:val="none"/>
          <w:lang w:val="en-IN" w:eastAsia="en-IN"/>
        </w:rPr>
      </w:pPr>
      <w:hyperlink w:anchor="_Toc69477013" w:history="1">
        <w:r w:rsidR="00587185" w:rsidRPr="00A067E3">
          <w:rPr>
            <w:rStyle w:val="Hyperlink"/>
            <w:noProof/>
          </w:rPr>
          <w:t xml:space="preserve">12.4. </w:t>
        </w:r>
        <w:r w:rsidR="008E7D79">
          <w:rPr>
            <w:rStyle w:val="Hyperlink"/>
            <w:noProof/>
          </w:rPr>
          <w:t>Debit Notification</w:t>
        </w:r>
        <w:r w:rsidR="00587185" w:rsidRPr="00A067E3">
          <w:rPr>
            <w:rStyle w:val="Hyperlink"/>
            <w:noProof/>
          </w:rPr>
          <w:t>s and Credited Amounts</w:t>
        </w:r>
        <w:r w:rsidR="00587185">
          <w:rPr>
            <w:noProof/>
            <w:webHidden/>
          </w:rPr>
          <w:tab/>
        </w:r>
        <w:r w:rsidR="00587185">
          <w:rPr>
            <w:noProof/>
            <w:webHidden/>
          </w:rPr>
          <w:fldChar w:fldCharType="begin"/>
        </w:r>
        <w:r w:rsidR="00587185">
          <w:rPr>
            <w:noProof/>
            <w:webHidden/>
          </w:rPr>
          <w:instrText xml:space="preserve"> PAGEREF _Toc69477013 \h </w:instrText>
        </w:r>
        <w:r w:rsidR="00587185">
          <w:rPr>
            <w:noProof/>
            <w:webHidden/>
          </w:rPr>
        </w:r>
        <w:r w:rsidR="00587185">
          <w:rPr>
            <w:noProof/>
            <w:webHidden/>
          </w:rPr>
          <w:fldChar w:fldCharType="separate"/>
        </w:r>
        <w:r w:rsidR="00587185">
          <w:rPr>
            <w:noProof/>
            <w:webHidden/>
          </w:rPr>
          <w:t>130</w:t>
        </w:r>
        <w:r w:rsidR="00587185">
          <w:rPr>
            <w:noProof/>
            <w:webHidden/>
          </w:rPr>
          <w:fldChar w:fldCharType="end"/>
        </w:r>
      </w:hyperlink>
    </w:p>
    <w:p w14:paraId="76AC47C1" w14:textId="40AD6537" w:rsidR="00587185" w:rsidRDefault="004D6075">
      <w:pPr>
        <w:pStyle w:val="TOC1"/>
        <w:tabs>
          <w:tab w:val="left" w:pos="1540"/>
          <w:tab w:val="right" w:leader="dot" w:pos="9345"/>
        </w:tabs>
        <w:rPr>
          <w:rFonts w:asciiTheme="minorHAnsi" w:eastAsiaTheme="minorEastAsia" w:hAnsiTheme="minorHAnsi"/>
          <w:b w:val="0"/>
          <w:smallCaps w:val="0"/>
          <w:noProof/>
          <w:color w:val="auto"/>
          <w:lang w:val="en-IN" w:eastAsia="en-IN"/>
        </w:rPr>
      </w:pPr>
      <w:hyperlink w:anchor="_Toc69477014" w:history="1">
        <w:r w:rsidR="00587185" w:rsidRPr="00A067E3">
          <w:rPr>
            <w:rStyle w:val="Hyperlink"/>
            <w:noProof/>
          </w:rPr>
          <w:t>Chapter 13.</w:t>
        </w:r>
        <w:r w:rsidR="00587185">
          <w:rPr>
            <w:rFonts w:asciiTheme="minorHAnsi" w:eastAsiaTheme="minorEastAsia" w:hAnsiTheme="minorHAnsi"/>
            <w:b w:val="0"/>
            <w:smallCaps w:val="0"/>
            <w:noProof/>
            <w:color w:val="auto"/>
            <w:lang w:val="en-IN" w:eastAsia="en-IN"/>
          </w:rPr>
          <w:tab/>
        </w:r>
        <w:r w:rsidR="00587185" w:rsidRPr="00A067E3">
          <w:rPr>
            <w:rStyle w:val="Hyperlink"/>
            <w:noProof/>
          </w:rPr>
          <w:t>PAYMENT SYSTEM</w:t>
        </w:r>
        <w:r w:rsidR="00587185">
          <w:rPr>
            <w:noProof/>
            <w:webHidden/>
          </w:rPr>
          <w:tab/>
        </w:r>
        <w:r w:rsidR="00587185">
          <w:rPr>
            <w:noProof/>
            <w:webHidden/>
          </w:rPr>
          <w:fldChar w:fldCharType="begin"/>
        </w:r>
        <w:r w:rsidR="00587185">
          <w:rPr>
            <w:noProof/>
            <w:webHidden/>
          </w:rPr>
          <w:instrText xml:space="preserve"> PAGEREF _Toc69477014 \h </w:instrText>
        </w:r>
        <w:r w:rsidR="00587185">
          <w:rPr>
            <w:noProof/>
            <w:webHidden/>
          </w:rPr>
        </w:r>
        <w:r w:rsidR="00587185">
          <w:rPr>
            <w:noProof/>
            <w:webHidden/>
          </w:rPr>
          <w:fldChar w:fldCharType="separate"/>
        </w:r>
        <w:r w:rsidR="00587185">
          <w:rPr>
            <w:noProof/>
            <w:webHidden/>
          </w:rPr>
          <w:t>132</w:t>
        </w:r>
        <w:r w:rsidR="00587185">
          <w:rPr>
            <w:noProof/>
            <w:webHidden/>
          </w:rPr>
          <w:fldChar w:fldCharType="end"/>
        </w:r>
      </w:hyperlink>
    </w:p>
    <w:p w14:paraId="4A49C002" w14:textId="5ED91CE1"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15" w:history="1">
        <w:r w:rsidR="00587185" w:rsidRPr="00A067E3">
          <w:rPr>
            <w:rStyle w:val="Hyperlink"/>
            <w:noProof/>
          </w:rPr>
          <w:t>13.1. Components of the Payment System</w:t>
        </w:r>
        <w:r w:rsidR="00587185">
          <w:rPr>
            <w:noProof/>
            <w:webHidden/>
          </w:rPr>
          <w:tab/>
        </w:r>
        <w:r w:rsidR="00587185">
          <w:rPr>
            <w:noProof/>
            <w:webHidden/>
          </w:rPr>
          <w:fldChar w:fldCharType="begin"/>
        </w:r>
        <w:r w:rsidR="00587185">
          <w:rPr>
            <w:noProof/>
            <w:webHidden/>
          </w:rPr>
          <w:instrText xml:space="preserve"> PAGEREF _Toc69477015 \h </w:instrText>
        </w:r>
        <w:r w:rsidR="00587185">
          <w:rPr>
            <w:noProof/>
            <w:webHidden/>
          </w:rPr>
        </w:r>
        <w:r w:rsidR="00587185">
          <w:rPr>
            <w:noProof/>
            <w:webHidden/>
          </w:rPr>
          <w:fldChar w:fldCharType="separate"/>
        </w:r>
        <w:r w:rsidR="00587185">
          <w:rPr>
            <w:noProof/>
            <w:webHidden/>
          </w:rPr>
          <w:t>132</w:t>
        </w:r>
        <w:r w:rsidR="00587185">
          <w:rPr>
            <w:noProof/>
            <w:webHidden/>
          </w:rPr>
          <w:fldChar w:fldCharType="end"/>
        </w:r>
      </w:hyperlink>
    </w:p>
    <w:p w14:paraId="0A57E12D" w14:textId="3F3C4F6A"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16" w:history="1">
        <w:r w:rsidR="00587185" w:rsidRPr="00A067E3">
          <w:rPr>
            <w:rStyle w:val="Hyperlink"/>
            <w:noProof/>
          </w:rPr>
          <w:t>13.2. Market Operator Payments Calendar</w:t>
        </w:r>
        <w:r w:rsidR="00587185">
          <w:rPr>
            <w:noProof/>
            <w:webHidden/>
          </w:rPr>
          <w:tab/>
        </w:r>
        <w:r w:rsidR="00587185">
          <w:rPr>
            <w:noProof/>
            <w:webHidden/>
          </w:rPr>
          <w:fldChar w:fldCharType="begin"/>
        </w:r>
        <w:r w:rsidR="00587185">
          <w:rPr>
            <w:noProof/>
            <w:webHidden/>
          </w:rPr>
          <w:instrText xml:space="preserve"> PAGEREF _Toc69477016 \h </w:instrText>
        </w:r>
        <w:r w:rsidR="00587185">
          <w:rPr>
            <w:noProof/>
            <w:webHidden/>
          </w:rPr>
        </w:r>
        <w:r w:rsidR="00587185">
          <w:rPr>
            <w:noProof/>
            <w:webHidden/>
          </w:rPr>
          <w:fldChar w:fldCharType="separate"/>
        </w:r>
        <w:r w:rsidR="00587185">
          <w:rPr>
            <w:noProof/>
            <w:webHidden/>
          </w:rPr>
          <w:t>133</w:t>
        </w:r>
        <w:r w:rsidR="00587185">
          <w:rPr>
            <w:noProof/>
            <w:webHidden/>
          </w:rPr>
          <w:fldChar w:fldCharType="end"/>
        </w:r>
      </w:hyperlink>
    </w:p>
    <w:p w14:paraId="686623A8" w14:textId="7A6CBC12"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17" w:history="1">
        <w:r w:rsidR="00587185" w:rsidRPr="00A067E3">
          <w:rPr>
            <w:rStyle w:val="Hyperlink"/>
            <w:noProof/>
          </w:rPr>
          <w:t>13.3. Payment Procedures</w:t>
        </w:r>
        <w:r w:rsidR="00587185">
          <w:rPr>
            <w:noProof/>
            <w:webHidden/>
          </w:rPr>
          <w:tab/>
        </w:r>
        <w:r w:rsidR="00587185">
          <w:rPr>
            <w:noProof/>
            <w:webHidden/>
          </w:rPr>
          <w:fldChar w:fldCharType="begin"/>
        </w:r>
        <w:r w:rsidR="00587185">
          <w:rPr>
            <w:noProof/>
            <w:webHidden/>
          </w:rPr>
          <w:instrText xml:space="preserve"> PAGEREF _Toc69477017 \h </w:instrText>
        </w:r>
        <w:r w:rsidR="00587185">
          <w:rPr>
            <w:noProof/>
            <w:webHidden/>
          </w:rPr>
        </w:r>
        <w:r w:rsidR="00587185">
          <w:rPr>
            <w:noProof/>
            <w:webHidden/>
          </w:rPr>
          <w:fldChar w:fldCharType="separate"/>
        </w:r>
        <w:r w:rsidR="00587185">
          <w:rPr>
            <w:noProof/>
            <w:webHidden/>
          </w:rPr>
          <w:t>134</w:t>
        </w:r>
        <w:r w:rsidR="00587185">
          <w:rPr>
            <w:noProof/>
            <w:webHidden/>
          </w:rPr>
          <w:fldChar w:fldCharType="end"/>
        </w:r>
      </w:hyperlink>
    </w:p>
    <w:p w14:paraId="3172D998" w14:textId="38FD2A3E" w:rsidR="00587185" w:rsidRDefault="004D6075">
      <w:pPr>
        <w:pStyle w:val="TOC1"/>
        <w:tabs>
          <w:tab w:val="left" w:pos="1540"/>
          <w:tab w:val="right" w:leader="dot" w:pos="9345"/>
        </w:tabs>
        <w:rPr>
          <w:rFonts w:asciiTheme="minorHAnsi" w:eastAsiaTheme="minorEastAsia" w:hAnsiTheme="minorHAnsi"/>
          <w:b w:val="0"/>
          <w:smallCaps w:val="0"/>
          <w:noProof/>
          <w:color w:val="auto"/>
          <w:lang w:val="en-IN" w:eastAsia="en-IN"/>
        </w:rPr>
      </w:pPr>
      <w:hyperlink w:anchor="_Toc69477018" w:history="1">
        <w:r w:rsidR="00587185" w:rsidRPr="00A067E3">
          <w:rPr>
            <w:rStyle w:val="Hyperlink"/>
            <w:noProof/>
          </w:rPr>
          <w:t>Chapter 14.</w:t>
        </w:r>
        <w:r w:rsidR="00587185">
          <w:rPr>
            <w:rFonts w:asciiTheme="minorHAnsi" w:eastAsiaTheme="minorEastAsia" w:hAnsiTheme="minorHAnsi"/>
            <w:b w:val="0"/>
            <w:smallCaps w:val="0"/>
            <w:noProof/>
            <w:color w:val="auto"/>
            <w:lang w:val="en-IN" w:eastAsia="en-IN"/>
          </w:rPr>
          <w:tab/>
        </w:r>
        <w:r w:rsidR="00587185" w:rsidRPr="00A067E3">
          <w:rPr>
            <w:rStyle w:val="Hyperlink"/>
            <w:noProof/>
          </w:rPr>
          <w:t>GUARANTEES AND SECURITY COVERS</w:t>
        </w:r>
        <w:r w:rsidR="00587185">
          <w:rPr>
            <w:noProof/>
            <w:webHidden/>
          </w:rPr>
          <w:tab/>
        </w:r>
        <w:r w:rsidR="00587185">
          <w:rPr>
            <w:noProof/>
            <w:webHidden/>
          </w:rPr>
          <w:fldChar w:fldCharType="begin"/>
        </w:r>
        <w:r w:rsidR="00587185">
          <w:rPr>
            <w:noProof/>
            <w:webHidden/>
          </w:rPr>
          <w:instrText xml:space="preserve"> PAGEREF _Toc69477018 \h </w:instrText>
        </w:r>
        <w:r w:rsidR="00587185">
          <w:rPr>
            <w:noProof/>
            <w:webHidden/>
          </w:rPr>
        </w:r>
        <w:r w:rsidR="00587185">
          <w:rPr>
            <w:noProof/>
            <w:webHidden/>
          </w:rPr>
          <w:fldChar w:fldCharType="separate"/>
        </w:r>
        <w:r w:rsidR="00587185">
          <w:rPr>
            <w:noProof/>
            <w:webHidden/>
          </w:rPr>
          <w:t>138</w:t>
        </w:r>
        <w:r w:rsidR="00587185">
          <w:rPr>
            <w:noProof/>
            <w:webHidden/>
          </w:rPr>
          <w:fldChar w:fldCharType="end"/>
        </w:r>
      </w:hyperlink>
    </w:p>
    <w:p w14:paraId="1E1275D6" w14:textId="6BC0B414"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19" w:history="1">
        <w:r w:rsidR="00587185" w:rsidRPr="00A067E3">
          <w:rPr>
            <w:rStyle w:val="Hyperlink"/>
            <w:noProof/>
          </w:rPr>
          <w:t>14.1. Requirements for Providing Security Covers</w:t>
        </w:r>
        <w:r w:rsidR="00587185">
          <w:rPr>
            <w:noProof/>
            <w:webHidden/>
          </w:rPr>
          <w:tab/>
        </w:r>
        <w:r w:rsidR="00587185">
          <w:rPr>
            <w:noProof/>
            <w:webHidden/>
          </w:rPr>
          <w:fldChar w:fldCharType="begin"/>
        </w:r>
        <w:r w:rsidR="00587185">
          <w:rPr>
            <w:noProof/>
            <w:webHidden/>
          </w:rPr>
          <w:instrText xml:space="preserve"> PAGEREF _Toc69477019 \h </w:instrText>
        </w:r>
        <w:r w:rsidR="00587185">
          <w:rPr>
            <w:noProof/>
            <w:webHidden/>
          </w:rPr>
        </w:r>
        <w:r w:rsidR="00587185">
          <w:rPr>
            <w:noProof/>
            <w:webHidden/>
          </w:rPr>
          <w:fldChar w:fldCharType="separate"/>
        </w:r>
        <w:r w:rsidR="00587185">
          <w:rPr>
            <w:noProof/>
            <w:webHidden/>
          </w:rPr>
          <w:t>138</w:t>
        </w:r>
        <w:r w:rsidR="00587185">
          <w:rPr>
            <w:noProof/>
            <w:webHidden/>
          </w:rPr>
          <w:fldChar w:fldCharType="end"/>
        </w:r>
      </w:hyperlink>
    </w:p>
    <w:p w14:paraId="453F4F82" w14:textId="01663B4B"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20" w:history="1">
        <w:r w:rsidR="00587185" w:rsidRPr="00A067E3">
          <w:rPr>
            <w:rStyle w:val="Hyperlink"/>
            <w:noProof/>
          </w:rPr>
          <w:t>14.2. Security Covers Associated with Purchases at the BME</w:t>
        </w:r>
        <w:r w:rsidR="00587185">
          <w:rPr>
            <w:noProof/>
            <w:webHidden/>
          </w:rPr>
          <w:tab/>
        </w:r>
        <w:r w:rsidR="00587185">
          <w:rPr>
            <w:noProof/>
            <w:webHidden/>
          </w:rPr>
          <w:fldChar w:fldCharType="begin"/>
        </w:r>
        <w:r w:rsidR="00587185">
          <w:rPr>
            <w:noProof/>
            <w:webHidden/>
          </w:rPr>
          <w:instrText xml:space="preserve"> PAGEREF _Toc69477020 \h </w:instrText>
        </w:r>
        <w:r w:rsidR="00587185">
          <w:rPr>
            <w:noProof/>
            <w:webHidden/>
          </w:rPr>
        </w:r>
        <w:r w:rsidR="00587185">
          <w:rPr>
            <w:noProof/>
            <w:webHidden/>
          </w:rPr>
          <w:fldChar w:fldCharType="separate"/>
        </w:r>
        <w:r w:rsidR="00587185">
          <w:rPr>
            <w:noProof/>
            <w:webHidden/>
          </w:rPr>
          <w:t>138</w:t>
        </w:r>
        <w:r w:rsidR="00587185">
          <w:rPr>
            <w:noProof/>
            <w:webHidden/>
          </w:rPr>
          <w:fldChar w:fldCharType="end"/>
        </w:r>
      </w:hyperlink>
    </w:p>
    <w:p w14:paraId="28DA13FB" w14:textId="3D6D492D"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21" w:history="1">
        <w:r w:rsidR="00587185" w:rsidRPr="00A067E3">
          <w:rPr>
            <w:rStyle w:val="Hyperlink"/>
            <w:noProof/>
          </w:rPr>
          <w:t>14.3. Security Covers Associated with Purchases at the BMC</w:t>
        </w:r>
        <w:r w:rsidR="00587185">
          <w:rPr>
            <w:noProof/>
            <w:webHidden/>
          </w:rPr>
          <w:tab/>
        </w:r>
        <w:r w:rsidR="00587185">
          <w:rPr>
            <w:noProof/>
            <w:webHidden/>
          </w:rPr>
          <w:fldChar w:fldCharType="begin"/>
        </w:r>
        <w:r w:rsidR="00587185">
          <w:rPr>
            <w:noProof/>
            <w:webHidden/>
          </w:rPr>
          <w:instrText xml:space="preserve"> PAGEREF _Toc69477021 \h </w:instrText>
        </w:r>
        <w:r w:rsidR="00587185">
          <w:rPr>
            <w:noProof/>
            <w:webHidden/>
          </w:rPr>
        </w:r>
        <w:r w:rsidR="00587185">
          <w:rPr>
            <w:noProof/>
            <w:webHidden/>
          </w:rPr>
          <w:fldChar w:fldCharType="separate"/>
        </w:r>
        <w:r w:rsidR="00587185">
          <w:rPr>
            <w:noProof/>
            <w:webHidden/>
          </w:rPr>
          <w:t>142</w:t>
        </w:r>
        <w:r w:rsidR="00587185">
          <w:rPr>
            <w:noProof/>
            <w:webHidden/>
          </w:rPr>
          <w:fldChar w:fldCharType="end"/>
        </w:r>
      </w:hyperlink>
    </w:p>
    <w:p w14:paraId="513D5149" w14:textId="66A359F6"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22" w:history="1">
        <w:r w:rsidR="00587185" w:rsidRPr="00A067E3">
          <w:rPr>
            <w:rStyle w:val="Hyperlink"/>
            <w:noProof/>
          </w:rPr>
          <w:t>14.4. Execution  / Cancellation of the Security covers</w:t>
        </w:r>
        <w:r w:rsidR="00587185">
          <w:rPr>
            <w:noProof/>
            <w:webHidden/>
          </w:rPr>
          <w:tab/>
        </w:r>
        <w:r w:rsidR="00587185">
          <w:rPr>
            <w:noProof/>
            <w:webHidden/>
          </w:rPr>
          <w:fldChar w:fldCharType="begin"/>
        </w:r>
        <w:r w:rsidR="00587185">
          <w:rPr>
            <w:noProof/>
            <w:webHidden/>
          </w:rPr>
          <w:instrText xml:space="preserve"> PAGEREF _Toc69477022 \h </w:instrText>
        </w:r>
        <w:r w:rsidR="00587185">
          <w:rPr>
            <w:noProof/>
            <w:webHidden/>
          </w:rPr>
        </w:r>
        <w:r w:rsidR="00587185">
          <w:rPr>
            <w:noProof/>
            <w:webHidden/>
          </w:rPr>
          <w:fldChar w:fldCharType="separate"/>
        </w:r>
        <w:r w:rsidR="00587185">
          <w:rPr>
            <w:noProof/>
            <w:webHidden/>
          </w:rPr>
          <w:t>142</w:t>
        </w:r>
        <w:r w:rsidR="00587185">
          <w:rPr>
            <w:noProof/>
            <w:webHidden/>
          </w:rPr>
          <w:fldChar w:fldCharType="end"/>
        </w:r>
      </w:hyperlink>
    </w:p>
    <w:p w14:paraId="386433D6" w14:textId="58C39B3F" w:rsidR="00587185" w:rsidRDefault="004D6075">
      <w:pPr>
        <w:pStyle w:val="TOC1"/>
        <w:tabs>
          <w:tab w:val="left" w:pos="1540"/>
          <w:tab w:val="right" w:leader="dot" w:pos="9345"/>
        </w:tabs>
        <w:rPr>
          <w:rFonts w:asciiTheme="minorHAnsi" w:eastAsiaTheme="minorEastAsia" w:hAnsiTheme="minorHAnsi"/>
          <w:b w:val="0"/>
          <w:smallCaps w:val="0"/>
          <w:noProof/>
          <w:color w:val="auto"/>
          <w:lang w:val="en-IN" w:eastAsia="en-IN"/>
        </w:rPr>
      </w:pPr>
      <w:hyperlink w:anchor="_Toc69477023" w:history="1">
        <w:r w:rsidR="00587185" w:rsidRPr="00A067E3">
          <w:rPr>
            <w:rStyle w:val="Hyperlink"/>
            <w:noProof/>
          </w:rPr>
          <w:t>Chapter 15.</w:t>
        </w:r>
        <w:r w:rsidR="00587185">
          <w:rPr>
            <w:rFonts w:asciiTheme="minorHAnsi" w:eastAsiaTheme="minorEastAsia" w:hAnsiTheme="minorHAnsi"/>
            <w:b w:val="0"/>
            <w:smallCaps w:val="0"/>
            <w:noProof/>
            <w:color w:val="auto"/>
            <w:lang w:val="en-IN" w:eastAsia="en-IN"/>
          </w:rPr>
          <w:tab/>
        </w:r>
        <w:r w:rsidR="00587185" w:rsidRPr="00A067E3">
          <w:rPr>
            <w:rStyle w:val="Hyperlink"/>
            <w:noProof/>
          </w:rPr>
          <w:t>SETTLEMENT OF DISPUTES</w:t>
        </w:r>
        <w:r w:rsidR="00587185">
          <w:rPr>
            <w:noProof/>
            <w:webHidden/>
          </w:rPr>
          <w:tab/>
        </w:r>
        <w:r w:rsidR="00587185">
          <w:rPr>
            <w:noProof/>
            <w:webHidden/>
          </w:rPr>
          <w:fldChar w:fldCharType="begin"/>
        </w:r>
        <w:r w:rsidR="00587185">
          <w:rPr>
            <w:noProof/>
            <w:webHidden/>
          </w:rPr>
          <w:instrText xml:space="preserve"> PAGEREF _Toc69477023 \h </w:instrText>
        </w:r>
        <w:r w:rsidR="00587185">
          <w:rPr>
            <w:noProof/>
            <w:webHidden/>
          </w:rPr>
        </w:r>
        <w:r w:rsidR="00587185">
          <w:rPr>
            <w:noProof/>
            <w:webHidden/>
          </w:rPr>
          <w:fldChar w:fldCharType="separate"/>
        </w:r>
        <w:r w:rsidR="00587185">
          <w:rPr>
            <w:noProof/>
            <w:webHidden/>
          </w:rPr>
          <w:t>145</w:t>
        </w:r>
        <w:r w:rsidR="00587185">
          <w:rPr>
            <w:noProof/>
            <w:webHidden/>
          </w:rPr>
          <w:fldChar w:fldCharType="end"/>
        </w:r>
      </w:hyperlink>
    </w:p>
    <w:p w14:paraId="77257C2B" w14:textId="7FD4F7F2"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24" w:history="1">
        <w:r w:rsidR="00587185" w:rsidRPr="00A067E3">
          <w:rPr>
            <w:rStyle w:val="Hyperlink"/>
            <w:noProof/>
          </w:rPr>
          <w:t>15.1. Dispute Resolution Counsellor and Panel</w:t>
        </w:r>
        <w:r w:rsidR="00587185">
          <w:rPr>
            <w:noProof/>
            <w:webHidden/>
          </w:rPr>
          <w:tab/>
        </w:r>
        <w:r w:rsidR="00587185">
          <w:rPr>
            <w:noProof/>
            <w:webHidden/>
          </w:rPr>
          <w:fldChar w:fldCharType="begin"/>
        </w:r>
        <w:r w:rsidR="00587185">
          <w:rPr>
            <w:noProof/>
            <w:webHidden/>
          </w:rPr>
          <w:instrText xml:space="preserve"> PAGEREF _Toc69477024 \h </w:instrText>
        </w:r>
        <w:r w:rsidR="00587185">
          <w:rPr>
            <w:noProof/>
            <w:webHidden/>
          </w:rPr>
        </w:r>
        <w:r w:rsidR="00587185">
          <w:rPr>
            <w:noProof/>
            <w:webHidden/>
          </w:rPr>
          <w:fldChar w:fldCharType="separate"/>
        </w:r>
        <w:r w:rsidR="00587185">
          <w:rPr>
            <w:noProof/>
            <w:webHidden/>
          </w:rPr>
          <w:t>145</w:t>
        </w:r>
        <w:r w:rsidR="00587185">
          <w:rPr>
            <w:noProof/>
            <w:webHidden/>
          </w:rPr>
          <w:fldChar w:fldCharType="end"/>
        </w:r>
      </w:hyperlink>
    </w:p>
    <w:p w14:paraId="74197F3F" w14:textId="0843A992"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25" w:history="1">
        <w:r w:rsidR="00587185" w:rsidRPr="00A067E3">
          <w:rPr>
            <w:rStyle w:val="Hyperlink"/>
            <w:noProof/>
          </w:rPr>
          <w:t>15.2. Interpretation and General Procedural Provisions</w:t>
        </w:r>
        <w:r w:rsidR="00587185">
          <w:rPr>
            <w:noProof/>
            <w:webHidden/>
          </w:rPr>
          <w:tab/>
        </w:r>
        <w:r w:rsidR="00587185">
          <w:rPr>
            <w:noProof/>
            <w:webHidden/>
          </w:rPr>
          <w:fldChar w:fldCharType="begin"/>
        </w:r>
        <w:r w:rsidR="00587185">
          <w:rPr>
            <w:noProof/>
            <w:webHidden/>
          </w:rPr>
          <w:instrText xml:space="preserve"> PAGEREF _Toc69477025 \h </w:instrText>
        </w:r>
        <w:r w:rsidR="00587185">
          <w:rPr>
            <w:noProof/>
            <w:webHidden/>
          </w:rPr>
        </w:r>
        <w:r w:rsidR="00587185">
          <w:rPr>
            <w:noProof/>
            <w:webHidden/>
          </w:rPr>
          <w:fldChar w:fldCharType="separate"/>
        </w:r>
        <w:r w:rsidR="00587185">
          <w:rPr>
            <w:noProof/>
            <w:webHidden/>
          </w:rPr>
          <w:t>147</w:t>
        </w:r>
        <w:r w:rsidR="00587185">
          <w:rPr>
            <w:noProof/>
            <w:webHidden/>
          </w:rPr>
          <w:fldChar w:fldCharType="end"/>
        </w:r>
      </w:hyperlink>
    </w:p>
    <w:p w14:paraId="11337705" w14:textId="14E0E2E4"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26" w:history="1">
        <w:r w:rsidR="00587185" w:rsidRPr="00A067E3">
          <w:rPr>
            <w:rStyle w:val="Hyperlink"/>
            <w:noProof/>
          </w:rPr>
          <w:t>15.3. Application</w:t>
        </w:r>
        <w:r w:rsidR="00587185">
          <w:rPr>
            <w:noProof/>
            <w:webHidden/>
          </w:rPr>
          <w:tab/>
        </w:r>
        <w:r w:rsidR="00587185">
          <w:rPr>
            <w:noProof/>
            <w:webHidden/>
          </w:rPr>
          <w:fldChar w:fldCharType="begin"/>
        </w:r>
        <w:r w:rsidR="00587185">
          <w:rPr>
            <w:noProof/>
            <w:webHidden/>
          </w:rPr>
          <w:instrText xml:space="preserve"> PAGEREF _Toc69477026 \h </w:instrText>
        </w:r>
        <w:r w:rsidR="00587185">
          <w:rPr>
            <w:noProof/>
            <w:webHidden/>
          </w:rPr>
        </w:r>
        <w:r w:rsidR="00587185">
          <w:rPr>
            <w:noProof/>
            <w:webHidden/>
          </w:rPr>
          <w:fldChar w:fldCharType="separate"/>
        </w:r>
        <w:r w:rsidR="00587185">
          <w:rPr>
            <w:noProof/>
            <w:webHidden/>
          </w:rPr>
          <w:t>148</w:t>
        </w:r>
        <w:r w:rsidR="00587185">
          <w:rPr>
            <w:noProof/>
            <w:webHidden/>
          </w:rPr>
          <w:fldChar w:fldCharType="end"/>
        </w:r>
      </w:hyperlink>
    </w:p>
    <w:p w14:paraId="7E69BA47" w14:textId="067337C6"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27" w:history="1">
        <w:r w:rsidR="00587185" w:rsidRPr="00A067E3">
          <w:rPr>
            <w:rStyle w:val="Hyperlink"/>
            <w:noProof/>
          </w:rPr>
          <w:t>15.4. Continuing Obligations and Stay of Orders</w:t>
        </w:r>
        <w:r w:rsidR="00587185">
          <w:rPr>
            <w:noProof/>
            <w:webHidden/>
          </w:rPr>
          <w:tab/>
        </w:r>
        <w:r w:rsidR="00587185">
          <w:rPr>
            <w:noProof/>
            <w:webHidden/>
          </w:rPr>
          <w:fldChar w:fldCharType="begin"/>
        </w:r>
        <w:r w:rsidR="00587185">
          <w:rPr>
            <w:noProof/>
            <w:webHidden/>
          </w:rPr>
          <w:instrText xml:space="preserve"> PAGEREF _Toc69477027 \h </w:instrText>
        </w:r>
        <w:r w:rsidR="00587185">
          <w:rPr>
            <w:noProof/>
            <w:webHidden/>
          </w:rPr>
        </w:r>
        <w:r w:rsidR="00587185">
          <w:rPr>
            <w:noProof/>
            <w:webHidden/>
          </w:rPr>
          <w:fldChar w:fldCharType="separate"/>
        </w:r>
        <w:r w:rsidR="00587185">
          <w:rPr>
            <w:noProof/>
            <w:webHidden/>
          </w:rPr>
          <w:t>149</w:t>
        </w:r>
        <w:r w:rsidR="00587185">
          <w:rPr>
            <w:noProof/>
            <w:webHidden/>
          </w:rPr>
          <w:fldChar w:fldCharType="end"/>
        </w:r>
      </w:hyperlink>
    </w:p>
    <w:p w14:paraId="391C303A" w14:textId="1B1AE92D"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28" w:history="1">
        <w:r w:rsidR="00587185" w:rsidRPr="00A067E3">
          <w:rPr>
            <w:rStyle w:val="Hyperlink"/>
            <w:noProof/>
          </w:rPr>
          <w:t>15.5. Procedures for Settlement a Dispute</w:t>
        </w:r>
        <w:r w:rsidR="00587185">
          <w:rPr>
            <w:noProof/>
            <w:webHidden/>
          </w:rPr>
          <w:tab/>
        </w:r>
        <w:r w:rsidR="00587185">
          <w:rPr>
            <w:noProof/>
            <w:webHidden/>
          </w:rPr>
          <w:fldChar w:fldCharType="begin"/>
        </w:r>
        <w:r w:rsidR="00587185">
          <w:rPr>
            <w:noProof/>
            <w:webHidden/>
          </w:rPr>
          <w:instrText xml:space="preserve"> PAGEREF _Toc69477028 \h </w:instrText>
        </w:r>
        <w:r w:rsidR="00587185">
          <w:rPr>
            <w:noProof/>
            <w:webHidden/>
          </w:rPr>
        </w:r>
        <w:r w:rsidR="00587185">
          <w:rPr>
            <w:noProof/>
            <w:webHidden/>
          </w:rPr>
          <w:fldChar w:fldCharType="separate"/>
        </w:r>
        <w:r w:rsidR="00587185">
          <w:rPr>
            <w:noProof/>
            <w:webHidden/>
          </w:rPr>
          <w:t>149</w:t>
        </w:r>
        <w:r w:rsidR="00587185">
          <w:rPr>
            <w:noProof/>
            <w:webHidden/>
          </w:rPr>
          <w:fldChar w:fldCharType="end"/>
        </w:r>
      </w:hyperlink>
    </w:p>
    <w:p w14:paraId="0972F36C" w14:textId="579E492A" w:rsidR="00587185" w:rsidRDefault="004D6075">
      <w:pPr>
        <w:pStyle w:val="TOC1"/>
        <w:tabs>
          <w:tab w:val="left" w:pos="1540"/>
          <w:tab w:val="right" w:leader="dot" w:pos="9345"/>
        </w:tabs>
        <w:rPr>
          <w:rFonts w:asciiTheme="minorHAnsi" w:eastAsiaTheme="minorEastAsia" w:hAnsiTheme="minorHAnsi"/>
          <w:b w:val="0"/>
          <w:smallCaps w:val="0"/>
          <w:noProof/>
          <w:color w:val="auto"/>
          <w:lang w:val="en-IN" w:eastAsia="en-IN"/>
        </w:rPr>
      </w:pPr>
      <w:hyperlink w:anchor="_Toc69477029" w:history="1">
        <w:r w:rsidR="00587185" w:rsidRPr="00A067E3">
          <w:rPr>
            <w:rStyle w:val="Hyperlink"/>
            <w:noProof/>
          </w:rPr>
          <w:t>Chapter 16.</w:t>
        </w:r>
        <w:r w:rsidR="00587185">
          <w:rPr>
            <w:rFonts w:asciiTheme="minorHAnsi" w:eastAsiaTheme="minorEastAsia" w:hAnsiTheme="minorHAnsi"/>
            <w:b w:val="0"/>
            <w:smallCaps w:val="0"/>
            <w:noProof/>
            <w:color w:val="auto"/>
            <w:lang w:val="en-IN" w:eastAsia="en-IN"/>
          </w:rPr>
          <w:tab/>
        </w:r>
        <w:r w:rsidR="00587185" w:rsidRPr="00A067E3">
          <w:rPr>
            <w:rStyle w:val="Hyperlink"/>
            <w:noProof/>
          </w:rPr>
          <w:t>MARKET SURVEILLANCE</w:t>
        </w:r>
        <w:r w:rsidR="00587185">
          <w:rPr>
            <w:noProof/>
            <w:webHidden/>
          </w:rPr>
          <w:tab/>
        </w:r>
        <w:r w:rsidR="00587185">
          <w:rPr>
            <w:noProof/>
            <w:webHidden/>
          </w:rPr>
          <w:fldChar w:fldCharType="begin"/>
        </w:r>
        <w:r w:rsidR="00587185">
          <w:rPr>
            <w:noProof/>
            <w:webHidden/>
          </w:rPr>
          <w:instrText xml:space="preserve"> PAGEREF _Toc69477029 \h </w:instrText>
        </w:r>
        <w:r w:rsidR="00587185">
          <w:rPr>
            <w:noProof/>
            <w:webHidden/>
          </w:rPr>
        </w:r>
        <w:r w:rsidR="00587185">
          <w:rPr>
            <w:noProof/>
            <w:webHidden/>
          </w:rPr>
          <w:fldChar w:fldCharType="separate"/>
        </w:r>
        <w:r w:rsidR="00587185">
          <w:rPr>
            <w:noProof/>
            <w:webHidden/>
          </w:rPr>
          <w:t>157</w:t>
        </w:r>
        <w:r w:rsidR="00587185">
          <w:rPr>
            <w:noProof/>
            <w:webHidden/>
          </w:rPr>
          <w:fldChar w:fldCharType="end"/>
        </w:r>
      </w:hyperlink>
    </w:p>
    <w:p w14:paraId="19F11B40" w14:textId="4DF83D7F"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30" w:history="1">
        <w:r w:rsidR="00587185" w:rsidRPr="00A067E3">
          <w:rPr>
            <w:rStyle w:val="Hyperlink"/>
            <w:noProof/>
          </w:rPr>
          <w:t>16.1. Market Surveillance Panel</w:t>
        </w:r>
        <w:r w:rsidR="00587185">
          <w:rPr>
            <w:noProof/>
            <w:webHidden/>
          </w:rPr>
          <w:tab/>
        </w:r>
        <w:r w:rsidR="00587185">
          <w:rPr>
            <w:noProof/>
            <w:webHidden/>
          </w:rPr>
          <w:fldChar w:fldCharType="begin"/>
        </w:r>
        <w:r w:rsidR="00587185">
          <w:rPr>
            <w:noProof/>
            <w:webHidden/>
          </w:rPr>
          <w:instrText xml:space="preserve"> PAGEREF _Toc69477030 \h </w:instrText>
        </w:r>
        <w:r w:rsidR="00587185">
          <w:rPr>
            <w:noProof/>
            <w:webHidden/>
          </w:rPr>
        </w:r>
        <w:r w:rsidR="00587185">
          <w:rPr>
            <w:noProof/>
            <w:webHidden/>
          </w:rPr>
          <w:fldChar w:fldCharType="separate"/>
        </w:r>
        <w:r w:rsidR="00587185">
          <w:rPr>
            <w:noProof/>
            <w:webHidden/>
          </w:rPr>
          <w:t>157</w:t>
        </w:r>
        <w:r w:rsidR="00587185">
          <w:rPr>
            <w:noProof/>
            <w:webHidden/>
          </w:rPr>
          <w:fldChar w:fldCharType="end"/>
        </w:r>
      </w:hyperlink>
    </w:p>
    <w:p w14:paraId="51AF35C0" w14:textId="5CD8E306"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31" w:history="1">
        <w:r w:rsidR="00587185" w:rsidRPr="00A067E3">
          <w:rPr>
            <w:rStyle w:val="Hyperlink"/>
            <w:noProof/>
          </w:rPr>
          <w:t>16.2. Monitoring and Investigations</w:t>
        </w:r>
        <w:r w:rsidR="00587185">
          <w:rPr>
            <w:noProof/>
            <w:webHidden/>
          </w:rPr>
          <w:tab/>
        </w:r>
        <w:r w:rsidR="00587185">
          <w:rPr>
            <w:noProof/>
            <w:webHidden/>
          </w:rPr>
          <w:fldChar w:fldCharType="begin"/>
        </w:r>
        <w:r w:rsidR="00587185">
          <w:rPr>
            <w:noProof/>
            <w:webHidden/>
          </w:rPr>
          <w:instrText xml:space="preserve"> PAGEREF _Toc69477031 \h </w:instrText>
        </w:r>
        <w:r w:rsidR="00587185">
          <w:rPr>
            <w:noProof/>
            <w:webHidden/>
          </w:rPr>
        </w:r>
        <w:r w:rsidR="00587185">
          <w:rPr>
            <w:noProof/>
            <w:webHidden/>
          </w:rPr>
          <w:fldChar w:fldCharType="separate"/>
        </w:r>
        <w:r w:rsidR="00587185">
          <w:rPr>
            <w:noProof/>
            <w:webHidden/>
          </w:rPr>
          <w:t>158</w:t>
        </w:r>
        <w:r w:rsidR="00587185">
          <w:rPr>
            <w:noProof/>
            <w:webHidden/>
          </w:rPr>
          <w:fldChar w:fldCharType="end"/>
        </w:r>
      </w:hyperlink>
    </w:p>
    <w:p w14:paraId="49ADD5E0" w14:textId="0B4918A3" w:rsidR="00587185" w:rsidRDefault="004D6075">
      <w:pPr>
        <w:pStyle w:val="TOC1"/>
        <w:tabs>
          <w:tab w:val="left" w:pos="1540"/>
          <w:tab w:val="right" w:leader="dot" w:pos="9345"/>
        </w:tabs>
        <w:rPr>
          <w:rFonts w:asciiTheme="minorHAnsi" w:eastAsiaTheme="minorEastAsia" w:hAnsiTheme="minorHAnsi"/>
          <w:b w:val="0"/>
          <w:smallCaps w:val="0"/>
          <w:noProof/>
          <w:color w:val="auto"/>
          <w:lang w:val="en-IN" w:eastAsia="en-IN"/>
        </w:rPr>
      </w:pPr>
      <w:hyperlink w:anchor="_Toc69477032" w:history="1">
        <w:r w:rsidR="00587185" w:rsidRPr="00A067E3">
          <w:rPr>
            <w:rStyle w:val="Hyperlink"/>
            <w:noProof/>
          </w:rPr>
          <w:t>Chapter 17.</w:t>
        </w:r>
        <w:r w:rsidR="00587185">
          <w:rPr>
            <w:rFonts w:asciiTheme="minorHAnsi" w:eastAsiaTheme="minorEastAsia" w:hAnsiTheme="minorHAnsi"/>
            <w:b w:val="0"/>
            <w:smallCaps w:val="0"/>
            <w:noProof/>
            <w:color w:val="auto"/>
            <w:lang w:val="en-IN" w:eastAsia="en-IN"/>
          </w:rPr>
          <w:tab/>
        </w:r>
        <w:r w:rsidR="00587185" w:rsidRPr="00A067E3">
          <w:rPr>
            <w:rStyle w:val="Hyperlink"/>
            <w:noProof/>
          </w:rPr>
          <w:t>ENFORCEMENT</w:t>
        </w:r>
        <w:r w:rsidR="00587185">
          <w:rPr>
            <w:noProof/>
            <w:webHidden/>
          </w:rPr>
          <w:tab/>
        </w:r>
        <w:r w:rsidR="00587185">
          <w:rPr>
            <w:noProof/>
            <w:webHidden/>
          </w:rPr>
          <w:fldChar w:fldCharType="begin"/>
        </w:r>
        <w:r w:rsidR="00587185">
          <w:rPr>
            <w:noProof/>
            <w:webHidden/>
          </w:rPr>
          <w:instrText xml:space="preserve"> PAGEREF _Toc69477032 \h </w:instrText>
        </w:r>
        <w:r w:rsidR="00587185">
          <w:rPr>
            <w:noProof/>
            <w:webHidden/>
          </w:rPr>
        </w:r>
        <w:r w:rsidR="00587185">
          <w:rPr>
            <w:noProof/>
            <w:webHidden/>
          </w:rPr>
          <w:fldChar w:fldCharType="separate"/>
        </w:r>
        <w:r w:rsidR="00587185">
          <w:rPr>
            <w:noProof/>
            <w:webHidden/>
          </w:rPr>
          <w:t>163</w:t>
        </w:r>
        <w:r w:rsidR="00587185">
          <w:rPr>
            <w:noProof/>
            <w:webHidden/>
          </w:rPr>
          <w:fldChar w:fldCharType="end"/>
        </w:r>
      </w:hyperlink>
    </w:p>
    <w:p w14:paraId="2CF2C506" w14:textId="529844D4"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33" w:history="1">
        <w:r w:rsidR="00587185" w:rsidRPr="00A067E3">
          <w:rPr>
            <w:rStyle w:val="Hyperlink"/>
            <w:noProof/>
          </w:rPr>
          <w:t>17.1. Compliance and Breaches</w:t>
        </w:r>
        <w:r w:rsidR="00587185">
          <w:rPr>
            <w:noProof/>
            <w:webHidden/>
          </w:rPr>
          <w:tab/>
        </w:r>
        <w:r w:rsidR="00587185">
          <w:rPr>
            <w:noProof/>
            <w:webHidden/>
          </w:rPr>
          <w:fldChar w:fldCharType="begin"/>
        </w:r>
        <w:r w:rsidR="00587185">
          <w:rPr>
            <w:noProof/>
            <w:webHidden/>
          </w:rPr>
          <w:instrText xml:space="preserve"> PAGEREF _Toc69477033 \h </w:instrText>
        </w:r>
        <w:r w:rsidR="00587185">
          <w:rPr>
            <w:noProof/>
            <w:webHidden/>
          </w:rPr>
        </w:r>
        <w:r w:rsidR="00587185">
          <w:rPr>
            <w:noProof/>
            <w:webHidden/>
          </w:rPr>
          <w:fldChar w:fldCharType="separate"/>
        </w:r>
        <w:r w:rsidR="00587185">
          <w:rPr>
            <w:noProof/>
            <w:webHidden/>
          </w:rPr>
          <w:t>163</w:t>
        </w:r>
        <w:r w:rsidR="00587185">
          <w:rPr>
            <w:noProof/>
            <w:webHidden/>
          </w:rPr>
          <w:fldChar w:fldCharType="end"/>
        </w:r>
      </w:hyperlink>
    </w:p>
    <w:p w14:paraId="787D3811" w14:textId="3D5C11BA"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34" w:history="1">
        <w:r w:rsidR="00587185" w:rsidRPr="00A067E3">
          <w:rPr>
            <w:rStyle w:val="Hyperlink"/>
            <w:noProof/>
          </w:rPr>
          <w:t>17.2. Suspension and Termination Orders</w:t>
        </w:r>
        <w:r w:rsidR="00587185">
          <w:rPr>
            <w:noProof/>
            <w:webHidden/>
          </w:rPr>
          <w:tab/>
        </w:r>
        <w:r w:rsidR="00587185">
          <w:rPr>
            <w:noProof/>
            <w:webHidden/>
          </w:rPr>
          <w:fldChar w:fldCharType="begin"/>
        </w:r>
        <w:r w:rsidR="00587185">
          <w:rPr>
            <w:noProof/>
            <w:webHidden/>
          </w:rPr>
          <w:instrText xml:space="preserve"> PAGEREF _Toc69477034 \h </w:instrText>
        </w:r>
        <w:r w:rsidR="00587185">
          <w:rPr>
            <w:noProof/>
            <w:webHidden/>
          </w:rPr>
        </w:r>
        <w:r w:rsidR="00587185">
          <w:rPr>
            <w:noProof/>
            <w:webHidden/>
          </w:rPr>
          <w:fldChar w:fldCharType="separate"/>
        </w:r>
        <w:r w:rsidR="00587185">
          <w:rPr>
            <w:noProof/>
            <w:webHidden/>
          </w:rPr>
          <w:t>165</w:t>
        </w:r>
        <w:r w:rsidR="00587185">
          <w:rPr>
            <w:noProof/>
            <w:webHidden/>
          </w:rPr>
          <w:fldChar w:fldCharType="end"/>
        </w:r>
      </w:hyperlink>
    </w:p>
    <w:p w14:paraId="76DCC98D" w14:textId="14576B5E"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35" w:history="1">
        <w:r w:rsidR="00587185" w:rsidRPr="00A067E3">
          <w:rPr>
            <w:rStyle w:val="Hyperlink"/>
            <w:noProof/>
          </w:rPr>
          <w:t>17.3. Non-compliance</w:t>
        </w:r>
        <w:r w:rsidR="00587185">
          <w:rPr>
            <w:noProof/>
            <w:webHidden/>
          </w:rPr>
          <w:tab/>
        </w:r>
        <w:r w:rsidR="00587185">
          <w:rPr>
            <w:noProof/>
            <w:webHidden/>
          </w:rPr>
          <w:fldChar w:fldCharType="begin"/>
        </w:r>
        <w:r w:rsidR="00587185">
          <w:rPr>
            <w:noProof/>
            <w:webHidden/>
          </w:rPr>
          <w:instrText xml:space="preserve"> PAGEREF _Toc69477035 \h </w:instrText>
        </w:r>
        <w:r w:rsidR="00587185">
          <w:rPr>
            <w:noProof/>
            <w:webHidden/>
          </w:rPr>
        </w:r>
        <w:r w:rsidR="00587185">
          <w:rPr>
            <w:noProof/>
            <w:webHidden/>
          </w:rPr>
          <w:fldChar w:fldCharType="separate"/>
        </w:r>
        <w:r w:rsidR="00587185">
          <w:rPr>
            <w:noProof/>
            <w:webHidden/>
          </w:rPr>
          <w:t>171</w:t>
        </w:r>
        <w:r w:rsidR="00587185">
          <w:rPr>
            <w:noProof/>
            <w:webHidden/>
          </w:rPr>
          <w:fldChar w:fldCharType="end"/>
        </w:r>
      </w:hyperlink>
    </w:p>
    <w:p w14:paraId="0F2D1D49" w14:textId="1B6759C6"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36" w:history="1">
        <w:r w:rsidR="00587185" w:rsidRPr="00A067E3">
          <w:rPr>
            <w:rStyle w:val="Hyperlink"/>
            <w:noProof/>
          </w:rPr>
          <w:t>17.4. Officers and Agents</w:t>
        </w:r>
        <w:r w:rsidR="00587185">
          <w:rPr>
            <w:noProof/>
            <w:webHidden/>
          </w:rPr>
          <w:tab/>
        </w:r>
        <w:r w:rsidR="00587185">
          <w:rPr>
            <w:noProof/>
            <w:webHidden/>
          </w:rPr>
          <w:fldChar w:fldCharType="begin"/>
        </w:r>
        <w:r w:rsidR="00587185">
          <w:rPr>
            <w:noProof/>
            <w:webHidden/>
          </w:rPr>
          <w:instrText xml:space="preserve"> PAGEREF _Toc69477036 \h </w:instrText>
        </w:r>
        <w:r w:rsidR="00587185">
          <w:rPr>
            <w:noProof/>
            <w:webHidden/>
          </w:rPr>
        </w:r>
        <w:r w:rsidR="00587185">
          <w:rPr>
            <w:noProof/>
            <w:webHidden/>
          </w:rPr>
          <w:fldChar w:fldCharType="separate"/>
        </w:r>
        <w:r w:rsidR="00587185">
          <w:rPr>
            <w:noProof/>
            <w:webHidden/>
          </w:rPr>
          <w:t>173</w:t>
        </w:r>
        <w:r w:rsidR="00587185">
          <w:rPr>
            <w:noProof/>
            <w:webHidden/>
          </w:rPr>
          <w:fldChar w:fldCharType="end"/>
        </w:r>
      </w:hyperlink>
    </w:p>
    <w:p w14:paraId="50C9451F" w14:textId="65CC6CA9" w:rsidR="00587185" w:rsidRDefault="004D6075">
      <w:pPr>
        <w:pStyle w:val="TOC1"/>
        <w:tabs>
          <w:tab w:val="left" w:pos="1540"/>
          <w:tab w:val="right" w:leader="dot" w:pos="9345"/>
        </w:tabs>
        <w:rPr>
          <w:rFonts w:asciiTheme="minorHAnsi" w:eastAsiaTheme="minorEastAsia" w:hAnsiTheme="minorHAnsi"/>
          <w:b w:val="0"/>
          <w:smallCaps w:val="0"/>
          <w:noProof/>
          <w:color w:val="auto"/>
          <w:lang w:val="en-IN" w:eastAsia="en-IN"/>
        </w:rPr>
      </w:pPr>
      <w:hyperlink w:anchor="_Toc69477037" w:history="1">
        <w:r w:rsidR="00587185" w:rsidRPr="00A067E3">
          <w:rPr>
            <w:rStyle w:val="Hyperlink"/>
            <w:noProof/>
          </w:rPr>
          <w:t>Chapter 18.</w:t>
        </w:r>
        <w:r w:rsidR="00587185">
          <w:rPr>
            <w:rFonts w:asciiTheme="minorHAnsi" w:eastAsiaTheme="minorEastAsia" w:hAnsiTheme="minorHAnsi"/>
            <w:b w:val="0"/>
            <w:smallCaps w:val="0"/>
            <w:noProof/>
            <w:color w:val="auto"/>
            <w:lang w:val="en-IN" w:eastAsia="en-IN"/>
          </w:rPr>
          <w:tab/>
        </w:r>
        <w:r w:rsidR="00587185" w:rsidRPr="00A067E3">
          <w:rPr>
            <w:rStyle w:val="Hyperlink"/>
            <w:noProof/>
          </w:rPr>
          <w:t>DISCLOSURE, ACCESS AND CONFIDENTIALITY</w:t>
        </w:r>
        <w:r w:rsidR="00587185">
          <w:rPr>
            <w:noProof/>
            <w:webHidden/>
          </w:rPr>
          <w:tab/>
        </w:r>
        <w:r w:rsidR="00587185">
          <w:rPr>
            <w:noProof/>
            <w:webHidden/>
          </w:rPr>
          <w:fldChar w:fldCharType="begin"/>
        </w:r>
        <w:r w:rsidR="00587185">
          <w:rPr>
            <w:noProof/>
            <w:webHidden/>
          </w:rPr>
          <w:instrText xml:space="preserve"> PAGEREF _Toc69477037 \h </w:instrText>
        </w:r>
        <w:r w:rsidR="00587185">
          <w:rPr>
            <w:noProof/>
            <w:webHidden/>
          </w:rPr>
        </w:r>
        <w:r w:rsidR="00587185">
          <w:rPr>
            <w:noProof/>
            <w:webHidden/>
          </w:rPr>
          <w:fldChar w:fldCharType="separate"/>
        </w:r>
        <w:r w:rsidR="00587185">
          <w:rPr>
            <w:noProof/>
            <w:webHidden/>
          </w:rPr>
          <w:t>174</w:t>
        </w:r>
        <w:r w:rsidR="00587185">
          <w:rPr>
            <w:noProof/>
            <w:webHidden/>
          </w:rPr>
          <w:fldChar w:fldCharType="end"/>
        </w:r>
      </w:hyperlink>
    </w:p>
    <w:p w14:paraId="546D9AAA" w14:textId="15CDF3FB"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38" w:history="1">
        <w:r w:rsidR="00587185" w:rsidRPr="00A067E3">
          <w:rPr>
            <w:rStyle w:val="Hyperlink"/>
            <w:noProof/>
          </w:rPr>
          <w:t>18.1. Record Retention</w:t>
        </w:r>
        <w:r w:rsidR="00587185">
          <w:rPr>
            <w:noProof/>
            <w:webHidden/>
          </w:rPr>
          <w:tab/>
        </w:r>
        <w:r w:rsidR="00587185">
          <w:rPr>
            <w:noProof/>
            <w:webHidden/>
          </w:rPr>
          <w:fldChar w:fldCharType="begin"/>
        </w:r>
        <w:r w:rsidR="00587185">
          <w:rPr>
            <w:noProof/>
            <w:webHidden/>
          </w:rPr>
          <w:instrText xml:space="preserve"> PAGEREF _Toc69477038 \h </w:instrText>
        </w:r>
        <w:r w:rsidR="00587185">
          <w:rPr>
            <w:noProof/>
            <w:webHidden/>
          </w:rPr>
        </w:r>
        <w:r w:rsidR="00587185">
          <w:rPr>
            <w:noProof/>
            <w:webHidden/>
          </w:rPr>
          <w:fldChar w:fldCharType="separate"/>
        </w:r>
        <w:r w:rsidR="00587185">
          <w:rPr>
            <w:noProof/>
            <w:webHidden/>
          </w:rPr>
          <w:t>174</w:t>
        </w:r>
        <w:r w:rsidR="00587185">
          <w:rPr>
            <w:noProof/>
            <w:webHidden/>
          </w:rPr>
          <w:fldChar w:fldCharType="end"/>
        </w:r>
      </w:hyperlink>
    </w:p>
    <w:p w14:paraId="0BD354E3" w14:textId="265B61C4"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39" w:history="1">
        <w:r w:rsidR="00587185" w:rsidRPr="00A067E3">
          <w:rPr>
            <w:rStyle w:val="Hyperlink"/>
            <w:noProof/>
          </w:rPr>
          <w:t>18.2. Information Disclosure</w:t>
        </w:r>
        <w:r w:rsidR="00587185">
          <w:rPr>
            <w:noProof/>
            <w:webHidden/>
          </w:rPr>
          <w:tab/>
        </w:r>
        <w:r w:rsidR="00587185">
          <w:rPr>
            <w:noProof/>
            <w:webHidden/>
          </w:rPr>
          <w:fldChar w:fldCharType="begin"/>
        </w:r>
        <w:r w:rsidR="00587185">
          <w:rPr>
            <w:noProof/>
            <w:webHidden/>
          </w:rPr>
          <w:instrText xml:space="preserve"> PAGEREF _Toc69477039 \h </w:instrText>
        </w:r>
        <w:r w:rsidR="00587185">
          <w:rPr>
            <w:noProof/>
            <w:webHidden/>
          </w:rPr>
        </w:r>
        <w:r w:rsidR="00587185">
          <w:rPr>
            <w:noProof/>
            <w:webHidden/>
          </w:rPr>
          <w:fldChar w:fldCharType="separate"/>
        </w:r>
        <w:r w:rsidR="00587185">
          <w:rPr>
            <w:noProof/>
            <w:webHidden/>
          </w:rPr>
          <w:t>174</w:t>
        </w:r>
        <w:r w:rsidR="00587185">
          <w:rPr>
            <w:noProof/>
            <w:webHidden/>
          </w:rPr>
          <w:fldChar w:fldCharType="end"/>
        </w:r>
      </w:hyperlink>
    </w:p>
    <w:p w14:paraId="456C35DF" w14:textId="5B7C1574"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40" w:history="1">
        <w:r w:rsidR="00587185" w:rsidRPr="00A067E3">
          <w:rPr>
            <w:rStyle w:val="Hyperlink"/>
            <w:noProof/>
          </w:rPr>
          <w:t>18.3. Access to the information</w:t>
        </w:r>
        <w:r w:rsidR="00587185">
          <w:rPr>
            <w:noProof/>
            <w:webHidden/>
          </w:rPr>
          <w:tab/>
        </w:r>
        <w:r w:rsidR="00587185">
          <w:rPr>
            <w:noProof/>
            <w:webHidden/>
          </w:rPr>
          <w:fldChar w:fldCharType="begin"/>
        </w:r>
        <w:r w:rsidR="00587185">
          <w:rPr>
            <w:noProof/>
            <w:webHidden/>
          </w:rPr>
          <w:instrText xml:space="preserve"> PAGEREF _Toc69477040 \h </w:instrText>
        </w:r>
        <w:r w:rsidR="00587185">
          <w:rPr>
            <w:noProof/>
            <w:webHidden/>
          </w:rPr>
        </w:r>
        <w:r w:rsidR="00587185">
          <w:rPr>
            <w:noProof/>
            <w:webHidden/>
          </w:rPr>
          <w:fldChar w:fldCharType="separate"/>
        </w:r>
        <w:r w:rsidR="00587185">
          <w:rPr>
            <w:noProof/>
            <w:webHidden/>
          </w:rPr>
          <w:t>175</w:t>
        </w:r>
        <w:r w:rsidR="00587185">
          <w:rPr>
            <w:noProof/>
            <w:webHidden/>
          </w:rPr>
          <w:fldChar w:fldCharType="end"/>
        </w:r>
      </w:hyperlink>
    </w:p>
    <w:p w14:paraId="635B88B2" w14:textId="4CBD1353" w:rsidR="00587185" w:rsidRDefault="004D6075">
      <w:pPr>
        <w:pStyle w:val="TOC1"/>
        <w:tabs>
          <w:tab w:val="left" w:pos="1540"/>
          <w:tab w:val="right" w:leader="dot" w:pos="9345"/>
        </w:tabs>
        <w:rPr>
          <w:rFonts w:asciiTheme="minorHAnsi" w:eastAsiaTheme="minorEastAsia" w:hAnsiTheme="minorHAnsi"/>
          <w:b w:val="0"/>
          <w:smallCaps w:val="0"/>
          <w:noProof/>
          <w:color w:val="auto"/>
          <w:lang w:val="en-IN" w:eastAsia="en-IN"/>
        </w:rPr>
      </w:pPr>
      <w:hyperlink w:anchor="_Toc69477041" w:history="1">
        <w:r w:rsidR="00587185" w:rsidRPr="00A067E3">
          <w:rPr>
            <w:rStyle w:val="Hyperlink"/>
            <w:noProof/>
          </w:rPr>
          <w:t>Chapter 19.</w:t>
        </w:r>
        <w:r w:rsidR="00587185">
          <w:rPr>
            <w:rFonts w:asciiTheme="minorHAnsi" w:eastAsiaTheme="minorEastAsia" w:hAnsiTheme="minorHAnsi"/>
            <w:b w:val="0"/>
            <w:smallCaps w:val="0"/>
            <w:noProof/>
            <w:color w:val="auto"/>
            <w:lang w:val="en-IN" w:eastAsia="en-IN"/>
          </w:rPr>
          <w:tab/>
        </w:r>
        <w:r w:rsidR="00587185" w:rsidRPr="00A067E3">
          <w:rPr>
            <w:rStyle w:val="Hyperlink"/>
            <w:noProof/>
          </w:rPr>
          <w:t>COMPLEMENTARY AND TRANSITORY PROVISIONS</w:t>
        </w:r>
        <w:r w:rsidR="00587185">
          <w:rPr>
            <w:noProof/>
            <w:webHidden/>
          </w:rPr>
          <w:tab/>
        </w:r>
        <w:r w:rsidR="00587185">
          <w:rPr>
            <w:noProof/>
            <w:webHidden/>
          </w:rPr>
          <w:fldChar w:fldCharType="begin"/>
        </w:r>
        <w:r w:rsidR="00587185">
          <w:rPr>
            <w:noProof/>
            <w:webHidden/>
          </w:rPr>
          <w:instrText xml:space="preserve"> PAGEREF _Toc69477041 \h </w:instrText>
        </w:r>
        <w:r w:rsidR="00587185">
          <w:rPr>
            <w:noProof/>
            <w:webHidden/>
          </w:rPr>
        </w:r>
        <w:r w:rsidR="00587185">
          <w:rPr>
            <w:noProof/>
            <w:webHidden/>
          </w:rPr>
          <w:fldChar w:fldCharType="separate"/>
        </w:r>
        <w:r w:rsidR="00587185">
          <w:rPr>
            <w:noProof/>
            <w:webHidden/>
          </w:rPr>
          <w:t>178</w:t>
        </w:r>
        <w:r w:rsidR="00587185">
          <w:rPr>
            <w:noProof/>
            <w:webHidden/>
          </w:rPr>
          <w:fldChar w:fldCharType="end"/>
        </w:r>
      </w:hyperlink>
    </w:p>
    <w:p w14:paraId="499808F4" w14:textId="473F0EE4"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42" w:history="1">
        <w:r w:rsidR="00587185" w:rsidRPr="00A067E3">
          <w:rPr>
            <w:rStyle w:val="Hyperlink"/>
            <w:noProof/>
            <w:lang w:val="en-US"/>
          </w:rPr>
          <w:t>19.1. Supplementary Provisions</w:t>
        </w:r>
        <w:r w:rsidR="00587185">
          <w:rPr>
            <w:noProof/>
            <w:webHidden/>
          </w:rPr>
          <w:tab/>
        </w:r>
        <w:r w:rsidR="00587185">
          <w:rPr>
            <w:noProof/>
            <w:webHidden/>
          </w:rPr>
          <w:fldChar w:fldCharType="begin"/>
        </w:r>
        <w:r w:rsidR="00587185">
          <w:rPr>
            <w:noProof/>
            <w:webHidden/>
          </w:rPr>
          <w:instrText xml:space="preserve"> PAGEREF _Toc69477042 \h </w:instrText>
        </w:r>
        <w:r w:rsidR="00587185">
          <w:rPr>
            <w:noProof/>
            <w:webHidden/>
          </w:rPr>
        </w:r>
        <w:r w:rsidR="00587185">
          <w:rPr>
            <w:noProof/>
            <w:webHidden/>
          </w:rPr>
          <w:fldChar w:fldCharType="separate"/>
        </w:r>
        <w:r w:rsidR="00587185">
          <w:rPr>
            <w:noProof/>
            <w:webHidden/>
          </w:rPr>
          <w:t>178</w:t>
        </w:r>
        <w:r w:rsidR="00587185">
          <w:rPr>
            <w:noProof/>
            <w:webHidden/>
          </w:rPr>
          <w:fldChar w:fldCharType="end"/>
        </w:r>
      </w:hyperlink>
    </w:p>
    <w:p w14:paraId="689C4EE2" w14:textId="749F11E9"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43" w:history="1">
        <w:r w:rsidR="00587185" w:rsidRPr="00A067E3">
          <w:rPr>
            <w:rStyle w:val="Hyperlink"/>
            <w:noProof/>
            <w:lang w:val="en-US"/>
          </w:rPr>
          <w:t>19.2. Transitory Provisions</w:t>
        </w:r>
        <w:r w:rsidR="00587185">
          <w:rPr>
            <w:noProof/>
            <w:webHidden/>
          </w:rPr>
          <w:tab/>
        </w:r>
        <w:r w:rsidR="00587185">
          <w:rPr>
            <w:noProof/>
            <w:webHidden/>
          </w:rPr>
          <w:fldChar w:fldCharType="begin"/>
        </w:r>
        <w:r w:rsidR="00587185">
          <w:rPr>
            <w:noProof/>
            <w:webHidden/>
          </w:rPr>
          <w:instrText xml:space="preserve"> PAGEREF _Toc69477043 \h </w:instrText>
        </w:r>
        <w:r w:rsidR="00587185">
          <w:rPr>
            <w:noProof/>
            <w:webHidden/>
          </w:rPr>
        </w:r>
        <w:r w:rsidR="00587185">
          <w:rPr>
            <w:noProof/>
            <w:webHidden/>
          </w:rPr>
          <w:fldChar w:fldCharType="separate"/>
        </w:r>
        <w:r w:rsidR="00587185">
          <w:rPr>
            <w:noProof/>
            <w:webHidden/>
          </w:rPr>
          <w:t>178</w:t>
        </w:r>
        <w:r w:rsidR="00587185">
          <w:rPr>
            <w:noProof/>
            <w:webHidden/>
          </w:rPr>
          <w:fldChar w:fldCharType="end"/>
        </w:r>
      </w:hyperlink>
    </w:p>
    <w:p w14:paraId="4F8B1090" w14:textId="15690BD6" w:rsidR="00587185" w:rsidRDefault="004D6075">
      <w:pPr>
        <w:pStyle w:val="TOC1"/>
        <w:tabs>
          <w:tab w:val="left" w:pos="1540"/>
          <w:tab w:val="right" w:leader="dot" w:pos="9345"/>
        </w:tabs>
        <w:rPr>
          <w:rFonts w:asciiTheme="minorHAnsi" w:eastAsiaTheme="minorEastAsia" w:hAnsiTheme="minorHAnsi"/>
          <w:b w:val="0"/>
          <w:smallCaps w:val="0"/>
          <w:noProof/>
          <w:color w:val="auto"/>
          <w:lang w:val="en-IN" w:eastAsia="en-IN"/>
        </w:rPr>
      </w:pPr>
      <w:hyperlink w:anchor="_Toc69477044" w:history="1">
        <w:r w:rsidR="00587185" w:rsidRPr="00A067E3">
          <w:rPr>
            <w:rStyle w:val="Hyperlink"/>
            <w:noProof/>
          </w:rPr>
          <w:t>Chapter 20.</w:t>
        </w:r>
        <w:r w:rsidR="00587185">
          <w:rPr>
            <w:rFonts w:asciiTheme="minorHAnsi" w:eastAsiaTheme="minorEastAsia" w:hAnsiTheme="minorHAnsi"/>
            <w:b w:val="0"/>
            <w:smallCaps w:val="0"/>
            <w:noProof/>
            <w:color w:val="auto"/>
            <w:lang w:val="en-IN" w:eastAsia="en-IN"/>
          </w:rPr>
          <w:tab/>
        </w:r>
        <w:r w:rsidR="00587185" w:rsidRPr="00A067E3">
          <w:rPr>
            <w:rStyle w:val="Hyperlink"/>
            <w:noProof/>
          </w:rPr>
          <w:t>Appendixes</w:t>
        </w:r>
        <w:r w:rsidR="00587185">
          <w:rPr>
            <w:noProof/>
            <w:webHidden/>
          </w:rPr>
          <w:tab/>
        </w:r>
        <w:r w:rsidR="00587185">
          <w:rPr>
            <w:noProof/>
            <w:webHidden/>
          </w:rPr>
          <w:fldChar w:fldCharType="begin"/>
        </w:r>
        <w:r w:rsidR="00587185">
          <w:rPr>
            <w:noProof/>
            <w:webHidden/>
          </w:rPr>
          <w:instrText xml:space="preserve"> PAGEREF _Toc69477044 \h </w:instrText>
        </w:r>
        <w:r w:rsidR="00587185">
          <w:rPr>
            <w:noProof/>
            <w:webHidden/>
          </w:rPr>
        </w:r>
        <w:r w:rsidR="00587185">
          <w:rPr>
            <w:noProof/>
            <w:webHidden/>
          </w:rPr>
          <w:fldChar w:fldCharType="separate"/>
        </w:r>
        <w:r w:rsidR="00587185">
          <w:rPr>
            <w:noProof/>
            <w:webHidden/>
          </w:rPr>
          <w:t>183</w:t>
        </w:r>
        <w:r w:rsidR="00587185">
          <w:rPr>
            <w:noProof/>
            <w:webHidden/>
          </w:rPr>
          <w:fldChar w:fldCharType="end"/>
        </w:r>
      </w:hyperlink>
    </w:p>
    <w:p w14:paraId="250743B3" w14:textId="204D366D"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45" w:history="1">
        <w:r w:rsidR="00587185" w:rsidRPr="00A067E3">
          <w:rPr>
            <w:rStyle w:val="Hyperlink"/>
            <w:noProof/>
          </w:rPr>
          <w:t>20.1. Appendix 1. Methodology for Determination of Marginal Prices and ASC</w:t>
        </w:r>
        <w:r w:rsidR="00587185">
          <w:rPr>
            <w:noProof/>
            <w:webHidden/>
          </w:rPr>
          <w:tab/>
        </w:r>
        <w:r w:rsidR="00587185">
          <w:rPr>
            <w:noProof/>
            <w:webHidden/>
          </w:rPr>
          <w:fldChar w:fldCharType="begin"/>
        </w:r>
        <w:r w:rsidR="00587185">
          <w:rPr>
            <w:noProof/>
            <w:webHidden/>
          </w:rPr>
          <w:instrText xml:space="preserve"> PAGEREF _Toc69477045 \h </w:instrText>
        </w:r>
        <w:r w:rsidR="00587185">
          <w:rPr>
            <w:noProof/>
            <w:webHidden/>
          </w:rPr>
        </w:r>
        <w:r w:rsidR="00587185">
          <w:rPr>
            <w:noProof/>
            <w:webHidden/>
          </w:rPr>
          <w:fldChar w:fldCharType="separate"/>
        </w:r>
        <w:r w:rsidR="00587185">
          <w:rPr>
            <w:noProof/>
            <w:webHidden/>
          </w:rPr>
          <w:t>183</w:t>
        </w:r>
        <w:r w:rsidR="00587185">
          <w:rPr>
            <w:noProof/>
            <w:webHidden/>
          </w:rPr>
          <w:fldChar w:fldCharType="end"/>
        </w:r>
      </w:hyperlink>
    </w:p>
    <w:p w14:paraId="22BCE646" w14:textId="312CD265"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46" w:history="1">
        <w:r w:rsidR="00587185" w:rsidRPr="00A067E3">
          <w:rPr>
            <w:rStyle w:val="Hyperlink"/>
            <w:noProof/>
          </w:rPr>
          <w:t>20.2. Appedix II. Declaration for becoming Counsellor or Member of the Dispute Resolution Panel</w:t>
        </w:r>
        <w:r w:rsidR="00587185">
          <w:rPr>
            <w:noProof/>
            <w:webHidden/>
          </w:rPr>
          <w:tab/>
        </w:r>
        <w:r w:rsidR="00587185">
          <w:rPr>
            <w:noProof/>
            <w:webHidden/>
          </w:rPr>
          <w:fldChar w:fldCharType="begin"/>
        </w:r>
        <w:r w:rsidR="00587185">
          <w:rPr>
            <w:noProof/>
            <w:webHidden/>
          </w:rPr>
          <w:instrText xml:space="preserve"> PAGEREF _Toc69477046 \h </w:instrText>
        </w:r>
        <w:r w:rsidR="00587185">
          <w:rPr>
            <w:noProof/>
            <w:webHidden/>
          </w:rPr>
        </w:r>
        <w:r w:rsidR="00587185">
          <w:rPr>
            <w:noProof/>
            <w:webHidden/>
          </w:rPr>
          <w:fldChar w:fldCharType="separate"/>
        </w:r>
        <w:r w:rsidR="00587185">
          <w:rPr>
            <w:noProof/>
            <w:webHidden/>
          </w:rPr>
          <w:t>188</w:t>
        </w:r>
        <w:r w:rsidR="00587185">
          <w:rPr>
            <w:noProof/>
            <w:webHidden/>
          </w:rPr>
          <w:fldChar w:fldCharType="end"/>
        </w:r>
      </w:hyperlink>
    </w:p>
    <w:p w14:paraId="43DAC067" w14:textId="60940DAC" w:rsidR="00587185" w:rsidRDefault="004D6075">
      <w:pPr>
        <w:pStyle w:val="TOC2"/>
        <w:tabs>
          <w:tab w:val="right" w:leader="dot" w:pos="9345"/>
        </w:tabs>
        <w:rPr>
          <w:rFonts w:asciiTheme="minorHAnsi" w:eastAsiaTheme="minorEastAsia" w:hAnsiTheme="minorHAnsi"/>
          <w:b w:val="0"/>
          <w:noProof/>
          <w:color w:val="auto"/>
          <w:u w:val="none"/>
          <w:lang w:val="en-IN" w:eastAsia="en-IN"/>
        </w:rPr>
      </w:pPr>
      <w:hyperlink w:anchor="_Toc69477047" w:history="1">
        <w:r w:rsidR="00587185" w:rsidRPr="00A067E3">
          <w:rPr>
            <w:rStyle w:val="Hyperlink"/>
            <w:noProof/>
          </w:rPr>
          <w:t>20.3. Appendix III: Declaration for becoming Member of the Market Surveillance Panel</w:t>
        </w:r>
        <w:r w:rsidR="00587185">
          <w:rPr>
            <w:noProof/>
            <w:webHidden/>
          </w:rPr>
          <w:tab/>
        </w:r>
        <w:r w:rsidR="00587185">
          <w:rPr>
            <w:noProof/>
            <w:webHidden/>
          </w:rPr>
          <w:fldChar w:fldCharType="begin"/>
        </w:r>
        <w:r w:rsidR="00587185">
          <w:rPr>
            <w:noProof/>
            <w:webHidden/>
          </w:rPr>
          <w:instrText xml:space="preserve"> PAGEREF _Toc69477047 \h </w:instrText>
        </w:r>
        <w:r w:rsidR="00587185">
          <w:rPr>
            <w:noProof/>
            <w:webHidden/>
          </w:rPr>
        </w:r>
        <w:r w:rsidR="00587185">
          <w:rPr>
            <w:noProof/>
            <w:webHidden/>
          </w:rPr>
          <w:fldChar w:fldCharType="separate"/>
        </w:r>
        <w:r w:rsidR="00587185">
          <w:rPr>
            <w:noProof/>
            <w:webHidden/>
          </w:rPr>
          <w:t>191</w:t>
        </w:r>
        <w:r w:rsidR="00587185">
          <w:rPr>
            <w:noProof/>
            <w:webHidden/>
          </w:rPr>
          <w:fldChar w:fldCharType="end"/>
        </w:r>
      </w:hyperlink>
    </w:p>
    <w:p w14:paraId="07EE5413" w14:textId="3A14195E" w:rsidR="007B717C" w:rsidRPr="00DC3267" w:rsidRDefault="001C4A85" w:rsidP="00F41F93">
      <w:pPr>
        <w:rPr>
          <w:rFonts w:asciiTheme="minorHAnsi" w:hAnsiTheme="minorHAnsi" w:cstheme="minorHAnsi"/>
        </w:rPr>
      </w:pPr>
      <w:r>
        <w:rPr>
          <w:rFonts w:asciiTheme="minorHAnsi" w:hAnsiTheme="minorHAnsi" w:cstheme="minorHAnsi"/>
          <w:color w:val="C2113A"/>
          <w:u w:val="single"/>
        </w:rPr>
        <w:fldChar w:fldCharType="end"/>
      </w:r>
      <w:r w:rsidR="007B717C" w:rsidRPr="00DC3267">
        <w:rPr>
          <w:rFonts w:asciiTheme="minorHAnsi" w:hAnsiTheme="minorHAnsi" w:cstheme="minorHAnsi"/>
        </w:rPr>
        <w:br w:type="page"/>
      </w:r>
    </w:p>
    <w:p w14:paraId="65F125E3" w14:textId="77777777" w:rsidR="007B717C" w:rsidRPr="00DC3267" w:rsidRDefault="007B717C" w:rsidP="00F41F93">
      <w:pPr>
        <w:pStyle w:val="Title"/>
        <w:spacing w:line="276" w:lineRule="auto"/>
        <w:rPr>
          <w:rFonts w:asciiTheme="minorHAnsi" w:hAnsiTheme="minorHAnsi" w:cstheme="minorHAnsi"/>
        </w:rPr>
      </w:pPr>
      <w:bookmarkStart w:id="0" w:name="_Hlk31701111"/>
      <w:r w:rsidRPr="00DC3267">
        <w:rPr>
          <w:rFonts w:asciiTheme="minorHAnsi" w:hAnsiTheme="minorHAnsi" w:cstheme="minorHAnsi"/>
        </w:rPr>
        <w:lastRenderedPageBreak/>
        <w:t>Acronyms</w:t>
      </w:r>
    </w:p>
    <w:p w14:paraId="21717411" w14:textId="46881C78" w:rsidR="001A3756" w:rsidRDefault="001A3756" w:rsidP="001A3756">
      <w:pPr>
        <w:rPr>
          <w:rFonts w:cstheme="minorHAnsi"/>
        </w:rPr>
      </w:pPr>
      <w:r w:rsidRPr="005A7ADF">
        <w:rPr>
          <w:rFonts w:cstheme="minorHAnsi"/>
        </w:rPr>
        <w:t>AEDB</w:t>
      </w:r>
      <w:r w:rsidR="00655454" w:rsidRPr="005A7ADF">
        <w:rPr>
          <w:rFonts w:cstheme="minorHAnsi"/>
        </w:rPr>
        <w:tab/>
      </w:r>
      <w:r w:rsidR="00655454" w:rsidRPr="005A7ADF">
        <w:rPr>
          <w:rFonts w:cstheme="minorHAnsi"/>
        </w:rPr>
        <w:tab/>
      </w:r>
      <w:r w:rsidRPr="00BF2C54">
        <w:rPr>
          <w:rFonts w:cstheme="minorHAnsi"/>
        </w:rPr>
        <w:t>Alternate Energy Development Board</w:t>
      </w:r>
    </w:p>
    <w:p w14:paraId="6EB8F0CC" w14:textId="047CB185" w:rsidR="00A04278" w:rsidRPr="00BF2C54" w:rsidRDefault="00A04278" w:rsidP="001A3756">
      <w:pPr>
        <w:rPr>
          <w:rFonts w:cstheme="minorHAnsi"/>
        </w:rPr>
      </w:pPr>
      <w:r>
        <w:rPr>
          <w:rFonts w:cstheme="minorHAnsi"/>
        </w:rPr>
        <w:t>ARE</w:t>
      </w:r>
      <w:r>
        <w:rPr>
          <w:rFonts w:cstheme="minorHAnsi"/>
        </w:rPr>
        <w:tab/>
      </w:r>
      <w:r>
        <w:rPr>
          <w:rFonts w:cstheme="minorHAnsi"/>
        </w:rPr>
        <w:tab/>
        <w:t>Alternative and Renewable Energy</w:t>
      </w:r>
    </w:p>
    <w:p w14:paraId="484311D4" w14:textId="07743499" w:rsidR="0013414E" w:rsidRPr="005A7ADF" w:rsidRDefault="0013414E" w:rsidP="001A3756">
      <w:pPr>
        <w:rPr>
          <w:rFonts w:cstheme="minorHAnsi"/>
        </w:rPr>
      </w:pPr>
      <w:r w:rsidRPr="00BF2C54">
        <w:rPr>
          <w:rFonts w:cstheme="minorHAnsi"/>
        </w:rPr>
        <w:t>ASC</w:t>
      </w:r>
      <w:r w:rsidRPr="00BF2C54">
        <w:rPr>
          <w:rFonts w:cstheme="minorHAnsi"/>
        </w:rPr>
        <w:tab/>
      </w:r>
      <w:r w:rsidRPr="00BF2C54">
        <w:rPr>
          <w:rFonts w:cstheme="minorHAnsi"/>
        </w:rPr>
        <w:tab/>
        <w:t>Ancillary Services Charges</w:t>
      </w:r>
    </w:p>
    <w:p w14:paraId="187E6B72" w14:textId="77777777" w:rsidR="001A3756" w:rsidRPr="005A7ADF" w:rsidRDefault="001A3756" w:rsidP="001A3756">
      <w:pPr>
        <w:rPr>
          <w:rFonts w:cstheme="minorHAnsi"/>
        </w:rPr>
      </w:pPr>
      <w:r w:rsidRPr="005A7ADF">
        <w:rPr>
          <w:rFonts w:cstheme="minorHAnsi"/>
        </w:rPr>
        <w:t>BMC</w:t>
      </w:r>
      <w:r w:rsidRPr="005A7ADF">
        <w:rPr>
          <w:rFonts w:cstheme="minorHAnsi"/>
        </w:rPr>
        <w:tab/>
      </w:r>
      <w:r w:rsidRPr="005A7ADF">
        <w:rPr>
          <w:rFonts w:cstheme="minorHAnsi"/>
        </w:rPr>
        <w:tab/>
        <w:t>Balancing mechanism for Capacity</w:t>
      </w:r>
    </w:p>
    <w:p w14:paraId="44ECC1E4" w14:textId="77777777" w:rsidR="001A3756" w:rsidRPr="005A7ADF" w:rsidRDefault="001A3756" w:rsidP="001A3756">
      <w:pPr>
        <w:rPr>
          <w:rFonts w:cstheme="minorHAnsi"/>
        </w:rPr>
      </w:pPr>
      <w:r w:rsidRPr="005A7ADF">
        <w:rPr>
          <w:rFonts w:cstheme="minorHAnsi"/>
        </w:rPr>
        <w:t>BME</w:t>
      </w:r>
      <w:r w:rsidRPr="005A7ADF">
        <w:rPr>
          <w:rFonts w:cstheme="minorHAnsi"/>
        </w:rPr>
        <w:tab/>
      </w:r>
      <w:r w:rsidRPr="005A7ADF">
        <w:rPr>
          <w:rFonts w:cstheme="minorHAnsi"/>
        </w:rPr>
        <w:tab/>
        <w:t>Balancing mechanism for Energy</w:t>
      </w:r>
    </w:p>
    <w:p w14:paraId="49D71AA0" w14:textId="77777777" w:rsidR="001A3756" w:rsidRPr="005A7ADF" w:rsidRDefault="001A3756" w:rsidP="001A3756">
      <w:pPr>
        <w:rPr>
          <w:rFonts w:cstheme="minorHAnsi"/>
        </w:rPr>
      </w:pPr>
      <w:r w:rsidRPr="005A7ADF">
        <w:rPr>
          <w:rFonts w:cstheme="minorHAnsi"/>
        </w:rPr>
        <w:t>BPC</w:t>
      </w:r>
      <w:r w:rsidRPr="005A7ADF">
        <w:rPr>
          <w:rFonts w:cstheme="minorHAnsi"/>
        </w:rPr>
        <w:tab/>
      </w:r>
      <w:r w:rsidRPr="005A7ADF">
        <w:rPr>
          <w:rFonts w:cstheme="minorHAnsi"/>
        </w:rPr>
        <w:tab/>
        <w:t>Bulk Power Consumer</w:t>
      </w:r>
    </w:p>
    <w:p w14:paraId="1C8CA4C8" w14:textId="0011F95C" w:rsidR="00A66052" w:rsidRDefault="00A66052" w:rsidP="001A3756">
      <w:pPr>
        <w:rPr>
          <w:rFonts w:cstheme="minorHAnsi"/>
        </w:rPr>
      </w:pPr>
      <w:r>
        <w:rPr>
          <w:rFonts w:cstheme="minorHAnsi"/>
        </w:rPr>
        <w:t>CCOP</w:t>
      </w:r>
      <w:r>
        <w:rPr>
          <w:rFonts w:cstheme="minorHAnsi"/>
        </w:rPr>
        <w:tab/>
      </w:r>
      <w:r>
        <w:rPr>
          <w:rFonts w:cstheme="minorHAnsi"/>
        </w:rPr>
        <w:tab/>
        <w:t>Commercial Code Operating Procedure</w:t>
      </w:r>
    </w:p>
    <w:p w14:paraId="7B83FD99" w14:textId="77777777" w:rsidR="00804C30" w:rsidRDefault="00804C30" w:rsidP="00804C30">
      <w:pPr>
        <w:rPr>
          <w:rFonts w:cstheme="minorHAnsi"/>
        </w:rPr>
      </w:pPr>
      <w:r w:rsidRPr="005A7ADF">
        <w:rPr>
          <w:rFonts w:cstheme="minorHAnsi"/>
        </w:rPr>
        <w:t>CCRP</w:t>
      </w:r>
      <w:r w:rsidRPr="005A7ADF">
        <w:rPr>
          <w:rFonts w:cstheme="minorHAnsi"/>
        </w:rPr>
        <w:tab/>
      </w:r>
      <w:r>
        <w:rPr>
          <w:rFonts w:cstheme="minorHAnsi"/>
        </w:rPr>
        <w:tab/>
        <w:t>Commercial Code</w:t>
      </w:r>
      <w:r w:rsidRPr="005A7ADF">
        <w:rPr>
          <w:rFonts w:cstheme="minorHAnsi"/>
        </w:rPr>
        <w:t xml:space="preserve"> Review Panel</w:t>
      </w:r>
    </w:p>
    <w:p w14:paraId="11A4C255" w14:textId="76B96947" w:rsidR="00804C30" w:rsidRPr="005A7ADF" w:rsidRDefault="00804C30" w:rsidP="00804C30">
      <w:pPr>
        <w:rPr>
          <w:rFonts w:cstheme="minorHAnsi"/>
        </w:rPr>
      </w:pPr>
      <w:r>
        <w:rPr>
          <w:rFonts w:cstheme="minorHAnsi"/>
        </w:rPr>
        <w:t>CCWG</w:t>
      </w:r>
      <w:r>
        <w:rPr>
          <w:rFonts w:cstheme="minorHAnsi"/>
        </w:rPr>
        <w:tab/>
      </w:r>
      <w:r>
        <w:rPr>
          <w:rFonts w:cstheme="minorHAnsi"/>
        </w:rPr>
        <w:tab/>
        <w:t>Commercial Code Working Group</w:t>
      </w:r>
    </w:p>
    <w:p w14:paraId="728DB57C" w14:textId="77777777" w:rsidR="009A1133" w:rsidRPr="005A7ADF" w:rsidRDefault="009A1133" w:rsidP="009A1133">
      <w:pPr>
        <w:rPr>
          <w:rFonts w:cstheme="minorHAnsi"/>
        </w:rPr>
      </w:pPr>
      <w:r>
        <w:rPr>
          <w:rFonts w:cstheme="minorHAnsi"/>
        </w:rPr>
        <w:t>CMOD</w:t>
      </w:r>
      <w:r>
        <w:rPr>
          <w:rFonts w:cstheme="minorHAnsi"/>
        </w:rPr>
        <w:tab/>
      </w:r>
      <w:r>
        <w:rPr>
          <w:rFonts w:cstheme="minorHAnsi"/>
        </w:rPr>
        <w:tab/>
        <w:t>Competitive Market Operation Date</w:t>
      </w:r>
    </w:p>
    <w:p w14:paraId="1B53839F" w14:textId="22858490" w:rsidR="001A3756" w:rsidRPr="005A7ADF" w:rsidRDefault="001A3756" w:rsidP="001A3756">
      <w:pPr>
        <w:rPr>
          <w:rFonts w:cstheme="minorHAnsi"/>
        </w:rPr>
      </w:pPr>
      <w:r w:rsidRPr="005A7ADF">
        <w:rPr>
          <w:rFonts w:cstheme="minorHAnsi"/>
        </w:rPr>
        <w:t>COD</w:t>
      </w:r>
      <w:r w:rsidR="00655454" w:rsidRPr="005A7ADF">
        <w:rPr>
          <w:rFonts w:cstheme="minorHAnsi"/>
        </w:rPr>
        <w:tab/>
      </w:r>
      <w:r w:rsidR="00655454" w:rsidRPr="005A7ADF">
        <w:rPr>
          <w:rFonts w:cstheme="minorHAnsi"/>
        </w:rPr>
        <w:tab/>
      </w:r>
      <w:r w:rsidRPr="005A7ADF">
        <w:rPr>
          <w:rFonts w:cstheme="minorHAnsi"/>
        </w:rPr>
        <w:t>Commercial operation date</w:t>
      </w:r>
    </w:p>
    <w:p w14:paraId="6DED231B" w14:textId="77777777" w:rsidR="001A3756" w:rsidRPr="005A7ADF" w:rsidRDefault="001A3756" w:rsidP="001A3756">
      <w:pPr>
        <w:rPr>
          <w:rFonts w:cstheme="minorHAnsi"/>
        </w:rPr>
      </w:pPr>
      <w:r w:rsidRPr="005A7ADF">
        <w:rPr>
          <w:rFonts w:cstheme="minorHAnsi"/>
        </w:rPr>
        <w:t xml:space="preserve">CPPA-G </w:t>
      </w:r>
      <w:r w:rsidRPr="005A7ADF">
        <w:rPr>
          <w:rFonts w:cstheme="minorHAnsi"/>
        </w:rPr>
        <w:tab/>
        <w:t>Central Power Purchasing Agency (Guarantee) Limited</w:t>
      </w:r>
    </w:p>
    <w:p w14:paraId="74B836BC" w14:textId="7D54B680" w:rsidR="001A3756" w:rsidRPr="005A7ADF" w:rsidRDefault="001A3756" w:rsidP="001A3756">
      <w:pPr>
        <w:ind w:left="1440" w:hanging="1440"/>
        <w:rPr>
          <w:rFonts w:cstheme="minorHAnsi"/>
        </w:rPr>
      </w:pPr>
      <w:r w:rsidRPr="005A7ADF">
        <w:rPr>
          <w:rFonts w:cstheme="minorHAnsi"/>
        </w:rPr>
        <w:t>CTBCM</w:t>
      </w:r>
      <w:r w:rsidRPr="005A7ADF">
        <w:rPr>
          <w:rFonts w:cstheme="minorHAnsi"/>
        </w:rPr>
        <w:tab/>
        <w:t xml:space="preserve">Competitive Trading Bilateral Contract Market (competitive wholesale electricity market </w:t>
      </w:r>
      <w:r w:rsidR="00804C30">
        <w:rPr>
          <w:rFonts w:cstheme="minorHAnsi"/>
        </w:rPr>
        <w:t>of</w:t>
      </w:r>
      <w:r w:rsidR="00804C30" w:rsidRPr="005A7ADF">
        <w:rPr>
          <w:rFonts w:cstheme="minorHAnsi"/>
        </w:rPr>
        <w:t xml:space="preserve"> </w:t>
      </w:r>
      <w:r w:rsidRPr="005A7ADF">
        <w:rPr>
          <w:rFonts w:cstheme="minorHAnsi"/>
        </w:rPr>
        <w:t>Pakistan)</w:t>
      </w:r>
    </w:p>
    <w:p w14:paraId="5CADE3E7" w14:textId="16C16195" w:rsidR="00403273" w:rsidRPr="005A7ADF" w:rsidRDefault="00403273" w:rsidP="001A3756">
      <w:pPr>
        <w:ind w:left="1440" w:hanging="1440"/>
        <w:rPr>
          <w:rFonts w:cstheme="minorHAnsi"/>
        </w:rPr>
      </w:pPr>
      <w:r w:rsidRPr="005A7ADF">
        <w:rPr>
          <w:rFonts w:cstheme="minorHAnsi"/>
        </w:rPr>
        <w:t>DC</w:t>
      </w:r>
      <w:r w:rsidRPr="005A7ADF">
        <w:rPr>
          <w:rFonts w:cstheme="minorHAnsi"/>
        </w:rPr>
        <w:tab/>
        <w:t>Distribution Code</w:t>
      </w:r>
    </w:p>
    <w:p w14:paraId="0296B48A" w14:textId="7BA6C293" w:rsidR="007A3649" w:rsidRPr="005A7ADF" w:rsidRDefault="001A3756" w:rsidP="001A3756">
      <w:pPr>
        <w:rPr>
          <w:rFonts w:cstheme="minorHAnsi"/>
        </w:rPr>
      </w:pPr>
      <w:r w:rsidRPr="005A7ADF">
        <w:rPr>
          <w:rFonts w:cstheme="minorHAnsi"/>
        </w:rPr>
        <w:t>DISCOs</w:t>
      </w:r>
      <w:r w:rsidR="00316610" w:rsidRPr="005A7ADF">
        <w:rPr>
          <w:rFonts w:cstheme="minorHAnsi"/>
        </w:rPr>
        <w:t xml:space="preserve">           Distribution Companies</w:t>
      </w:r>
      <w:r w:rsidRPr="005A7ADF">
        <w:rPr>
          <w:rFonts w:cstheme="minorHAnsi"/>
        </w:rPr>
        <w:tab/>
      </w:r>
    </w:p>
    <w:p w14:paraId="5A18B7D7" w14:textId="508F2177" w:rsidR="001A3756" w:rsidRPr="005A7ADF" w:rsidRDefault="007A3649" w:rsidP="001A3756">
      <w:pPr>
        <w:rPr>
          <w:rFonts w:cstheme="minorHAnsi"/>
        </w:rPr>
      </w:pPr>
      <w:r w:rsidRPr="005A7ADF">
        <w:rPr>
          <w:rFonts w:cstheme="minorHAnsi"/>
        </w:rPr>
        <w:t>DM</w:t>
      </w:r>
      <w:r w:rsidRPr="005A7ADF">
        <w:rPr>
          <w:rFonts w:cstheme="minorHAnsi"/>
        </w:rPr>
        <w:tab/>
      </w:r>
      <w:r w:rsidRPr="005A7ADF">
        <w:rPr>
          <w:rFonts w:cstheme="minorHAnsi"/>
        </w:rPr>
        <w:tab/>
        <w:t>Distribution Margin</w:t>
      </w:r>
      <w:r w:rsidR="001A3756" w:rsidRPr="005A7ADF">
        <w:rPr>
          <w:rFonts w:cstheme="minorHAnsi"/>
        </w:rPr>
        <w:tab/>
      </w:r>
    </w:p>
    <w:p w14:paraId="33D4CC57" w14:textId="77777777" w:rsidR="001A3756" w:rsidRPr="005A7ADF" w:rsidRDefault="001A3756" w:rsidP="001A3756">
      <w:pPr>
        <w:rPr>
          <w:rFonts w:cstheme="minorHAnsi"/>
        </w:rPr>
      </w:pPr>
      <w:r w:rsidRPr="005A7ADF">
        <w:rPr>
          <w:rFonts w:cstheme="minorHAnsi"/>
        </w:rPr>
        <w:t>EPA</w:t>
      </w:r>
      <w:r w:rsidRPr="005A7ADF">
        <w:rPr>
          <w:rFonts w:cstheme="minorHAnsi"/>
        </w:rPr>
        <w:tab/>
      </w:r>
      <w:r w:rsidRPr="005A7ADF">
        <w:rPr>
          <w:rFonts w:cstheme="minorHAnsi"/>
        </w:rPr>
        <w:tab/>
        <w:t>Energy Purchase Agreement</w:t>
      </w:r>
    </w:p>
    <w:p w14:paraId="4C325239" w14:textId="0FA0B759" w:rsidR="001A3756" w:rsidRPr="005A7ADF" w:rsidRDefault="001A3756" w:rsidP="001A3756">
      <w:pPr>
        <w:rPr>
          <w:rFonts w:cstheme="minorHAnsi"/>
        </w:rPr>
      </w:pPr>
      <w:r w:rsidRPr="005A7ADF">
        <w:rPr>
          <w:rFonts w:cstheme="minorHAnsi"/>
        </w:rPr>
        <w:t>GENCOs</w:t>
      </w:r>
      <w:r w:rsidR="00655454" w:rsidRPr="005A7ADF">
        <w:rPr>
          <w:rFonts w:cstheme="minorHAnsi"/>
        </w:rPr>
        <w:tab/>
      </w:r>
      <w:r w:rsidRPr="005A7ADF">
        <w:rPr>
          <w:rFonts w:cstheme="minorHAnsi"/>
        </w:rPr>
        <w:t>Government owned thermal Generation companies, successors of WAPDA restructuring</w:t>
      </w:r>
    </w:p>
    <w:p w14:paraId="418944B0" w14:textId="4E6205D0" w:rsidR="001A3756" w:rsidRPr="005A7ADF" w:rsidRDefault="001A3756" w:rsidP="001A3756">
      <w:pPr>
        <w:rPr>
          <w:rFonts w:cstheme="minorHAnsi"/>
        </w:rPr>
      </w:pPr>
      <w:r w:rsidRPr="005A7ADF">
        <w:rPr>
          <w:rFonts w:cstheme="minorHAnsi"/>
        </w:rPr>
        <w:t>IAA</w:t>
      </w:r>
      <w:r w:rsidR="00655454" w:rsidRPr="005A7ADF">
        <w:rPr>
          <w:rFonts w:cstheme="minorHAnsi"/>
        </w:rPr>
        <w:tab/>
      </w:r>
      <w:r w:rsidR="00655454" w:rsidRPr="005A7ADF">
        <w:rPr>
          <w:rFonts w:cstheme="minorHAnsi"/>
        </w:rPr>
        <w:tab/>
      </w:r>
      <w:r w:rsidRPr="005A7ADF">
        <w:rPr>
          <w:rFonts w:cstheme="minorHAnsi"/>
        </w:rPr>
        <w:t>Independent Auction Administrator</w:t>
      </w:r>
    </w:p>
    <w:p w14:paraId="4A1CEC5A" w14:textId="0431A646" w:rsidR="001A3756" w:rsidRPr="005A7ADF" w:rsidRDefault="001A3756" w:rsidP="001A3756">
      <w:pPr>
        <w:rPr>
          <w:rFonts w:cstheme="minorHAnsi"/>
        </w:rPr>
      </w:pPr>
      <w:r w:rsidRPr="005A7ADF">
        <w:rPr>
          <w:rFonts w:cstheme="minorHAnsi"/>
        </w:rPr>
        <w:t>IEMSM</w:t>
      </w:r>
      <w:r w:rsidR="00655454" w:rsidRPr="005A7ADF">
        <w:rPr>
          <w:rFonts w:cstheme="minorHAnsi"/>
        </w:rPr>
        <w:tab/>
      </w:r>
      <w:r w:rsidR="00655454" w:rsidRPr="005A7ADF">
        <w:rPr>
          <w:rFonts w:cstheme="minorHAnsi"/>
        </w:rPr>
        <w:tab/>
      </w:r>
      <w:r w:rsidRPr="005A7ADF">
        <w:rPr>
          <w:rFonts w:cstheme="minorHAnsi"/>
        </w:rPr>
        <w:t>Integrated Electricity Market Simulation Model</w:t>
      </w:r>
    </w:p>
    <w:p w14:paraId="52A41F6C" w14:textId="036879C7" w:rsidR="001A3756" w:rsidRPr="005A7ADF" w:rsidRDefault="001A3756" w:rsidP="001A3756">
      <w:pPr>
        <w:rPr>
          <w:rFonts w:cstheme="minorHAnsi"/>
        </w:rPr>
      </w:pPr>
      <w:r w:rsidRPr="005A7ADF">
        <w:rPr>
          <w:rFonts w:cstheme="minorHAnsi"/>
        </w:rPr>
        <w:t>IGCEP</w:t>
      </w:r>
      <w:r w:rsidR="00655454" w:rsidRPr="005A7ADF">
        <w:rPr>
          <w:rFonts w:cstheme="minorHAnsi"/>
        </w:rPr>
        <w:tab/>
      </w:r>
      <w:r w:rsidR="00655454" w:rsidRPr="005A7ADF">
        <w:rPr>
          <w:rFonts w:cstheme="minorHAnsi"/>
        </w:rPr>
        <w:tab/>
      </w:r>
      <w:r w:rsidRPr="005A7ADF">
        <w:rPr>
          <w:rFonts w:cstheme="minorHAnsi"/>
        </w:rPr>
        <w:t>Indicative Generation Expansion Capacity Plan</w:t>
      </w:r>
    </w:p>
    <w:p w14:paraId="7D564D32" w14:textId="0CD7E7C9" w:rsidR="001A3756" w:rsidRPr="005A7ADF" w:rsidRDefault="001A3756" w:rsidP="001A3756">
      <w:pPr>
        <w:rPr>
          <w:rFonts w:cstheme="minorHAnsi"/>
        </w:rPr>
      </w:pPr>
      <w:r w:rsidRPr="005A7ADF">
        <w:rPr>
          <w:rFonts w:cstheme="minorHAnsi"/>
        </w:rPr>
        <w:t>KE</w:t>
      </w:r>
      <w:r w:rsidR="00655454" w:rsidRPr="005A7ADF">
        <w:rPr>
          <w:rFonts w:cstheme="minorHAnsi"/>
        </w:rPr>
        <w:tab/>
      </w:r>
      <w:r w:rsidR="00655454" w:rsidRPr="005A7ADF">
        <w:rPr>
          <w:rFonts w:cstheme="minorHAnsi"/>
        </w:rPr>
        <w:tab/>
      </w:r>
      <w:r w:rsidRPr="005A7ADF">
        <w:rPr>
          <w:rFonts w:cstheme="minorHAnsi"/>
        </w:rPr>
        <w:t>K-Electric, formally known as KESC.</w:t>
      </w:r>
    </w:p>
    <w:p w14:paraId="0C0D833B" w14:textId="77777777" w:rsidR="001A3756" w:rsidRPr="005A7ADF" w:rsidRDefault="001A3756" w:rsidP="001A3756">
      <w:pPr>
        <w:rPr>
          <w:rFonts w:cstheme="minorHAnsi"/>
        </w:rPr>
      </w:pPr>
      <w:r w:rsidRPr="005A7ADF">
        <w:rPr>
          <w:rFonts w:cstheme="minorHAnsi"/>
        </w:rPr>
        <w:t>MO</w:t>
      </w:r>
      <w:r w:rsidRPr="005A7ADF">
        <w:rPr>
          <w:rFonts w:cstheme="minorHAnsi"/>
        </w:rPr>
        <w:tab/>
      </w:r>
      <w:r w:rsidRPr="005A7ADF">
        <w:rPr>
          <w:rFonts w:cstheme="minorHAnsi"/>
        </w:rPr>
        <w:tab/>
        <w:t>Market Operator</w:t>
      </w:r>
    </w:p>
    <w:p w14:paraId="7D7022F4" w14:textId="4ADA3728" w:rsidR="001A3756" w:rsidRPr="005A7ADF" w:rsidRDefault="001A3756" w:rsidP="001A3756">
      <w:pPr>
        <w:rPr>
          <w:rFonts w:cstheme="minorHAnsi"/>
        </w:rPr>
      </w:pPr>
      <w:r w:rsidRPr="005A7ADF">
        <w:rPr>
          <w:rFonts w:cstheme="minorHAnsi"/>
        </w:rPr>
        <w:t>MoF</w:t>
      </w:r>
      <w:r w:rsidR="00655454" w:rsidRPr="005A7ADF">
        <w:rPr>
          <w:rFonts w:cstheme="minorHAnsi"/>
        </w:rPr>
        <w:tab/>
      </w:r>
      <w:r w:rsidR="00655454" w:rsidRPr="005A7ADF">
        <w:rPr>
          <w:rFonts w:cstheme="minorHAnsi"/>
        </w:rPr>
        <w:tab/>
      </w:r>
      <w:r w:rsidRPr="005A7ADF">
        <w:rPr>
          <w:rFonts w:cstheme="minorHAnsi"/>
        </w:rPr>
        <w:t>Market Operator Fee</w:t>
      </w:r>
    </w:p>
    <w:p w14:paraId="51F9F781" w14:textId="77777777" w:rsidR="001A3756" w:rsidRPr="005A7ADF" w:rsidRDefault="001A3756" w:rsidP="001A3756">
      <w:pPr>
        <w:rPr>
          <w:rFonts w:cstheme="minorHAnsi"/>
        </w:rPr>
      </w:pPr>
      <w:r w:rsidRPr="005A7ADF">
        <w:rPr>
          <w:rFonts w:cstheme="minorHAnsi"/>
        </w:rPr>
        <w:t>NEPRA</w:t>
      </w:r>
      <w:r w:rsidRPr="005A7ADF">
        <w:rPr>
          <w:rFonts w:cstheme="minorHAnsi"/>
        </w:rPr>
        <w:tab/>
      </w:r>
      <w:r w:rsidRPr="005A7ADF">
        <w:rPr>
          <w:rFonts w:cstheme="minorHAnsi"/>
        </w:rPr>
        <w:tab/>
        <w:t>National Electric Power Regulatory Authority</w:t>
      </w:r>
    </w:p>
    <w:p w14:paraId="7D98FC48" w14:textId="15841844" w:rsidR="001A3756" w:rsidRPr="005A7ADF" w:rsidRDefault="001A3756" w:rsidP="001A3756">
      <w:pPr>
        <w:rPr>
          <w:rFonts w:cstheme="minorHAnsi"/>
        </w:rPr>
      </w:pPr>
      <w:r w:rsidRPr="005A7ADF">
        <w:rPr>
          <w:rFonts w:cstheme="minorHAnsi"/>
        </w:rPr>
        <w:t>NPCC</w:t>
      </w:r>
      <w:r w:rsidR="00655454" w:rsidRPr="005A7ADF">
        <w:rPr>
          <w:rFonts w:cstheme="minorHAnsi"/>
        </w:rPr>
        <w:tab/>
      </w:r>
      <w:r w:rsidR="00655454" w:rsidRPr="005A7ADF">
        <w:rPr>
          <w:rFonts w:cstheme="minorHAnsi"/>
        </w:rPr>
        <w:tab/>
      </w:r>
      <w:r w:rsidRPr="005A7ADF">
        <w:rPr>
          <w:rFonts w:cstheme="minorHAnsi"/>
        </w:rPr>
        <w:t>National Power Control Centre</w:t>
      </w:r>
    </w:p>
    <w:p w14:paraId="71134FFD" w14:textId="77777777" w:rsidR="001A3756" w:rsidRPr="005A7ADF" w:rsidRDefault="001A3756" w:rsidP="001A3756">
      <w:pPr>
        <w:rPr>
          <w:rFonts w:cstheme="minorHAnsi"/>
        </w:rPr>
      </w:pPr>
      <w:r w:rsidRPr="005A7ADF">
        <w:rPr>
          <w:rFonts w:cstheme="minorHAnsi"/>
        </w:rPr>
        <w:t>NTDC</w:t>
      </w:r>
      <w:r w:rsidRPr="005A7ADF">
        <w:rPr>
          <w:rFonts w:cstheme="minorHAnsi"/>
        </w:rPr>
        <w:tab/>
      </w:r>
      <w:r w:rsidRPr="005A7ADF">
        <w:rPr>
          <w:rFonts w:cstheme="minorHAnsi"/>
        </w:rPr>
        <w:tab/>
        <w:t>National Transmission and Dispatch Company</w:t>
      </w:r>
    </w:p>
    <w:p w14:paraId="0CF0843D" w14:textId="77777777" w:rsidR="001A3756" w:rsidRPr="005A7ADF" w:rsidRDefault="001A3756" w:rsidP="001A3756">
      <w:pPr>
        <w:rPr>
          <w:rFonts w:cstheme="minorHAnsi"/>
        </w:rPr>
      </w:pPr>
      <w:r w:rsidRPr="005A7ADF">
        <w:rPr>
          <w:rFonts w:cstheme="minorHAnsi"/>
        </w:rPr>
        <w:t>PPA</w:t>
      </w:r>
      <w:r w:rsidRPr="005A7ADF">
        <w:rPr>
          <w:rFonts w:cstheme="minorHAnsi"/>
        </w:rPr>
        <w:tab/>
      </w:r>
      <w:r w:rsidRPr="005A7ADF">
        <w:rPr>
          <w:rFonts w:cstheme="minorHAnsi"/>
        </w:rPr>
        <w:tab/>
        <w:t>Power Purchase Agreement</w:t>
      </w:r>
    </w:p>
    <w:p w14:paraId="6912DDD0" w14:textId="47D133C7" w:rsidR="001A3756" w:rsidRPr="005A7ADF" w:rsidRDefault="001A3756" w:rsidP="001A3756">
      <w:pPr>
        <w:rPr>
          <w:rFonts w:cstheme="minorHAnsi"/>
        </w:rPr>
      </w:pPr>
      <w:r w:rsidRPr="005A7ADF">
        <w:rPr>
          <w:rFonts w:cstheme="minorHAnsi"/>
        </w:rPr>
        <w:t>PPIB</w:t>
      </w:r>
      <w:r w:rsidR="00655454" w:rsidRPr="005A7ADF">
        <w:rPr>
          <w:rFonts w:cstheme="minorHAnsi"/>
        </w:rPr>
        <w:tab/>
      </w:r>
      <w:r w:rsidR="00655454" w:rsidRPr="005A7ADF">
        <w:rPr>
          <w:rFonts w:cstheme="minorHAnsi"/>
        </w:rPr>
        <w:tab/>
      </w:r>
      <w:r w:rsidRPr="005A7ADF">
        <w:rPr>
          <w:rFonts w:cstheme="minorHAnsi"/>
        </w:rPr>
        <w:t>Private Power Infrastructure Board</w:t>
      </w:r>
    </w:p>
    <w:p w14:paraId="57A93F94" w14:textId="28B66180" w:rsidR="001A3756" w:rsidRPr="005A7ADF" w:rsidRDefault="001A3756" w:rsidP="001A3756">
      <w:pPr>
        <w:rPr>
          <w:rFonts w:cstheme="minorHAnsi"/>
        </w:rPr>
      </w:pPr>
      <w:r w:rsidRPr="005A7ADF">
        <w:rPr>
          <w:rFonts w:cstheme="minorHAnsi"/>
        </w:rPr>
        <w:t>SCADA</w:t>
      </w:r>
      <w:r w:rsidR="00655454" w:rsidRPr="005A7ADF">
        <w:rPr>
          <w:rFonts w:cstheme="minorHAnsi"/>
        </w:rPr>
        <w:tab/>
      </w:r>
      <w:r w:rsidR="00655454" w:rsidRPr="005A7ADF">
        <w:rPr>
          <w:rFonts w:cstheme="minorHAnsi"/>
        </w:rPr>
        <w:tab/>
      </w:r>
      <w:r w:rsidRPr="005A7ADF">
        <w:rPr>
          <w:rFonts w:cstheme="minorHAnsi"/>
        </w:rPr>
        <w:t>Supervisory Control and Data Acquisition</w:t>
      </w:r>
    </w:p>
    <w:p w14:paraId="12F8FC24" w14:textId="77777777" w:rsidR="001A3756" w:rsidRPr="005A7ADF" w:rsidRDefault="001A3756" w:rsidP="001A3756">
      <w:pPr>
        <w:rPr>
          <w:rFonts w:cstheme="minorHAnsi"/>
        </w:rPr>
      </w:pPr>
      <w:r w:rsidRPr="005A7ADF">
        <w:rPr>
          <w:rFonts w:cstheme="minorHAnsi"/>
        </w:rPr>
        <w:t>SCED</w:t>
      </w:r>
      <w:r w:rsidRPr="005A7ADF">
        <w:rPr>
          <w:rFonts w:cstheme="minorHAnsi"/>
        </w:rPr>
        <w:tab/>
      </w:r>
      <w:r w:rsidRPr="005A7ADF">
        <w:rPr>
          <w:rFonts w:cstheme="minorHAnsi"/>
        </w:rPr>
        <w:tab/>
        <w:t>Security Constrained Economic Dispatch</w:t>
      </w:r>
    </w:p>
    <w:p w14:paraId="74EDAFB7" w14:textId="5042E799" w:rsidR="001A3756" w:rsidRPr="005A7ADF" w:rsidRDefault="001A3756" w:rsidP="001A3756">
      <w:pPr>
        <w:rPr>
          <w:rFonts w:cstheme="minorHAnsi"/>
        </w:rPr>
      </w:pPr>
      <w:r w:rsidRPr="005A7ADF">
        <w:rPr>
          <w:rFonts w:cstheme="minorHAnsi"/>
        </w:rPr>
        <w:lastRenderedPageBreak/>
        <w:t>SDC</w:t>
      </w:r>
      <w:r w:rsidR="00655454" w:rsidRPr="005A7ADF">
        <w:rPr>
          <w:rFonts w:cstheme="minorHAnsi"/>
        </w:rPr>
        <w:tab/>
      </w:r>
      <w:r w:rsidR="00655454" w:rsidRPr="005A7ADF">
        <w:rPr>
          <w:rFonts w:cstheme="minorHAnsi"/>
        </w:rPr>
        <w:tab/>
      </w:r>
      <w:r w:rsidRPr="005A7ADF">
        <w:rPr>
          <w:rFonts w:cstheme="minorHAnsi"/>
        </w:rPr>
        <w:t>Scheduling and Dispatch Code</w:t>
      </w:r>
    </w:p>
    <w:p w14:paraId="2B17A0F5" w14:textId="0C3448B3" w:rsidR="00C26161" w:rsidRPr="005A7ADF" w:rsidRDefault="00C26161" w:rsidP="001A3756">
      <w:pPr>
        <w:rPr>
          <w:rFonts w:cstheme="minorHAnsi"/>
        </w:rPr>
      </w:pPr>
      <w:r w:rsidRPr="005A7ADF">
        <w:rPr>
          <w:rFonts w:cstheme="minorHAnsi"/>
        </w:rPr>
        <w:t>SPPs                 Small Power Producers</w:t>
      </w:r>
    </w:p>
    <w:p w14:paraId="51D53826" w14:textId="00EA51D5" w:rsidR="001A3756" w:rsidRPr="005A7ADF" w:rsidRDefault="001A3756" w:rsidP="001A3756">
      <w:pPr>
        <w:rPr>
          <w:rFonts w:cstheme="minorHAnsi"/>
        </w:rPr>
      </w:pPr>
      <w:r w:rsidRPr="005A7ADF">
        <w:rPr>
          <w:rFonts w:cstheme="minorHAnsi"/>
        </w:rPr>
        <w:t>TNO</w:t>
      </w:r>
      <w:r w:rsidR="00655454" w:rsidRPr="005A7ADF">
        <w:rPr>
          <w:rFonts w:cstheme="minorHAnsi"/>
        </w:rPr>
        <w:tab/>
      </w:r>
      <w:r w:rsidR="00655454" w:rsidRPr="005A7ADF">
        <w:rPr>
          <w:rFonts w:cstheme="minorHAnsi"/>
        </w:rPr>
        <w:tab/>
      </w:r>
      <w:r w:rsidRPr="005A7ADF">
        <w:rPr>
          <w:rFonts w:cstheme="minorHAnsi"/>
        </w:rPr>
        <w:t>Transmission Network Owner</w:t>
      </w:r>
    </w:p>
    <w:p w14:paraId="1DE32A41" w14:textId="77777777" w:rsidR="009A1133" w:rsidRPr="005A7ADF" w:rsidRDefault="009A1133" w:rsidP="009A1133">
      <w:pPr>
        <w:rPr>
          <w:rFonts w:cstheme="minorHAnsi"/>
        </w:rPr>
      </w:pPr>
      <w:r w:rsidRPr="00DE1CA3">
        <w:t>TSP</w:t>
      </w:r>
      <w:r>
        <w:tab/>
      </w:r>
      <w:r>
        <w:tab/>
        <w:t>Transmission Service Provider</w:t>
      </w:r>
    </w:p>
    <w:p w14:paraId="7BD7F074" w14:textId="2D22EB56" w:rsidR="001A3756" w:rsidRPr="005A7ADF" w:rsidRDefault="001A3756" w:rsidP="001A3756">
      <w:pPr>
        <w:rPr>
          <w:rFonts w:cstheme="minorHAnsi"/>
        </w:rPr>
      </w:pPr>
      <w:r w:rsidRPr="005A7ADF">
        <w:rPr>
          <w:rFonts w:cstheme="minorHAnsi"/>
        </w:rPr>
        <w:t>UoSC</w:t>
      </w:r>
      <w:r w:rsidR="00655454" w:rsidRPr="005A7ADF">
        <w:rPr>
          <w:rFonts w:cstheme="minorHAnsi"/>
        </w:rPr>
        <w:tab/>
      </w:r>
      <w:r w:rsidR="00655454" w:rsidRPr="005A7ADF">
        <w:rPr>
          <w:rFonts w:cstheme="minorHAnsi"/>
        </w:rPr>
        <w:tab/>
      </w:r>
      <w:r w:rsidRPr="005A7ADF">
        <w:rPr>
          <w:rFonts w:cstheme="minorHAnsi"/>
        </w:rPr>
        <w:t>Use of System Charge</w:t>
      </w:r>
    </w:p>
    <w:p w14:paraId="26308C80" w14:textId="45D7F434" w:rsidR="001A3756" w:rsidRPr="005A7ADF" w:rsidRDefault="001A3756" w:rsidP="001A3756">
      <w:pPr>
        <w:rPr>
          <w:rFonts w:cstheme="minorHAnsi"/>
        </w:rPr>
      </w:pPr>
      <w:r w:rsidRPr="005A7ADF">
        <w:rPr>
          <w:rFonts w:cstheme="minorHAnsi"/>
        </w:rPr>
        <w:t>VIU</w:t>
      </w:r>
      <w:r w:rsidR="00655454" w:rsidRPr="005A7ADF">
        <w:rPr>
          <w:rFonts w:cstheme="minorHAnsi"/>
        </w:rPr>
        <w:tab/>
      </w:r>
      <w:r w:rsidR="00655454" w:rsidRPr="005A7ADF">
        <w:rPr>
          <w:rFonts w:cstheme="minorHAnsi"/>
        </w:rPr>
        <w:tab/>
      </w:r>
      <w:r w:rsidRPr="005A7ADF">
        <w:rPr>
          <w:rFonts w:cstheme="minorHAnsi"/>
        </w:rPr>
        <w:t>Vertical Integrated Utility</w:t>
      </w:r>
    </w:p>
    <w:p w14:paraId="2F8AD5CE" w14:textId="06F4AFEB" w:rsidR="001A3756" w:rsidRPr="005A7ADF" w:rsidRDefault="001A3756" w:rsidP="001A3756">
      <w:pPr>
        <w:rPr>
          <w:rFonts w:cstheme="minorHAnsi"/>
        </w:rPr>
      </w:pPr>
      <w:r w:rsidRPr="005A7ADF">
        <w:rPr>
          <w:rFonts w:cstheme="minorHAnsi"/>
        </w:rPr>
        <w:t>WAPDA           Water and Power Development Authority</w:t>
      </w:r>
    </w:p>
    <w:p w14:paraId="7B26E2C9" w14:textId="71F364DD" w:rsidR="00FD1C4A" w:rsidRPr="00DC3267" w:rsidRDefault="00FD1C4A" w:rsidP="00FD1C4A">
      <w:pPr>
        <w:rPr>
          <w:rFonts w:asciiTheme="minorHAnsi" w:hAnsiTheme="minorHAnsi" w:cstheme="minorHAnsi"/>
        </w:rPr>
      </w:pPr>
    </w:p>
    <w:bookmarkEnd w:id="0"/>
    <w:p w14:paraId="249EDAAE" w14:textId="690A437A" w:rsidR="007B7AA5" w:rsidRPr="00DC3267" w:rsidRDefault="007B7AA5">
      <w:pPr>
        <w:rPr>
          <w:rFonts w:asciiTheme="minorHAnsi" w:hAnsiTheme="minorHAnsi" w:cstheme="minorHAnsi"/>
        </w:rPr>
      </w:pPr>
    </w:p>
    <w:p w14:paraId="7E445672" w14:textId="77777777" w:rsidR="007B7AA5" w:rsidRPr="00DC3267" w:rsidRDefault="007B7AA5">
      <w:pPr>
        <w:rPr>
          <w:rFonts w:asciiTheme="minorHAnsi" w:hAnsiTheme="minorHAnsi" w:cstheme="minorHAnsi"/>
        </w:rPr>
      </w:pPr>
    </w:p>
    <w:p w14:paraId="4FEE49BA" w14:textId="77777777" w:rsidR="00775203" w:rsidRPr="00DC3267" w:rsidRDefault="00775203">
      <w:pPr>
        <w:rPr>
          <w:rFonts w:asciiTheme="minorHAnsi" w:hAnsiTheme="minorHAnsi" w:cstheme="minorHAnsi"/>
          <w:b/>
        </w:rPr>
      </w:pPr>
      <w:r w:rsidRPr="00DC3267">
        <w:rPr>
          <w:rFonts w:asciiTheme="minorHAnsi" w:hAnsiTheme="minorHAnsi" w:cstheme="minorHAnsi"/>
          <w:b/>
        </w:rPr>
        <w:br w:type="page"/>
      </w:r>
    </w:p>
    <w:p w14:paraId="038F39FE" w14:textId="7593A8A8" w:rsidR="00132BCB" w:rsidRDefault="00F64A42" w:rsidP="00F41F93">
      <w:pPr>
        <w:pStyle w:val="Title"/>
        <w:jc w:val="left"/>
        <w:rPr>
          <w:rFonts w:asciiTheme="minorHAnsi" w:hAnsiTheme="minorHAnsi" w:cstheme="minorHAnsi"/>
        </w:rPr>
      </w:pPr>
      <w:bookmarkStart w:id="1" w:name="_Toc464914349"/>
      <w:r>
        <w:rPr>
          <w:rFonts w:asciiTheme="minorHAnsi" w:hAnsiTheme="minorHAnsi" w:cstheme="minorHAnsi"/>
        </w:rPr>
        <w:lastRenderedPageBreak/>
        <w:t>Commercial Code</w:t>
      </w:r>
    </w:p>
    <w:p w14:paraId="76D2D356" w14:textId="5C1CB93D" w:rsidR="00293F8F" w:rsidRPr="00A04640" w:rsidRDefault="00C173D0" w:rsidP="00A40A5D">
      <w:pPr>
        <w:pStyle w:val="Heading1"/>
      </w:pPr>
      <w:bookmarkStart w:id="2" w:name="_Toc64846647"/>
      <w:bookmarkStart w:id="3" w:name="_Toc69476944"/>
      <w:bookmarkStart w:id="4" w:name="_Hlk60046720"/>
      <w:r w:rsidRPr="00A04640">
        <w:t>GENERAL CONDITIONS</w:t>
      </w:r>
      <w:bookmarkEnd w:id="2"/>
      <w:bookmarkEnd w:id="3"/>
    </w:p>
    <w:p w14:paraId="4919EE27" w14:textId="2168FCEC" w:rsidR="00293F8F" w:rsidRPr="007006E7" w:rsidRDefault="00293F8F" w:rsidP="00C173D0">
      <w:pPr>
        <w:pStyle w:val="Heading2"/>
      </w:pPr>
      <w:bookmarkStart w:id="5" w:name="_Toc64846648"/>
      <w:bookmarkStart w:id="6" w:name="_Toc69476945"/>
      <w:r w:rsidRPr="007006E7">
        <w:t>O</w:t>
      </w:r>
      <w:r w:rsidR="00CB1496">
        <w:t>bjectives and Scope</w:t>
      </w:r>
      <w:bookmarkEnd w:id="5"/>
      <w:bookmarkEnd w:id="6"/>
    </w:p>
    <w:p w14:paraId="634FF81E" w14:textId="77777777" w:rsidR="009E49A5" w:rsidRDefault="009E49A5" w:rsidP="009E49A5">
      <w:pPr>
        <w:pStyle w:val="Heading3"/>
      </w:pPr>
      <w:r>
        <w:t>Title</w:t>
      </w:r>
    </w:p>
    <w:p w14:paraId="0DEE7FA7" w14:textId="73337248" w:rsidR="009E49A5" w:rsidRPr="00C173D0" w:rsidRDefault="009E49A5" w:rsidP="005B295A">
      <w:pPr>
        <w:pStyle w:val="Heading4"/>
      </w:pPr>
      <w:bookmarkStart w:id="7" w:name="_Toc526245569"/>
      <w:bookmarkStart w:id="8" w:name="_Toc526327479"/>
      <w:r w:rsidRPr="00C173D0">
        <w:t>This code shall be called the Commercial Code (the “Code”)</w:t>
      </w:r>
      <w:bookmarkEnd w:id="7"/>
      <w:bookmarkEnd w:id="8"/>
      <w:r w:rsidR="00F64A42">
        <w:t>.</w:t>
      </w:r>
    </w:p>
    <w:p w14:paraId="02D23B31" w14:textId="24275121" w:rsidR="00293F8F" w:rsidRDefault="00293F8F" w:rsidP="00C173D0">
      <w:pPr>
        <w:pStyle w:val="Heading3"/>
      </w:pPr>
      <w:r>
        <w:t>Objectives</w:t>
      </w:r>
    </w:p>
    <w:p w14:paraId="6B8564CD" w14:textId="17B427EC" w:rsidR="00CB1496" w:rsidRDefault="00CB1496" w:rsidP="005B295A">
      <w:pPr>
        <w:pStyle w:val="Heading4"/>
      </w:pPr>
      <w:r>
        <w:t xml:space="preserve">The general objectives of the </w:t>
      </w:r>
      <w:r w:rsidR="00F64A42">
        <w:t>Commercial Code</w:t>
      </w:r>
      <w:r>
        <w:t xml:space="preserve"> are:</w:t>
      </w:r>
    </w:p>
    <w:p w14:paraId="267286C3" w14:textId="72332C9C" w:rsidR="009E49A5" w:rsidRPr="00FF3B6B" w:rsidRDefault="00701404" w:rsidP="00B03234">
      <w:pPr>
        <w:pStyle w:val="Heading5"/>
      </w:pPr>
      <w:r>
        <w:t>t</w:t>
      </w:r>
      <w:r w:rsidR="009E49A5" w:rsidRPr="00FF3B6B">
        <w:t xml:space="preserve">o establish, govern and promote efficient and transparent settlement and payment arrangements and procedures, centrally administered by </w:t>
      </w:r>
      <w:r w:rsidR="009E49A5">
        <w:t>the Market Operator</w:t>
      </w:r>
      <w:r w:rsidR="009E49A5" w:rsidRPr="00FF3B6B">
        <w:t xml:space="preserve"> ;</w:t>
      </w:r>
    </w:p>
    <w:p w14:paraId="12A8B00C" w14:textId="3239DDFE" w:rsidR="009E49A5" w:rsidRPr="00FF3B6B" w:rsidRDefault="00701404" w:rsidP="00B03234">
      <w:pPr>
        <w:pStyle w:val="Heading5"/>
      </w:pPr>
      <w:r>
        <w:t>t</w:t>
      </w:r>
      <w:r w:rsidR="009E49A5" w:rsidRPr="00FF3B6B">
        <w:t xml:space="preserve">o </w:t>
      </w:r>
      <w:r>
        <w:t>govern</w:t>
      </w:r>
      <w:r w:rsidRPr="00FF3B6B">
        <w:t xml:space="preserve"> </w:t>
      </w:r>
      <w:r w:rsidR="009E49A5" w:rsidRPr="00FF3B6B">
        <w:t>the</w:t>
      </w:r>
      <w:r>
        <w:t xml:space="preserve"> market</w:t>
      </w:r>
      <w:r w:rsidR="009E49A5" w:rsidRPr="00FF3B6B">
        <w:t xml:space="preserve"> transactions </w:t>
      </w:r>
      <w:r>
        <w:t xml:space="preserve">after </w:t>
      </w:r>
      <w:r w:rsidR="009E49A5" w:rsidRPr="00FF3B6B">
        <w:t xml:space="preserve">the </w:t>
      </w:r>
      <w:r w:rsidR="009B79C5">
        <w:t>CMOD</w:t>
      </w:r>
      <w:r w:rsidR="009E49A5" w:rsidRPr="00FF3B6B">
        <w:t xml:space="preserve">; </w:t>
      </w:r>
    </w:p>
    <w:p w14:paraId="1AE8C242" w14:textId="71061656" w:rsidR="009B79C5" w:rsidRPr="00FF3B6B" w:rsidRDefault="00701404" w:rsidP="00B03234">
      <w:pPr>
        <w:pStyle w:val="Heading5"/>
      </w:pPr>
      <w:r>
        <w:t>t</w:t>
      </w:r>
      <w:r w:rsidR="009B79C5" w:rsidRPr="00FF3B6B">
        <w:t xml:space="preserve">o set out the rights and responsibilities of Market Participants in relation to </w:t>
      </w:r>
      <w:r w:rsidR="009B79C5">
        <w:t>buying and selling of electric power</w:t>
      </w:r>
      <w:r w:rsidR="009B79C5" w:rsidRPr="00FF3B6B">
        <w:t>, settlement and payments</w:t>
      </w:r>
      <w:r w:rsidR="009B79C5">
        <w:t xml:space="preserve"> of </w:t>
      </w:r>
      <w:r w:rsidR="00D75DA6">
        <w:t>Imbalances</w:t>
      </w:r>
      <w:r w:rsidR="009B79C5">
        <w:t xml:space="preserve"> and </w:t>
      </w:r>
      <w:r>
        <w:t xml:space="preserve">settlement of </w:t>
      </w:r>
      <w:r w:rsidR="009B79C5">
        <w:t>other service charges</w:t>
      </w:r>
      <w:r w:rsidR="009B79C5" w:rsidRPr="00FF3B6B">
        <w:t xml:space="preserve">; </w:t>
      </w:r>
    </w:p>
    <w:p w14:paraId="195677C4" w14:textId="2AE35F4B" w:rsidR="009E49A5" w:rsidRDefault="00701404" w:rsidP="00B03234">
      <w:pPr>
        <w:pStyle w:val="Heading5"/>
      </w:pPr>
      <w:r>
        <w:t>t</w:t>
      </w:r>
      <w:r w:rsidR="009E49A5" w:rsidRPr="00FF3B6B">
        <w:t xml:space="preserve">o set out the rights and responsibilities of the </w:t>
      </w:r>
      <w:r w:rsidR="009E49A5">
        <w:t>Service Providers</w:t>
      </w:r>
      <w:r w:rsidR="009E49A5" w:rsidRPr="00FF3B6B">
        <w:t xml:space="preserve"> </w:t>
      </w:r>
      <w:r w:rsidR="0085669E">
        <w:t xml:space="preserve">with respect to </w:t>
      </w:r>
      <w:r w:rsidR="009E49A5" w:rsidRPr="00FF3B6B">
        <w:t xml:space="preserve">provision </w:t>
      </w:r>
      <w:r w:rsidR="00CD4D29">
        <w:t xml:space="preserve">of </w:t>
      </w:r>
      <w:r w:rsidR="009E49A5" w:rsidRPr="00FF3B6B">
        <w:t xml:space="preserve">metering </w:t>
      </w:r>
      <w:r w:rsidR="0085669E">
        <w:t xml:space="preserve">service </w:t>
      </w:r>
      <w:r w:rsidR="00CD4D29">
        <w:t>and other allied functions</w:t>
      </w:r>
      <w:r w:rsidR="009E49A5" w:rsidRPr="00FF3B6B">
        <w:t xml:space="preserve">; </w:t>
      </w:r>
    </w:p>
    <w:p w14:paraId="6EFB6F06" w14:textId="5C2A3971" w:rsidR="0085669E" w:rsidRPr="0085669E" w:rsidRDefault="0085669E" w:rsidP="0085669E">
      <w:pPr>
        <w:pStyle w:val="Heading5"/>
      </w:pPr>
      <w:r>
        <w:t>t</w:t>
      </w:r>
      <w:r w:rsidRPr="00FF3B6B">
        <w:t xml:space="preserve">o </w:t>
      </w:r>
      <w:r>
        <w:t>provide</w:t>
      </w:r>
      <w:r w:rsidRPr="00FF3B6B">
        <w:t xml:space="preserve"> the rights and responsibilities of </w:t>
      </w:r>
      <w:r>
        <w:t>the Market Operator as well as the System Operator</w:t>
      </w:r>
      <w:r w:rsidRPr="00FF3B6B">
        <w:t>;</w:t>
      </w:r>
    </w:p>
    <w:p w14:paraId="253D6210" w14:textId="57CFAC8D" w:rsidR="009E49A5" w:rsidRPr="00FF3B6B" w:rsidRDefault="00701404" w:rsidP="00B03234">
      <w:pPr>
        <w:pStyle w:val="Heading5"/>
      </w:pPr>
      <w:r>
        <w:t>to e</w:t>
      </w:r>
      <w:r w:rsidR="009E49A5" w:rsidRPr="00FF3B6B">
        <w:t xml:space="preserve">nsure adequate information dissemination </w:t>
      </w:r>
      <w:r w:rsidR="00BE70C1">
        <w:t>for protection of</w:t>
      </w:r>
      <w:r w:rsidR="009E49A5" w:rsidRPr="00FF3B6B">
        <w:t xml:space="preserve"> transparency in the Market; and  </w:t>
      </w:r>
    </w:p>
    <w:p w14:paraId="3EE7BAB5" w14:textId="68726D52" w:rsidR="009E49A5" w:rsidRPr="00FF3B6B" w:rsidRDefault="00701404" w:rsidP="00B03234">
      <w:pPr>
        <w:pStyle w:val="Heading5"/>
      </w:pPr>
      <w:r>
        <w:t>t</w:t>
      </w:r>
      <w:r w:rsidR="009E49A5" w:rsidRPr="00FF3B6B">
        <w:t>o promote and enable the development of competitive power markets</w:t>
      </w:r>
      <w:r w:rsidR="00BE70C1">
        <w:t xml:space="preserve"> in Pakistan</w:t>
      </w:r>
      <w:r w:rsidR="009E49A5" w:rsidRPr="00FF3B6B">
        <w:t xml:space="preserve"> in accordance with the </w:t>
      </w:r>
      <w:r w:rsidR="00CD4D29">
        <w:t xml:space="preserve">Act, the </w:t>
      </w:r>
      <w:r w:rsidR="00CD4D29" w:rsidRPr="00CD4D29">
        <w:t>approved market design and the rules and regulation</w:t>
      </w:r>
      <w:r w:rsidR="00BE70C1">
        <w:t>s</w:t>
      </w:r>
      <w:r w:rsidR="00CD4D29" w:rsidRPr="00CD4D29">
        <w:t xml:space="preserve"> </w:t>
      </w:r>
      <w:r w:rsidR="00BE70C1">
        <w:t>made</w:t>
      </w:r>
      <w:r w:rsidR="00BE70C1" w:rsidRPr="00CD4D29">
        <w:t xml:space="preserve"> </w:t>
      </w:r>
      <w:r w:rsidR="00CD4D29" w:rsidRPr="00CD4D29">
        <w:t>thereunder</w:t>
      </w:r>
      <w:r w:rsidR="009E49A5" w:rsidRPr="00FF3B6B">
        <w:t>.</w:t>
      </w:r>
    </w:p>
    <w:bookmarkEnd w:id="4"/>
    <w:p w14:paraId="5635854A" w14:textId="728E64B3" w:rsidR="00293F8F" w:rsidRDefault="00293F8F" w:rsidP="00C173D0">
      <w:pPr>
        <w:pStyle w:val="Heading3"/>
      </w:pPr>
      <w:r>
        <w:t>Applicability</w:t>
      </w:r>
      <w:r w:rsidRPr="008F6773">
        <w:t xml:space="preserve"> </w:t>
      </w:r>
    </w:p>
    <w:p w14:paraId="41F0DDED" w14:textId="54D2ED66" w:rsidR="00AF4D6A" w:rsidRPr="00AF4D6A" w:rsidRDefault="009E49A5" w:rsidP="005B295A">
      <w:pPr>
        <w:pStyle w:val="Heading4"/>
        <w:rPr>
          <w:rStyle w:val="Heading4Char"/>
          <w:bCs/>
          <w:iCs/>
        </w:rPr>
      </w:pPr>
      <w:bookmarkStart w:id="9" w:name="_Toc1116398"/>
      <w:bookmarkStart w:id="10" w:name="_Toc1548125"/>
      <w:r w:rsidRPr="009E49A5">
        <w:rPr>
          <w:rStyle w:val="Heading4Char"/>
        </w:rPr>
        <w:t xml:space="preserve">This </w:t>
      </w:r>
      <w:r w:rsidR="00F64A42">
        <w:rPr>
          <w:rStyle w:val="Heading4Char"/>
        </w:rPr>
        <w:t>Commercial Code</w:t>
      </w:r>
      <w:r w:rsidRPr="009E49A5">
        <w:rPr>
          <w:rStyle w:val="Heading4Char"/>
        </w:rPr>
        <w:t xml:space="preserve"> shall be applicable </w:t>
      </w:r>
      <w:r w:rsidR="00BE70C1">
        <w:rPr>
          <w:rStyle w:val="Heading4Char"/>
        </w:rPr>
        <w:t xml:space="preserve">from the date of </w:t>
      </w:r>
      <w:r w:rsidR="00BE70C1" w:rsidRPr="009E49A5">
        <w:rPr>
          <w:rStyle w:val="Heading4Char"/>
        </w:rPr>
        <w:t xml:space="preserve"> </w:t>
      </w:r>
      <w:r w:rsidRPr="009E49A5">
        <w:rPr>
          <w:rStyle w:val="Heading4Char"/>
        </w:rPr>
        <w:t>its approval by the Authority</w:t>
      </w:r>
      <w:r w:rsidR="00BE70C1">
        <w:rPr>
          <w:rStyle w:val="Heading4Char"/>
        </w:rPr>
        <w:t>.</w:t>
      </w:r>
      <w:r w:rsidRPr="009E49A5">
        <w:rPr>
          <w:rStyle w:val="Heading4Char"/>
        </w:rPr>
        <w:t xml:space="preserve"> </w:t>
      </w:r>
    </w:p>
    <w:p w14:paraId="5E475474" w14:textId="15160A04" w:rsidR="00293F8F" w:rsidRPr="008F6773" w:rsidRDefault="00293F8F" w:rsidP="00C173D0">
      <w:pPr>
        <w:pStyle w:val="Heading2"/>
      </w:pPr>
      <w:bookmarkStart w:id="11" w:name="_Toc64846649"/>
      <w:bookmarkStart w:id="12" w:name="_Toc69476946"/>
      <w:bookmarkEnd w:id="9"/>
      <w:bookmarkEnd w:id="10"/>
      <w:r w:rsidRPr="008F6773">
        <w:t>I</w:t>
      </w:r>
      <w:r w:rsidR="001C4A85">
        <w:t>nterpretation</w:t>
      </w:r>
      <w:bookmarkEnd w:id="11"/>
      <w:bookmarkEnd w:id="12"/>
    </w:p>
    <w:p w14:paraId="717FDE8C" w14:textId="41BBE096" w:rsidR="00293F8F" w:rsidRDefault="00293F8F" w:rsidP="00C173D0">
      <w:pPr>
        <w:pStyle w:val="Heading3"/>
      </w:pPr>
      <w:r w:rsidRPr="008F6773">
        <w:t>Definitions</w:t>
      </w:r>
    </w:p>
    <w:p w14:paraId="24C30424" w14:textId="3AEA3274" w:rsidR="00CC7F1B" w:rsidRDefault="00CC7F1B" w:rsidP="005B295A">
      <w:pPr>
        <w:pStyle w:val="Heading4"/>
      </w:pPr>
      <w:bookmarkStart w:id="13" w:name="_Toc526245574"/>
      <w:bookmarkStart w:id="14" w:name="_Toc526327484"/>
      <w:r>
        <w:t xml:space="preserve">Capitalised words and expressions used in </w:t>
      </w:r>
      <w:r w:rsidR="00F05124">
        <w:t>this Code</w:t>
      </w:r>
      <w:r>
        <w:t>, unless the context otherwise requires, shall have the following meaning</w:t>
      </w:r>
      <w:r w:rsidR="00BE70C1">
        <w:t>:</w:t>
      </w:r>
      <w:bookmarkEnd w:id="13"/>
      <w:bookmarkEnd w:id="14"/>
    </w:p>
    <w:p w14:paraId="7B10FA31" w14:textId="75BAD585" w:rsidR="0028351E" w:rsidRPr="000F1690" w:rsidRDefault="0028351E" w:rsidP="00FF4826">
      <w:pPr>
        <w:pStyle w:val="ListParagraph"/>
        <w:numPr>
          <w:ilvl w:val="0"/>
          <w:numId w:val="19"/>
        </w:numPr>
        <w:tabs>
          <w:tab w:val="clear" w:pos="720"/>
        </w:tabs>
        <w:ind w:left="1701"/>
      </w:pPr>
      <w:bookmarkStart w:id="15" w:name="_Hlk53080409"/>
      <w:r w:rsidRPr="000F1690">
        <w:rPr>
          <w:b/>
          <w:bCs/>
        </w:rPr>
        <w:t xml:space="preserve">"Act" </w:t>
      </w:r>
      <w:r w:rsidRPr="000F1690">
        <w:t>means the Regulation of Generation, Transmission and Distribution of Electric Power Act, 1997</w:t>
      </w:r>
      <w:r w:rsidR="00CE1BDB">
        <w:t>;</w:t>
      </w:r>
    </w:p>
    <w:p w14:paraId="34934A66" w14:textId="3113DD1F" w:rsidR="008A0B30" w:rsidRPr="00957A98" w:rsidRDefault="008A0B30" w:rsidP="00FF4826">
      <w:pPr>
        <w:pStyle w:val="ListParagraph"/>
        <w:numPr>
          <w:ilvl w:val="0"/>
          <w:numId w:val="19"/>
        </w:numPr>
        <w:tabs>
          <w:tab w:val="clear" w:pos="720"/>
        </w:tabs>
        <w:ind w:left="1701"/>
      </w:pPr>
      <w:r w:rsidRPr="00454761">
        <w:rPr>
          <w:b/>
          <w:bCs/>
        </w:rPr>
        <w:t xml:space="preserve">“Admission Application” </w:t>
      </w:r>
      <w:r w:rsidRPr="00454761">
        <w:t xml:space="preserve">means the document which an </w:t>
      </w:r>
      <w:r w:rsidR="00860AC5" w:rsidRPr="00454761">
        <w:t>Applicant</w:t>
      </w:r>
      <w:r w:rsidRPr="00454761">
        <w:t xml:space="preserve"> </w:t>
      </w:r>
      <w:r w:rsidR="00957A98">
        <w:t>is required to</w:t>
      </w:r>
      <w:r w:rsidR="00957A98" w:rsidRPr="00454761">
        <w:t xml:space="preserve"> </w:t>
      </w:r>
      <w:r w:rsidRPr="00454761">
        <w:t xml:space="preserve">submit when applying for </w:t>
      </w:r>
      <w:r w:rsidR="002D4089">
        <w:t>registration with</w:t>
      </w:r>
      <w:r w:rsidR="00957A98">
        <w:t xml:space="preserve"> the</w:t>
      </w:r>
      <w:r w:rsidR="002D4089">
        <w:t xml:space="preserve"> Market Operator</w:t>
      </w:r>
      <w:r w:rsidRPr="00454761">
        <w:t xml:space="preserve">, in the form set out </w:t>
      </w:r>
      <w:r w:rsidRPr="00454761">
        <w:lastRenderedPageBreak/>
        <w:t xml:space="preserve">in the </w:t>
      </w:r>
      <w:r w:rsidRPr="009E5B0C">
        <w:t xml:space="preserve">applicable Commercial Code Operational Procedure or such other form as the Market </w:t>
      </w:r>
      <w:r w:rsidRPr="00957A98">
        <w:t xml:space="preserve">Operator may from time to time </w:t>
      </w:r>
      <w:r w:rsidR="00957A98" w:rsidRPr="00957A98">
        <w:t>determine</w:t>
      </w:r>
      <w:r w:rsidR="00CE1BDB">
        <w:t>;</w:t>
      </w:r>
    </w:p>
    <w:p w14:paraId="783DD6E9" w14:textId="025C2A3C" w:rsidR="00B450B0" w:rsidRDefault="00B450B0" w:rsidP="00FF4826">
      <w:pPr>
        <w:pStyle w:val="ListParagraph"/>
        <w:numPr>
          <w:ilvl w:val="0"/>
          <w:numId w:val="19"/>
        </w:numPr>
        <w:tabs>
          <w:tab w:val="clear" w:pos="720"/>
        </w:tabs>
        <w:ind w:left="1701"/>
      </w:pPr>
      <w:r w:rsidRPr="00957A98">
        <w:rPr>
          <w:b/>
          <w:bCs/>
        </w:rPr>
        <w:t xml:space="preserve">“Allocation Factor” </w:t>
      </w:r>
      <w:r w:rsidRPr="00957A98">
        <w:t xml:space="preserve">means </w:t>
      </w:r>
      <w:r w:rsidR="009E5B0C" w:rsidRPr="00957A98">
        <w:t>a value</w:t>
      </w:r>
      <w:r w:rsidR="00957A98" w:rsidRPr="00957A98">
        <w:t>,</w:t>
      </w:r>
      <w:r w:rsidR="009E5B0C" w:rsidRPr="00957A98">
        <w:t xml:space="preserve"> expressed in percent</w:t>
      </w:r>
      <w:r w:rsidR="00957A98" w:rsidRPr="00957A98">
        <w:t>age</w:t>
      </w:r>
      <w:r w:rsidR="009E5B0C" w:rsidRPr="00957A98">
        <w:t xml:space="preserve">, which is used to commercially allocate all Legacy Contracts to each </w:t>
      </w:r>
      <w:r w:rsidR="00344CEB" w:rsidRPr="00957A98">
        <w:t xml:space="preserve">EX-WAPDA </w:t>
      </w:r>
      <w:r w:rsidR="009E5B0C" w:rsidRPr="00957A98">
        <w:t>DISCO</w:t>
      </w:r>
      <w:r w:rsidR="00957A98" w:rsidRPr="00957A98">
        <w:t xml:space="preserve"> </w:t>
      </w:r>
      <w:r w:rsidR="00957A98">
        <w:t>separately;</w:t>
      </w:r>
      <w:r w:rsidR="009E5B0C" w:rsidRPr="00957A98">
        <w:t xml:space="preserve"> </w:t>
      </w:r>
    </w:p>
    <w:p w14:paraId="4399DD25" w14:textId="2AB6D91F" w:rsidR="00E238B5" w:rsidRPr="00957A98" w:rsidRDefault="00E238B5" w:rsidP="00FF4826">
      <w:pPr>
        <w:pStyle w:val="ListParagraph"/>
        <w:numPr>
          <w:ilvl w:val="0"/>
          <w:numId w:val="19"/>
        </w:numPr>
        <w:tabs>
          <w:tab w:val="clear" w:pos="720"/>
        </w:tabs>
        <w:ind w:left="1701"/>
      </w:pPr>
      <w:r>
        <w:rPr>
          <w:b/>
          <w:bCs/>
        </w:rPr>
        <w:t xml:space="preserve">“Amendment” </w:t>
      </w:r>
      <w:r w:rsidRPr="00E238B5">
        <w:t>means</w:t>
      </w:r>
      <w:r>
        <w:t xml:space="preserve"> any change, modification or deletion of the existing </w:t>
      </w:r>
      <w:r w:rsidR="00EA6E8B">
        <w:t>provisions</w:t>
      </w:r>
      <w:r>
        <w:t xml:space="preserve"> of this Code or the CCOPs or insertion of any new </w:t>
      </w:r>
      <w:r w:rsidR="00EA6E8B">
        <w:t>provisions</w:t>
      </w:r>
      <w:r>
        <w:t xml:space="preserve"> in this Code or CCOPs.</w:t>
      </w:r>
    </w:p>
    <w:p w14:paraId="75BA2225" w14:textId="65AED553" w:rsidR="008A0B30" w:rsidRPr="00454761" w:rsidRDefault="008A0B30" w:rsidP="00FF4826">
      <w:pPr>
        <w:pStyle w:val="ListParagraph"/>
        <w:numPr>
          <w:ilvl w:val="0"/>
          <w:numId w:val="19"/>
        </w:numPr>
        <w:tabs>
          <w:tab w:val="clear" w:pos="720"/>
        </w:tabs>
        <w:ind w:left="1701"/>
      </w:pPr>
      <w:r w:rsidRPr="009E5B0C">
        <w:rPr>
          <w:b/>
          <w:bCs/>
        </w:rPr>
        <w:t>“Amendment Submission”</w:t>
      </w:r>
      <w:r w:rsidR="00454761" w:rsidRPr="009E5B0C">
        <w:rPr>
          <w:b/>
          <w:bCs/>
        </w:rPr>
        <w:t xml:space="preserve"> </w:t>
      </w:r>
      <w:r w:rsidRPr="009E5B0C">
        <w:t xml:space="preserve">means the requests for review or </w:t>
      </w:r>
      <w:r w:rsidR="00EA6E8B">
        <w:t>a</w:t>
      </w:r>
      <w:r w:rsidRPr="009E5B0C">
        <w:t xml:space="preserve">mendment of </w:t>
      </w:r>
      <w:r w:rsidR="00F05124">
        <w:t>this Code</w:t>
      </w:r>
      <w:r w:rsidRPr="00454761">
        <w:t xml:space="preserve"> or, if applicable, the Grid Code</w:t>
      </w:r>
      <w:r w:rsidR="00E74C53">
        <w:t>,</w:t>
      </w:r>
      <w:r w:rsidRPr="00454761">
        <w:t xml:space="preserve"> in accordance with </w:t>
      </w:r>
      <w:r w:rsidR="00F05124">
        <w:t>this Code</w:t>
      </w:r>
      <w:r w:rsidR="00CE1BDB">
        <w:t>;</w:t>
      </w:r>
    </w:p>
    <w:p w14:paraId="0059A7BB" w14:textId="3882DB2E" w:rsidR="00860A9C" w:rsidRPr="00860A9C" w:rsidRDefault="00860A9C" w:rsidP="00860A9C">
      <w:pPr>
        <w:pStyle w:val="ListParagraph"/>
        <w:numPr>
          <w:ilvl w:val="0"/>
          <w:numId w:val="19"/>
        </w:numPr>
        <w:tabs>
          <w:tab w:val="clear" w:pos="720"/>
        </w:tabs>
        <w:ind w:left="1701"/>
      </w:pPr>
      <w:r w:rsidRPr="00860A9C">
        <w:rPr>
          <w:b/>
          <w:bCs/>
        </w:rPr>
        <w:t xml:space="preserve">“Amounts Payable” </w:t>
      </w:r>
      <w:r w:rsidRPr="00860A9C">
        <w:t xml:space="preserve">means the amount of money, expressed in PKR, that a Market Participant is </w:t>
      </w:r>
      <w:r w:rsidR="00F5425D">
        <w:t>required</w:t>
      </w:r>
      <w:r w:rsidR="00F5425D" w:rsidRPr="00860A9C">
        <w:t xml:space="preserve"> </w:t>
      </w:r>
      <w:r w:rsidRPr="00860A9C">
        <w:t>to pay</w:t>
      </w:r>
      <w:r w:rsidR="00F5425D">
        <w:t xml:space="preserve"> in order</w:t>
      </w:r>
      <w:r w:rsidRPr="00860A9C">
        <w:t xml:space="preserve"> to discharge its obligations as per the Settlement Statements issued by the Market Operator</w:t>
      </w:r>
      <w:r w:rsidR="00CE1BDB">
        <w:t>;</w:t>
      </w:r>
      <w:r w:rsidRPr="00860A9C">
        <w:t xml:space="preserve"> </w:t>
      </w:r>
    </w:p>
    <w:p w14:paraId="0A8462EA" w14:textId="0F1F562C" w:rsidR="00860A9C" w:rsidRPr="00F26C1E" w:rsidRDefault="00860A9C" w:rsidP="00860A9C">
      <w:pPr>
        <w:pStyle w:val="ListParagraph"/>
        <w:numPr>
          <w:ilvl w:val="0"/>
          <w:numId w:val="19"/>
        </w:numPr>
        <w:tabs>
          <w:tab w:val="clear" w:pos="720"/>
        </w:tabs>
        <w:ind w:left="1701"/>
      </w:pPr>
      <w:r w:rsidRPr="00860A9C">
        <w:rPr>
          <w:b/>
          <w:bCs/>
        </w:rPr>
        <w:t xml:space="preserve">“Amounts Receivable” </w:t>
      </w:r>
      <w:r w:rsidRPr="00860A9C">
        <w:t xml:space="preserve">means the amount of money, expressed in PKR, that a Market Participant is entitled to receive, as per the Settlement Statements issued by </w:t>
      </w:r>
      <w:r w:rsidRPr="00F26C1E">
        <w:t>the Market Operator</w:t>
      </w:r>
      <w:r w:rsidR="00CE1BDB">
        <w:t>;</w:t>
      </w:r>
      <w:r w:rsidRPr="00F26C1E">
        <w:t xml:space="preserve"> </w:t>
      </w:r>
    </w:p>
    <w:p w14:paraId="00BCECC4" w14:textId="40397D06" w:rsidR="008A0B30" w:rsidRDefault="008A0B30" w:rsidP="00FF4826">
      <w:pPr>
        <w:pStyle w:val="ListParagraph"/>
        <w:numPr>
          <w:ilvl w:val="0"/>
          <w:numId w:val="19"/>
        </w:numPr>
        <w:tabs>
          <w:tab w:val="clear" w:pos="720"/>
        </w:tabs>
        <w:ind w:left="1701"/>
      </w:pPr>
      <w:r w:rsidRPr="00F26C1E">
        <w:rPr>
          <w:b/>
          <w:bCs/>
        </w:rPr>
        <w:t>“Ancillary Services</w:t>
      </w:r>
      <w:r w:rsidR="00454761" w:rsidRPr="00F26C1E">
        <w:rPr>
          <w:b/>
          <w:bCs/>
        </w:rPr>
        <w:t>”</w:t>
      </w:r>
      <w:r w:rsidR="00646F4D" w:rsidRPr="00F26C1E">
        <w:rPr>
          <w:b/>
          <w:bCs/>
        </w:rPr>
        <w:t xml:space="preserve"> </w:t>
      </w:r>
      <w:r w:rsidRPr="00F26C1E">
        <w:t>has the meaning assigned to the term in the Grid Code</w:t>
      </w:r>
      <w:r w:rsidR="00F5425D">
        <w:t>;</w:t>
      </w:r>
    </w:p>
    <w:p w14:paraId="0B8C9658" w14:textId="350561A1" w:rsidR="00BE7904" w:rsidRPr="00B03C4A" w:rsidRDefault="00BE7904" w:rsidP="00FF4826">
      <w:pPr>
        <w:pStyle w:val="ListParagraph"/>
        <w:numPr>
          <w:ilvl w:val="0"/>
          <w:numId w:val="19"/>
        </w:numPr>
        <w:tabs>
          <w:tab w:val="clear" w:pos="720"/>
        </w:tabs>
        <w:ind w:left="1701"/>
        <w:rPr>
          <w:b/>
          <w:bCs/>
        </w:rPr>
      </w:pPr>
      <w:r w:rsidRPr="00B03C4A">
        <w:rPr>
          <w:b/>
          <w:bCs/>
        </w:rPr>
        <w:t>“Annual Loss Percentage”</w:t>
      </w:r>
      <w:r>
        <w:rPr>
          <w:b/>
          <w:bCs/>
        </w:rPr>
        <w:t xml:space="preserve"> </w:t>
      </w:r>
      <w:r w:rsidRPr="00B03C4A">
        <w:t xml:space="preserve">shall have the meaning assigned to the term in Clause </w:t>
      </w:r>
      <w:r w:rsidRPr="00B03C4A">
        <w:fldChar w:fldCharType="begin"/>
      </w:r>
      <w:r w:rsidRPr="00B03C4A">
        <w:instrText xml:space="preserve"> REF _Ref76973488 \r \h </w:instrText>
      </w:r>
      <w:r>
        <w:instrText xml:space="preserve"> \* MERGEFORMAT </w:instrText>
      </w:r>
      <w:r w:rsidRPr="00B03C4A">
        <w:fldChar w:fldCharType="separate"/>
      </w:r>
      <w:r w:rsidRPr="00B03C4A">
        <w:t>12.2.4.1</w:t>
      </w:r>
      <w:r w:rsidRPr="00B03C4A">
        <w:fldChar w:fldCharType="end"/>
      </w:r>
      <w:r w:rsidRPr="00B03C4A">
        <w:t>.</w:t>
      </w:r>
    </w:p>
    <w:p w14:paraId="6B5BE3EE" w14:textId="787E1B01" w:rsidR="00860AC5" w:rsidRDefault="00860AC5" w:rsidP="00FF4826">
      <w:pPr>
        <w:pStyle w:val="ListParagraph"/>
        <w:numPr>
          <w:ilvl w:val="0"/>
          <w:numId w:val="19"/>
        </w:numPr>
        <w:tabs>
          <w:tab w:val="clear" w:pos="720"/>
        </w:tabs>
        <w:ind w:left="1701"/>
      </w:pPr>
      <w:r w:rsidRPr="00860AC5">
        <w:rPr>
          <w:b/>
          <w:bCs/>
        </w:rPr>
        <w:t xml:space="preserve">“Applicable Law” </w:t>
      </w:r>
      <w:r w:rsidRPr="00860AC5">
        <w:t>means the law</w:t>
      </w:r>
      <w:r w:rsidR="00F5425D">
        <w:t>s</w:t>
      </w:r>
      <w:r w:rsidRPr="00860AC5">
        <w:t xml:space="preserve"> of Pakistan</w:t>
      </w:r>
      <w:r w:rsidR="00F5425D">
        <w:t xml:space="preserve"> including federal, provincial and local laws</w:t>
      </w:r>
      <w:r w:rsidR="00CE1BDB">
        <w:t>;</w:t>
      </w:r>
    </w:p>
    <w:p w14:paraId="1BFD8D2F" w14:textId="27220D07" w:rsidR="00646F4D" w:rsidRPr="00454761" w:rsidRDefault="00136176" w:rsidP="00FF4826">
      <w:pPr>
        <w:pStyle w:val="ListParagraph"/>
        <w:numPr>
          <w:ilvl w:val="0"/>
          <w:numId w:val="19"/>
        </w:numPr>
        <w:tabs>
          <w:tab w:val="clear" w:pos="720"/>
        </w:tabs>
        <w:ind w:left="1701"/>
      </w:pPr>
      <w:r>
        <w:rPr>
          <w:b/>
          <w:bCs/>
        </w:rPr>
        <w:t>“Applicant”</w:t>
      </w:r>
      <w:r w:rsidR="00646F4D" w:rsidRPr="00454761">
        <w:rPr>
          <w:b/>
          <w:bCs/>
        </w:rPr>
        <w:t xml:space="preserve"> </w:t>
      </w:r>
      <w:r w:rsidR="00646F4D" w:rsidRPr="00454761">
        <w:t xml:space="preserve">means any person who has initiated the application process </w:t>
      </w:r>
      <w:r w:rsidR="00C72ECB">
        <w:t xml:space="preserve">to </w:t>
      </w:r>
      <w:r w:rsidR="009F49FD">
        <w:t>register with the Market Operator</w:t>
      </w:r>
      <w:r w:rsidR="00646F4D" w:rsidRPr="00454761">
        <w:t xml:space="preserve"> in accordance with</w:t>
      </w:r>
      <w:r w:rsidR="00C72ECB">
        <w:t xml:space="preserve"> the provisions of</w:t>
      </w:r>
      <w:r w:rsidR="00646F4D" w:rsidRPr="00454761">
        <w:t xml:space="preserve"> </w:t>
      </w:r>
      <w:r w:rsidR="00646F4D" w:rsidRPr="00454761">
        <w:fldChar w:fldCharType="begin"/>
      </w:r>
      <w:r w:rsidR="00646F4D" w:rsidRPr="00454761">
        <w:instrText xml:space="preserve"> REF _Ref60785495 \r \h </w:instrText>
      </w:r>
      <w:r w:rsidR="00454761" w:rsidRPr="00454761">
        <w:instrText xml:space="preserve"> \* MERGEFORMAT </w:instrText>
      </w:r>
      <w:r w:rsidR="00646F4D" w:rsidRPr="00454761">
        <w:fldChar w:fldCharType="separate"/>
      </w:r>
      <w:r w:rsidR="00251DBF">
        <w:t>Chapter 3</w:t>
      </w:r>
      <w:r w:rsidR="00646F4D" w:rsidRPr="00454761">
        <w:fldChar w:fldCharType="end"/>
      </w:r>
      <w:r w:rsidR="00CE1BDB">
        <w:t>;</w:t>
      </w:r>
    </w:p>
    <w:p w14:paraId="7946C52F" w14:textId="0756116E" w:rsidR="00646F4D" w:rsidRPr="00454761" w:rsidRDefault="00646F4D" w:rsidP="00FF4826">
      <w:pPr>
        <w:pStyle w:val="ListParagraph"/>
        <w:numPr>
          <w:ilvl w:val="0"/>
          <w:numId w:val="19"/>
        </w:numPr>
        <w:tabs>
          <w:tab w:val="clear" w:pos="720"/>
        </w:tabs>
        <w:ind w:left="1701"/>
      </w:pPr>
      <w:r w:rsidRPr="00454761">
        <w:rPr>
          <w:b/>
          <w:bCs/>
        </w:rPr>
        <w:t>“</w:t>
      </w:r>
      <w:r w:rsidR="00F97520">
        <w:rPr>
          <w:b/>
          <w:bCs/>
        </w:rPr>
        <w:t>Adjudication</w:t>
      </w:r>
      <w:r w:rsidR="00F97520" w:rsidRPr="00454761">
        <w:rPr>
          <w:b/>
          <w:bCs/>
        </w:rPr>
        <w:t xml:space="preserve"> </w:t>
      </w:r>
      <w:r w:rsidRPr="00454761">
        <w:rPr>
          <w:b/>
          <w:bCs/>
        </w:rPr>
        <w:t xml:space="preserve">Tribunal” </w:t>
      </w:r>
      <w:r w:rsidR="00F97520">
        <w:t>means the tribunal established under Sub-Section</w:t>
      </w:r>
      <w:r w:rsidRPr="00454761">
        <w:t xml:space="preserve"> </w:t>
      </w:r>
      <w:r w:rsidR="00F97520">
        <w:fldChar w:fldCharType="begin"/>
      </w:r>
      <w:r w:rsidR="00F97520">
        <w:instrText xml:space="preserve"> REF _Ref77612516 \w \h </w:instrText>
      </w:r>
      <w:r w:rsidR="00F97520">
        <w:fldChar w:fldCharType="separate"/>
      </w:r>
      <w:r w:rsidR="00F97520">
        <w:t>15.3.4</w:t>
      </w:r>
      <w:r w:rsidR="00F97520">
        <w:fldChar w:fldCharType="end"/>
      </w:r>
      <w:r w:rsidR="00A93916">
        <w:t>;</w:t>
      </w:r>
    </w:p>
    <w:p w14:paraId="2B079622" w14:textId="14720E7B" w:rsidR="00646F4D" w:rsidRPr="00454761" w:rsidRDefault="00646F4D" w:rsidP="00FF4826">
      <w:pPr>
        <w:pStyle w:val="ListParagraph"/>
        <w:numPr>
          <w:ilvl w:val="0"/>
          <w:numId w:val="19"/>
        </w:numPr>
        <w:tabs>
          <w:tab w:val="clear" w:pos="720"/>
        </w:tabs>
        <w:ind w:left="1701"/>
      </w:pPr>
      <w:r w:rsidRPr="00454761">
        <w:rPr>
          <w:b/>
          <w:bCs/>
        </w:rPr>
        <w:t>“</w:t>
      </w:r>
      <w:r w:rsidR="00F97520">
        <w:rPr>
          <w:b/>
          <w:bCs/>
        </w:rPr>
        <w:t>Adjudicator</w:t>
      </w:r>
      <w:r w:rsidRPr="00454761">
        <w:rPr>
          <w:b/>
          <w:bCs/>
        </w:rPr>
        <w:t xml:space="preserve">” </w:t>
      </w:r>
      <w:r w:rsidRPr="00454761">
        <w:t xml:space="preserve">means a member of the </w:t>
      </w:r>
      <w:r w:rsidR="00F97520">
        <w:t>Adjudication Tribunal</w:t>
      </w:r>
      <w:r w:rsidRPr="00454761">
        <w:t xml:space="preserve"> to </w:t>
      </w:r>
      <w:r w:rsidR="00C72ECB">
        <w:t>adjudicate</w:t>
      </w:r>
      <w:r w:rsidR="00C72ECB" w:rsidRPr="00454761">
        <w:t xml:space="preserve"> </w:t>
      </w:r>
      <w:r w:rsidRPr="00454761">
        <w:t>a Dispute</w:t>
      </w:r>
      <w:r w:rsidR="00A93916">
        <w:t>;</w:t>
      </w:r>
    </w:p>
    <w:p w14:paraId="31B94A6C" w14:textId="130B7604" w:rsidR="00BD32D2" w:rsidRPr="00BD32D2" w:rsidRDefault="00BD32D2" w:rsidP="00FF4826">
      <w:pPr>
        <w:pStyle w:val="ListParagraph"/>
        <w:numPr>
          <w:ilvl w:val="0"/>
          <w:numId w:val="19"/>
        </w:numPr>
        <w:tabs>
          <w:tab w:val="clear" w:pos="720"/>
        </w:tabs>
        <w:ind w:left="1701"/>
      </w:pPr>
      <w:r>
        <w:rPr>
          <w:b/>
          <w:bCs/>
        </w:rPr>
        <w:t xml:space="preserve">“ARE Producer” </w:t>
      </w:r>
      <w:r>
        <w:t xml:space="preserve">means a Generator which </w:t>
      </w:r>
      <w:r w:rsidR="00C72ECB">
        <w:t xml:space="preserve">produces electric power through </w:t>
      </w:r>
      <w:r w:rsidR="00403C8A">
        <w:t>renewable resources</w:t>
      </w:r>
      <w:r w:rsidR="00A93916">
        <w:t>;</w:t>
      </w:r>
    </w:p>
    <w:p w14:paraId="749B8C91" w14:textId="1EA4983C" w:rsidR="0028351E" w:rsidRPr="000F1690" w:rsidRDefault="0028351E" w:rsidP="00FF4826">
      <w:pPr>
        <w:pStyle w:val="ListParagraph"/>
        <w:numPr>
          <w:ilvl w:val="0"/>
          <w:numId w:val="19"/>
        </w:numPr>
        <w:tabs>
          <w:tab w:val="clear" w:pos="720"/>
        </w:tabs>
        <w:ind w:left="1701"/>
      </w:pPr>
      <w:r w:rsidRPr="000F1690">
        <w:rPr>
          <w:b/>
          <w:bCs/>
        </w:rPr>
        <w:t xml:space="preserve">"Authority" </w:t>
      </w:r>
      <w:r w:rsidRPr="000F1690">
        <w:t>means the National Electric Power Regulatory Authority established under</w:t>
      </w:r>
      <w:r w:rsidR="00C72ECB">
        <w:t xml:space="preserve"> Section 3 of</w:t>
      </w:r>
      <w:r w:rsidRPr="000F1690">
        <w:t xml:space="preserve"> the Act</w:t>
      </w:r>
      <w:r w:rsidR="00A93916">
        <w:t>;</w:t>
      </w:r>
    </w:p>
    <w:p w14:paraId="3BC6593F" w14:textId="1D0753F1" w:rsidR="00860A9C" w:rsidRPr="00C72ECB" w:rsidRDefault="00860A9C" w:rsidP="00860A9C">
      <w:pPr>
        <w:pStyle w:val="ListParagraph"/>
        <w:numPr>
          <w:ilvl w:val="0"/>
          <w:numId w:val="19"/>
        </w:numPr>
        <w:tabs>
          <w:tab w:val="clear" w:pos="720"/>
        </w:tabs>
        <w:ind w:left="1701"/>
        <w:rPr>
          <w:rFonts w:eastAsiaTheme="minorEastAsia" w:cstheme="minorHAnsi"/>
        </w:rPr>
      </w:pPr>
      <w:r w:rsidRPr="00C72ECB">
        <w:rPr>
          <w:rFonts w:eastAsiaTheme="minorEastAsia" w:cstheme="minorHAnsi"/>
          <w:b/>
          <w:bCs/>
        </w:rPr>
        <w:t xml:space="preserve">“Available Capacity” </w:t>
      </w:r>
      <w:r w:rsidRPr="00C72ECB">
        <w:rPr>
          <w:rFonts w:eastAsiaTheme="minorEastAsia" w:cstheme="minorHAnsi"/>
        </w:rPr>
        <w:t>means the share of the Installed Net Capacity</w:t>
      </w:r>
      <w:r w:rsidR="00A93916">
        <w:rPr>
          <w:rFonts w:eastAsiaTheme="minorEastAsia" w:cstheme="minorHAnsi"/>
        </w:rPr>
        <w:t>,</w:t>
      </w:r>
      <w:r w:rsidRPr="00C72ECB">
        <w:rPr>
          <w:rFonts w:eastAsiaTheme="minorEastAsia" w:cstheme="minorHAnsi"/>
        </w:rPr>
        <w:t xml:space="preserve"> which is available for dispatch by the System Operator at any </w:t>
      </w:r>
      <w:r w:rsidR="00A93916">
        <w:rPr>
          <w:rFonts w:eastAsiaTheme="minorEastAsia" w:cstheme="minorHAnsi"/>
        </w:rPr>
        <w:t>specific period of time</w:t>
      </w:r>
      <w:r w:rsidR="00CE1BDB">
        <w:rPr>
          <w:rFonts w:eastAsiaTheme="minorEastAsia" w:cstheme="minorHAnsi"/>
        </w:rPr>
        <w:t>;</w:t>
      </w:r>
      <w:r w:rsidRPr="00C72ECB">
        <w:rPr>
          <w:rFonts w:eastAsiaTheme="minorEastAsia" w:cstheme="minorHAnsi"/>
        </w:rPr>
        <w:t xml:space="preserve"> </w:t>
      </w:r>
    </w:p>
    <w:p w14:paraId="1E90F31A" w14:textId="3D2C103B" w:rsidR="000D45A2" w:rsidRPr="00A93916" w:rsidRDefault="000D45A2" w:rsidP="00860A9C">
      <w:pPr>
        <w:pStyle w:val="ListParagraph"/>
        <w:numPr>
          <w:ilvl w:val="0"/>
          <w:numId w:val="19"/>
        </w:numPr>
        <w:tabs>
          <w:tab w:val="clear" w:pos="720"/>
        </w:tabs>
        <w:ind w:left="1701"/>
        <w:rPr>
          <w:rFonts w:eastAsiaTheme="minorEastAsia" w:cstheme="minorHAnsi"/>
        </w:rPr>
      </w:pPr>
      <w:r w:rsidRPr="00A93916">
        <w:rPr>
          <w:rFonts w:eastAsiaTheme="minorEastAsia" w:cstheme="minorHAnsi"/>
          <w:b/>
          <w:bCs/>
        </w:rPr>
        <w:t>“Availability Declaration”</w:t>
      </w:r>
      <w:r w:rsidRPr="00A93916">
        <w:rPr>
          <w:rFonts w:eastAsiaTheme="minorEastAsia" w:cstheme="minorHAnsi"/>
        </w:rPr>
        <w:t xml:space="preserve"> has the meaning </w:t>
      </w:r>
      <w:r w:rsidR="00A93916">
        <w:rPr>
          <w:rFonts w:eastAsiaTheme="minorEastAsia" w:cstheme="minorHAnsi"/>
        </w:rPr>
        <w:t>assigned</w:t>
      </w:r>
      <w:r w:rsidR="00A93916" w:rsidRPr="00A93916">
        <w:rPr>
          <w:rFonts w:eastAsiaTheme="minorEastAsia" w:cstheme="minorHAnsi"/>
        </w:rPr>
        <w:t xml:space="preserve"> </w:t>
      </w:r>
      <w:r w:rsidRPr="00A93916">
        <w:rPr>
          <w:rFonts w:eastAsiaTheme="minorEastAsia" w:cstheme="minorHAnsi"/>
        </w:rPr>
        <w:t>to the term in the Grid Code.</w:t>
      </w:r>
    </w:p>
    <w:p w14:paraId="5774776D" w14:textId="4B545999" w:rsidR="002A5F9A" w:rsidRPr="00A93916" w:rsidRDefault="002A5F9A" w:rsidP="00FF4826">
      <w:pPr>
        <w:pStyle w:val="ListParagraph"/>
        <w:numPr>
          <w:ilvl w:val="0"/>
          <w:numId w:val="19"/>
        </w:numPr>
        <w:tabs>
          <w:tab w:val="clear" w:pos="720"/>
        </w:tabs>
        <w:ind w:left="1701"/>
      </w:pPr>
      <w:r w:rsidRPr="00A93916">
        <w:rPr>
          <w:rFonts w:eastAsiaTheme="minorEastAsia" w:cstheme="minorHAnsi"/>
          <w:b/>
          <w:bCs/>
        </w:rPr>
        <w:t xml:space="preserve">“Back-feed Energy” </w:t>
      </w:r>
      <w:r w:rsidRPr="00A93916">
        <w:rPr>
          <w:rFonts w:eastAsiaTheme="minorEastAsia" w:cstheme="minorHAnsi"/>
        </w:rPr>
        <w:t xml:space="preserve">means </w:t>
      </w:r>
      <w:r w:rsidRPr="00A93916">
        <w:t xml:space="preserve">the </w:t>
      </w:r>
      <w:r w:rsidR="0046412E" w:rsidRPr="00A93916">
        <w:t>Energy</w:t>
      </w:r>
      <w:r w:rsidRPr="00A93916">
        <w:t xml:space="preserve"> </w:t>
      </w:r>
      <w:r w:rsidR="00A93916">
        <w:t>consumed</w:t>
      </w:r>
      <w:r w:rsidRPr="00A93916">
        <w:t xml:space="preserve"> </w:t>
      </w:r>
      <w:r w:rsidR="00A93916">
        <w:t>by</w:t>
      </w:r>
      <w:r w:rsidR="00A93916" w:rsidRPr="00A93916">
        <w:t xml:space="preserve"> </w:t>
      </w:r>
      <w:r w:rsidRPr="00A93916">
        <w:t>a Generation Plant or Generation Unit, while this plant or unit is not available or not dispatched</w:t>
      </w:r>
      <w:r w:rsidR="00A25C57">
        <w:t>;</w:t>
      </w:r>
      <w:r w:rsidRPr="00A93916">
        <w:rPr>
          <w:rFonts w:eastAsiaTheme="minorEastAsia" w:cstheme="minorHAnsi"/>
        </w:rPr>
        <w:t xml:space="preserve"> </w:t>
      </w:r>
      <w:r w:rsidRPr="00A93916">
        <w:rPr>
          <w:b/>
          <w:bCs/>
        </w:rPr>
        <w:t xml:space="preserve"> </w:t>
      </w:r>
    </w:p>
    <w:p w14:paraId="042ABD39" w14:textId="509C9986" w:rsidR="0028351E" w:rsidRPr="000F1690" w:rsidRDefault="0028351E" w:rsidP="00FF4826">
      <w:pPr>
        <w:pStyle w:val="ListParagraph"/>
        <w:numPr>
          <w:ilvl w:val="0"/>
          <w:numId w:val="19"/>
        </w:numPr>
        <w:tabs>
          <w:tab w:val="clear" w:pos="720"/>
        </w:tabs>
        <w:ind w:left="1701"/>
      </w:pPr>
      <w:r w:rsidRPr="000F1690">
        <w:rPr>
          <w:b/>
          <w:bCs/>
        </w:rPr>
        <w:t xml:space="preserve">"Back-up Meter " </w:t>
      </w:r>
      <w:r w:rsidRPr="000F1690">
        <w:t xml:space="preserve">means </w:t>
      </w:r>
      <w:r w:rsidR="00C40223">
        <w:t>a</w:t>
      </w:r>
      <w:r w:rsidR="00C40223" w:rsidRPr="000F1690">
        <w:t xml:space="preserve"> </w:t>
      </w:r>
      <w:r w:rsidRPr="000F1690">
        <w:t>meter installed at the Metering Point for checking or backup purposes</w:t>
      </w:r>
      <w:r w:rsidR="00ED7040">
        <w:t xml:space="preserve"> as prescribed in the Grid Code</w:t>
      </w:r>
      <w:r w:rsidR="00A25C57">
        <w:t>;</w:t>
      </w:r>
    </w:p>
    <w:p w14:paraId="737B6D45" w14:textId="04F50C89" w:rsidR="00304B93" w:rsidRPr="00454761" w:rsidRDefault="00304B93" w:rsidP="00FF4826">
      <w:pPr>
        <w:pStyle w:val="ListParagraph"/>
        <w:numPr>
          <w:ilvl w:val="0"/>
          <w:numId w:val="19"/>
        </w:numPr>
        <w:tabs>
          <w:tab w:val="clear" w:pos="720"/>
        </w:tabs>
        <w:ind w:left="1701"/>
      </w:pPr>
      <w:r w:rsidRPr="00454761">
        <w:rPr>
          <w:b/>
          <w:bCs/>
        </w:rPr>
        <w:t>“Balancing Mechanism for Energy”</w:t>
      </w:r>
      <w:r w:rsidR="00454761">
        <w:rPr>
          <w:b/>
          <w:bCs/>
        </w:rPr>
        <w:t xml:space="preserve"> </w:t>
      </w:r>
      <w:r w:rsidRPr="00454761">
        <w:t>mean</w:t>
      </w:r>
      <w:r w:rsidR="00454761" w:rsidRPr="00454761">
        <w:t>s</w:t>
      </w:r>
      <w:r w:rsidRPr="00454761">
        <w:t xml:space="preserve"> the mechanism, centrally administered by the Market Operator, to settle the </w:t>
      </w:r>
      <w:r w:rsidR="00D75DA6">
        <w:t>Imbalances</w:t>
      </w:r>
      <w:r w:rsidRPr="00454761">
        <w:t xml:space="preserve"> between the metered quantities </w:t>
      </w:r>
      <w:r w:rsidR="003C45A9">
        <w:t>(</w:t>
      </w:r>
      <w:r w:rsidRPr="00454761">
        <w:t xml:space="preserve">that measure the real time Energy injected </w:t>
      </w:r>
      <w:r w:rsidR="00C40223">
        <w:t>in</w:t>
      </w:r>
      <w:r w:rsidR="00C40223" w:rsidRPr="00454761">
        <w:t xml:space="preserve">to </w:t>
      </w:r>
      <w:r w:rsidRPr="00454761">
        <w:t>or extracted from the Transmission or Distribution Network for each Market Participant</w:t>
      </w:r>
      <w:r w:rsidR="003C45A9">
        <w:t>)</w:t>
      </w:r>
      <w:r w:rsidRPr="00454761">
        <w:t xml:space="preserve"> and the Energy commitments (contracted quantities)</w:t>
      </w:r>
      <w:r w:rsidR="003C45A9" w:rsidRPr="003C45A9">
        <w:t xml:space="preserve"> </w:t>
      </w:r>
      <w:r w:rsidR="003C45A9" w:rsidRPr="00454761">
        <w:t>registered with the Market Operator</w:t>
      </w:r>
      <w:r w:rsidRPr="00454761">
        <w:t xml:space="preserve"> of </w:t>
      </w:r>
      <w:r w:rsidR="003C45A9">
        <w:t>each</w:t>
      </w:r>
      <w:r w:rsidR="003C45A9" w:rsidRPr="00454761">
        <w:t xml:space="preserve"> </w:t>
      </w:r>
      <w:r w:rsidRPr="00454761">
        <w:t>Market Participant</w:t>
      </w:r>
      <w:r w:rsidR="00A25C57">
        <w:t>;</w:t>
      </w:r>
    </w:p>
    <w:p w14:paraId="112FA171" w14:textId="3A288EC3" w:rsidR="00F14D09" w:rsidRPr="00454761" w:rsidRDefault="00F14D09" w:rsidP="00FF4826">
      <w:pPr>
        <w:pStyle w:val="ListParagraph"/>
        <w:numPr>
          <w:ilvl w:val="0"/>
          <w:numId w:val="19"/>
        </w:numPr>
        <w:tabs>
          <w:tab w:val="clear" w:pos="720"/>
        </w:tabs>
        <w:ind w:left="1701"/>
      </w:pPr>
      <w:r w:rsidRPr="00454761">
        <w:rPr>
          <w:b/>
          <w:bCs/>
        </w:rPr>
        <w:t>“Balancing Mechanism for Capacity”</w:t>
      </w:r>
      <w:r w:rsidR="00D464DA">
        <w:rPr>
          <w:b/>
          <w:bCs/>
        </w:rPr>
        <w:t xml:space="preserve"> </w:t>
      </w:r>
      <w:r w:rsidRPr="00454761">
        <w:t>mean</w:t>
      </w:r>
      <w:r w:rsidR="00454761">
        <w:t>s</w:t>
      </w:r>
      <w:r w:rsidRPr="00454761">
        <w:t xml:space="preserve"> the mechanism, centrally administered by the Market Operator, to settle </w:t>
      </w:r>
      <w:r w:rsidR="003C45A9">
        <w:t xml:space="preserve">the </w:t>
      </w:r>
      <w:r w:rsidR="00D75DA6">
        <w:t>Imbalances</w:t>
      </w:r>
      <w:r w:rsidRPr="00454761">
        <w:t xml:space="preserve"> </w:t>
      </w:r>
      <w:r w:rsidR="003C45A9">
        <w:t xml:space="preserve">resulting from </w:t>
      </w:r>
      <w:r w:rsidRPr="00454761">
        <w:t xml:space="preserve"> compliance with the Capacity Obligations as </w:t>
      </w:r>
      <w:r w:rsidR="003C45A9">
        <w:t>provided for</w:t>
      </w:r>
      <w:r w:rsidR="003C45A9" w:rsidRPr="00454761">
        <w:t xml:space="preserve"> </w:t>
      </w:r>
      <w:r w:rsidRPr="00454761">
        <w:t xml:space="preserve">in </w:t>
      </w:r>
      <w:r w:rsidR="00F05124">
        <w:t>this Code</w:t>
      </w:r>
      <w:r w:rsidR="00A25C57">
        <w:t>;</w:t>
      </w:r>
      <w:r w:rsidRPr="00454761">
        <w:t xml:space="preserve"> </w:t>
      </w:r>
    </w:p>
    <w:p w14:paraId="4DC81144" w14:textId="44D46C5E" w:rsidR="00FF5A65" w:rsidRPr="00FF5A65" w:rsidRDefault="00FF5A65" w:rsidP="00FF4826">
      <w:pPr>
        <w:pStyle w:val="ListParagraph"/>
        <w:numPr>
          <w:ilvl w:val="0"/>
          <w:numId w:val="19"/>
        </w:numPr>
        <w:tabs>
          <w:tab w:val="clear" w:pos="720"/>
        </w:tabs>
        <w:ind w:left="1701"/>
      </w:pPr>
      <w:r>
        <w:rPr>
          <w:b/>
          <w:bCs/>
        </w:rPr>
        <w:t xml:space="preserve">“Balancing Period” </w:t>
      </w:r>
      <w:r>
        <w:t xml:space="preserve">means the period </w:t>
      </w:r>
      <w:r w:rsidR="00707BB1">
        <w:t xml:space="preserve">for </w:t>
      </w:r>
      <w:r>
        <w:t xml:space="preserve">which the Market Operator determines </w:t>
      </w:r>
      <w:r w:rsidRPr="00FF5A65">
        <w:t xml:space="preserve">whether </w:t>
      </w:r>
      <w:r>
        <w:t xml:space="preserve">a Market Participant </w:t>
      </w:r>
      <w:r w:rsidRPr="00FF5A65">
        <w:t>ha</w:t>
      </w:r>
      <w:r>
        <w:t>d</w:t>
      </w:r>
      <w:r w:rsidRPr="00FF5A65">
        <w:t xml:space="preserve"> </w:t>
      </w:r>
      <w:r w:rsidR="00A04278">
        <w:t>I</w:t>
      </w:r>
      <w:r w:rsidRPr="00FF5A65">
        <w:t>mbalances</w:t>
      </w:r>
      <w:r>
        <w:t>, either</w:t>
      </w:r>
      <w:r w:rsidRPr="00FF5A65">
        <w:t xml:space="preserve"> in </w:t>
      </w:r>
      <w:r>
        <w:t>E</w:t>
      </w:r>
      <w:r w:rsidRPr="00FF5A65">
        <w:t xml:space="preserve">nergy or </w:t>
      </w:r>
      <w:r>
        <w:t>in C</w:t>
      </w:r>
      <w:r w:rsidRPr="00FF5A65">
        <w:t>apacity</w:t>
      </w:r>
      <w:r>
        <w:t>, as the case may be</w:t>
      </w:r>
      <w:r w:rsidR="00A25C57">
        <w:t>;</w:t>
      </w:r>
      <w:r>
        <w:t xml:space="preserve"> </w:t>
      </w:r>
    </w:p>
    <w:p w14:paraId="2410A30F" w14:textId="6370B7CF" w:rsidR="00860AC5" w:rsidRPr="00860AC5" w:rsidRDefault="007E0E5C" w:rsidP="00FF4826">
      <w:pPr>
        <w:pStyle w:val="ListParagraph"/>
        <w:numPr>
          <w:ilvl w:val="0"/>
          <w:numId w:val="19"/>
        </w:numPr>
        <w:tabs>
          <w:tab w:val="clear" w:pos="720"/>
        </w:tabs>
        <w:ind w:left="1701"/>
      </w:pPr>
      <w:r w:rsidRPr="00860AC5">
        <w:rPr>
          <w:b/>
          <w:bCs/>
        </w:rPr>
        <w:lastRenderedPageBreak/>
        <w:t>“</w:t>
      </w:r>
      <w:r w:rsidR="00403C8A">
        <w:rPr>
          <w:b/>
          <w:bCs/>
        </w:rPr>
        <w:t>Default Supplier</w:t>
      </w:r>
      <w:r w:rsidRPr="00860AC5">
        <w:rPr>
          <w:b/>
          <w:bCs/>
        </w:rPr>
        <w:t>"</w:t>
      </w:r>
      <w:r w:rsidR="001E1ADB" w:rsidRPr="00860AC5">
        <w:rPr>
          <w:b/>
          <w:bCs/>
        </w:rPr>
        <w:t xml:space="preserve"> </w:t>
      </w:r>
      <w:r w:rsidR="001E1ADB" w:rsidRPr="00860AC5">
        <w:t xml:space="preserve">means </w:t>
      </w:r>
      <w:r w:rsidR="00860AC5" w:rsidRPr="00860AC5">
        <w:t>a DISCO which has received a Supply License from the Authority, allowing it to supply electricity to the consumers located in the area assigned to the DISCO at the rates established by the Authority</w:t>
      </w:r>
      <w:r w:rsidR="00707BB1">
        <w:t>;</w:t>
      </w:r>
    </w:p>
    <w:p w14:paraId="52C993DF" w14:textId="65DF14D3" w:rsidR="00F14D09" w:rsidRPr="00454761" w:rsidRDefault="00F14D09" w:rsidP="00403C8A">
      <w:pPr>
        <w:pStyle w:val="ListParagraph"/>
        <w:numPr>
          <w:ilvl w:val="0"/>
          <w:numId w:val="19"/>
        </w:numPr>
        <w:tabs>
          <w:tab w:val="clear" w:pos="720"/>
        </w:tabs>
        <w:ind w:left="1701"/>
      </w:pPr>
      <w:r w:rsidRPr="00454761">
        <w:rPr>
          <w:b/>
          <w:bCs/>
        </w:rPr>
        <w:t>“Bilateral Contract”</w:t>
      </w:r>
      <w:r w:rsidR="001235FD">
        <w:rPr>
          <w:b/>
          <w:bCs/>
        </w:rPr>
        <w:t xml:space="preserve"> or “Contract”</w:t>
      </w:r>
      <w:r w:rsidRPr="00454761">
        <w:rPr>
          <w:b/>
          <w:bCs/>
        </w:rPr>
        <w:t xml:space="preserve"> </w:t>
      </w:r>
      <w:r w:rsidRPr="00454761">
        <w:t>means an agreement</w:t>
      </w:r>
      <w:r w:rsidR="00707BB1">
        <w:t>, executed in accordance with the provisions of this Code,</w:t>
      </w:r>
      <w:r w:rsidRPr="00454761">
        <w:t xml:space="preserve"> between two parties for the sale and purchase of a defined amount o</w:t>
      </w:r>
      <w:r w:rsidR="00707BB1">
        <w:t>f</w:t>
      </w:r>
      <w:r w:rsidRPr="00454761">
        <w:t xml:space="preserve"> Energy and/or Capacity </w:t>
      </w:r>
      <w:r w:rsidR="00707BB1">
        <w:t>for</w:t>
      </w:r>
      <w:r w:rsidR="00707BB1" w:rsidRPr="00454761">
        <w:t xml:space="preserve"> </w:t>
      </w:r>
      <w:r w:rsidRPr="00454761">
        <w:t xml:space="preserve">each Energy </w:t>
      </w:r>
      <w:r w:rsidR="00707BB1" w:rsidRPr="00454761">
        <w:t xml:space="preserve">Settlement Period </w:t>
      </w:r>
      <w:r w:rsidRPr="00454761">
        <w:t>or Capacity Settlement Period, as the case may be</w:t>
      </w:r>
      <w:r w:rsidR="00707BB1">
        <w:t>;</w:t>
      </w:r>
    </w:p>
    <w:p w14:paraId="71304F8F" w14:textId="0E03E4DE" w:rsidR="0028351E" w:rsidRPr="000F1690" w:rsidRDefault="0028351E" w:rsidP="00FF4826">
      <w:pPr>
        <w:pStyle w:val="ListParagraph"/>
        <w:numPr>
          <w:ilvl w:val="0"/>
          <w:numId w:val="19"/>
        </w:numPr>
        <w:tabs>
          <w:tab w:val="clear" w:pos="720"/>
        </w:tabs>
        <w:ind w:left="1701"/>
      </w:pPr>
      <w:r w:rsidRPr="000F1690">
        <w:rPr>
          <w:b/>
          <w:bCs/>
        </w:rPr>
        <w:t xml:space="preserve">“Bulk-Power Consumer (BPC)” </w:t>
      </w:r>
      <w:r w:rsidR="00707BB1">
        <w:t>shall have the meaning assigned to the term in the Act</w:t>
      </w:r>
      <w:r w:rsidR="00A25C57">
        <w:t>;</w:t>
      </w:r>
    </w:p>
    <w:p w14:paraId="2522AE53" w14:textId="466FD99C" w:rsidR="00454761" w:rsidRDefault="00454761" w:rsidP="00FF4826">
      <w:pPr>
        <w:pStyle w:val="ListParagraph"/>
        <w:numPr>
          <w:ilvl w:val="0"/>
          <w:numId w:val="19"/>
        </w:numPr>
        <w:tabs>
          <w:tab w:val="clear" w:pos="720"/>
        </w:tabs>
        <w:ind w:left="1701"/>
      </w:pPr>
      <w:r w:rsidRPr="008970C0">
        <w:rPr>
          <w:b/>
          <w:bCs/>
        </w:rPr>
        <w:t>“Business Day”</w:t>
      </w:r>
      <w:r w:rsidR="00B03234">
        <w:rPr>
          <w:b/>
          <w:bCs/>
        </w:rPr>
        <w:t xml:space="preserve"> </w:t>
      </w:r>
      <w:r w:rsidRPr="008970C0">
        <w:t>has the meaning assigned to the term in</w:t>
      </w:r>
      <w:r w:rsidR="008970C0" w:rsidRPr="008970C0">
        <w:t xml:space="preserve"> Clause </w:t>
      </w:r>
      <w:r w:rsidR="008970C0" w:rsidRPr="008970C0">
        <w:fldChar w:fldCharType="begin"/>
      </w:r>
      <w:r w:rsidR="008970C0" w:rsidRPr="008970C0">
        <w:instrText xml:space="preserve"> REF _Ref61695358 \r \h </w:instrText>
      </w:r>
      <w:r w:rsidR="008970C0">
        <w:instrText xml:space="preserve"> \* MERGEFORMAT </w:instrText>
      </w:r>
      <w:r w:rsidR="008970C0" w:rsidRPr="008970C0">
        <w:fldChar w:fldCharType="separate"/>
      </w:r>
      <w:r w:rsidR="00251DBF">
        <w:t>1.2.4.1</w:t>
      </w:r>
      <w:r w:rsidR="008970C0" w:rsidRPr="008970C0">
        <w:fldChar w:fldCharType="end"/>
      </w:r>
      <w:r w:rsidR="00A25C57">
        <w:t>;</w:t>
      </w:r>
    </w:p>
    <w:p w14:paraId="438DD0C2" w14:textId="4BFC2205" w:rsidR="0028351E" w:rsidRPr="0079656A" w:rsidRDefault="0028351E" w:rsidP="00FF4826">
      <w:pPr>
        <w:pStyle w:val="ListParagraph"/>
        <w:numPr>
          <w:ilvl w:val="0"/>
          <w:numId w:val="19"/>
        </w:numPr>
        <w:tabs>
          <w:tab w:val="clear" w:pos="720"/>
        </w:tabs>
        <w:ind w:left="1701"/>
      </w:pPr>
      <w:r w:rsidRPr="0079656A">
        <w:rPr>
          <w:b/>
          <w:bCs/>
        </w:rPr>
        <w:t xml:space="preserve">“Captive Generation” </w:t>
      </w:r>
      <w:r w:rsidRPr="0079656A">
        <w:t xml:space="preserve">shall have the meaning </w:t>
      </w:r>
      <w:r w:rsidR="00707BB1">
        <w:t>assigned to the term</w:t>
      </w:r>
      <w:r w:rsidR="00707BB1" w:rsidRPr="0079656A">
        <w:t xml:space="preserve"> </w:t>
      </w:r>
      <w:r w:rsidRPr="0079656A">
        <w:t>in the Act</w:t>
      </w:r>
      <w:r w:rsidR="00AC54F8" w:rsidRPr="0079656A">
        <w:t>.</w:t>
      </w:r>
      <w:r w:rsidRPr="0079656A">
        <w:t xml:space="preserve"> </w:t>
      </w:r>
    </w:p>
    <w:p w14:paraId="46ACDB34" w14:textId="2DABB66B" w:rsidR="00424DDD" w:rsidRDefault="00424DDD" w:rsidP="00AE1AD1">
      <w:pPr>
        <w:pStyle w:val="ListParagraph"/>
        <w:numPr>
          <w:ilvl w:val="0"/>
          <w:numId w:val="19"/>
        </w:numPr>
        <w:tabs>
          <w:tab w:val="clear" w:pos="720"/>
        </w:tabs>
        <w:ind w:left="1701"/>
      </w:pPr>
      <w:r w:rsidRPr="00672E71">
        <w:rPr>
          <w:b/>
          <w:bCs/>
        </w:rPr>
        <w:t>“</w:t>
      </w:r>
      <w:r w:rsidR="00650980" w:rsidRPr="00672E71">
        <w:rPr>
          <w:b/>
          <w:bCs/>
        </w:rPr>
        <w:t xml:space="preserve">Capacity” or “Electric Capacity” </w:t>
      </w:r>
      <w:r w:rsidR="00650980">
        <w:t xml:space="preserve">means a product that Generators offer to the market and it is acquired by </w:t>
      </w:r>
      <w:r w:rsidR="00650980" w:rsidRPr="00CF3202">
        <w:t xml:space="preserve">Market Participants </w:t>
      </w:r>
      <w:r w:rsidR="00650980">
        <w:t xml:space="preserve">to comply with their </w:t>
      </w:r>
      <w:r w:rsidR="00270155">
        <w:t xml:space="preserve">Capacity Obligations in order to </w:t>
      </w:r>
      <w:r w:rsidR="00650980">
        <w:t xml:space="preserve"> </w:t>
      </w:r>
      <w:r w:rsidR="00270155">
        <w:t>guarantee</w:t>
      </w:r>
      <w:r w:rsidR="00650980">
        <w:t xml:space="preserve"> appropriate security of supply in Pakistan</w:t>
      </w:r>
      <w:r w:rsidR="00A25C57">
        <w:t>;</w:t>
      </w:r>
      <w:r w:rsidR="00A07A8F">
        <w:t xml:space="preserve"> </w:t>
      </w:r>
    </w:p>
    <w:p w14:paraId="3ADA943B" w14:textId="100287C5" w:rsidR="00037DD0" w:rsidRPr="00037DD0" w:rsidRDefault="00037DD0" w:rsidP="00FF4826">
      <w:pPr>
        <w:pStyle w:val="ListParagraph"/>
        <w:numPr>
          <w:ilvl w:val="0"/>
          <w:numId w:val="19"/>
        </w:numPr>
        <w:tabs>
          <w:tab w:val="clear" w:pos="720"/>
        </w:tabs>
        <w:ind w:left="1701"/>
        <w:rPr>
          <w:b/>
          <w:bCs/>
        </w:rPr>
      </w:pPr>
      <w:r w:rsidRPr="00037DD0">
        <w:rPr>
          <w:b/>
          <w:bCs/>
        </w:rPr>
        <w:t xml:space="preserve">“Capacity Balance” </w:t>
      </w:r>
      <w:r w:rsidR="006D1845">
        <w:t xml:space="preserve">shall have </w:t>
      </w:r>
      <w:r>
        <w:t xml:space="preserve">the meaning </w:t>
      </w:r>
      <w:r w:rsidR="006D1845">
        <w:t xml:space="preserve">assigned </w:t>
      </w:r>
      <w:r>
        <w:t xml:space="preserve">to the term in Clause </w:t>
      </w:r>
      <w:r>
        <w:fldChar w:fldCharType="begin"/>
      </w:r>
      <w:r>
        <w:instrText xml:space="preserve"> REF _Ref68513993 \r \h </w:instrText>
      </w:r>
      <w:r>
        <w:fldChar w:fldCharType="separate"/>
      </w:r>
      <w:r w:rsidR="00251DBF">
        <w:t>10.2.5.2</w:t>
      </w:r>
      <w:r>
        <w:fldChar w:fldCharType="end"/>
      </w:r>
      <w:r w:rsidR="00A25C57">
        <w:t>;</w:t>
      </w:r>
    </w:p>
    <w:p w14:paraId="0B4D73B5" w14:textId="77777777" w:rsidR="00A53E9B" w:rsidRPr="0079656A" w:rsidRDefault="00A53E9B" w:rsidP="00A53E9B">
      <w:pPr>
        <w:pStyle w:val="ListParagraph"/>
        <w:numPr>
          <w:ilvl w:val="0"/>
          <w:numId w:val="19"/>
        </w:numPr>
        <w:tabs>
          <w:tab w:val="clear" w:pos="720"/>
        </w:tabs>
        <w:ind w:left="1701"/>
      </w:pPr>
      <w:r w:rsidRPr="0079656A">
        <w:rPr>
          <w:b/>
          <w:bCs/>
        </w:rPr>
        <w:t>“Capacity and Associated Energy Supply Contract”</w:t>
      </w:r>
      <w:r w:rsidRPr="0079656A">
        <w:t xml:space="preserve"> </w:t>
      </w:r>
      <w:r>
        <w:t>shall have</w:t>
      </w:r>
      <w:r w:rsidRPr="0079656A">
        <w:t xml:space="preserve"> the meaning </w:t>
      </w:r>
      <w:r>
        <w:t>assigned</w:t>
      </w:r>
      <w:r w:rsidRPr="0079656A">
        <w:t xml:space="preserve"> to the term in Section </w:t>
      </w:r>
      <w:r w:rsidRPr="0079656A">
        <w:fldChar w:fldCharType="begin"/>
      </w:r>
      <w:r w:rsidRPr="0079656A">
        <w:instrText xml:space="preserve"> REF _Ref54980937 \r \h </w:instrText>
      </w:r>
      <w:r>
        <w:instrText xml:space="preserve"> \* MERGEFORMAT </w:instrText>
      </w:r>
      <w:r w:rsidRPr="0079656A">
        <w:fldChar w:fldCharType="separate"/>
      </w:r>
      <w:r>
        <w:t>4.3.2</w:t>
      </w:r>
      <w:r w:rsidRPr="0079656A">
        <w:fldChar w:fldCharType="end"/>
      </w:r>
      <w:r>
        <w:t>;</w:t>
      </w:r>
    </w:p>
    <w:p w14:paraId="5A40FE7A" w14:textId="1A39E0C4" w:rsidR="00C71502" w:rsidRDefault="00C71502" w:rsidP="00FF4826">
      <w:pPr>
        <w:pStyle w:val="ListParagraph"/>
        <w:numPr>
          <w:ilvl w:val="0"/>
          <w:numId w:val="19"/>
        </w:numPr>
        <w:tabs>
          <w:tab w:val="clear" w:pos="720"/>
        </w:tabs>
        <w:ind w:left="1701"/>
      </w:pPr>
      <w:r w:rsidRPr="0079656A">
        <w:rPr>
          <w:b/>
          <w:bCs/>
        </w:rPr>
        <w:t>“Capacity Obligations”</w:t>
      </w:r>
      <w:r w:rsidRPr="0079656A">
        <w:t xml:space="preserve"> </w:t>
      </w:r>
      <w:r w:rsidR="006D1845">
        <w:t xml:space="preserve">shall have </w:t>
      </w:r>
      <w:r w:rsidRPr="0079656A">
        <w:t xml:space="preserve">the meaning </w:t>
      </w:r>
      <w:r w:rsidR="006D1845">
        <w:t>assigned</w:t>
      </w:r>
      <w:r w:rsidR="006D1845" w:rsidRPr="0079656A">
        <w:t xml:space="preserve"> </w:t>
      </w:r>
      <w:r w:rsidRPr="0079656A">
        <w:t xml:space="preserve">to the term in </w:t>
      </w:r>
      <w:r w:rsidRPr="0079656A">
        <w:fldChar w:fldCharType="begin"/>
      </w:r>
      <w:r w:rsidRPr="0079656A">
        <w:instrText xml:space="preserve"> REF _Ref54809487 \r \h </w:instrText>
      </w:r>
      <w:r w:rsidR="0079656A">
        <w:instrText xml:space="preserve"> \* MERGEFORMAT </w:instrText>
      </w:r>
      <w:r w:rsidRPr="0079656A">
        <w:fldChar w:fldCharType="separate"/>
      </w:r>
      <w:r w:rsidR="00251DBF">
        <w:t>Chapter 11</w:t>
      </w:r>
      <w:r w:rsidRPr="0079656A">
        <w:fldChar w:fldCharType="end"/>
      </w:r>
      <w:r w:rsidR="00A25C57">
        <w:t>;</w:t>
      </w:r>
    </w:p>
    <w:p w14:paraId="3EB7C105" w14:textId="33296630" w:rsidR="00A53E9B" w:rsidRPr="00B03C4A" w:rsidRDefault="00A53E9B" w:rsidP="00FF4826">
      <w:pPr>
        <w:pStyle w:val="ListParagraph"/>
        <w:numPr>
          <w:ilvl w:val="0"/>
          <w:numId w:val="19"/>
        </w:numPr>
        <w:tabs>
          <w:tab w:val="clear" w:pos="720"/>
        </w:tabs>
        <w:ind w:left="1701"/>
        <w:rPr>
          <w:b/>
          <w:bCs/>
        </w:rPr>
      </w:pPr>
      <w:r>
        <w:rPr>
          <w:b/>
          <w:bCs/>
        </w:rPr>
        <w:t>“</w:t>
      </w:r>
      <w:r w:rsidRPr="00B03C4A">
        <w:rPr>
          <w:b/>
          <w:bCs/>
        </w:rPr>
        <w:t>Capacity Requirement</w:t>
      </w:r>
      <w:r>
        <w:rPr>
          <w:b/>
          <w:bCs/>
        </w:rPr>
        <w:t xml:space="preserve">” </w:t>
      </w:r>
      <w:r w:rsidRPr="00B03C4A">
        <w:t xml:space="preserve">shall have the meaning assigned to the term in Clause </w:t>
      </w:r>
      <w:r w:rsidRPr="00B03C4A">
        <w:fldChar w:fldCharType="begin"/>
      </w:r>
      <w:r w:rsidRPr="00B03C4A">
        <w:instrText xml:space="preserve"> REF _Ref77153276 \n \h </w:instrText>
      </w:r>
      <w:r>
        <w:instrText xml:space="preserve"> \* MERGEFORMAT </w:instrText>
      </w:r>
      <w:r w:rsidRPr="00B03C4A">
        <w:fldChar w:fldCharType="separate"/>
      </w:r>
      <w:r w:rsidRPr="00B03C4A">
        <w:t>10.2.4.1</w:t>
      </w:r>
      <w:r w:rsidRPr="00B03C4A">
        <w:fldChar w:fldCharType="end"/>
      </w:r>
      <w:r>
        <w:rPr>
          <w:b/>
          <w:bCs/>
        </w:rPr>
        <w:t>.</w:t>
      </w:r>
      <w:r w:rsidRPr="00B03C4A">
        <w:rPr>
          <w:b/>
          <w:bCs/>
        </w:rPr>
        <w:t xml:space="preserve"> </w:t>
      </w:r>
    </w:p>
    <w:p w14:paraId="3F7FDE13" w14:textId="4FF843C0" w:rsidR="00FE5538" w:rsidRPr="0079656A" w:rsidRDefault="00FE5538" w:rsidP="00FF4826">
      <w:pPr>
        <w:pStyle w:val="ListParagraph"/>
        <w:numPr>
          <w:ilvl w:val="0"/>
          <w:numId w:val="19"/>
        </w:numPr>
        <w:tabs>
          <w:tab w:val="clear" w:pos="720"/>
        </w:tabs>
        <w:ind w:left="1701"/>
      </w:pPr>
      <w:r w:rsidRPr="0079656A">
        <w:rPr>
          <w:b/>
          <w:bCs/>
        </w:rPr>
        <w:t xml:space="preserve">“Captive Generation” </w:t>
      </w:r>
      <w:r w:rsidR="006D1845">
        <w:t>shall have</w:t>
      </w:r>
      <w:r w:rsidR="006D1845" w:rsidRPr="0079656A">
        <w:t xml:space="preserve"> </w:t>
      </w:r>
      <w:r w:rsidRPr="0079656A">
        <w:t xml:space="preserve">the meaning </w:t>
      </w:r>
      <w:r w:rsidR="00F26C1E" w:rsidRPr="0079656A">
        <w:t xml:space="preserve">as </w:t>
      </w:r>
      <w:r w:rsidR="006D1845">
        <w:t>assigned</w:t>
      </w:r>
      <w:r w:rsidR="006D1845" w:rsidRPr="0079656A">
        <w:t xml:space="preserve"> </w:t>
      </w:r>
      <w:r w:rsidRPr="0079656A">
        <w:t>to this term in the Act</w:t>
      </w:r>
      <w:r w:rsidR="00A25C57">
        <w:t>;</w:t>
      </w:r>
      <w:r w:rsidRPr="0079656A">
        <w:t xml:space="preserve"> </w:t>
      </w:r>
    </w:p>
    <w:p w14:paraId="78EC4FF9" w14:textId="6B9DC0DC" w:rsidR="0020779B" w:rsidRPr="0079656A" w:rsidRDefault="0020779B" w:rsidP="00FF4826">
      <w:pPr>
        <w:pStyle w:val="ListParagraph"/>
        <w:numPr>
          <w:ilvl w:val="0"/>
          <w:numId w:val="19"/>
        </w:numPr>
        <w:tabs>
          <w:tab w:val="clear" w:pos="720"/>
        </w:tabs>
        <w:ind w:left="1701"/>
      </w:pPr>
      <w:r w:rsidRPr="0079656A">
        <w:rPr>
          <w:b/>
          <w:bCs/>
        </w:rPr>
        <w:t>“Category (in relation with a Market Participant)”</w:t>
      </w:r>
      <w:r w:rsidRPr="0079656A">
        <w:t xml:space="preserve"> </w:t>
      </w:r>
      <w:r w:rsidR="006D1845">
        <w:t>shall have</w:t>
      </w:r>
      <w:r w:rsidR="006D1845" w:rsidRPr="0079656A">
        <w:t xml:space="preserve"> </w:t>
      </w:r>
      <w:r w:rsidRPr="0079656A">
        <w:t xml:space="preserve">the meaning as </w:t>
      </w:r>
      <w:r w:rsidR="006D1845">
        <w:t>assigned to the term</w:t>
      </w:r>
      <w:r w:rsidR="006D1845" w:rsidRPr="0079656A">
        <w:t xml:space="preserve"> </w:t>
      </w:r>
      <w:r w:rsidRPr="0079656A">
        <w:t xml:space="preserve">in Clause </w:t>
      </w:r>
      <w:r w:rsidRPr="0079656A">
        <w:fldChar w:fldCharType="begin"/>
      </w:r>
      <w:r w:rsidRPr="0079656A">
        <w:instrText xml:space="preserve"> REF _Ref64552873 \r \h </w:instrText>
      </w:r>
      <w:r w:rsidR="0079656A">
        <w:instrText xml:space="preserve"> \* MERGEFORMAT </w:instrText>
      </w:r>
      <w:r w:rsidRPr="0079656A">
        <w:fldChar w:fldCharType="separate"/>
      </w:r>
      <w:r w:rsidR="00251DBF">
        <w:t>2.2.1.2</w:t>
      </w:r>
      <w:r w:rsidRPr="0079656A">
        <w:fldChar w:fldCharType="end"/>
      </w:r>
      <w:r w:rsidR="00A25C57">
        <w:t>;</w:t>
      </w:r>
    </w:p>
    <w:p w14:paraId="1E5CD6B2" w14:textId="77777777" w:rsidR="008C02F7" w:rsidRDefault="00900356" w:rsidP="00FF4826">
      <w:pPr>
        <w:pStyle w:val="ListParagraph"/>
        <w:numPr>
          <w:ilvl w:val="0"/>
          <w:numId w:val="19"/>
        </w:numPr>
        <w:tabs>
          <w:tab w:val="clear" w:pos="720"/>
        </w:tabs>
        <w:ind w:left="1701"/>
      </w:pPr>
      <w:r w:rsidRPr="00900356">
        <w:t>“</w:t>
      </w:r>
      <w:r w:rsidRPr="00900356">
        <w:rPr>
          <w:b/>
          <w:bCs/>
        </w:rPr>
        <w:t>Centralized Dispatch</w:t>
      </w:r>
      <w:r w:rsidRPr="00900356">
        <w:t xml:space="preserve">” means the </w:t>
      </w:r>
      <w:r w:rsidR="006D1845">
        <w:t>dispatch of electric power carried out by the System Operator pursuant to the provisions of the Grid Code</w:t>
      </w:r>
      <w:r w:rsidR="00A25C57">
        <w:t>;</w:t>
      </w:r>
    </w:p>
    <w:p w14:paraId="198A4C5D" w14:textId="0059362C" w:rsidR="00900356" w:rsidRPr="00FE5538" w:rsidRDefault="008C02F7" w:rsidP="00FF4826">
      <w:pPr>
        <w:pStyle w:val="ListParagraph"/>
        <w:numPr>
          <w:ilvl w:val="0"/>
          <w:numId w:val="19"/>
        </w:numPr>
        <w:tabs>
          <w:tab w:val="clear" w:pos="720"/>
        </w:tabs>
        <w:ind w:left="1701"/>
      </w:pPr>
      <w:r>
        <w:t>“</w:t>
      </w:r>
      <w:r w:rsidRPr="00B03C4A">
        <w:rPr>
          <w:b/>
          <w:bCs/>
        </w:rPr>
        <w:t>Chapter</w:t>
      </w:r>
      <w:r>
        <w:t>” means a chapter of this Code.</w:t>
      </w:r>
      <w:r w:rsidR="006D1845">
        <w:t xml:space="preserve"> </w:t>
      </w:r>
    </w:p>
    <w:p w14:paraId="735317EE" w14:textId="797FD766" w:rsidR="008970C0" w:rsidRDefault="00FE5538" w:rsidP="00FF4826">
      <w:pPr>
        <w:pStyle w:val="ListParagraph"/>
        <w:numPr>
          <w:ilvl w:val="0"/>
          <w:numId w:val="19"/>
        </w:numPr>
        <w:tabs>
          <w:tab w:val="clear" w:pos="720"/>
        </w:tabs>
        <w:ind w:left="1701"/>
      </w:pPr>
      <w:r w:rsidRPr="0025631D">
        <w:rPr>
          <w:b/>
          <w:bCs/>
        </w:rPr>
        <w:t>“</w:t>
      </w:r>
      <w:r w:rsidR="008970C0" w:rsidRPr="0025631D">
        <w:rPr>
          <w:b/>
          <w:bCs/>
        </w:rPr>
        <w:t xml:space="preserve">Clause” </w:t>
      </w:r>
      <w:r w:rsidR="008970C0" w:rsidRPr="0025631D">
        <w:t>means</w:t>
      </w:r>
      <w:r w:rsidR="0025631D" w:rsidRPr="0025631D">
        <w:t xml:space="preserve"> a clause of </w:t>
      </w:r>
      <w:r w:rsidR="00F05124">
        <w:t>this Code</w:t>
      </w:r>
      <w:r w:rsidR="0025631D" w:rsidRPr="0025631D">
        <w:t xml:space="preserve"> </w:t>
      </w:r>
      <w:r w:rsidR="00A25C57">
        <w:t>;</w:t>
      </w:r>
    </w:p>
    <w:p w14:paraId="51FB9E87" w14:textId="61F014D5" w:rsidR="008E7D79" w:rsidRPr="008E7D79" w:rsidRDefault="008E7D79" w:rsidP="00FF4826">
      <w:pPr>
        <w:pStyle w:val="ListParagraph"/>
        <w:numPr>
          <w:ilvl w:val="0"/>
          <w:numId w:val="19"/>
        </w:numPr>
        <w:tabs>
          <w:tab w:val="clear" w:pos="720"/>
        </w:tabs>
        <w:ind w:left="1701"/>
      </w:pPr>
      <w:r w:rsidRPr="008E7D79">
        <w:t>“</w:t>
      </w:r>
      <w:r w:rsidRPr="008E7D79">
        <w:rPr>
          <w:b/>
          <w:bCs/>
        </w:rPr>
        <w:t>Clearing Day</w:t>
      </w:r>
      <w:r w:rsidRPr="008E7D79">
        <w:t>”</w:t>
      </w:r>
      <w:r>
        <w:t xml:space="preserve"> means the Business Day on which the Market Operator pays to the Market Participants the amounts payable to them as per the Final Settlement Statements or Final Yearly Settlements Statements</w:t>
      </w:r>
      <w:r w:rsidR="00A25C57">
        <w:t>;</w:t>
      </w:r>
    </w:p>
    <w:p w14:paraId="1F928F67" w14:textId="7FA64113" w:rsidR="00454761" w:rsidRPr="0025631D" w:rsidRDefault="00454761" w:rsidP="00FF4826">
      <w:pPr>
        <w:pStyle w:val="ListParagraph"/>
        <w:numPr>
          <w:ilvl w:val="0"/>
          <w:numId w:val="19"/>
        </w:numPr>
        <w:tabs>
          <w:tab w:val="clear" w:pos="720"/>
        </w:tabs>
        <w:ind w:left="1701"/>
      </w:pPr>
      <w:r w:rsidRPr="0025631D">
        <w:rPr>
          <w:b/>
          <w:bCs/>
        </w:rPr>
        <w:t>“Close of Banking Business”</w:t>
      </w:r>
      <w:r w:rsidR="008970C0" w:rsidRPr="0025631D">
        <w:rPr>
          <w:b/>
          <w:bCs/>
        </w:rPr>
        <w:t xml:space="preserve"> </w:t>
      </w:r>
      <w:r w:rsidR="008970C0" w:rsidRPr="00F26C1E">
        <w:t xml:space="preserve">means </w:t>
      </w:r>
      <w:r w:rsidR="002D4089" w:rsidRPr="00F26C1E">
        <w:t>[5</w:t>
      </w:r>
      <w:r w:rsidRPr="00F26C1E">
        <w:t>] p.m.,</w:t>
      </w:r>
      <w:r w:rsidRPr="0025631D">
        <w:t xml:space="preserve"> Pakistan </w:t>
      </w:r>
      <w:r w:rsidR="006D1845">
        <w:t>Standard T</w:t>
      </w:r>
      <w:r w:rsidRPr="0025631D">
        <w:t>ime</w:t>
      </w:r>
      <w:r w:rsidR="006D1845">
        <w:t xml:space="preserve"> (PST)</w:t>
      </w:r>
      <w:r w:rsidR="002D4089">
        <w:t xml:space="preserve"> </w:t>
      </w:r>
      <w:r w:rsidR="002D4089" w:rsidRPr="002D4089">
        <w:t xml:space="preserve">or any other time specified by the </w:t>
      </w:r>
      <w:r w:rsidR="002D4089">
        <w:t>F</w:t>
      </w:r>
      <w:r w:rsidR="002D4089" w:rsidRPr="002D4089">
        <w:t xml:space="preserve">ederal </w:t>
      </w:r>
      <w:r w:rsidR="002D4089">
        <w:t>G</w:t>
      </w:r>
      <w:r w:rsidR="002D4089" w:rsidRPr="002D4089">
        <w:t>overnment</w:t>
      </w:r>
      <w:r w:rsidR="00A25C57">
        <w:t>;</w:t>
      </w:r>
    </w:p>
    <w:p w14:paraId="2A42E9BF" w14:textId="40B13A01" w:rsidR="00B97ED7" w:rsidRDefault="0028351E" w:rsidP="00FF4826">
      <w:pPr>
        <w:pStyle w:val="ListParagraph"/>
        <w:numPr>
          <w:ilvl w:val="0"/>
          <w:numId w:val="19"/>
        </w:numPr>
        <w:tabs>
          <w:tab w:val="clear" w:pos="720"/>
        </w:tabs>
        <w:ind w:left="1701"/>
        <w:rPr>
          <w:lang w:val="en-US"/>
        </w:rPr>
      </w:pPr>
      <w:r w:rsidRPr="0025631D">
        <w:rPr>
          <w:b/>
          <w:bCs/>
          <w:lang w:val="en-US"/>
        </w:rPr>
        <w:t xml:space="preserve">“Commercial Code Operational Procedure” </w:t>
      </w:r>
      <w:r w:rsidRPr="0025631D">
        <w:rPr>
          <w:lang w:val="en-US"/>
        </w:rPr>
        <w:t>means</w:t>
      </w:r>
      <w:r w:rsidR="0025631D" w:rsidRPr="0025631D">
        <w:rPr>
          <w:lang w:val="en-US"/>
        </w:rPr>
        <w:t xml:space="preserve"> a</w:t>
      </w:r>
      <w:r w:rsidR="00220C18">
        <w:rPr>
          <w:lang w:val="en-US"/>
        </w:rPr>
        <w:t>n operating</w:t>
      </w:r>
      <w:r w:rsidR="0025631D" w:rsidRPr="0025631D">
        <w:rPr>
          <w:lang w:val="en-US"/>
        </w:rPr>
        <w:t xml:space="preserve"> procedure, develop</w:t>
      </w:r>
      <w:r w:rsidR="00FA5E42">
        <w:rPr>
          <w:lang w:val="en-US"/>
        </w:rPr>
        <w:t>ed</w:t>
      </w:r>
      <w:r w:rsidR="0025631D" w:rsidRPr="0025631D">
        <w:rPr>
          <w:lang w:val="en-US"/>
        </w:rPr>
        <w:t xml:space="preserve"> by the Market Operator or the System Operator</w:t>
      </w:r>
      <w:r w:rsidR="004920C9">
        <w:rPr>
          <w:lang w:val="en-US"/>
        </w:rPr>
        <w:t xml:space="preserve"> or a Service Provider</w:t>
      </w:r>
      <w:r w:rsidR="0025631D" w:rsidRPr="0025631D">
        <w:rPr>
          <w:lang w:val="en-US"/>
        </w:rPr>
        <w:t xml:space="preserve">, as the case may be, for proper implementation of </w:t>
      </w:r>
      <w:r w:rsidR="00F05124">
        <w:rPr>
          <w:lang w:val="en-US"/>
        </w:rPr>
        <w:t>this Code</w:t>
      </w:r>
      <w:r w:rsidR="00A25C57">
        <w:rPr>
          <w:lang w:val="en-US"/>
        </w:rPr>
        <w:t>;</w:t>
      </w:r>
    </w:p>
    <w:p w14:paraId="60D34D4C" w14:textId="6A0B0DA1" w:rsidR="0028351E" w:rsidRPr="00B97ED7" w:rsidRDefault="00B97ED7" w:rsidP="003018FA">
      <w:pPr>
        <w:pStyle w:val="ListParagraph"/>
        <w:numPr>
          <w:ilvl w:val="0"/>
          <w:numId w:val="19"/>
        </w:numPr>
        <w:tabs>
          <w:tab w:val="clear" w:pos="720"/>
        </w:tabs>
        <w:ind w:left="1701"/>
        <w:rPr>
          <w:lang w:val="en-US"/>
        </w:rPr>
      </w:pPr>
      <w:r w:rsidRPr="003018FA">
        <w:rPr>
          <w:b/>
          <w:bCs/>
        </w:rPr>
        <w:t>“</w:t>
      </w:r>
      <w:r w:rsidRPr="00B97ED7">
        <w:rPr>
          <w:b/>
          <w:bCs/>
        </w:rPr>
        <w:t xml:space="preserve">Commercial Code Working Group” </w:t>
      </w:r>
      <w:r w:rsidRPr="00311FA4">
        <w:t xml:space="preserve">means a group organised by the Market Operator </w:t>
      </w:r>
      <w:r>
        <w:t>which</w:t>
      </w:r>
      <w:r w:rsidRPr="00311FA4">
        <w:t xml:space="preserve"> consists of </w:t>
      </w:r>
      <w:r>
        <w:t>representatives</w:t>
      </w:r>
      <w:r w:rsidRPr="00311FA4">
        <w:t xml:space="preserve"> of the </w:t>
      </w:r>
      <w:r>
        <w:t xml:space="preserve">Market Operator, System </w:t>
      </w:r>
      <w:r w:rsidRPr="00311FA4">
        <w:t>Operator</w:t>
      </w:r>
      <w:r>
        <w:t>,</w:t>
      </w:r>
      <w:r w:rsidRPr="00311FA4">
        <w:t xml:space="preserve"> </w:t>
      </w:r>
      <w:r>
        <w:t xml:space="preserve">Market </w:t>
      </w:r>
      <w:r w:rsidRPr="00311FA4">
        <w:t xml:space="preserve">Participants </w:t>
      </w:r>
      <w:r>
        <w:t>and Service Providers to carry out the functions as assigned to it under this Code;</w:t>
      </w:r>
      <w:r w:rsidR="0025631D" w:rsidRPr="00B97ED7">
        <w:rPr>
          <w:lang w:val="en-US"/>
        </w:rPr>
        <w:t xml:space="preserve"> </w:t>
      </w:r>
    </w:p>
    <w:p w14:paraId="1C65B776" w14:textId="3719E8D0" w:rsidR="00454761" w:rsidRDefault="00454761" w:rsidP="00FF4826">
      <w:pPr>
        <w:pStyle w:val="ListParagraph"/>
        <w:numPr>
          <w:ilvl w:val="0"/>
          <w:numId w:val="19"/>
        </w:numPr>
        <w:tabs>
          <w:tab w:val="clear" w:pos="720"/>
        </w:tabs>
        <w:ind w:left="1701"/>
      </w:pPr>
      <w:r w:rsidRPr="0025631D">
        <w:rPr>
          <w:b/>
          <w:bCs/>
        </w:rPr>
        <w:t xml:space="preserve">“Commercial Metering System” </w:t>
      </w:r>
      <w:r w:rsidRPr="0025631D">
        <w:t>means the system</w:t>
      </w:r>
      <w:r w:rsidR="00220C18">
        <w:t>,</w:t>
      </w:r>
      <w:r w:rsidRPr="0025631D">
        <w:t xml:space="preserve"> </w:t>
      </w:r>
      <w:r w:rsidR="00220C18">
        <w:t xml:space="preserve">established according to the requirements of the Grid Code, </w:t>
      </w:r>
      <w:r w:rsidRPr="0025631D">
        <w:t xml:space="preserve">to measure the </w:t>
      </w:r>
      <w:r w:rsidR="0046412E">
        <w:t>Energy</w:t>
      </w:r>
      <w:r w:rsidRPr="0025631D">
        <w:t xml:space="preserve"> injected</w:t>
      </w:r>
      <w:r w:rsidR="00220C18">
        <w:t xml:space="preserve"> into</w:t>
      </w:r>
      <w:r w:rsidRPr="0025631D">
        <w:t xml:space="preserve"> or withdrawn from the </w:t>
      </w:r>
      <w:r w:rsidR="00220C18">
        <w:t>Transmission or Distribution Network</w:t>
      </w:r>
      <w:r w:rsidR="00220C18" w:rsidRPr="0025631D">
        <w:t xml:space="preserve"> </w:t>
      </w:r>
      <w:r w:rsidRPr="0025631D">
        <w:t xml:space="preserve">by a </w:t>
      </w:r>
      <w:r w:rsidR="009A0D22" w:rsidRPr="0025631D">
        <w:t xml:space="preserve">Market </w:t>
      </w:r>
      <w:r w:rsidRPr="0025631D">
        <w:t xml:space="preserve">Participant  </w:t>
      </w:r>
      <w:r w:rsidR="00220C18">
        <w:t>and</w:t>
      </w:r>
      <w:r w:rsidRPr="0025631D">
        <w:t xml:space="preserve"> used for settlement </w:t>
      </w:r>
      <w:r w:rsidR="00220C18">
        <w:t>purposes by</w:t>
      </w:r>
      <w:r w:rsidR="00220C18" w:rsidRPr="0025631D">
        <w:t xml:space="preserve"> </w:t>
      </w:r>
      <w:r w:rsidRPr="0025631D">
        <w:t>the Market Operator</w:t>
      </w:r>
      <w:r w:rsidR="00A25C57">
        <w:t>;</w:t>
      </w:r>
    </w:p>
    <w:p w14:paraId="169EAB75" w14:textId="7CC78F02" w:rsidR="00173E7C" w:rsidRPr="00D34A60" w:rsidRDefault="0028351E" w:rsidP="00FF4826">
      <w:pPr>
        <w:pStyle w:val="ListParagraph"/>
        <w:numPr>
          <w:ilvl w:val="0"/>
          <w:numId w:val="19"/>
        </w:numPr>
        <w:tabs>
          <w:tab w:val="clear" w:pos="720"/>
        </w:tabs>
        <w:ind w:left="1701"/>
      </w:pPr>
      <w:r w:rsidRPr="00D34A60">
        <w:rPr>
          <w:b/>
          <w:bCs/>
        </w:rPr>
        <w:t xml:space="preserve">"Company" </w:t>
      </w:r>
      <w:r w:rsidRPr="00D34A60">
        <w:t xml:space="preserve">means a company </w:t>
      </w:r>
      <w:r w:rsidR="00220C18">
        <w:t>registered</w:t>
      </w:r>
      <w:r w:rsidR="00220C18" w:rsidRPr="00D34A60">
        <w:t xml:space="preserve"> </w:t>
      </w:r>
      <w:r w:rsidRPr="00D34A60">
        <w:t xml:space="preserve">under </w:t>
      </w:r>
      <w:r w:rsidR="00173E7C" w:rsidRPr="00D34A60">
        <w:t xml:space="preserve">the </w:t>
      </w:r>
      <w:r w:rsidR="002D4089" w:rsidRPr="002D4089">
        <w:t>Laws of Pakistan</w:t>
      </w:r>
      <w:r w:rsidR="00A25C57">
        <w:t>;</w:t>
      </w:r>
    </w:p>
    <w:p w14:paraId="1A39D423" w14:textId="21F10F94" w:rsidR="009B79C5" w:rsidRPr="0025631D" w:rsidRDefault="009B79C5" w:rsidP="00FF4826">
      <w:pPr>
        <w:pStyle w:val="ListParagraph"/>
        <w:numPr>
          <w:ilvl w:val="0"/>
          <w:numId w:val="19"/>
        </w:numPr>
        <w:tabs>
          <w:tab w:val="clear" w:pos="720"/>
        </w:tabs>
        <w:ind w:left="1701"/>
      </w:pPr>
      <w:r w:rsidRPr="0025631D">
        <w:rPr>
          <w:b/>
          <w:bCs/>
        </w:rPr>
        <w:t xml:space="preserve">“Competitive Market Operation Date” </w:t>
      </w:r>
      <w:r w:rsidR="00672E71">
        <w:rPr>
          <w:b/>
          <w:bCs/>
        </w:rPr>
        <w:t xml:space="preserve">or “CMOD” </w:t>
      </w:r>
      <w:r w:rsidRPr="0025631D">
        <w:t xml:space="preserve">means </w:t>
      </w:r>
      <w:r w:rsidR="00672E71">
        <w:t xml:space="preserve">the </w:t>
      </w:r>
      <w:r w:rsidR="00667270">
        <w:t xml:space="preserve">commencement date of commercial operations of </w:t>
      </w:r>
      <w:r w:rsidRPr="0025631D">
        <w:t>the CTBCM</w:t>
      </w:r>
      <w:r w:rsidR="00A25C57">
        <w:t>;</w:t>
      </w:r>
    </w:p>
    <w:p w14:paraId="7728AEFF" w14:textId="54EF2BE5" w:rsidR="000C7941" w:rsidRDefault="000C7941" w:rsidP="00FF4826">
      <w:pPr>
        <w:pStyle w:val="ListParagraph"/>
        <w:numPr>
          <w:ilvl w:val="0"/>
          <w:numId w:val="19"/>
        </w:numPr>
        <w:tabs>
          <w:tab w:val="clear" w:pos="720"/>
        </w:tabs>
        <w:ind w:left="1701"/>
      </w:pPr>
      <w:r w:rsidRPr="0025631D">
        <w:rPr>
          <w:b/>
          <w:bCs/>
        </w:rPr>
        <w:lastRenderedPageBreak/>
        <w:t xml:space="preserve">“Competitive </w:t>
      </w:r>
      <w:r w:rsidR="00BF564D">
        <w:rPr>
          <w:b/>
          <w:bCs/>
        </w:rPr>
        <w:t>Electric Power Supplier</w:t>
      </w:r>
      <w:r w:rsidRPr="0025631D">
        <w:rPr>
          <w:b/>
          <w:bCs/>
        </w:rPr>
        <w:t xml:space="preserve">” </w:t>
      </w:r>
      <w:r w:rsidRPr="0025631D">
        <w:t xml:space="preserve">means </w:t>
      </w:r>
      <w:r w:rsidR="0025631D" w:rsidRPr="0025631D">
        <w:t xml:space="preserve"> a  person which has </w:t>
      </w:r>
      <w:r w:rsidR="00667270">
        <w:t>been granted</w:t>
      </w:r>
      <w:r w:rsidR="00667270" w:rsidRPr="0025631D">
        <w:t xml:space="preserve"> </w:t>
      </w:r>
      <w:r w:rsidR="0025631D" w:rsidRPr="0025631D">
        <w:t xml:space="preserve">a Supply License </w:t>
      </w:r>
      <w:r w:rsidR="00667270">
        <w:t>by</w:t>
      </w:r>
      <w:r w:rsidR="00667270" w:rsidRPr="0025631D">
        <w:t xml:space="preserve"> </w:t>
      </w:r>
      <w:r w:rsidR="0025631D" w:rsidRPr="0025631D">
        <w:t xml:space="preserve">the Authority, to supply </w:t>
      </w:r>
      <w:r w:rsidR="00667270">
        <w:t>electric power</w:t>
      </w:r>
      <w:r w:rsidR="00667270" w:rsidRPr="0025631D">
        <w:t xml:space="preserve"> </w:t>
      </w:r>
      <w:r w:rsidR="0025631D" w:rsidRPr="0025631D">
        <w:t>to BPCs at bilateral</w:t>
      </w:r>
      <w:r w:rsidR="00FA5E42">
        <w:t>ly</w:t>
      </w:r>
      <w:r w:rsidR="0025631D" w:rsidRPr="0025631D">
        <w:t xml:space="preserve"> negotiated rates</w:t>
      </w:r>
      <w:r w:rsidR="00A25C57">
        <w:t>;</w:t>
      </w:r>
    </w:p>
    <w:p w14:paraId="64372AFA" w14:textId="01F964A8" w:rsidR="00135791" w:rsidRPr="0025631D" w:rsidRDefault="00135791" w:rsidP="00FF4826">
      <w:pPr>
        <w:pStyle w:val="ListParagraph"/>
        <w:numPr>
          <w:ilvl w:val="0"/>
          <w:numId w:val="19"/>
        </w:numPr>
        <w:tabs>
          <w:tab w:val="clear" w:pos="720"/>
        </w:tabs>
        <w:ind w:left="1701"/>
      </w:pPr>
      <w:r>
        <w:t>“</w:t>
      </w:r>
      <w:r w:rsidRPr="00135791">
        <w:rPr>
          <w:b/>
          <w:bCs/>
        </w:rPr>
        <w:t>Compliance with Capacity Obligations Report</w:t>
      </w:r>
      <w:r>
        <w:t xml:space="preserve">” </w:t>
      </w:r>
      <w:r w:rsidR="0022348E">
        <w:t xml:space="preserve">shall have </w:t>
      </w:r>
      <w:r>
        <w:t xml:space="preserve">the meaning </w:t>
      </w:r>
      <w:r w:rsidR="0022348E">
        <w:t xml:space="preserve">assigned </w:t>
      </w:r>
      <w:r>
        <w:t xml:space="preserve">to the term in </w:t>
      </w:r>
      <w:r w:rsidR="008C02F7">
        <w:t>Sub-Section</w:t>
      </w:r>
      <w:r>
        <w:t xml:space="preserve"> </w:t>
      </w:r>
      <w:r>
        <w:fldChar w:fldCharType="begin"/>
      </w:r>
      <w:r>
        <w:instrText xml:space="preserve"> REF _Ref66631059 \r \h </w:instrText>
      </w:r>
      <w:r>
        <w:fldChar w:fldCharType="separate"/>
      </w:r>
      <w:r w:rsidR="00251DBF">
        <w:t>11.5.1</w:t>
      </w:r>
      <w:r>
        <w:fldChar w:fldCharType="end"/>
      </w:r>
      <w:r>
        <w:t>of this Code</w:t>
      </w:r>
      <w:r w:rsidR="00A25C57">
        <w:t>;</w:t>
      </w:r>
    </w:p>
    <w:p w14:paraId="761C0E42" w14:textId="7ABE32C7" w:rsidR="00557218" w:rsidRPr="0025631D" w:rsidRDefault="00557218" w:rsidP="00FF4826">
      <w:pPr>
        <w:pStyle w:val="ListParagraph"/>
        <w:numPr>
          <w:ilvl w:val="0"/>
          <w:numId w:val="19"/>
        </w:numPr>
        <w:tabs>
          <w:tab w:val="clear" w:pos="720"/>
        </w:tabs>
        <w:ind w:left="1701"/>
      </w:pPr>
      <w:r w:rsidRPr="0025631D">
        <w:rPr>
          <w:b/>
          <w:bCs/>
        </w:rPr>
        <w:t xml:space="preserve">“Condition” </w:t>
      </w:r>
      <w:r w:rsidRPr="0025631D">
        <w:t xml:space="preserve">means </w:t>
      </w:r>
      <w:r w:rsidR="0088529C">
        <w:t xml:space="preserve">a </w:t>
      </w:r>
      <w:r w:rsidRPr="0025631D">
        <w:t xml:space="preserve">condition of </w:t>
      </w:r>
      <w:r w:rsidR="0088529C">
        <w:t>this</w:t>
      </w:r>
      <w:r w:rsidR="00F64A42">
        <w:t xml:space="preserve"> Code</w:t>
      </w:r>
      <w:r w:rsidR="00A25C57">
        <w:t>;</w:t>
      </w:r>
    </w:p>
    <w:p w14:paraId="061448B7" w14:textId="310A33F7" w:rsidR="00557218" w:rsidRPr="0025631D" w:rsidRDefault="00557218" w:rsidP="00FF4826">
      <w:pPr>
        <w:pStyle w:val="ListParagraph"/>
        <w:numPr>
          <w:ilvl w:val="0"/>
          <w:numId w:val="19"/>
        </w:numPr>
        <w:tabs>
          <w:tab w:val="clear" w:pos="720"/>
        </w:tabs>
        <w:ind w:left="1701"/>
        <w:rPr>
          <w:b/>
          <w:bCs/>
        </w:rPr>
      </w:pPr>
      <w:r w:rsidRPr="0025631D">
        <w:rPr>
          <w:b/>
          <w:bCs/>
        </w:rPr>
        <w:t xml:space="preserve">“Confidential Information” </w:t>
      </w:r>
      <w:r w:rsidRPr="0025631D">
        <w:t>means</w:t>
      </w:r>
      <w:r w:rsidR="0025631D" w:rsidRPr="0025631D">
        <w:t>:</w:t>
      </w:r>
    </w:p>
    <w:p w14:paraId="2D5BE786" w14:textId="5A7EF3FF" w:rsidR="00557218" w:rsidRDefault="00557218" w:rsidP="00B03234">
      <w:pPr>
        <w:pStyle w:val="Heading5"/>
      </w:pPr>
      <w:r>
        <w:t>proprietary</w:t>
      </w:r>
      <w:r w:rsidR="0088529C">
        <w:t xml:space="preserve"> information of a person</w:t>
      </w:r>
      <w:r>
        <w:t xml:space="preserve"> or </w:t>
      </w:r>
      <w:r w:rsidR="0088529C">
        <w:t xml:space="preserve">such other information which </w:t>
      </w:r>
      <w:r>
        <w:t xml:space="preserve">has been </w:t>
      </w:r>
      <w:r w:rsidR="0088529C">
        <w:t xml:space="preserve">explicitly </w:t>
      </w:r>
      <w:r>
        <w:t xml:space="preserve">specified by </w:t>
      </w:r>
      <w:r w:rsidR="0088529C">
        <w:t xml:space="preserve">the </w:t>
      </w:r>
      <w:r>
        <w:t xml:space="preserve">disclosing person </w:t>
      </w:r>
      <w:r w:rsidR="0088529C">
        <w:t>as confidential</w:t>
      </w:r>
      <w:r>
        <w:t xml:space="preserve">, where </w:t>
      </w:r>
      <w:r w:rsidR="00DE12FA">
        <w:t xml:space="preserve">the </w:t>
      </w:r>
      <w:r>
        <w:t>disclosure</w:t>
      </w:r>
      <w:r w:rsidR="00DE12FA">
        <w:t xml:space="preserve"> of such information</w:t>
      </w:r>
      <w:r>
        <w:t xml:space="preserve"> </w:t>
      </w:r>
      <w:r w:rsidR="00DE12FA">
        <w:t xml:space="preserve">may </w:t>
      </w:r>
      <w:r>
        <w:t>reasonably be expected to:</w:t>
      </w:r>
    </w:p>
    <w:p w14:paraId="39CDC8BC" w14:textId="4E4DCD95" w:rsidR="00557218" w:rsidRDefault="00557218" w:rsidP="00CF7164">
      <w:pPr>
        <w:pStyle w:val="Heading6"/>
      </w:pPr>
      <w:r>
        <w:t>prejudice significantly the competitive position of the disclosing person</w:t>
      </w:r>
      <w:r w:rsidR="00AC54F8">
        <w:t>;</w:t>
      </w:r>
    </w:p>
    <w:p w14:paraId="269AB1F6" w14:textId="53635813" w:rsidR="00557218" w:rsidRDefault="00557218" w:rsidP="00CF7164">
      <w:pPr>
        <w:pStyle w:val="Heading6"/>
      </w:pPr>
      <w:r>
        <w:t xml:space="preserve">result in material loss or gain to the disclosing person or </w:t>
      </w:r>
      <w:r w:rsidR="00DE12FA">
        <w:t xml:space="preserve">any other </w:t>
      </w:r>
      <w:r>
        <w:t>person</w:t>
      </w:r>
      <w:r w:rsidR="00AC54F8">
        <w:t>;</w:t>
      </w:r>
    </w:p>
    <w:p w14:paraId="17A9DFCB" w14:textId="2536B3F6" w:rsidR="00557218" w:rsidRDefault="00557218" w:rsidP="00CF7164">
      <w:pPr>
        <w:pStyle w:val="Heading6"/>
      </w:pPr>
      <w:r>
        <w:t xml:space="preserve">compromise the </w:t>
      </w:r>
      <w:r w:rsidR="00DE12FA">
        <w:t xml:space="preserve">implementation </w:t>
      </w:r>
      <w:r>
        <w:t xml:space="preserve">of </w:t>
      </w:r>
      <w:r w:rsidR="00F05124">
        <w:t>this Code</w:t>
      </w:r>
      <w:r>
        <w:t xml:space="preserve"> or the Grid Code</w:t>
      </w:r>
      <w:r w:rsidR="00AC54F8">
        <w:t>;</w:t>
      </w:r>
      <w:r>
        <w:t xml:space="preserve"> or</w:t>
      </w:r>
    </w:p>
    <w:p w14:paraId="6AFB35C7" w14:textId="7F65C29A" w:rsidR="00557218" w:rsidRDefault="00557218" w:rsidP="00CF7164">
      <w:pPr>
        <w:pStyle w:val="Heading6"/>
      </w:pPr>
      <w:r>
        <w:t xml:space="preserve">result in the disclosing person being in breach of a bona fide confidentiality agreement; and </w:t>
      </w:r>
    </w:p>
    <w:p w14:paraId="5097762A" w14:textId="5516F9EA" w:rsidR="00557218" w:rsidRDefault="00557218" w:rsidP="00AE1AD1">
      <w:pPr>
        <w:pStyle w:val="Heading5"/>
      </w:pPr>
      <w:r>
        <w:t xml:space="preserve">information required by </w:t>
      </w:r>
      <w:r w:rsidR="005B5E8D">
        <w:t>this Code</w:t>
      </w:r>
      <w:r>
        <w:t>, the Grid Code or Applicable Law to be kept confidential,</w:t>
      </w:r>
      <w:r w:rsidR="00DE12FA">
        <w:t xml:space="preserve"> </w:t>
      </w:r>
      <w:r>
        <w:t xml:space="preserve">provided that information </w:t>
      </w:r>
      <w:r w:rsidR="00201A86">
        <w:t xml:space="preserve">contained in the admission application </w:t>
      </w:r>
      <w:r w:rsidR="00DE12FA">
        <w:t xml:space="preserve">to become a </w:t>
      </w:r>
      <w:r>
        <w:t>Market Participant and information</w:t>
      </w:r>
      <w:r w:rsidR="00DE12FA">
        <w:t xml:space="preserve"> required to be published under </w:t>
      </w:r>
      <w:r w:rsidR="00F05124">
        <w:t>this Code</w:t>
      </w:r>
      <w:r>
        <w:t xml:space="preserve"> shall not be</w:t>
      </w:r>
      <w:r w:rsidR="00666992">
        <w:t xml:space="preserve"> treated as</w:t>
      </w:r>
      <w:r>
        <w:t xml:space="preserve"> Confidential Information</w:t>
      </w:r>
      <w:r w:rsidR="00A25C57">
        <w:t>;</w:t>
      </w:r>
    </w:p>
    <w:p w14:paraId="4E942397" w14:textId="10B68851" w:rsidR="00860A9C" w:rsidRPr="00B03C4A" w:rsidRDefault="00860A9C" w:rsidP="00860A9C">
      <w:pPr>
        <w:pStyle w:val="ListParagraph"/>
        <w:numPr>
          <w:ilvl w:val="0"/>
          <w:numId w:val="19"/>
        </w:numPr>
        <w:tabs>
          <w:tab w:val="clear" w:pos="720"/>
        </w:tabs>
        <w:ind w:left="1701"/>
        <w:rPr>
          <w:b/>
          <w:bCs/>
        </w:rPr>
      </w:pPr>
      <w:r w:rsidRPr="00860A9C">
        <w:rPr>
          <w:b/>
          <w:bCs/>
        </w:rPr>
        <w:t>“Congested Area</w:t>
      </w:r>
      <w:r w:rsidRPr="00860A9C">
        <w:t xml:space="preserve">” </w:t>
      </w:r>
      <w:r w:rsidR="00666992">
        <w:t>shall have</w:t>
      </w:r>
      <w:r w:rsidR="00666992" w:rsidRPr="00860A9C">
        <w:t xml:space="preserve"> </w:t>
      </w:r>
      <w:r w:rsidRPr="00860A9C">
        <w:t xml:space="preserve">the meaning </w:t>
      </w:r>
      <w:r w:rsidR="00666992">
        <w:t>assigned</w:t>
      </w:r>
      <w:r w:rsidR="00666992" w:rsidRPr="00860A9C">
        <w:t xml:space="preserve"> </w:t>
      </w:r>
      <w:r w:rsidRPr="00860A9C">
        <w:t xml:space="preserve">to the term in </w:t>
      </w:r>
      <w:r w:rsidR="008C02F7">
        <w:t>Sub-Section</w:t>
      </w:r>
      <w:r w:rsidRPr="00860A9C">
        <w:t xml:space="preserve"> </w:t>
      </w:r>
      <w:r w:rsidRPr="00860A9C">
        <w:fldChar w:fldCharType="begin"/>
      </w:r>
      <w:r w:rsidRPr="00860A9C">
        <w:instrText xml:space="preserve"> REF _Ref64572794 \r \h  \* MERGEFORMAT </w:instrText>
      </w:r>
      <w:r w:rsidRPr="00860A9C">
        <w:fldChar w:fldCharType="separate"/>
      </w:r>
      <w:r w:rsidR="00251DBF">
        <w:t>7.1.1</w:t>
      </w:r>
      <w:r w:rsidRPr="00860A9C">
        <w:fldChar w:fldCharType="end"/>
      </w:r>
      <w:r w:rsidRPr="00860A9C">
        <w:t>of this Code</w:t>
      </w:r>
      <w:r w:rsidR="00A25C57">
        <w:t>;</w:t>
      </w:r>
    </w:p>
    <w:p w14:paraId="456F3425" w14:textId="6476ADA8" w:rsidR="00931E2B" w:rsidRPr="00497642" w:rsidRDefault="00931E2B" w:rsidP="00931E2B">
      <w:pPr>
        <w:pStyle w:val="ListParagraph"/>
        <w:numPr>
          <w:ilvl w:val="0"/>
          <w:numId w:val="19"/>
        </w:numPr>
        <w:tabs>
          <w:tab w:val="clear" w:pos="720"/>
        </w:tabs>
        <w:ind w:left="1701"/>
      </w:pPr>
      <w:r w:rsidRPr="008E7D79">
        <w:rPr>
          <w:b/>
          <w:bCs/>
        </w:rPr>
        <w:t>“Congested Zone”</w:t>
      </w:r>
      <w:r w:rsidRPr="00497642">
        <w:t xml:space="preserve"> </w:t>
      </w:r>
      <w:r>
        <w:t>shall have the meaning assigned to the term</w:t>
      </w:r>
      <w:r w:rsidRPr="00497642">
        <w:t xml:space="preserve"> in </w:t>
      </w:r>
      <w:r w:rsidR="008C02F7">
        <w:t>Sub-Section</w:t>
      </w:r>
      <w:r w:rsidRPr="00497642">
        <w:t xml:space="preserve"> </w:t>
      </w:r>
      <w:r w:rsidRPr="00497642">
        <w:fldChar w:fldCharType="begin"/>
      </w:r>
      <w:r w:rsidRPr="00497642">
        <w:instrText xml:space="preserve"> REF _Ref64572794 \r \h  \* MERGEFORMAT </w:instrText>
      </w:r>
      <w:r w:rsidRPr="00497642">
        <w:fldChar w:fldCharType="separate"/>
      </w:r>
      <w:r>
        <w:t>7.1.1</w:t>
      </w:r>
      <w:r w:rsidRPr="00497642">
        <w:fldChar w:fldCharType="end"/>
      </w:r>
      <w:r w:rsidRPr="00497642">
        <w:t xml:space="preserve">of </w:t>
      </w:r>
      <w:r>
        <w:t>this Code</w:t>
      </w:r>
      <w:r w:rsidR="00A25C57">
        <w:t>;</w:t>
      </w:r>
      <w:r w:rsidRPr="00497642">
        <w:t xml:space="preserve"> </w:t>
      </w:r>
    </w:p>
    <w:p w14:paraId="28AEE043" w14:textId="493A964E" w:rsidR="00587487" w:rsidRPr="00956479" w:rsidRDefault="00587487" w:rsidP="00FF4826">
      <w:pPr>
        <w:pStyle w:val="ListParagraph"/>
        <w:numPr>
          <w:ilvl w:val="0"/>
          <w:numId w:val="19"/>
        </w:numPr>
        <w:tabs>
          <w:tab w:val="clear" w:pos="720"/>
        </w:tabs>
        <w:ind w:left="1701"/>
        <w:rPr>
          <w:b/>
          <w:bCs/>
        </w:rPr>
      </w:pPr>
      <w:r>
        <w:rPr>
          <w:b/>
          <w:bCs/>
        </w:rPr>
        <w:t>“</w:t>
      </w:r>
      <w:r w:rsidRPr="00C15518">
        <w:rPr>
          <w:b/>
          <w:bCs/>
        </w:rPr>
        <w:t>Congestion</w:t>
      </w:r>
      <w:r>
        <w:rPr>
          <w:b/>
          <w:bCs/>
        </w:rPr>
        <w:t xml:space="preserve">” </w:t>
      </w:r>
      <w:r w:rsidRPr="00C15518">
        <w:t>means</w:t>
      </w:r>
      <w:r>
        <w:t xml:space="preserve"> </w:t>
      </w:r>
      <w:r w:rsidRPr="00C15518">
        <w:t>a</w:t>
      </w:r>
      <w:r>
        <w:t xml:space="preserve"> </w:t>
      </w:r>
      <w:r w:rsidRPr="0025631D">
        <w:t>situation</w:t>
      </w:r>
      <w:r>
        <w:t xml:space="preserve"> in the Transmission or Distribution Network </w:t>
      </w:r>
      <w:r w:rsidR="00666992">
        <w:t xml:space="preserve">where </w:t>
      </w:r>
      <w:r>
        <w:t xml:space="preserve">the least cost dispatch </w:t>
      </w:r>
      <w:r w:rsidR="00EA6E8B">
        <w:t xml:space="preserve">of Generation Units </w:t>
      </w:r>
      <w:r w:rsidR="00666992">
        <w:t xml:space="preserve">may </w:t>
      </w:r>
      <w:r>
        <w:t xml:space="preserve">result in overload </w:t>
      </w:r>
      <w:r w:rsidR="00666992">
        <w:t>of</w:t>
      </w:r>
      <w:r>
        <w:t xml:space="preserve"> </w:t>
      </w:r>
      <w:r w:rsidR="00666992">
        <w:t>e</w:t>
      </w:r>
      <w:r>
        <w:t xml:space="preserve">quipment or </w:t>
      </w:r>
      <w:r w:rsidR="00666992">
        <w:t>unstable</w:t>
      </w:r>
      <w:r>
        <w:t xml:space="preserve"> voltage levels or violation of the </w:t>
      </w:r>
      <w:r w:rsidR="00511B4C">
        <w:t>r</w:t>
      </w:r>
      <w:r>
        <w:t xml:space="preserve">eliability </w:t>
      </w:r>
      <w:r w:rsidR="00001311">
        <w:t xml:space="preserve">and </w:t>
      </w:r>
      <w:r w:rsidR="00511B4C">
        <w:t>s</w:t>
      </w:r>
      <w:r>
        <w:t xml:space="preserve">ecurity </w:t>
      </w:r>
      <w:r w:rsidR="00511B4C">
        <w:t>c</w:t>
      </w:r>
      <w:r>
        <w:t xml:space="preserve">riteria </w:t>
      </w:r>
      <w:r w:rsidR="00001311">
        <w:t xml:space="preserve">provided </w:t>
      </w:r>
      <w:r>
        <w:t>in the Grid Code</w:t>
      </w:r>
      <w:r w:rsidR="00A25C57">
        <w:t>;</w:t>
      </w:r>
      <w:r>
        <w:t xml:space="preserve"> </w:t>
      </w:r>
    </w:p>
    <w:p w14:paraId="182C9992" w14:textId="2938BD12" w:rsidR="008A0B30" w:rsidRDefault="008A0B30" w:rsidP="00FF4826">
      <w:pPr>
        <w:pStyle w:val="ListParagraph"/>
        <w:numPr>
          <w:ilvl w:val="0"/>
          <w:numId w:val="19"/>
        </w:numPr>
        <w:tabs>
          <w:tab w:val="clear" w:pos="720"/>
        </w:tabs>
        <w:ind w:left="1701"/>
      </w:pPr>
      <w:r w:rsidRPr="008970C0">
        <w:rPr>
          <w:b/>
          <w:bCs/>
        </w:rPr>
        <w:t>“Connect”</w:t>
      </w:r>
      <w:r w:rsidR="00557218" w:rsidRPr="008970C0">
        <w:rPr>
          <w:b/>
          <w:bCs/>
        </w:rPr>
        <w:t xml:space="preserve"> </w:t>
      </w:r>
      <w:r w:rsidRPr="008970C0">
        <w:t xml:space="preserve">means a form of physical link to the </w:t>
      </w:r>
      <w:r w:rsidR="00557218" w:rsidRPr="008970C0">
        <w:t>Transmission or Distribution Network</w:t>
      </w:r>
      <w:r w:rsidRPr="008970C0">
        <w:t xml:space="preserve"> and </w:t>
      </w:r>
      <w:r w:rsidR="00001311">
        <w:t>related</w:t>
      </w:r>
      <w:r w:rsidR="00001311" w:rsidRPr="008970C0">
        <w:t xml:space="preserve"> </w:t>
      </w:r>
      <w:r w:rsidRPr="008970C0">
        <w:t>terms shall be construed accordingly</w:t>
      </w:r>
      <w:r w:rsidR="00A25C57">
        <w:t>;</w:t>
      </w:r>
    </w:p>
    <w:p w14:paraId="7013F1B4" w14:textId="1E228D94" w:rsidR="00EF00C5" w:rsidRPr="004919B7" w:rsidRDefault="00EF00C5" w:rsidP="00FF4826">
      <w:pPr>
        <w:pStyle w:val="ListParagraph"/>
        <w:numPr>
          <w:ilvl w:val="0"/>
          <w:numId w:val="19"/>
        </w:numPr>
        <w:tabs>
          <w:tab w:val="clear" w:pos="720"/>
        </w:tabs>
        <w:ind w:left="1701"/>
      </w:pPr>
      <w:r w:rsidRPr="000F1690">
        <w:rPr>
          <w:b/>
          <w:bCs/>
        </w:rPr>
        <w:t xml:space="preserve">“Connection Agreement” </w:t>
      </w:r>
      <w:r w:rsidRPr="004919B7">
        <w:t xml:space="preserve">means </w:t>
      </w:r>
      <w:r w:rsidR="00001311">
        <w:t>an</w:t>
      </w:r>
      <w:r w:rsidR="00001311" w:rsidRPr="004919B7">
        <w:t xml:space="preserve"> </w:t>
      </w:r>
      <w:r w:rsidRPr="004919B7">
        <w:t>agreement</w:t>
      </w:r>
      <w:r w:rsidR="00001311">
        <w:t xml:space="preserve"> for the provision of network services</w:t>
      </w:r>
      <w:r w:rsidRPr="004919B7">
        <w:t xml:space="preserve"> between </w:t>
      </w:r>
      <w:r w:rsidR="008B703F">
        <w:t xml:space="preserve">a </w:t>
      </w:r>
      <w:r>
        <w:t>Transmission Service Provider or a Distribution Network Service Provider</w:t>
      </w:r>
      <w:r w:rsidRPr="004919B7">
        <w:t xml:space="preserve">, as </w:t>
      </w:r>
      <w:r w:rsidR="00001311">
        <w:t>the case may be</w:t>
      </w:r>
      <w:r w:rsidRPr="004919B7">
        <w:t xml:space="preserve">, and a </w:t>
      </w:r>
      <w:r>
        <w:t>Market Participant</w:t>
      </w:r>
      <w:r w:rsidRPr="004919B7">
        <w:t xml:space="preserve"> </w:t>
      </w:r>
      <w:r w:rsidR="002A68BF">
        <w:t>or a BPC</w:t>
      </w:r>
      <w:r w:rsidR="008B703F">
        <w:t xml:space="preserve"> or</w:t>
      </w:r>
      <w:r w:rsidR="006C0336">
        <w:t xml:space="preserve"> </w:t>
      </w:r>
      <w:r w:rsidR="008B703F">
        <w:t>an</w:t>
      </w:r>
      <w:r w:rsidR="008B703F" w:rsidRPr="004919B7">
        <w:t xml:space="preserve"> agreement</w:t>
      </w:r>
      <w:r w:rsidR="008B703F">
        <w:t xml:space="preserve"> </w:t>
      </w:r>
      <w:r w:rsidR="008B703F" w:rsidRPr="004919B7">
        <w:t>between</w:t>
      </w:r>
      <w:r w:rsidR="008B703F">
        <w:t xml:space="preserve"> </w:t>
      </w:r>
      <w:r w:rsidR="006C0336">
        <w:t>two network Service Providers</w:t>
      </w:r>
      <w:r w:rsidR="00A25C57">
        <w:t>;</w:t>
      </w:r>
    </w:p>
    <w:p w14:paraId="4F9910DA" w14:textId="5A4AE553" w:rsidR="00EB027C" w:rsidRPr="008970C0" w:rsidRDefault="00EB027C" w:rsidP="00FF4826">
      <w:pPr>
        <w:pStyle w:val="ListParagraph"/>
        <w:numPr>
          <w:ilvl w:val="0"/>
          <w:numId w:val="19"/>
        </w:numPr>
        <w:tabs>
          <w:tab w:val="clear" w:pos="720"/>
        </w:tabs>
        <w:ind w:left="1701"/>
      </w:pPr>
      <w:r w:rsidRPr="00EB027C">
        <w:rPr>
          <w:b/>
          <w:bCs/>
        </w:rPr>
        <w:t xml:space="preserve">“Connection Point” </w:t>
      </w:r>
      <w:r w:rsidRPr="00EB027C">
        <w:t>means a point of connection between</w:t>
      </w:r>
      <w:r>
        <w:t>:</w:t>
      </w:r>
    </w:p>
    <w:p w14:paraId="67556A85" w14:textId="7F04B06C" w:rsidR="005A3B71" w:rsidRDefault="008B703F" w:rsidP="00FF4826">
      <w:pPr>
        <w:pStyle w:val="ListParagraph"/>
        <w:numPr>
          <w:ilvl w:val="2"/>
          <w:numId w:val="34"/>
        </w:numPr>
      </w:pPr>
      <w:r>
        <w:t>a</w:t>
      </w:r>
      <w:r w:rsidR="008A0B30" w:rsidRPr="008970C0">
        <w:t xml:space="preserve"> </w:t>
      </w:r>
      <w:r w:rsidR="00557218" w:rsidRPr="008970C0">
        <w:t xml:space="preserve">Transmission </w:t>
      </w:r>
      <w:r w:rsidR="005A3B71">
        <w:t xml:space="preserve">or </w:t>
      </w:r>
      <w:r>
        <w:t>a</w:t>
      </w:r>
      <w:r w:rsidR="005A3B71">
        <w:t xml:space="preserve"> Distribution </w:t>
      </w:r>
      <w:r>
        <w:t xml:space="preserve">Network </w:t>
      </w:r>
      <w:r w:rsidR="0047258B">
        <w:t xml:space="preserve">and a </w:t>
      </w:r>
      <w:r w:rsidR="005A3B71">
        <w:t xml:space="preserve">Generation Plant or Generation Unit; </w:t>
      </w:r>
    </w:p>
    <w:p w14:paraId="686DBCEE" w14:textId="53743027" w:rsidR="00D2435B" w:rsidRDefault="00D2435B" w:rsidP="00FF4826">
      <w:pPr>
        <w:pStyle w:val="ListParagraph"/>
        <w:numPr>
          <w:ilvl w:val="2"/>
          <w:numId w:val="34"/>
        </w:numPr>
      </w:pPr>
      <w:r>
        <w:t>A</w:t>
      </w:r>
      <w:r w:rsidRPr="008970C0">
        <w:t xml:space="preserve"> Transmission </w:t>
      </w:r>
      <w:r>
        <w:t>Licensee or a Distribution Licensee and a BPC; or</w:t>
      </w:r>
    </w:p>
    <w:p w14:paraId="1972C3AB" w14:textId="53AEB10B" w:rsidR="0047258B" w:rsidRDefault="0047258B" w:rsidP="00FF4826">
      <w:pPr>
        <w:pStyle w:val="ListParagraph"/>
        <w:numPr>
          <w:ilvl w:val="2"/>
          <w:numId w:val="34"/>
        </w:numPr>
      </w:pPr>
      <w:r>
        <w:t xml:space="preserve">A Transmission </w:t>
      </w:r>
      <w:r w:rsidR="00D2435B">
        <w:t>Licensee</w:t>
      </w:r>
      <w:r>
        <w:t xml:space="preserve"> and a Distribution </w:t>
      </w:r>
      <w:r w:rsidR="00D2435B">
        <w:t>Licensee</w:t>
      </w:r>
      <w:r>
        <w:t>;</w:t>
      </w:r>
      <w:r w:rsidR="00EB027C">
        <w:t xml:space="preserve"> or</w:t>
      </w:r>
    </w:p>
    <w:p w14:paraId="68598566" w14:textId="40DE5C97" w:rsidR="0047258B" w:rsidRDefault="0047258B" w:rsidP="00FF4826">
      <w:pPr>
        <w:pStyle w:val="ListParagraph"/>
        <w:numPr>
          <w:ilvl w:val="2"/>
          <w:numId w:val="34"/>
        </w:numPr>
      </w:pPr>
      <w:r>
        <w:t xml:space="preserve">Two different Transmission </w:t>
      </w:r>
      <w:r w:rsidR="00D2435B">
        <w:t>Licensees</w:t>
      </w:r>
      <w:r>
        <w:t xml:space="preserve"> or Distribution </w:t>
      </w:r>
      <w:r w:rsidR="00D2435B">
        <w:t>Licensees</w:t>
      </w:r>
      <w:r>
        <w:t xml:space="preserve">; </w:t>
      </w:r>
      <w:r w:rsidR="00EB027C">
        <w:t>or</w:t>
      </w:r>
    </w:p>
    <w:p w14:paraId="5A67BDE9" w14:textId="5B6D454F" w:rsidR="0047258B" w:rsidRDefault="00EB027C" w:rsidP="00FF4826">
      <w:pPr>
        <w:pStyle w:val="ListParagraph"/>
        <w:numPr>
          <w:ilvl w:val="2"/>
          <w:numId w:val="34"/>
        </w:numPr>
      </w:pPr>
      <w:r>
        <w:t xml:space="preserve">A Transmission </w:t>
      </w:r>
      <w:r w:rsidR="00D2435B">
        <w:t>Licensee</w:t>
      </w:r>
      <w:r>
        <w:t xml:space="preserve"> </w:t>
      </w:r>
      <w:r w:rsidR="00D2435B">
        <w:t xml:space="preserve">or Distribution Licensee </w:t>
      </w:r>
      <w:r>
        <w:t xml:space="preserve">and </w:t>
      </w:r>
      <w:r w:rsidR="0047258B" w:rsidRPr="0047258B">
        <w:t xml:space="preserve">foreign countries or </w:t>
      </w:r>
      <w:r>
        <w:t xml:space="preserve">territories </w:t>
      </w:r>
      <w:r w:rsidR="0047258B" w:rsidRPr="0047258B">
        <w:t>where the applicability of the Act is not extended</w:t>
      </w:r>
      <w:r w:rsidR="00D2435B">
        <w:t>; or</w:t>
      </w:r>
    </w:p>
    <w:p w14:paraId="3844AF61" w14:textId="77777777" w:rsidR="008F4B97" w:rsidRDefault="00D2435B" w:rsidP="00FF4826">
      <w:pPr>
        <w:pStyle w:val="ListParagraph"/>
        <w:numPr>
          <w:ilvl w:val="2"/>
          <w:numId w:val="34"/>
        </w:numPr>
      </w:pPr>
      <w:r>
        <w:t>Two different Market Participants</w:t>
      </w:r>
      <w:r w:rsidR="008F4B97">
        <w:t>; or</w:t>
      </w:r>
    </w:p>
    <w:p w14:paraId="27CB8E80" w14:textId="71F127E7" w:rsidR="00D2435B" w:rsidRDefault="008F4B97" w:rsidP="00FF4826">
      <w:pPr>
        <w:pStyle w:val="ListParagraph"/>
        <w:numPr>
          <w:ilvl w:val="2"/>
          <w:numId w:val="34"/>
        </w:numPr>
      </w:pPr>
      <w:r>
        <w:t>Any other point within the Transmission or Distribution Networks</w:t>
      </w:r>
      <w:r w:rsidR="008B703F">
        <w:t>,</w:t>
      </w:r>
      <w:r>
        <w:t xml:space="preserve"> which the Market or System Operator considers necessary to be metered for the proper implementation of </w:t>
      </w:r>
      <w:r w:rsidR="00F05124">
        <w:t>this Code</w:t>
      </w:r>
      <w:r w:rsidR="00A25C57">
        <w:t>;</w:t>
      </w:r>
      <w:r w:rsidR="00D2435B">
        <w:t xml:space="preserve">  </w:t>
      </w:r>
    </w:p>
    <w:p w14:paraId="1F1BE404" w14:textId="2DBCE8D0" w:rsidR="008A0B30" w:rsidRPr="008970C0" w:rsidRDefault="008A0B30" w:rsidP="00FF4826">
      <w:pPr>
        <w:pStyle w:val="ListParagraph"/>
        <w:numPr>
          <w:ilvl w:val="0"/>
          <w:numId w:val="19"/>
        </w:numPr>
        <w:tabs>
          <w:tab w:val="clear" w:pos="720"/>
        </w:tabs>
        <w:ind w:left="1701"/>
      </w:pPr>
      <w:r w:rsidRPr="008970C0">
        <w:rPr>
          <w:b/>
          <w:bCs/>
        </w:rPr>
        <w:lastRenderedPageBreak/>
        <w:t>“Contract Market”</w:t>
      </w:r>
      <w:r w:rsidR="00D464DA">
        <w:t xml:space="preserve"> </w:t>
      </w:r>
      <w:r w:rsidRPr="008970C0">
        <w:t xml:space="preserve">means the </w:t>
      </w:r>
      <w:r w:rsidR="001C333B">
        <w:t>Bilateral</w:t>
      </w:r>
      <w:r w:rsidRPr="008970C0">
        <w:t xml:space="preserve"> </w:t>
      </w:r>
      <w:r w:rsidR="008B703F">
        <w:t>C</w:t>
      </w:r>
      <w:r w:rsidRPr="008970C0">
        <w:t xml:space="preserve">ontracts </w:t>
      </w:r>
      <w:r w:rsidR="008B703F">
        <w:t>market established under this Code</w:t>
      </w:r>
      <w:r w:rsidR="00A25C57">
        <w:t>;</w:t>
      </w:r>
      <w:r w:rsidR="008B703F">
        <w:t xml:space="preserve"> </w:t>
      </w:r>
    </w:p>
    <w:p w14:paraId="0A980457" w14:textId="19E7AF45" w:rsidR="008A0B30" w:rsidRPr="008970C0" w:rsidRDefault="008A0B30" w:rsidP="00FF4826">
      <w:pPr>
        <w:pStyle w:val="ListParagraph"/>
        <w:numPr>
          <w:ilvl w:val="0"/>
          <w:numId w:val="19"/>
        </w:numPr>
        <w:tabs>
          <w:tab w:val="clear" w:pos="720"/>
        </w:tabs>
        <w:ind w:left="1701"/>
      </w:pPr>
      <w:r w:rsidRPr="008970C0">
        <w:rPr>
          <w:b/>
          <w:bCs/>
        </w:rPr>
        <w:t>“Contract Register”</w:t>
      </w:r>
      <w:r w:rsidR="00D464DA">
        <w:rPr>
          <w:b/>
          <w:bCs/>
        </w:rPr>
        <w:t xml:space="preserve"> </w:t>
      </w:r>
      <w:r w:rsidRPr="008970C0">
        <w:t xml:space="preserve">means the record organized and maintained by the Market Operator </w:t>
      </w:r>
      <w:r w:rsidR="00867C2B">
        <w:t>for</w:t>
      </w:r>
      <w:r w:rsidRPr="008970C0">
        <w:t xml:space="preserve"> the quantity of </w:t>
      </w:r>
      <w:r w:rsidR="00557115">
        <w:t>E</w:t>
      </w:r>
      <w:r w:rsidR="008970C0" w:rsidRPr="008970C0">
        <w:t xml:space="preserve">nergy and/or </w:t>
      </w:r>
      <w:r w:rsidR="00557115">
        <w:t>C</w:t>
      </w:r>
      <w:r w:rsidR="00557115" w:rsidRPr="008970C0">
        <w:t xml:space="preserve">apacity </w:t>
      </w:r>
      <w:r w:rsidR="00EC1896">
        <w:t>bought and sold</w:t>
      </w:r>
      <w:r w:rsidR="00557115">
        <w:t xml:space="preserve"> among Market Participants</w:t>
      </w:r>
      <w:r w:rsidR="006C0336">
        <w:t xml:space="preserve"> through </w:t>
      </w:r>
      <w:r w:rsidR="00867C2B">
        <w:t>C</w:t>
      </w:r>
      <w:r w:rsidR="006C0336">
        <w:t>ontracts</w:t>
      </w:r>
      <w:r w:rsidR="00A25C57">
        <w:t>;</w:t>
      </w:r>
    </w:p>
    <w:p w14:paraId="30E062AF" w14:textId="2E8CBFCA" w:rsidR="00877381" w:rsidRPr="00C27D2A" w:rsidRDefault="00867C2B" w:rsidP="00FF4826">
      <w:pPr>
        <w:pStyle w:val="ListParagraph"/>
        <w:numPr>
          <w:ilvl w:val="0"/>
          <w:numId w:val="19"/>
        </w:numPr>
        <w:tabs>
          <w:tab w:val="clear" w:pos="720"/>
        </w:tabs>
        <w:ind w:left="1701"/>
      </w:pPr>
      <w:r>
        <w:rPr>
          <w:b/>
          <w:bCs/>
        </w:rPr>
        <w:t>“</w:t>
      </w:r>
      <w:r w:rsidR="00877381" w:rsidRPr="00877381">
        <w:rPr>
          <w:b/>
          <w:bCs/>
        </w:rPr>
        <w:t>Contract Termination Date</w:t>
      </w:r>
      <w:r>
        <w:rPr>
          <w:b/>
          <w:bCs/>
        </w:rPr>
        <w:t>”</w:t>
      </w:r>
      <w:r w:rsidR="00877381">
        <w:rPr>
          <w:b/>
          <w:bCs/>
        </w:rPr>
        <w:t xml:space="preserve"> </w:t>
      </w:r>
      <w:r w:rsidR="00877381">
        <w:t xml:space="preserve">means the termination date of a </w:t>
      </w:r>
      <w:r>
        <w:t>B</w:t>
      </w:r>
      <w:r w:rsidR="00877381" w:rsidRPr="00877381">
        <w:t xml:space="preserve">ilateral </w:t>
      </w:r>
      <w:r>
        <w:t>C</w:t>
      </w:r>
      <w:r w:rsidR="00877381" w:rsidRPr="00877381">
        <w:t>ontract</w:t>
      </w:r>
      <w:r>
        <w:t xml:space="preserve"> agreed between the parties at the time of registration of the Contract</w:t>
      </w:r>
      <w:r w:rsidR="00877381" w:rsidRPr="00877381">
        <w:t xml:space="preserve"> </w:t>
      </w:r>
      <w:r w:rsidR="00877381" w:rsidRPr="00C27D2A">
        <w:t xml:space="preserve">or any other date </w:t>
      </w:r>
      <w:r>
        <w:t>as approved by the</w:t>
      </w:r>
      <w:r w:rsidR="00877381" w:rsidRPr="00C27D2A">
        <w:t xml:space="preserve"> Market Operator</w:t>
      </w:r>
      <w:r w:rsidR="00A25C57">
        <w:t>;</w:t>
      </w:r>
    </w:p>
    <w:p w14:paraId="130C8AEE" w14:textId="0F719800" w:rsidR="00DD0010" w:rsidRPr="00DD0010" w:rsidRDefault="00DD0010" w:rsidP="00DD0010">
      <w:pPr>
        <w:pStyle w:val="ListParagraph"/>
        <w:numPr>
          <w:ilvl w:val="0"/>
          <w:numId w:val="19"/>
        </w:numPr>
        <w:tabs>
          <w:tab w:val="clear" w:pos="720"/>
        </w:tabs>
        <w:ind w:left="1701"/>
      </w:pPr>
      <w:r w:rsidRPr="00DD0010">
        <w:rPr>
          <w:b/>
          <w:bCs/>
        </w:rPr>
        <w:t xml:space="preserve">“Credited Capacity” </w:t>
      </w:r>
      <w:r w:rsidRPr="00DD0010">
        <w:t xml:space="preserve">means the Capacity allocated to a Market Participant </w:t>
      </w:r>
      <w:r w:rsidR="00A070F3">
        <w:t>in</w:t>
      </w:r>
      <w:r w:rsidRPr="00DD0010">
        <w:t xml:space="preserve"> the Balancing Mechanism for Capacity and/or </w:t>
      </w:r>
      <w:r w:rsidR="00A070F3">
        <w:t>verification of</w:t>
      </w:r>
      <w:r w:rsidR="00A070F3" w:rsidRPr="00DD0010">
        <w:t xml:space="preserve"> </w:t>
      </w:r>
      <w:r w:rsidRPr="00DD0010">
        <w:t>its compliance with the Capacity Obligations</w:t>
      </w:r>
      <w:r w:rsidR="00A25C57">
        <w:t>;</w:t>
      </w:r>
      <w:r w:rsidRPr="00DD0010">
        <w:t xml:space="preserve"> </w:t>
      </w:r>
    </w:p>
    <w:p w14:paraId="4F473E0C" w14:textId="3A0B6358" w:rsidR="00A200E5" w:rsidRPr="00874C88" w:rsidRDefault="00A200E5" w:rsidP="00A200E5">
      <w:pPr>
        <w:pStyle w:val="ListParagraph"/>
        <w:numPr>
          <w:ilvl w:val="0"/>
          <w:numId w:val="19"/>
        </w:numPr>
        <w:tabs>
          <w:tab w:val="clear" w:pos="720"/>
        </w:tabs>
        <w:ind w:left="1701"/>
      </w:pPr>
      <w:r w:rsidRPr="00874C88">
        <w:rPr>
          <w:b/>
          <w:bCs/>
        </w:rPr>
        <w:t xml:space="preserve">“Credit Notification” </w:t>
      </w:r>
      <w:r w:rsidRPr="00874C88">
        <w:t xml:space="preserve">means a notification issued by the Market Operator to a Market Participant immediately </w:t>
      </w:r>
      <w:r w:rsidRPr="00B03C4A">
        <w:t>after issuing a Final Settlement Statement</w:t>
      </w:r>
      <w:r w:rsidR="00B76D8D" w:rsidRPr="00874C88">
        <w:t>, Final Yearly Settlement Statement, Extraordinary Yearly Settlement Statement or on account of any other adjustment or payment</w:t>
      </w:r>
      <w:r w:rsidRPr="00874C88">
        <w:t xml:space="preserve"> </w:t>
      </w:r>
      <w:r w:rsidR="00A070F3" w:rsidRPr="00874C88">
        <w:t>regarding the</w:t>
      </w:r>
      <w:r w:rsidRPr="00874C88">
        <w:t xml:space="preserve"> amount it is entitled to receive </w:t>
      </w:r>
      <w:r w:rsidR="00C41E66" w:rsidRPr="00874C88">
        <w:t xml:space="preserve">through </w:t>
      </w:r>
      <w:r w:rsidRPr="00874C88">
        <w:t>the Market Operator</w:t>
      </w:r>
      <w:r w:rsidR="00A070F3" w:rsidRPr="00874C88">
        <w:t xml:space="preserve"> </w:t>
      </w:r>
      <w:r w:rsidR="00C41E66" w:rsidRPr="00874C88">
        <w:t>on</w:t>
      </w:r>
      <w:r w:rsidR="00A070F3" w:rsidRPr="00874C88">
        <w:t xml:space="preserve"> </w:t>
      </w:r>
      <w:r w:rsidR="00A070F3" w:rsidRPr="00B03C4A">
        <w:t xml:space="preserve">the </w:t>
      </w:r>
      <w:r w:rsidR="00874C88" w:rsidRPr="00B03C4A">
        <w:t>Clearing Day or any other date as specified by the Market Operator</w:t>
      </w:r>
      <w:r w:rsidR="00A25C57">
        <w:t>;</w:t>
      </w:r>
    </w:p>
    <w:p w14:paraId="490B3D9B" w14:textId="586B7274" w:rsidR="00A200E5" w:rsidRPr="00874C88" w:rsidRDefault="00A200E5" w:rsidP="00A200E5">
      <w:pPr>
        <w:pStyle w:val="ListParagraph"/>
        <w:numPr>
          <w:ilvl w:val="0"/>
          <w:numId w:val="19"/>
        </w:numPr>
        <w:tabs>
          <w:tab w:val="clear" w:pos="720"/>
        </w:tabs>
        <w:ind w:left="1701"/>
      </w:pPr>
      <w:r w:rsidRPr="000B54B5">
        <w:rPr>
          <w:b/>
          <w:bCs/>
        </w:rPr>
        <w:t>“Critical Hours”</w:t>
      </w:r>
      <w:r>
        <w:t xml:space="preserve"> </w:t>
      </w:r>
      <w:r w:rsidR="000E59AE">
        <w:t>are</w:t>
      </w:r>
      <w:r w:rsidR="000E59AE" w:rsidRPr="000E59AE">
        <w:t xml:space="preserve"> such hours of the previous year when the power system was under maximum stress </w:t>
      </w:r>
      <w:r w:rsidR="008A1568">
        <w:t>and as detailed in</w:t>
      </w:r>
      <w:r w:rsidRPr="00CC54D2">
        <w:t xml:space="preserve"> </w:t>
      </w:r>
      <w:r w:rsidR="008C02F7">
        <w:t>Sub-Section</w:t>
      </w:r>
      <w:r>
        <w:t xml:space="preserve"> </w:t>
      </w:r>
      <w:r>
        <w:fldChar w:fldCharType="begin"/>
      </w:r>
      <w:r>
        <w:instrText xml:space="preserve"> REF _Ref67479936 \r \h </w:instrText>
      </w:r>
      <w:r>
        <w:fldChar w:fldCharType="separate"/>
      </w:r>
      <w:r w:rsidR="00251DBF">
        <w:t>10.2.1</w:t>
      </w:r>
      <w:r>
        <w:fldChar w:fldCharType="end"/>
      </w:r>
      <w:r w:rsidR="00A25C57">
        <w:t>;</w:t>
      </w:r>
    </w:p>
    <w:p w14:paraId="11BFBBCF" w14:textId="125C96E7" w:rsidR="000B54B5" w:rsidRPr="00874C88" w:rsidRDefault="0028351E" w:rsidP="00EA77C9">
      <w:pPr>
        <w:pStyle w:val="ListParagraph"/>
        <w:numPr>
          <w:ilvl w:val="0"/>
          <w:numId w:val="19"/>
        </w:numPr>
        <w:tabs>
          <w:tab w:val="clear" w:pos="720"/>
        </w:tabs>
        <w:ind w:left="1701"/>
      </w:pPr>
      <w:r w:rsidRPr="00B03C4A">
        <w:rPr>
          <w:b/>
          <w:bCs/>
        </w:rPr>
        <w:t>“CTBCM</w:t>
      </w:r>
      <w:r w:rsidR="00672E71" w:rsidRPr="00B03C4A">
        <w:rPr>
          <w:b/>
          <w:bCs/>
        </w:rPr>
        <w:t>”</w:t>
      </w:r>
      <w:r w:rsidRPr="00B03C4A">
        <w:rPr>
          <w:b/>
          <w:bCs/>
        </w:rPr>
        <w:t xml:space="preserve"> </w:t>
      </w:r>
      <w:r w:rsidR="00EE300C" w:rsidRPr="00B03C4A">
        <w:rPr>
          <w:b/>
          <w:bCs/>
        </w:rPr>
        <w:t xml:space="preserve">or </w:t>
      </w:r>
      <w:r w:rsidR="00672E71" w:rsidRPr="00B03C4A">
        <w:rPr>
          <w:b/>
          <w:bCs/>
        </w:rPr>
        <w:t>“</w:t>
      </w:r>
      <w:r w:rsidRPr="00B03C4A">
        <w:rPr>
          <w:b/>
          <w:bCs/>
        </w:rPr>
        <w:t>Competitive Trading Bilateral Contract Market</w:t>
      </w:r>
      <w:r w:rsidR="00EE300C" w:rsidRPr="00B03C4A">
        <w:t>”</w:t>
      </w:r>
      <w:r w:rsidR="00D34A60" w:rsidRPr="00B03C4A">
        <w:t xml:space="preserve"> </w:t>
      </w:r>
      <w:r w:rsidR="00EE300C" w:rsidRPr="00B03C4A">
        <w:t xml:space="preserve">means the </w:t>
      </w:r>
      <w:r w:rsidR="005076B7" w:rsidRPr="00B03C4A">
        <w:t>arrangement of</w:t>
      </w:r>
      <w:r w:rsidR="00D34A60" w:rsidRPr="00B03C4A">
        <w:t xml:space="preserve"> competitive wholesale electricity market as approved by </w:t>
      </w:r>
      <w:r w:rsidR="00DC26D7" w:rsidRPr="00B03C4A">
        <w:t>the Authority</w:t>
      </w:r>
      <w:r w:rsidR="00D34A60" w:rsidRPr="00B03C4A">
        <w:t>;</w:t>
      </w:r>
    </w:p>
    <w:p w14:paraId="3E8A9351" w14:textId="72215CEF" w:rsidR="00FD4DE6" w:rsidRDefault="00FD4DE6" w:rsidP="00FF4826">
      <w:pPr>
        <w:pStyle w:val="ListParagraph"/>
        <w:numPr>
          <w:ilvl w:val="0"/>
          <w:numId w:val="19"/>
        </w:numPr>
        <w:tabs>
          <w:tab w:val="clear" w:pos="720"/>
        </w:tabs>
        <w:ind w:left="1701"/>
      </w:pPr>
      <w:r w:rsidRPr="00874C88">
        <w:t>“</w:t>
      </w:r>
      <w:r w:rsidR="008A179B" w:rsidRPr="00874C88">
        <w:rPr>
          <w:b/>
          <w:bCs/>
        </w:rPr>
        <w:t>Customized</w:t>
      </w:r>
      <w:r w:rsidRPr="00874C88">
        <w:rPr>
          <w:b/>
          <w:bCs/>
        </w:rPr>
        <w:t xml:space="preserve"> Contracts”</w:t>
      </w:r>
      <w:r w:rsidRPr="00874C88">
        <w:t xml:space="preserve"> </w:t>
      </w:r>
      <w:r w:rsidR="00FA6DA9" w:rsidRPr="00874C88">
        <w:t xml:space="preserve">shall have </w:t>
      </w:r>
      <w:r w:rsidRPr="00874C88">
        <w:t>the meaning</w:t>
      </w:r>
      <w:r>
        <w:t xml:space="preserve"> </w:t>
      </w:r>
      <w:r w:rsidR="00FA6DA9">
        <w:t xml:space="preserve">assigned </w:t>
      </w:r>
      <w:r>
        <w:t>to</w:t>
      </w:r>
      <w:r w:rsidR="00F71134">
        <w:t xml:space="preserve"> this term</w:t>
      </w:r>
      <w:r>
        <w:t xml:space="preserve"> in Clause </w:t>
      </w:r>
      <w:r>
        <w:fldChar w:fldCharType="begin"/>
      </w:r>
      <w:r>
        <w:instrText xml:space="preserve"> REF _Ref66200377 \r \h </w:instrText>
      </w:r>
      <w:r>
        <w:fldChar w:fldCharType="separate"/>
      </w:r>
      <w:r w:rsidR="00251DBF">
        <w:t>4.2.2.4</w:t>
      </w:r>
      <w:r>
        <w:fldChar w:fldCharType="end"/>
      </w:r>
      <w:r w:rsidR="00A25C57">
        <w:t>;</w:t>
      </w:r>
    </w:p>
    <w:p w14:paraId="434C6223" w14:textId="6F59214D" w:rsidR="008E7D79" w:rsidRPr="00E40880" w:rsidRDefault="008E7D79" w:rsidP="00FF4826">
      <w:pPr>
        <w:pStyle w:val="ListParagraph"/>
        <w:numPr>
          <w:ilvl w:val="0"/>
          <w:numId w:val="19"/>
        </w:numPr>
        <w:tabs>
          <w:tab w:val="clear" w:pos="720"/>
        </w:tabs>
        <w:ind w:left="1701"/>
      </w:pPr>
      <w:r w:rsidRPr="00860A9C">
        <w:rPr>
          <w:b/>
          <w:bCs/>
        </w:rPr>
        <w:t>“</w:t>
      </w:r>
      <w:r>
        <w:rPr>
          <w:b/>
          <w:bCs/>
        </w:rPr>
        <w:t>Debit</w:t>
      </w:r>
      <w:r w:rsidRPr="00860A9C">
        <w:rPr>
          <w:b/>
          <w:bCs/>
        </w:rPr>
        <w:t xml:space="preserve"> Notification” </w:t>
      </w:r>
      <w:r w:rsidRPr="00860A9C">
        <w:t xml:space="preserve">means a notification, </w:t>
      </w:r>
      <w:r>
        <w:t>issued</w:t>
      </w:r>
      <w:r w:rsidRPr="00860A9C">
        <w:t xml:space="preserve"> by the Market Operator to a Market Participant </w:t>
      </w:r>
      <w:r>
        <w:t>subsequent to</w:t>
      </w:r>
      <w:r w:rsidRPr="00860A9C">
        <w:t xml:space="preserve"> issuing a Final Settlement Statement,</w:t>
      </w:r>
      <w:r w:rsidR="00B56CC2">
        <w:t xml:space="preserve"> Final Yearly Settlement Statement, Extraordinary Yearly Settlement Statement or on account of any other adjustment or payment</w:t>
      </w:r>
      <w:r w:rsidRPr="00860A9C">
        <w:t xml:space="preserve"> </w:t>
      </w:r>
      <w:r>
        <w:t xml:space="preserve">whereby a </w:t>
      </w:r>
      <w:r w:rsidRPr="00860A9C">
        <w:t>Market Participant</w:t>
      </w:r>
      <w:r>
        <w:t xml:space="preserve"> is required to </w:t>
      </w:r>
      <w:r w:rsidR="00B56CC2">
        <w:t>pay</w:t>
      </w:r>
      <w:r>
        <w:t xml:space="preserve"> a certain</w:t>
      </w:r>
      <w:r w:rsidR="00B56CC2">
        <w:t xml:space="preserve"> amount to the Market Operator</w:t>
      </w:r>
      <w:r w:rsidR="00A25C57">
        <w:t>;</w:t>
      </w:r>
    </w:p>
    <w:p w14:paraId="33307E9C" w14:textId="179D38F4" w:rsidR="008A0B30" w:rsidRPr="00840E7E" w:rsidRDefault="008A0B30" w:rsidP="00FF4826">
      <w:pPr>
        <w:pStyle w:val="ListParagraph"/>
        <w:numPr>
          <w:ilvl w:val="0"/>
          <w:numId w:val="19"/>
        </w:numPr>
        <w:tabs>
          <w:tab w:val="clear" w:pos="720"/>
        </w:tabs>
        <w:ind w:left="1701"/>
      </w:pPr>
      <w:r w:rsidRPr="00840E7E">
        <w:rPr>
          <w:b/>
          <w:bCs/>
        </w:rPr>
        <w:t>“Default Amount”</w:t>
      </w:r>
      <w:r w:rsidR="00D464DA" w:rsidRPr="00840E7E">
        <w:rPr>
          <w:b/>
          <w:bCs/>
        </w:rPr>
        <w:t xml:space="preserve"> </w:t>
      </w:r>
      <w:r w:rsidRPr="00840E7E">
        <w:t xml:space="preserve">means any amount a </w:t>
      </w:r>
      <w:r w:rsidR="00D464DA" w:rsidRPr="00840E7E">
        <w:t xml:space="preserve">Market </w:t>
      </w:r>
      <w:r w:rsidRPr="00840E7E">
        <w:t xml:space="preserve">Participant has failed to pay on a </w:t>
      </w:r>
      <w:r w:rsidR="008E7D79">
        <w:t>Payment Due Date</w:t>
      </w:r>
      <w:r w:rsidR="00A25C57">
        <w:t>;</w:t>
      </w:r>
    </w:p>
    <w:p w14:paraId="6675FA24" w14:textId="141EB5AA" w:rsidR="008A0B30" w:rsidRPr="00AC54F8" w:rsidRDefault="008A0B30" w:rsidP="00FF4826">
      <w:pPr>
        <w:pStyle w:val="ListParagraph"/>
        <w:numPr>
          <w:ilvl w:val="0"/>
          <w:numId w:val="19"/>
        </w:numPr>
        <w:tabs>
          <w:tab w:val="clear" w:pos="720"/>
        </w:tabs>
        <w:ind w:left="1701"/>
      </w:pPr>
      <w:r w:rsidRPr="00C27D2A">
        <w:rPr>
          <w:b/>
          <w:bCs/>
        </w:rPr>
        <w:t>“</w:t>
      </w:r>
      <w:r w:rsidRPr="00AC54F8">
        <w:rPr>
          <w:b/>
          <w:bCs/>
        </w:rPr>
        <w:t>Default Interest”</w:t>
      </w:r>
      <w:r w:rsidR="00D464DA" w:rsidRPr="00AC54F8">
        <w:rPr>
          <w:b/>
          <w:bCs/>
        </w:rPr>
        <w:t xml:space="preserve"> </w:t>
      </w:r>
      <w:r w:rsidR="00D464DA" w:rsidRPr="00AC54F8">
        <w:t xml:space="preserve">means </w:t>
      </w:r>
      <w:r w:rsidR="001D09E4">
        <w:t>an amount</w:t>
      </w:r>
      <w:r w:rsidR="00C27D2A" w:rsidRPr="00AC54F8">
        <w:rPr>
          <w:rFonts w:cs="Arial"/>
          <w:color w:val="202124"/>
          <w:shd w:val="clear" w:color="auto" w:fill="FFFFFF"/>
        </w:rPr>
        <w:t xml:space="preserve"> payable by a Market Participant</w:t>
      </w:r>
      <w:r w:rsidR="00EA6E8B">
        <w:rPr>
          <w:rFonts w:cs="Arial"/>
          <w:color w:val="202124"/>
          <w:shd w:val="clear" w:color="auto" w:fill="FFFFFF"/>
        </w:rPr>
        <w:t>,</w:t>
      </w:r>
      <w:r w:rsidR="00C27D2A" w:rsidRPr="00AC54F8">
        <w:rPr>
          <w:rFonts w:cs="Arial"/>
          <w:color w:val="202124"/>
          <w:shd w:val="clear" w:color="auto" w:fill="FFFFFF"/>
        </w:rPr>
        <w:t xml:space="preserve"> </w:t>
      </w:r>
      <w:r w:rsidR="001D09E4">
        <w:rPr>
          <w:rFonts w:cs="Arial"/>
          <w:color w:val="202124"/>
          <w:shd w:val="clear" w:color="auto" w:fill="FFFFFF"/>
        </w:rPr>
        <w:t xml:space="preserve">at a rate as specified in Clause </w:t>
      </w:r>
      <w:r w:rsidR="00EA6E8B">
        <w:rPr>
          <w:rFonts w:cs="Arial"/>
          <w:color w:val="202124"/>
          <w:highlight w:val="yellow"/>
          <w:shd w:val="clear" w:color="auto" w:fill="FFFFFF"/>
        </w:rPr>
        <w:fldChar w:fldCharType="begin"/>
      </w:r>
      <w:r w:rsidR="00EA6E8B">
        <w:rPr>
          <w:rFonts w:cs="Arial"/>
          <w:color w:val="202124"/>
          <w:shd w:val="clear" w:color="auto" w:fill="FFFFFF"/>
        </w:rPr>
        <w:instrText xml:space="preserve"> REF _Ref76660286 \r \h </w:instrText>
      </w:r>
      <w:r w:rsidR="00EA6E8B">
        <w:rPr>
          <w:rFonts w:cs="Arial"/>
          <w:color w:val="202124"/>
          <w:highlight w:val="yellow"/>
          <w:shd w:val="clear" w:color="auto" w:fill="FFFFFF"/>
        </w:rPr>
      </w:r>
      <w:r w:rsidR="00EA6E8B">
        <w:rPr>
          <w:rFonts w:cs="Arial"/>
          <w:color w:val="202124"/>
          <w:highlight w:val="yellow"/>
          <w:shd w:val="clear" w:color="auto" w:fill="FFFFFF"/>
        </w:rPr>
        <w:fldChar w:fldCharType="separate"/>
      </w:r>
      <w:r w:rsidR="00EA6E8B">
        <w:rPr>
          <w:rFonts w:cs="Arial"/>
          <w:color w:val="202124"/>
          <w:shd w:val="clear" w:color="auto" w:fill="FFFFFF"/>
        </w:rPr>
        <w:t>19.2.6.1</w:t>
      </w:r>
      <w:r w:rsidR="00EA6E8B">
        <w:rPr>
          <w:rFonts w:cs="Arial"/>
          <w:color w:val="202124"/>
          <w:highlight w:val="yellow"/>
          <w:shd w:val="clear" w:color="auto" w:fill="FFFFFF"/>
        </w:rPr>
        <w:fldChar w:fldCharType="end"/>
      </w:r>
      <w:r w:rsidR="001D09E4">
        <w:rPr>
          <w:rFonts w:cs="Arial"/>
          <w:color w:val="202124"/>
          <w:shd w:val="clear" w:color="auto" w:fill="FFFFFF"/>
        </w:rPr>
        <w:t xml:space="preserve">, </w:t>
      </w:r>
      <w:r w:rsidR="00AA5BEB">
        <w:rPr>
          <w:rFonts w:cs="Arial"/>
          <w:color w:val="202124"/>
          <w:shd w:val="clear" w:color="auto" w:fill="FFFFFF"/>
        </w:rPr>
        <w:t xml:space="preserve">if </w:t>
      </w:r>
      <w:r w:rsidR="00C27D2A" w:rsidRPr="00AC54F8">
        <w:rPr>
          <w:rFonts w:cs="Arial"/>
          <w:color w:val="202124"/>
          <w:shd w:val="clear" w:color="auto" w:fill="FFFFFF"/>
        </w:rPr>
        <w:t xml:space="preserve">it fails to fulfil its </w:t>
      </w:r>
      <w:r w:rsidR="006C0336">
        <w:rPr>
          <w:rFonts w:cs="Arial"/>
          <w:color w:val="202124"/>
          <w:shd w:val="clear" w:color="auto" w:fill="FFFFFF"/>
        </w:rPr>
        <w:t xml:space="preserve">payment </w:t>
      </w:r>
      <w:r w:rsidR="00C27D2A" w:rsidRPr="00AC54F8">
        <w:rPr>
          <w:rFonts w:cs="Arial"/>
          <w:color w:val="202124"/>
          <w:shd w:val="clear" w:color="auto" w:fill="FFFFFF"/>
        </w:rPr>
        <w:t xml:space="preserve">obligations </w:t>
      </w:r>
      <w:r w:rsidR="00FA6DA9">
        <w:rPr>
          <w:rFonts w:cs="Arial"/>
          <w:color w:val="202124"/>
          <w:shd w:val="clear" w:color="auto" w:fill="FFFFFF"/>
        </w:rPr>
        <w:t>under</w:t>
      </w:r>
      <w:r w:rsidR="00C27D2A" w:rsidRPr="00AC54F8">
        <w:rPr>
          <w:rFonts w:cs="Arial"/>
          <w:color w:val="202124"/>
          <w:shd w:val="clear" w:color="auto" w:fill="FFFFFF"/>
        </w:rPr>
        <w:t xml:space="preserve"> </w:t>
      </w:r>
      <w:r w:rsidR="00F05124">
        <w:rPr>
          <w:rFonts w:cs="Arial"/>
          <w:color w:val="202124"/>
          <w:shd w:val="clear" w:color="auto" w:fill="FFFFFF"/>
        </w:rPr>
        <w:t>this Code</w:t>
      </w:r>
      <w:r w:rsidR="00A25C57">
        <w:rPr>
          <w:rFonts w:cs="Arial"/>
          <w:color w:val="202124"/>
          <w:shd w:val="clear" w:color="auto" w:fill="FFFFFF"/>
        </w:rPr>
        <w:t>;</w:t>
      </w:r>
      <w:r w:rsidR="00C27D2A" w:rsidRPr="00AC54F8">
        <w:rPr>
          <w:rFonts w:cs="Arial"/>
          <w:color w:val="202124"/>
          <w:shd w:val="clear" w:color="auto" w:fill="FFFFFF"/>
        </w:rPr>
        <w:t xml:space="preserve"> </w:t>
      </w:r>
    </w:p>
    <w:p w14:paraId="570A1E41" w14:textId="792C0875" w:rsidR="008A0B30" w:rsidRPr="00AC54F8" w:rsidRDefault="008A0B30" w:rsidP="00FF4826">
      <w:pPr>
        <w:pStyle w:val="ListParagraph"/>
        <w:numPr>
          <w:ilvl w:val="0"/>
          <w:numId w:val="19"/>
        </w:numPr>
        <w:tabs>
          <w:tab w:val="clear" w:pos="720"/>
        </w:tabs>
        <w:ind w:left="1701"/>
      </w:pPr>
      <w:r w:rsidRPr="00AC54F8">
        <w:rPr>
          <w:b/>
          <w:bCs/>
        </w:rPr>
        <w:t>“Demand”</w:t>
      </w:r>
      <w:r w:rsidR="00506683" w:rsidRPr="00AC54F8">
        <w:rPr>
          <w:b/>
          <w:bCs/>
        </w:rPr>
        <w:t xml:space="preserve"> </w:t>
      </w:r>
      <w:r w:rsidR="00506683" w:rsidRPr="00AC54F8">
        <w:t xml:space="preserve">means </w:t>
      </w:r>
      <w:r w:rsidR="00AC54F8" w:rsidRPr="00AC54F8">
        <w:t>either the Energy supplied to consumers over a period of time (Energy Demand) or the electric power supplied to consumers at a particular instant (Capacity Demand)</w:t>
      </w:r>
      <w:r w:rsidR="00A25C57">
        <w:t>;</w:t>
      </w:r>
      <w:r w:rsidR="00AC54F8" w:rsidRPr="00AC54F8">
        <w:t xml:space="preserve"> </w:t>
      </w:r>
    </w:p>
    <w:p w14:paraId="3A378206" w14:textId="33F169BE" w:rsidR="008A0B30" w:rsidRPr="00840E7E" w:rsidRDefault="008A0B30" w:rsidP="00FF4826">
      <w:pPr>
        <w:pStyle w:val="ListParagraph"/>
        <w:numPr>
          <w:ilvl w:val="0"/>
          <w:numId w:val="19"/>
        </w:numPr>
        <w:tabs>
          <w:tab w:val="clear" w:pos="720"/>
        </w:tabs>
        <w:ind w:left="1701"/>
      </w:pPr>
      <w:r w:rsidRPr="00AC54F8">
        <w:rPr>
          <w:b/>
          <w:bCs/>
        </w:rPr>
        <w:t>“Demand Forecast”</w:t>
      </w:r>
      <w:r w:rsidR="00587487" w:rsidRPr="00AC54F8">
        <w:rPr>
          <w:b/>
          <w:bCs/>
        </w:rPr>
        <w:t xml:space="preserve"> </w:t>
      </w:r>
      <w:r w:rsidRPr="00AC54F8">
        <w:t>means an estimate of future Demand typically worked out by using mathematical</w:t>
      </w:r>
      <w:r w:rsidRPr="00840E7E">
        <w:t xml:space="preserve"> forecasting techniques and historical Demand data</w:t>
      </w:r>
      <w:r w:rsidR="00506683" w:rsidRPr="00840E7E">
        <w:t xml:space="preserve"> or any </w:t>
      </w:r>
      <w:r w:rsidRPr="00840E7E">
        <w:t xml:space="preserve">other </w:t>
      </w:r>
      <w:r w:rsidR="004033DA">
        <w:t>relevant</w:t>
      </w:r>
      <w:r w:rsidR="004033DA" w:rsidRPr="00840E7E">
        <w:t xml:space="preserve"> </w:t>
      </w:r>
      <w:r w:rsidRPr="00840E7E">
        <w:t>information</w:t>
      </w:r>
      <w:r w:rsidR="00A25C57">
        <w:t>;</w:t>
      </w:r>
    </w:p>
    <w:p w14:paraId="57F477A6" w14:textId="4F7264D4" w:rsidR="008A0B30" w:rsidRPr="00C27D2A" w:rsidRDefault="008A0B30" w:rsidP="00FF4826">
      <w:pPr>
        <w:pStyle w:val="ListParagraph"/>
        <w:numPr>
          <w:ilvl w:val="0"/>
          <w:numId w:val="19"/>
        </w:numPr>
        <w:tabs>
          <w:tab w:val="clear" w:pos="720"/>
        </w:tabs>
        <w:ind w:left="1701"/>
      </w:pPr>
      <w:r w:rsidRPr="00C27D2A">
        <w:rPr>
          <w:b/>
          <w:bCs/>
        </w:rPr>
        <w:t>“Dispatch”</w:t>
      </w:r>
      <w:r w:rsidR="00587487" w:rsidRPr="00C27D2A">
        <w:rPr>
          <w:b/>
          <w:bCs/>
        </w:rPr>
        <w:t xml:space="preserve"> </w:t>
      </w:r>
      <w:r w:rsidR="004033DA">
        <w:t>shall have</w:t>
      </w:r>
      <w:r w:rsidR="004033DA" w:rsidRPr="00C27D2A">
        <w:t xml:space="preserve"> </w:t>
      </w:r>
      <w:r w:rsidRPr="00C27D2A">
        <w:t>the meaning assigned to the term in the Grid Code</w:t>
      </w:r>
      <w:r w:rsidR="00AC54F8">
        <w:t>.</w:t>
      </w:r>
    </w:p>
    <w:p w14:paraId="6900B224" w14:textId="72930BCE" w:rsidR="008A0B30" w:rsidRPr="00840E7E" w:rsidRDefault="008A0B30" w:rsidP="00FF4826">
      <w:pPr>
        <w:pStyle w:val="ListParagraph"/>
        <w:numPr>
          <w:ilvl w:val="0"/>
          <w:numId w:val="19"/>
        </w:numPr>
        <w:tabs>
          <w:tab w:val="clear" w:pos="720"/>
        </w:tabs>
        <w:ind w:left="1701"/>
      </w:pPr>
      <w:r w:rsidRPr="00840E7E">
        <w:rPr>
          <w:b/>
          <w:bCs/>
        </w:rPr>
        <w:t>“Dispatch Day”</w:t>
      </w:r>
      <w:r w:rsidR="00840E7E">
        <w:rPr>
          <w:b/>
          <w:bCs/>
        </w:rPr>
        <w:t xml:space="preserve"> </w:t>
      </w:r>
      <w:r w:rsidRPr="00840E7E">
        <w:t>means a period in the Dispatch process from 00.00 hours to 24.00 hours in t</w:t>
      </w:r>
      <w:r w:rsidR="00840E7E" w:rsidRPr="00840E7E">
        <w:t>h</w:t>
      </w:r>
      <w:r w:rsidRPr="00840E7E">
        <w:t>e same calendar day</w:t>
      </w:r>
      <w:r w:rsidR="00A25C57">
        <w:t>;</w:t>
      </w:r>
    </w:p>
    <w:p w14:paraId="5ABEFAC0" w14:textId="327DA77D" w:rsidR="008A0B30" w:rsidRPr="00756A40" w:rsidRDefault="008A0B30" w:rsidP="00FF4826">
      <w:pPr>
        <w:pStyle w:val="ListParagraph"/>
        <w:numPr>
          <w:ilvl w:val="0"/>
          <w:numId w:val="19"/>
        </w:numPr>
        <w:tabs>
          <w:tab w:val="clear" w:pos="720"/>
        </w:tabs>
        <w:ind w:left="1701"/>
      </w:pPr>
      <w:r w:rsidRPr="00756A40">
        <w:rPr>
          <w:b/>
          <w:bCs/>
        </w:rPr>
        <w:t>“Dispatch Instruction”</w:t>
      </w:r>
      <w:r w:rsidR="00E90FFC">
        <w:rPr>
          <w:b/>
          <w:bCs/>
        </w:rPr>
        <w:t xml:space="preserve"> </w:t>
      </w:r>
      <w:r w:rsidRPr="00756A40">
        <w:t xml:space="preserve">means the operating instruction issued by the System Operator to a </w:t>
      </w:r>
      <w:r w:rsidR="00E93A6A">
        <w:t>Generation Unit</w:t>
      </w:r>
      <w:r w:rsidRPr="00756A40">
        <w:t xml:space="preserve"> for its Dispatch in accordance with </w:t>
      </w:r>
      <w:r w:rsidR="00756A40" w:rsidRPr="00756A40">
        <w:t xml:space="preserve">the </w:t>
      </w:r>
      <w:r w:rsidR="004033DA">
        <w:t>provisions</w:t>
      </w:r>
      <w:r w:rsidR="004033DA" w:rsidRPr="00756A40">
        <w:t xml:space="preserve"> </w:t>
      </w:r>
      <w:r w:rsidR="00756A40" w:rsidRPr="00756A40">
        <w:t>of</w:t>
      </w:r>
      <w:r w:rsidRPr="00756A40">
        <w:t xml:space="preserve"> the Grid Code</w:t>
      </w:r>
      <w:r w:rsidR="00A25C57">
        <w:t>;</w:t>
      </w:r>
    </w:p>
    <w:p w14:paraId="6BA67243" w14:textId="11E47A70" w:rsidR="008A0B30" w:rsidRPr="00756A40" w:rsidRDefault="008A0B30" w:rsidP="00FF4826">
      <w:pPr>
        <w:pStyle w:val="ListParagraph"/>
        <w:numPr>
          <w:ilvl w:val="0"/>
          <w:numId w:val="19"/>
        </w:numPr>
        <w:tabs>
          <w:tab w:val="clear" w:pos="720"/>
        </w:tabs>
        <w:ind w:left="1701"/>
      </w:pPr>
      <w:r w:rsidRPr="00756A40">
        <w:rPr>
          <w:b/>
          <w:bCs/>
        </w:rPr>
        <w:t>“Dispatch Period”</w:t>
      </w:r>
      <w:r w:rsidR="00587487" w:rsidRPr="00756A40">
        <w:rPr>
          <w:b/>
          <w:bCs/>
        </w:rPr>
        <w:t xml:space="preserve"> </w:t>
      </w:r>
      <w:r w:rsidRPr="00756A40">
        <w:t xml:space="preserve">means every </w:t>
      </w:r>
      <w:r w:rsidR="009D2CB6" w:rsidRPr="00756A40">
        <w:t>sixty</w:t>
      </w:r>
      <w:r w:rsidR="000B54B5">
        <w:t>-</w:t>
      </w:r>
      <w:r w:rsidRPr="00756A40">
        <w:t>minute interval</w:t>
      </w:r>
      <w:r w:rsidR="009D2CB6" w:rsidRPr="00756A40">
        <w:t>,</w:t>
      </w:r>
      <w:r w:rsidR="005A7F0E" w:rsidRPr="00756A40">
        <w:t xml:space="preserve"> or such other shorter interval </w:t>
      </w:r>
      <w:r w:rsidR="004033DA">
        <w:t xml:space="preserve">as </w:t>
      </w:r>
      <w:r w:rsidR="005A7F0E" w:rsidRPr="00756A40">
        <w:t>the System Operator may consider appropriate</w:t>
      </w:r>
      <w:r w:rsidR="004033DA">
        <w:t>,</w:t>
      </w:r>
      <w:r w:rsidRPr="00756A40">
        <w:t xml:space="preserve"> during a Dispatch Day</w:t>
      </w:r>
      <w:r w:rsidR="00A25C57">
        <w:t>;</w:t>
      </w:r>
    </w:p>
    <w:p w14:paraId="6B7A5E5C" w14:textId="0539E0AD" w:rsidR="008A0B30" w:rsidRPr="00756A40" w:rsidRDefault="008A0B30" w:rsidP="00FF4826">
      <w:pPr>
        <w:pStyle w:val="ListParagraph"/>
        <w:numPr>
          <w:ilvl w:val="0"/>
          <w:numId w:val="19"/>
        </w:numPr>
        <w:tabs>
          <w:tab w:val="clear" w:pos="720"/>
        </w:tabs>
        <w:ind w:left="1701"/>
      </w:pPr>
      <w:r w:rsidRPr="00756A40">
        <w:rPr>
          <w:b/>
          <w:bCs/>
        </w:rPr>
        <w:lastRenderedPageBreak/>
        <w:t>“Dispatch Schedule”</w:t>
      </w:r>
      <w:r w:rsidR="00840E7E" w:rsidRPr="00756A40">
        <w:rPr>
          <w:b/>
          <w:bCs/>
        </w:rPr>
        <w:t xml:space="preserve"> </w:t>
      </w:r>
      <w:r w:rsidRPr="00756A40">
        <w:t>means the schedule developed by the System Operator in accordance with the Grid Code for a Dispatch Period</w:t>
      </w:r>
      <w:r w:rsidR="00756A40" w:rsidRPr="00756A40">
        <w:t xml:space="preserve">, which has to be completed and communicated to the </w:t>
      </w:r>
      <w:r w:rsidR="00E93A6A">
        <w:t>Generator</w:t>
      </w:r>
      <w:r w:rsidRPr="00756A40">
        <w:t xml:space="preserve"> not later than two hours prior to the commencement of the relevant Dispatch Period</w:t>
      </w:r>
      <w:r w:rsidR="00A25C57">
        <w:t>;</w:t>
      </w:r>
    </w:p>
    <w:p w14:paraId="262829DF" w14:textId="6EB00E4D" w:rsidR="00E90FFC" w:rsidRPr="00E40880" w:rsidRDefault="00E90FFC" w:rsidP="00FF4826">
      <w:pPr>
        <w:pStyle w:val="ListParagraph"/>
        <w:numPr>
          <w:ilvl w:val="0"/>
          <w:numId w:val="19"/>
        </w:numPr>
        <w:tabs>
          <w:tab w:val="clear" w:pos="720"/>
        </w:tabs>
        <w:ind w:left="1701"/>
      </w:pPr>
      <w:r w:rsidRPr="00E40880">
        <w:rPr>
          <w:b/>
          <w:bCs/>
        </w:rPr>
        <w:t xml:space="preserve">“Dispatchable </w:t>
      </w:r>
      <w:r w:rsidR="00E93A6A" w:rsidRPr="00E40880">
        <w:rPr>
          <w:b/>
          <w:bCs/>
        </w:rPr>
        <w:t>Generat</w:t>
      </w:r>
      <w:r w:rsidR="00E93A6A">
        <w:rPr>
          <w:b/>
          <w:bCs/>
        </w:rPr>
        <w:t>ion Unit</w:t>
      </w:r>
      <w:r w:rsidRPr="00E40880">
        <w:rPr>
          <w:b/>
          <w:bCs/>
        </w:rPr>
        <w:t xml:space="preserve">” </w:t>
      </w:r>
      <w:r w:rsidRPr="00E40880">
        <w:t xml:space="preserve">means a </w:t>
      </w:r>
      <w:r w:rsidR="00E93A6A">
        <w:t>Generation Unit</w:t>
      </w:r>
      <w:r w:rsidR="00E93A6A" w:rsidRPr="00E40880">
        <w:t xml:space="preserve"> </w:t>
      </w:r>
      <w:r w:rsidRPr="00E40880">
        <w:t>which is able to be controlled, increasing or decreasing its production following manual or automatic instructions issued by its operator.</w:t>
      </w:r>
      <w:r w:rsidR="00B56CC2">
        <w:t xml:space="preserve"> For the avoidance of doubt, these Generation Units don’t include the variable renewable generation technologies such as wind and solar </w:t>
      </w:r>
      <w:r w:rsidR="00572E4B">
        <w:t xml:space="preserve">and run of river hydro </w:t>
      </w:r>
      <w:r w:rsidR="00B56CC2">
        <w:t>based Generation Units without any significant storage</w:t>
      </w:r>
      <w:r w:rsidR="00A25C57">
        <w:t>;</w:t>
      </w:r>
    </w:p>
    <w:p w14:paraId="7D4BF84D" w14:textId="2C9E7481" w:rsidR="00124F35" w:rsidRPr="00CC54D2" w:rsidRDefault="00124F35" w:rsidP="00FF4826">
      <w:pPr>
        <w:pStyle w:val="ListParagraph"/>
        <w:numPr>
          <w:ilvl w:val="0"/>
          <w:numId w:val="19"/>
        </w:numPr>
        <w:tabs>
          <w:tab w:val="clear" w:pos="720"/>
        </w:tabs>
        <w:ind w:left="1701"/>
      </w:pPr>
      <w:r w:rsidRPr="00E40880">
        <w:rPr>
          <w:b/>
          <w:bCs/>
        </w:rPr>
        <w:t xml:space="preserve">"Dispute" </w:t>
      </w:r>
      <w:r w:rsidRPr="00E40880">
        <w:t>means any dispute</w:t>
      </w:r>
      <w:r w:rsidRPr="00CC54D2">
        <w:t xml:space="preserve"> or disagreement or difference arising under </w:t>
      </w:r>
      <w:r w:rsidR="00F05124">
        <w:t>this Code</w:t>
      </w:r>
      <w:r w:rsidRPr="00CC54D2">
        <w:t xml:space="preserve"> or any provision hereof</w:t>
      </w:r>
      <w:r w:rsidR="006D5D2E">
        <w:t xml:space="preserve"> as specified in Chapter 15</w:t>
      </w:r>
      <w:r w:rsidRPr="00CC54D2">
        <w:t xml:space="preserve">, </w:t>
      </w:r>
      <w:r w:rsidR="006D5D2E">
        <w:t xml:space="preserve"> or any other matter referred to the Market Operator for resolution under Chapter 15</w:t>
      </w:r>
      <w:r w:rsidR="00A25C57">
        <w:t>;</w:t>
      </w:r>
    </w:p>
    <w:p w14:paraId="66A3A561" w14:textId="42AB8AA0" w:rsidR="00124F35" w:rsidRPr="0045187B" w:rsidRDefault="00124F35" w:rsidP="00FF4826">
      <w:pPr>
        <w:pStyle w:val="ListParagraph"/>
        <w:numPr>
          <w:ilvl w:val="0"/>
          <w:numId w:val="19"/>
        </w:numPr>
        <w:tabs>
          <w:tab w:val="clear" w:pos="720"/>
        </w:tabs>
        <w:ind w:left="1701"/>
      </w:pPr>
      <w:r w:rsidRPr="00AF4D6A">
        <w:rPr>
          <w:b/>
          <w:bCs/>
        </w:rPr>
        <w:t xml:space="preserve">"Distribution Company" </w:t>
      </w:r>
      <w:r w:rsidR="00D404D5">
        <w:rPr>
          <w:b/>
          <w:bCs/>
        </w:rPr>
        <w:t xml:space="preserve">or “DISCO” </w:t>
      </w:r>
      <w:r w:rsidRPr="00AF4D6A">
        <w:t xml:space="preserve">means </w:t>
      </w:r>
      <w:r w:rsidR="00D404D5">
        <w:t xml:space="preserve">a </w:t>
      </w:r>
      <w:r w:rsidRPr="00AF4D6A">
        <w:t>distribution compan</w:t>
      </w:r>
      <w:r w:rsidR="00D404D5">
        <w:t>y</w:t>
      </w:r>
      <w:r w:rsidRPr="00AF4D6A">
        <w:t xml:space="preserve"> </w:t>
      </w:r>
      <w:r w:rsidR="00520202">
        <w:t>License</w:t>
      </w:r>
      <w:r w:rsidRPr="00AF4D6A">
        <w:t xml:space="preserve">d by </w:t>
      </w:r>
      <w:r w:rsidR="00D404D5">
        <w:t xml:space="preserve">the </w:t>
      </w:r>
      <w:r w:rsidRPr="00AF4D6A">
        <w:t>Authority to engage in the distribution of electric power</w:t>
      </w:r>
      <w:r w:rsidR="0031337F">
        <w:t xml:space="preserve"> </w:t>
      </w:r>
      <w:r w:rsidR="00D404D5">
        <w:t xml:space="preserve">and </w:t>
      </w:r>
      <w:r w:rsidR="00A80EBA">
        <w:t xml:space="preserve">also </w:t>
      </w:r>
      <w:r w:rsidR="00D404D5">
        <w:t>holds</w:t>
      </w:r>
      <w:r w:rsidR="00A80EBA">
        <w:t xml:space="preserve"> </w:t>
      </w:r>
      <w:r w:rsidR="0031337F">
        <w:t xml:space="preserve">a </w:t>
      </w:r>
      <w:r w:rsidR="0031337F" w:rsidRPr="0045187B">
        <w:t>Supply License</w:t>
      </w:r>
      <w:r w:rsidR="00A25C57">
        <w:t>;</w:t>
      </w:r>
    </w:p>
    <w:p w14:paraId="21B7677F" w14:textId="2A413F91" w:rsidR="000D5129" w:rsidRPr="0045187B" w:rsidRDefault="000D5129" w:rsidP="00FF4826">
      <w:pPr>
        <w:pStyle w:val="ListParagraph"/>
        <w:numPr>
          <w:ilvl w:val="0"/>
          <w:numId w:val="19"/>
        </w:numPr>
        <w:tabs>
          <w:tab w:val="clear" w:pos="720"/>
        </w:tabs>
        <w:ind w:left="1701"/>
      </w:pPr>
      <w:r w:rsidRPr="0045187B">
        <w:rPr>
          <w:b/>
          <w:bCs/>
        </w:rPr>
        <w:t xml:space="preserve">“Distribution Network” </w:t>
      </w:r>
      <w:r w:rsidR="003A617F" w:rsidRPr="003A617F">
        <w:t>for the purpose</w:t>
      </w:r>
      <w:r w:rsidR="003A617F">
        <w:t>s</w:t>
      </w:r>
      <w:r w:rsidR="003A617F" w:rsidRPr="003A617F">
        <w:t xml:space="preserve"> of this code</w:t>
      </w:r>
      <w:r w:rsidR="003A617F">
        <w:t>, Distribution Network</w:t>
      </w:r>
      <w:r w:rsidR="003A617F">
        <w:rPr>
          <w:b/>
          <w:bCs/>
        </w:rPr>
        <w:t xml:space="preserve"> </w:t>
      </w:r>
      <w:r w:rsidR="00642290" w:rsidRPr="0045187B">
        <w:t>means</w:t>
      </w:r>
      <w:r w:rsidR="00EB18E4">
        <w:t xml:space="preserve"> </w:t>
      </w:r>
      <w:r w:rsidR="003A617F">
        <w:t>electrical facilities owned, operated, managed or controlled</w:t>
      </w:r>
      <w:r w:rsidR="00C04FE9">
        <w:t xml:space="preserve"> by a DISCO</w:t>
      </w:r>
      <w:r w:rsidR="003A617F">
        <w:t xml:space="preserve"> and used for the movement or delivery of electric power </w:t>
      </w:r>
      <w:r w:rsidR="00D404D5">
        <w:t xml:space="preserve">at </w:t>
      </w:r>
      <w:r w:rsidR="0070518A" w:rsidRPr="0045187B">
        <w:t>voltages of 132 KV and below</w:t>
      </w:r>
      <w:r w:rsidR="00A25C57">
        <w:t>;</w:t>
      </w:r>
    </w:p>
    <w:p w14:paraId="19196B07" w14:textId="2DF03B3F" w:rsidR="00840E7E" w:rsidRDefault="00840E7E" w:rsidP="00FF4826">
      <w:pPr>
        <w:pStyle w:val="ListParagraph"/>
        <w:numPr>
          <w:ilvl w:val="0"/>
          <w:numId w:val="19"/>
        </w:numPr>
        <w:tabs>
          <w:tab w:val="clear" w:pos="720"/>
        </w:tabs>
        <w:ind w:left="1701"/>
      </w:pPr>
      <w:r w:rsidRPr="0045187B">
        <w:rPr>
          <w:b/>
          <w:bCs/>
        </w:rPr>
        <w:t>“Distribution Network Restriction</w:t>
      </w:r>
      <w:r w:rsidRPr="0045187B">
        <w:t>” means restriction</w:t>
      </w:r>
      <w:r w:rsidR="00C04FE9">
        <w:t>(s)</w:t>
      </w:r>
      <w:r w:rsidRPr="0045187B">
        <w:t xml:space="preserve"> imposed </w:t>
      </w:r>
      <w:r w:rsidR="00C04FE9">
        <w:t>upon</w:t>
      </w:r>
      <w:r w:rsidRPr="0045187B">
        <w:t xml:space="preserve"> the</w:t>
      </w:r>
      <w:r w:rsidRPr="00C15518">
        <w:t xml:space="preserve"> least cost </w:t>
      </w:r>
      <w:r w:rsidR="00C04FE9">
        <w:t>D</w:t>
      </w:r>
      <w:r w:rsidRPr="00C15518">
        <w:t>ispatch of Generation Units</w:t>
      </w:r>
      <w:r w:rsidR="00C04FE9">
        <w:t xml:space="preserve"> </w:t>
      </w:r>
      <w:r w:rsidR="00C04FE9" w:rsidRPr="0045187B">
        <w:t>by the System Operator</w:t>
      </w:r>
      <w:r w:rsidRPr="00C15518">
        <w:t xml:space="preserve"> in order to avoid Congestion in the Distribution Network</w:t>
      </w:r>
      <w:r w:rsidR="00A25C57">
        <w:t>;</w:t>
      </w:r>
    </w:p>
    <w:p w14:paraId="5B844523" w14:textId="741DAD49" w:rsidR="00173E7C" w:rsidRDefault="00173E7C" w:rsidP="00FF4826">
      <w:pPr>
        <w:pStyle w:val="ListParagraph"/>
        <w:numPr>
          <w:ilvl w:val="0"/>
          <w:numId w:val="19"/>
        </w:numPr>
        <w:tabs>
          <w:tab w:val="clear" w:pos="720"/>
        </w:tabs>
        <w:ind w:left="1701"/>
      </w:pPr>
      <w:r>
        <w:rPr>
          <w:b/>
          <w:bCs/>
        </w:rPr>
        <w:t xml:space="preserve">“Distribution Network Service Provider” </w:t>
      </w:r>
      <w:r>
        <w:t>means a Distribution Licensee which provides</w:t>
      </w:r>
      <w:r w:rsidR="009E5C53">
        <w:t>, inter alia,</w:t>
      </w:r>
      <w:r>
        <w:t xml:space="preserve"> </w:t>
      </w:r>
      <w:r w:rsidR="00EA6D07">
        <w:t>O</w:t>
      </w:r>
      <w:r>
        <w:t xml:space="preserve">pen </w:t>
      </w:r>
      <w:r w:rsidR="00EA6D07">
        <w:t>A</w:t>
      </w:r>
      <w:r>
        <w:t>ccess</w:t>
      </w:r>
      <w:r w:rsidR="00A25C57">
        <w:t>;</w:t>
      </w:r>
    </w:p>
    <w:p w14:paraId="1A93CBF0" w14:textId="35621BCF" w:rsidR="00E82736" w:rsidRDefault="00900356" w:rsidP="0055515E">
      <w:pPr>
        <w:pStyle w:val="ListParagraph"/>
        <w:numPr>
          <w:ilvl w:val="0"/>
          <w:numId w:val="19"/>
        </w:numPr>
        <w:tabs>
          <w:tab w:val="clear" w:pos="720"/>
        </w:tabs>
        <w:ind w:left="1701"/>
      </w:pPr>
      <w:r w:rsidRPr="00900356">
        <w:rPr>
          <w:b/>
          <w:bCs/>
        </w:rPr>
        <w:t>“Early Contract Termination”</w:t>
      </w:r>
      <w:r w:rsidRPr="00900356">
        <w:t xml:space="preserve"> means the termination of a Contract</w:t>
      </w:r>
      <w:r w:rsidR="00FF1E90">
        <w:t xml:space="preserve"> with the consent of the parties</w:t>
      </w:r>
      <w:r w:rsidRPr="00900356">
        <w:t xml:space="preserve"> on a date prior to </w:t>
      </w:r>
      <w:r w:rsidR="00FF1E90">
        <w:t xml:space="preserve">the one recorded in </w:t>
      </w:r>
      <w:r w:rsidRPr="00900356">
        <w:t>the Contract Register</w:t>
      </w:r>
      <w:r w:rsidR="00FF1E90">
        <w:t>;</w:t>
      </w:r>
    </w:p>
    <w:p w14:paraId="4DF7ACDB" w14:textId="43C5E143" w:rsidR="00E82736" w:rsidRDefault="00E82736" w:rsidP="00B03C4A">
      <w:pPr>
        <w:pStyle w:val="ListParagraph"/>
        <w:numPr>
          <w:ilvl w:val="0"/>
          <w:numId w:val="19"/>
        </w:numPr>
        <w:tabs>
          <w:tab w:val="clear" w:pos="720"/>
        </w:tabs>
        <w:ind w:left="1701"/>
      </w:pPr>
      <w:r w:rsidRPr="00E82736">
        <w:rPr>
          <w:b/>
          <w:bCs/>
        </w:rPr>
        <w:t xml:space="preserve"> “Electric Power Supplier” </w:t>
      </w:r>
      <w:r w:rsidRPr="004919B7">
        <w:t>means a</w:t>
      </w:r>
      <w:r>
        <w:t xml:space="preserve"> person</w:t>
      </w:r>
      <w:r w:rsidRPr="004919B7">
        <w:t xml:space="preserve"> </w:t>
      </w:r>
      <w:r>
        <w:t>Licensed</w:t>
      </w:r>
      <w:r w:rsidRPr="004919B7">
        <w:t xml:space="preserve"> by the Authority </w:t>
      </w:r>
      <w:r>
        <w:t xml:space="preserve">under </w:t>
      </w:r>
      <w:r w:rsidR="008C02F7">
        <w:t>Section</w:t>
      </w:r>
      <w:r>
        <w:t xml:space="preserve"> 23E of the Act</w:t>
      </w:r>
      <w:r w:rsidR="00A25C57">
        <w:t>;</w:t>
      </w:r>
    </w:p>
    <w:p w14:paraId="7BB7B8BF" w14:textId="0FD191A5" w:rsidR="00900356" w:rsidRDefault="00E82736" w:rsidP="0055515E">
      <w:pPr>
        <w:pStyle w:val="ListParagraph"/>
        <w:numPr>
          <w:ilvl w:val="0"/>
          <w:numId w:val="19"/>
        </w:numPr>
        <w:tabs>
          <w:tab w:val="clear" w:pos="720"/>
        </w:tabs>
        <w:ind w:left="1701"/>
      </w:pPr>
      <w:r>
        <w:rPr>
          <w:b/>
          <w:bCs/>
        </w:rPr>
        <w:t xml:space="preserve">“Electric Power Trader” </w:t>
      </w:r>
      <w:r w:rsidRPr="00EC7B76">
        <w:t xml:space="preserve">means a </w:t>
      </w:r>
      <w:r>
        <w:t xml:space="preserve">person Licensed by the Authority under </w:t>
      </w:r>
      <w:r w:rsidR="008C02F7">
        <w:t>s</w:t>
      </w:r>
      <w:r>
        <w:t>ection 23C of the Act</w:t>
      </w:r>
      <w:r w:rsidR="00A25C57">
        <w:t>;</w:t>
      </w:r>
      <w:r w:rsidR="00900356" w:rsidRPr="00900356">
        <w:t xml:space="preserve"> </w:t>
      </w:r>
    </w:p>
    <w:p w14:paraId="2100A786" w14:textId="75CD1851" w:rsidR="004E2D28" w:rsidRPr="00C15518" w:rsidRDefault="004E2D28" w:rsidP="0055515E">
      <w:pPr>
        <w:pStyle w:val="ListParagraph"/>
        <w:numPr>
          <w:ilvl w:val="0"/>
          <w:numId w:val="19"/>
        </w:numPr>
        <w:tabs>
          <w:tab w:val="clear" w:pos="720"/>
        </w:tabs>
        <w:ind w:left="1701"/>
      </w:pPr>
      <w:r w:rsidRPr="004E2D28">
        <w:rPr>
          <w:b/>
          <w:bCs/>
        </w:rPr>
        <w:t>“Electronic Local Meter Reading”</w:t>
      </w:r>
      <w:r w:rsidRPr="004E2D28">
        <w:t xml:space="preserve"> means obtaining the values of </w:t>
      </w:r>
      <w:r>
        <w:t>half-</w:t>
      </w:r>
      <w:r w:rsidRPr="004E2D28">
        <w:t>hourly Energy</w:t>
      </w:r>
      <w:r w:rsidR="00960B67">
        <w:t>,</w:t>
      </w:r>
      <w:r w:rsidRPr="004E2D28">
        <w:t xml:space="preserve"> stored in </w:t>
      </w:r>
      <w:r w:rsidR="00FF1E90">
        <w:t xml:space="preserve">the </w:t>
      </w:r>
      <w:r w:rsidRPr="004E2D28">
        <w:t>internal memory of the Meter</w:t>
      </w:r>
      <w:r w:rsidR="00960B67">
        <w:t>,</w:t>
      </w:r>
      <w:r w:rsidRPr="004E2D28">
        <w:t xml:space="preserve"> by making a physical link between such Meter and a portable electronic equipment capable to download such information</w:t>
      </w:r>
      <w:r w:rsidR="00A25C57">
        <w:t>;</w:t>
      </w:r>
    </w:p>
    <w:p w14:paraId="036E84F6" w14:textId="582AD02A" w:rsidR="008A0B30" w:rsidRPr="00124F35" w:rsidRDefault="008A0B30" w:rsidP="00FF4826">
      <w:pPr>
        <w:pStyle w:val="ListParagraph"/>
        <w:numPr>
          <w:ilvl w:val="0"/>
          <w:numId w:val="19"/>
        </w:numPr>
        <w:tabs>
          <w:tab w:val="clear" w:pos="720"/>
        </w:tabs>
        <w:ind w:left="1701"/>
      </w:pPr>
      <w:r w:rsidRPr="00124F35">
        <w:rPr>
          <w:b/>
          <w:bCs/>
        </w:rPr>
        <w:t>“Embedded Generation”</w:t>
      </w:r>
      <w:r w:rsidR="00124F35" w:rsidRPr="00124F35">
        <w:rPr>
          <w:b/>
          <w:bCs/>
        </w:rPr>
        <w:t xml:space="preserve"> </w:t>
      </w:r>
      <w:r w:rsidRPr="00124F35">
        <w:t xml:space="preserve">means </w:t>
      </w:r>
      <w:r w:rsidR="00756A40">
        <w:t>a</w:t>
      </w:r>
      <w:r w:rsidR="00756A40" w:rsidRPr="00124F35">
        <w:t xml:space="preserve"> </w:t>
      </w:r>
      <w:r w:rsidR="00E93A6A">
        <w:t>Generation Plant</w:t>
      </w:r>
      <w:r w:rsidR="00756A40">
        <w:t xml:space="preserve"> or </w:t>
      </w:r>
      <w:r w:rsidR="00E93A6A">
        <w:t>G</w:t>
      </w:r>
      <w:r w:rsidR="00E93A6A" w:rsidRPr="00124F35">
        <w:t xml:space="preserve">eneration </w:t>
      </w:r>
      <w:r w:rsidR="00E93A6A">
        <w:t>U</w:t>
      </w:r>
      <w:r w:rsidR="00E93A6A" w:rsidRPr="00124F35">
        <w:t xml:space="preserve">nit </w:t>
      </w:r>
      <w:r w:rsidRPr="00124F35">
        <w:t xml:space="preserve">directly connected to a </w:t>
      </w:r>
      <w:r w:rsidR="00124F35" w:rsidRPr="00124F35">
        <w:t>D</w:t>
      </w:r>
      <w:r w:rsidRPr="00124F35">
        <w:t xml:space="preserve">istribution </w:t>
      </w:r>
      <w:r w:rsidR="00124F35" w:rsidRPr="00124F35">
        <w:t>N</w:t>
      </w:r>
      <w:r w:rsidRPr="00124F35">
        <w:t>etwork</w:t>
      </w:r>
      <w:r w:rsidR="00A25C57">
        <w:t>;</w:t>
      </w:r>
    </w:p>
    <w:p w14:paraId="1A9A7D3B" w14:textId="43720AE4" w:rsidR="008A0B30" w:rsidRPr="00822761" w:rsidRDefault="008A0B30" w:rsidP="00FF4826">
      <w:pPr>
        <w:pStyle w:val="ListParagraph"/>
        <w:numPr>
          <w:ilvl w:val="0"/>
          <w:numId w:val="19"/>
        </w:numPr>
        <w:tabs>
          <w:tab w:val="clear" w:pos="720"/>
        </w:tabs>
        <w:ind w:left="1701"/>
      </w:pPr>
      <w:r w:rsidRPr="00124F35">
        <w:rPr>
          <w:b/>
          <w:bCs/>
        </w:rPr>
        <w:t>“Energy”</w:t>
      </w:r>
      <w:r w:rsidR="00124F35" w:rsidRPr="00124F35">
        <w:rPr>
          <w:b/>
          <w:bCs/>
        </w:rPr>
        <w:t xml:space="preserve"> </w:t>
      </w:r>
      <w:r w:rsidRPr="00822761">
        <w:t xml:space="preserve">means electrical </w:t>
      </w:r>
      <w:r w:rsidR="00960B67">
        <w:t>e</w:t>
      </w:r>
      <w:r w:rsidR="0046412E">
        <w:t>nergy</w:t>
      </w:r>
      <w:r w:rsidRPr="00822761">
        <w:t xml:space="preserve"> produced</w:t>
      </w:r>
      <w:r w:rsidR="00960B67">
        <w:t xml:space="preserve"> by Generation Plants or Generation Units</w:t>
      </w:r>
      <w:r w:rsidRPr="00822761">
        <w:t xml:space="preserve">, flowing through or supplied by </w:t>
      </w:r>
      <w:r w:rsidR="000D5129">
        <w:t>Transmission Network</w:t>
      </w:r>
      <w:r w:rsidRPr="00822761">
        <w:t xml:space="preserve"> or </w:t>
      </w:r>
      <w:r w:rsidR="00756A40">
        <w:t>Distribution Network</w:t>
      </w:r>
      <w:r w:rsidRPr="00822761">
        <w:t>, measured in units of watt</w:t>
      </w:r>
      <w:r w:rsidR="00124F35" w:rsidRPr="00822761">
        <w:t>.</w:t>
      </w:r>
      <w:r w:rsidRPr="00822761">
        <w:t>hours or standard integers or multiples thereof</w:t>
      </w:r>
      <w:r w:rsidR="00A25C57">
        <w:t>;</w:t>
      </w:r>
    </w:p>
    <w:p w14:paraId="2B9F8FFA" w14:textId="1DDE0193" w:rsidR="00126186" w:rsidRDefault="00126186" w:rsidP="00860A9C">
      <w:pPr>
        <w:pStyle w:val="ListParagraph"/>
        <w:numPr>
          <w:ilvl w:val="0"/>
          <w:numId w:val="19"/>
        </w:numPr>
        <w:tabs>
          <w:tab w:val="clear" w:pos="720"/>
        </w:tabs>
        <w:ind w:left="1701"/>
      </w:pPr>
      <w:r w:rsidRPr="00867053">
        <w:rPr>
          <w:b/>
          <w:bCs/>
        </w:rPr>
        <w:t>“Energy Limited Generation Unit”</w:t>
      </w:r>
      <w:r>
        <w:t xml:space="preserve"> means a Generation Unit </w:t>
      </w:r>
      <w:r w:rsidR="00A200E5">
        <w:t>whose</w:t>
      </w:r>
      <w:r>
        <w:t xml:space="preserve"> </w:t>
      </w:r>
      <w:r w:rsidR="00867053">
        <w:t>capability to</w:t>
      </w:r>
      <w:r>
        <w:t xml:space="preserve"> </w:t>
      </w:r>
      <w:r w:rsidR="00EC345E">
        <w:t xml:space="preserve">produce </w:t>
      </w:r>
      <w:r w:rsidR="00867053">
        <w:t xml:space="preserve">Energy is constrained by the availability of the </w:t>
      </w:r>
      <w:r w:rsidR="00EC345E">
        <w:t xml:space="preserve">primary </w:t>
      </w:r>
      <w:r w:rsidR="00867053">
        <w:t>energy stored</w:t>
      </w:r>
      <w:r w:rsidR="00A25C57">
        <w:t>;</w:t>
      </w:r>
      <w:r w:rsidR="00867053">
        <w:t xml:space="preserve"> </w:t>
      </w:r>
    </w:p>
    <w:p w14:paraId="077C6A17" w14:textId="4EE6B1DA" w:rsidR="00822761" w:rsidRPr="00A200E5" w:rsidRDefault="00822761" w:rsidP="00FF4826">
      <w:pPr>
        <w:pStyle w:val="ListParagraph"/>
        <w:numPr>
          <w:ilvl w:val="0"/>
          <w:numId w:val="19"/>
        </w:numPr>
        <w:tabs>
          <w:tab w:val="clear" w:pos="720"/>
        </w:tabs>
        <w:ind w:left="1701"/>
      </w:pPr>
      <w:r w:rsidRPr="00AF4D6A">
        <w:rPr>
          <w:b/>
          <w:bCs/>
        </w:rPr>
        <w:t xml:space="preserve">“Equivalent Availability Factor” </w:t>
      </w:r>
      <w:r w:rsidRPr="00AF4D6A">
        <w:t xml:space="preserve">means the </w:t>
      </w:r>
      <w:r w:rsidR="00860A9C" w:rsidRPr="00860A9C">
        <w:t>fraction</w:t>
      </w:r>
      <w:r w:rsidRPr="00AF4D6A">
        <w:t xml:space="preserve"> of </w:t>
      </w:r>
      <w:r w:rsidR="005076B7">
        <w:t xml:space="preserve">Installed </w:t>
      </w:r>
      <w:r w:rsidR="00860A9C" w:rsidRPr="00860A9C">
        <w:t>Net Capacity</w:t>
      </w:r>
      <w:r w:rsidR="00EC345E">
        <w:t xml:space="preserve">, </w:t>
      </w:r>
      <w:r w:rsidR="00EC345E" w:rsidRPr="00860A9C">
        <w:t xml:space="preserve">averaged </w:t>
      </w:r>
      <w:r w:rsidR="00EC345E" w:rsidRPr="00AF4D6A">
        <w:t xml:space="preserve">over a </w:t>
      </w:r>
      <w:r w:rsidR="00EC345E" w:rsidRPr="00860A9C">
        <w:t>calendar year</w:t>
      </w:r>
      <w:r w:rsidR="00EC345E">
        <w:t>,</w:t>
      </w:r>
      <w:r w:rsidR="00860A9C" w:rsidRPr="00860A9C">
        <w:t xml:space="preserve"> that </w:t>
      </w:r>
      <w:r w:rsidRPr="00AF4D6A">
        <w:t xml:space="preserve">a Generation Unit </w:t>
      </w:r>
      <w:r w:rsidR="00EC345E">
        <w:t>is able to</w:t>
      </w:r>
      <w:r w:rsidR="00EC345E" w:rsidRPr="00860A9C">
        <w:t xml:space="preserve"> </w:t>
      </w:r>
      <w:r w:rsidR="00860A9C" w:rsidRPr="00860A9C">
        <w:t xml:space="preserve">provide after </w:t>
      </w:r>
      <w:r w:rsidR="00EC345E">
        <w:t xml:space="preserve">considering </w:t>
      </w:r>
      <w:r w:rsidR="00860A9C" w:rsidRPr="00860A9C">
        <w:t>all types of outages and deratings</w:t>
      </w:r>
      <w:r w:rsidR="00A25C57">
        <w:t>;</w:t>
      </w:r>
      <w:r w:rsidR="00923CD4">
        <w:t xml:space="preserve"> </w:t>
      </w:r>
    </w:p>
    <w:p w14:paraId="5D36F6E4" w14:textId="23CD410E" w:rsidR="00860A9C" w:rsidRPr="00860A9C" w:rsidRDefault="00860A9C" w:rsidP="00860A9C">
      <w:pPr>
        <w:pStyle w:val="ListParagraph"/>
        <w:numPr>
          <w:ilvl w:val="0"/>
          <w:numId w:val="19"/>
        </w:numPr>
        <w:tabs>
          <w:tab w:val="clear" w:pos="720"/>
        </w:tabs>
        <w:ind w:left="1701"/>
      </w:pPr>
      <w:r w:rsidRPr="00860A9C">
        <w:rPr>
          <w:b/>
          <w:bCs/>
        </w:rPr>
        <w:t xml:space="preserve">“Excess Losses” </w:t>
      </w:r>
      <w:r w:rsidRPr="00860A9C">
        <w:t xml:space="preserve">means the amount of Transmission losses, expressed in kWh or multiples of kWh, which exceeds the maximum value of losses </w:t>
      </w:r>
      <w:r w:rsidR="002336C3">
        <w:t>allowed</w:t>
      </w:r>
      <w:r w:rsidR="002336C3" w:rsidRPr="00860A9C">
        <w:t xml:space="preserve"> </w:t>
      </w:r>
      <w:r w:rsidRPr="00860A9C">
        <w:t xml:space="preserve">by the Authority in the </w:t>
      </w:r>
      <w:r w:rsidR="002336C3">
        <w:t xml:space="preserve">relevant Tariff </w:t>
      </w:r>
      <w:r w:rsidRPr="00860A9C">
        <w:t>determination</w:t>
      </w:r>
      <w:r w:rsidR="00A25C57">
        <w:t>;</w:t>
      </w:r>
    </w:p>
    <w:p w14:paraId="64A59110" w14:textId="4B02D087" w:rsidR="00822761" w:rsidRDefault="00822761" w:rsidP="00FF4826">
      <w:pPr>
        <w:pStyle w:val="ListParagraph"/>
        <w:numPr>
          <w:ilvl w:val="0"/>
          <w:numId w:val="19"/>
        </w:numPr>
        <w:tabs>
          <w:tab w:val="clear" w:pos="720"/>
        </w:tabs>
        <w:ind w:left="1701"/>
      </w:pPr>
      <w:r w:rsidRPr="00AF4D6A">
        <w:rPr>
          <w:b/>
          <w:bCs/>
        </w:rPr>
        <w:lastRenderedPageBreak/>
        <w:t xml:space="preserve">"Export” </w:t>
      </w:r>
      <w:r w:rsidRPr="00822761">
        <w:t xml:space="preserve">means the selling of electric power to foreign countries or </w:t>
      </w:r>
      <w:r w:rsidR="002336C3">
        <w:t xml:space="preserve">such </w:t>
      </w:r>
      <w:r w:rsidRPr="00822761">
        <w:t>territories where the applicability of the Act is not extended</w:t>
      </w:r>
      <w:r w:rsidR="00A25C57">
        <w:t>;</w:t>
      </w:r>
    </w:p>
    <w:p w14:paraId="715A2AA9" w14:textId="3A146BDB" w:rsidR="00770F1E" w:rsidRDefault="00770F1E" w:rsidP="00FF4826">
      <w:pPr>
        <w:pStyle w:val="ListParagraph"/>
        <w:numPr>
          <w:ilvl w:val="0"/>
          <w:numId w:val="19"/>
        </w:numPr>
        <w:tabs>
          <w:tab w:val="clear" w:pos="720"/>
        </w:tabs>
        <w:ind w:left="1701"/>
      </w:pPr>
      <w:r w:rsidRPr="00B03C4A">
        <w:rPr>
          <w:b/>
          <w:bCs/>
        </w:rPr>
        <w:t>“</w:t>
      </w:r>
      <w:r w:rsidR="00060824">
        <w:rPr>
          <w:b/>
          <w:bCs/>
        </w:rPr>
        <w:t>Designated</w:t>
      </w:r>
      <w:r w:rsidRPr="00B03C4A">
        <w:rPr>
          <w:b/>
          <w:bCs/>
        </w:rPr>
        <w:t xml:space="preserve"> Account”</w:t>
      </w:r>
      <w:r w:rsidRPr="00B03C4A">
        <w:t xml:space="preserve"> means the </w:t>
      </w:r>
      <w:r w:rsidR="00060824">
        <w:t xml:space="preserve">existing main revenue collection account of the EX-WAPDA DISCO </w:t>
      </w:r>
      <w:r w:rsidR="00060824" w:rsidRPr="00BE1A24">
        <w:t>including any other Electric Power Supplier/ DISCO carved out of the Ex-WAPDA DISCOs</w:t>
      </w:r>
      <w:r w:rsidR="00060824">
        <w:t xml:space="preserve"> in the Designated Bank</w:t>
      </w:r>
      <w:r w:rsidR="00A25C57" w:rsidRPr="00B03C4A">
        <w:t>;</w:t>
      </w:r>
    </w:p>
    <w:p w14:paraId="7CA9DAEA" w14:textId="3F25B932" w:rsidR="00B97ED7" w:rsidRPr="00B03C4A" w:rsidRDefault="00B97ED7" w:rsidP="00FF4826">
      <w:pPr>
        <w:pStyle w:val="ListParagraph"/>
        <w:numPr>
          <w:ilvl w:val="0"/>
          <w:numId w:val="19"/>
        </w:numPr>
        <w:tabs>
          <w:tab w:val="clear" w:pos="720"/>
        </w:tabs>
        <w:ind w:left="1701"/>
        <w:rPr>
          <w:b/>
          <w:bCs/>
        </w:rPr>
      </w:pPr>
      <w:r w:rsidRPr="00B03C4A">
        <w:rPr>
          <w:b/>
          <w:bCs/>
        </w:rPr>
        <w:t>“</w:t>
      </w:r>
      <w:r w:rsidR="00714160">
        <w:rPr>
          <w:b/>
          <w:bCs/>
        </w:rPr>
        <w:t>Designated Bank</w:t>
      </w:r>
      <w:r w:rsidRPr="00B03C4A">
        <w:rPr>
          <w:b/>
          <w:bCs/>
        </w:rPr>
        <w:t>”</w:t>
      </w:r>
      <w:r>
        <w:rPr>
          <w:b/>
          <w:bCs/>
        </w:rPr>
        <w:t xml:space="preserve"> </w:t>
      </w:r>
      <w:r w:rsidRPr="00B03C4A">
        <w:t xml:space="preserve">means the bank selected jointly be the Market Operator, and the EX-WAPDA DISCO to operate the </w:t>
      </w:r>
      <w:r w:rsidR="00060824">
        <w:t>D</w:t>
      </w:r>
      <w:r w:rsidR="00714160">
        <w:t xml:space="preserve">esignated </w:t>
      </w:r>
      <w:r w:rsidRPr="00B03C4A">
        <w:t>Account as per standard instruction given in Cla</w:t>
      </w:r>
      <w:r w:rsidR="007140BC" w:rsidRPr="00B03C4A">
        <w:t xml:space="preserve">use </w:t>
      </w:r>
      <w:r w:rsidR="007140BC" w:rsidRPr="003018FA">
        <w:fldChar w:fldCharType="begin"/>
      </w:r>
      <w:r w:rsidR="007140BC" w:rsidRPr="007140BC">
        <w:instrText xml:space="preserve"> REF _Ref76396752 \w \h  \* MERGEFORMAT </w:instrText>
      </w:r>
      <w:r w:rsidR="007140BC" w:rsidRPr="003018FA">
        <w:fldChar w:fldCharType="separate"/>
      </w:r>
      <w:r w:rsidR="007140BC" w:rsidRPr="003018FA">
        <w:t>13.1.4.4</w:t>
      </w:r>
      <w:r w:rsidR="007140BC" w:rsidRPr="003018FA">
        <w:fldChar w:fldCharType="end"/>
      </w:r>
      <w:r w:rsidR="007140BC">
        <w:t xml:space="preserve"> and </w:t>
      </w:r>
      <w:r w:rsidR="007140BC" w:rsidRPr="00B03C4A">
        <w:rPr>
          <w:highlight w:val="yellow"/>
        </w:rPr>
        <w:t>the terms and conditions of the agreement</w:t>
      </w:r>
      <w:r w:rsidR="00714160">
        <w:t xml:space="preserve"> entered into for this purpose</w:t>
      </w:r>
      <w:r w:rsidR="007140BC">
        <w:t>.</w:t>
      </w:r>
    </w:p>
    <w:p w14:paraId="0971FCB5" w14:textId="65D9649A" w:rsidR="00822761" w:rsidRDefault="00822761" w:rsidP="00FF4826">
      <w:pPr>
        <w:pStyle w:val="ListParagraph"/>
        <w:numPr>
          <w:ilvl w:val="0"/>
          <w:numId w:val="19"/>
        </w:numPr>
        <w:tabs>
          <w:tab w:val="clear" w:pos="720"/>
        </w:tabs>
        <w:ind w:left="1701"/>
      </w:pPr>
      <w:r w:rsidRPr="000F1690">
        <w:rPr>
          <w:b/>
          <w:bCs/>
        </w:rPr>
        <w:t xml:space="preserve">“Extraordinary Settlement Statement” </w:t>
      </w:r>
      <w:r w:rsidR="002336C3">
        <w:t>shall have</w:t>
      </w:r>
      <w:r w:rsidR="002336C3" w:rsidRPr="00CC54D2">
        <w:t xml:space="preserve"> </w:t>
      </w:r>
      <w:r w:rsidRPr="00CC54D2">
        <w:t xml:space="preserve">the meaning </w:t>
      </w:r>
      <w:r w:rsidR="002336C3">
        <w:t>assigned</w:t>
      </w:r>
      <w:r w:rsidR="002336C3" w:rsidRPr="00CC54D2">
        <w:t xml:space="preserve"> </w:t>
      </w:r>
      <w:r w:rsidR="003C2FC8">
        <w:t>to the term</w:t>
      </w:r>
      <w:r w:rsidR="003C2FC8" w:rsidRPr="00CC54D2">
        <w:t xml:space="preserve"> </w:t>
      </w:r>
      <w:r w:rsidRPr="00CC54D2">
        <w:t xml:space="preserve">in </w:t>
      </w:r>
      <w:r w:rsidR="008C02F7">
        <w:t>Sub-Section</w:t>
      </w:r>
      <w:r>
        <w:t xml:space="preserve"> </w:t>
      </w:r>
      <w:r>
        <w:fldChar w:fldCharType="begin"/>
      </w:r>
      <w:r>
        <w:instrText xml:space="preserve"> REF _Ref527014035 \r \h </w:instrText>
      </w:r>
      <w:r>
        <w:fldChar w:fldCharType="separate"/>
      </w:r>
      <w:r w:rsidR="00251DBF">
        <w:t>8.2.4</w:t>
      </w:r>
      <w:r>
        <w:fldChar w:fldCharType="end"/>
      </w:r>
      <w:r w:rsidR="00A25C57">
        <w:t>;</w:t>
      </w:r>
    </w:p>
    <w:p w14:paraId="08E9053F" w14:textId="150CBB60" w:rsidR="003C2FC8" w:rsidRDefault="003C2FC8" w:rsidP="000D0689">
      <w:pPr>
        <w:pStyle w:val="ListParagraph"/>
        <w:numPr>
          <w:ilvl w:val="0"/>
          <w:numId w:val="19"/>
        </w:numPr>
        <w:tabs>
          <w:tab w:val="clear" w:pos="720"/>
        </w:tabs>
        <w:ind w:left="1701"/>
      </w:pPr>
      <w:r w:rsidRPr="003C2FC8">
        <w:rPr>
          <w:b/>
          <w:bCs/>
        </w:rPr>
        <w:t xml:space="preserve">“Extraordinary Yearly Settlement Statement” </w:t>
      </w:r>
      <w:r w:rsidR="002336C3">
        <w:t>shall have</w:t>
      </w:r>
      <w:r w:rsidR="002336C3" w:rsidRPr="00CC54D2">
        <w:t xml:space="preserve"> </w:t>
      </w:r>
      <w:r w:rsidRPr="00CC54D2">
        <w:t xml:space="preserve">the meaning </w:t>
      </w:r>
      <w:r w:rsidR="002336C3">
        <w:t>assigned</w:t>
      </w:r>
      <w:r w:rsidR="002336C3" w:rsidRPr="00CC54D2">
        <w:t xml:space="preserve"> </w:t>
      </w:r>
      <w:r>
        <w:t>to the term</w:t>
      </w:r>
      <w:r w:rsidRPr="00CC54D2">
        <w:t xml:space="preserve"> in </w:t>
      </w:r>
      <w:r w:rsidR="008C02F7">
        <w:t>Sub-Section</w:t>
      </w:r>
      <w:r>
        <w:t xml:space="preserve"> </w:t>
      </w:r>
      <w:r>
        <w:fldChar w:fldCharType="begin"/>
      </w:r>
      <w:r>
        <w:instrText xml:space="preserve"> REF _Ref61215680 \r \h </w:instrText>
      </w:r>
      <w:r>
        <w:fldChar w:fldCharType="separate"/>
      </w:r>
      <w:r w:rsidR="00251DBF">
        <w:t>12.3.3</w:t>
      </w:r>
      <w:r>
        <w:fldChar w:fldCharType="end"/>
      </w:r>
      <w:r w:rsidR="00A25C57">
        <w:t>;</w:t>
      </w:r>
    </w:p>
    <w:p w14:paraId="4933324A" w14:textId="247B5C57" w:rsidR="006420A7" w:rsidRPr="00CC54D2" w:rsidRDefault="006420A7" w:rsidP="000D0689">
      <w:pPr>
        <w:pStyle w:val="ListParagraph"/>
        <w:numPr>
          <w:ilvl w:val="0"/>
          <w:numId w:val="19"/>
        </w:numPr>
        <w:tabs>
          <w:tab w:val="clear" w:pos="720"/>
        </w:tabs>
        <w:ind w:left="1701"/>
      </w:pPr>
      <w:r>
        <w:rPr>
          <w:b/>
          <w:bCs/>
        </w:rPr>
        <w:t xml:space="preserve">“EX-WAPDA DISCO” </w:t>
      </w:r>
      <w:r>
        <w:t>means a DISCO which has been formed as the result un-bundling of WAPDA</w:t>
      </w:r>
      <w:r w:rsidR="00A25C57">
        <w:t>;</w:t>
      </w:r>
    </w:p>
    <w:p w14:paraId="76A0F528" w14:textId="72ADF10B" w:rsidR="00822761" w:rsidRPr="003C2FC8" w:rsidRDefault="00822761" w:rsidP="00FF4826">
      <w:pPr>
        <w:pStyle w:val="ListParagraph"/>
        <w:numPr>
          <w:ilvl w:val="0"/>
          <w:numId w:val="19"/>
        </w:numPr>
        <w:tabs>
          <w:tab w:val="clear" w:pos="720"/>
        </w:tabs>
        <w:ind w:left="1701"/>
      </w:pPr>
      <w:r w:rsidRPr="003C2FC8">
        <w:rPr>
          <w:b/>
          <w:bCs/>
        </w:rPr>
        <w:t xml:space="preserve">"Final Settlement Statement" </w:t>
      </w:r>
      <w:r w:rsidR="002336C3">
        <w:t>shall have</w:t>
      </w:r>
      <w:r w:rsidR="002336C3" w:rsidRPr="00CC54D2">
        <w:t xml:space="preserve"> </w:t>
      </w:r>
      <w:r w:rsidRPr="00CC54D2">
        <w:t xml:space="preserve">the meaning </w:t>
      </w:r>
      <w:r w:rsidR="002336C3">
        <w:t>assigned</w:t>
      </w:r>
      <w:r w:rsidR="002336C3" w:rsidRPr="00CC54D2">
        <w:t xml:space="preserve"> </w:t>
      </w:r>
      <w:r w:rsidRPr="00CC54D2">
        <w:t xml:space="preserve">thereto in </w:t>
      </w:r>
      <w:r w:rsidR="008C02F7">
        <w:t>Sub-Section</w:t>
      </w:r>
      <w:r w:rsidRPr="00CC54D2">
        <w:t xml:space="preserve"> </w:t>
      </w:r>
      <w:r w:rsidRPr="003C2FC8">
        <w:fldChar w:fldCharType="begin"/>
      </w:r>
      <w:r w:rsidRPr="003C2FC8">
        <w:instrText xml:space="preserve"> REF _Ref61132173 \r \h  \* MERGEFORMAT </w:instrText>
      </w:r>
      <w:r w:rsidRPr="003C2FC8">
        <w:fldChar w:fldCharType="separate"/>
      </w:r>
      <w:r w:rsidR="00251DBF">
        <w:t>8.2.3</w:t>
      </w:r>
      <w:r w:rsidRPr="003C2FC8">
        <w:fldChar w:fldCharType="end"/>
      </w:r>
      <w:r w:rsidR="00A25C57">
        <w:t>;</w:t>
      </w:r>
    </w:p>
    <w:p w14:paraId="54DBA13A" w14:textId="744D02B4" w:rsidR="003C2FC8" w:rsidRPr="00E648E7" w:rsidRDefault="003C2FC8" w:rsidP="000D0689">
      <w:pPr>
        <w:pStyle w:val="ListParagraph"/>
        <w:numPr>
          <w:ilvl w:val="0"/>
          <w:numId w:val="19"/>
        </w:numPr>
        <w:tabs>
          <w:tab w:val="clear" w:pos="720"/>
        </w:tabs>
        <w:ind w:left="1701"/>
      </w:pPr>
      <w:r w:rsidRPr="003C2FC8">
        <w:rPr>
          <w:b/>
          <w:bCs/>
        </w:rPr>
        <w:t xml:space="preserve">"Final Yearly Settlement Statement" </w:t>
      </w:r>
      <w:r w:rsidR="002336C3">
        <w:t>shall have</w:t>
      </w:r>
      <w:r w:rsidR="002336C3" w:rsidRPr="00CC54D2">
        <w:t xml:space="preserve"> </w:t>
      </w:r>
      <w:r w:rsidRPr="00CC54D2">
        <w:t xml:space="preserve">the meaning </w:t>
      </w:r>
      <w:r w:rsidR="002336C3">
        <w:t>assigned</w:t>
      </w:r>
      <w:r w:rsidR="002336C3" w:rsidRPr="00CC54D2">
        <w:t xml:space="preserve"> </w:t>
      </w:r>
      <w:r w:rsidRPr="00CC54D2">
        <w:t xml:space="preserve">thereto in </w:t>
      </w:r>
      <w:r w:rsidR="008C02F7">
        <w:t>Sub-Section</w:t>
      </w:r>
      <w:r w:rsidRPr="00CC54D2">
        <w:t xml:space="preserve"> </w:t>
      </w:r>
      <w:r>
        <w:fldChar w:fldCharType="begin"/>
      </w:r>
      <w:r>
        <w:instrText xml:space="preserve"> REF _Ref66629601 \r \h </w:instrText>
      </w:r>
      <w:r>
        <w:fldChar w:fldCharType="separate"/>
      </w:r>
      <w:r w:rsidR="00251DBF">
        <w:t>12.3.2</w:t>
      </w:r>
      <w:r>
        <w:fldChar w:fldCharType="end"/>
      </w:r>
      <w:r w:rsidR="00A25C57">
        <w:t>;</w:t>
      </w:r>
    </w:p>
    <w:p w14:paraId="27084F31" w14:textId="409CA161" w:rsidR="0079656A" w:rsidRPr="0079656A" w:rsidRDefault="0079656A" w:rsidP="00FF4826">
      <w:pPr>
        <w:pStyle w:val="ListParagraph"/>
        <w:numPr>
          <w:ilvl w:val="0"/>
          <w:numId w:val="19"/>
        </w:numPr>
        <w:tabs>
          <w:tab w:val="clear" w:pos="720"/>
        </w:tabs>
        <w:ind w:left="1701"/>
        <w:rPr>
          <w:b/>
          <w:bCs/>
        </w:rPr>
      </w:pPr>
      <w:r>
        <w:rPr>
          <w:b/>
          <w:bCs/>
        </w:rPr>
        <w:t xml:space="preserve">“Firm Capacity” </w:t>
      </w:r>
      <w:r w:rsidR="002336C3">
        <w:t>means</w:t>
      </w:r>
      <w:r>
        <w:t xml:space="preserve"> the portion of the </w:t>
      </w:r>
      <w:r w:rsidR="002336C3">
        <w:t xml:space="preserve">Installed Net </w:t>
      </w:r>
      <w:r>
        <w:t xml:space="preserve">Capacity </w:t>
      </w:r>
      <w:r w:rsidR="00BE58C0">
        <w:t xml:space="preserve">of </w:t>
      </w:r>
      <w:r>
        <w:t xml:space="preserve">a Generation Unit or Generation Plant, as the case may be, which is available to be </w:t>
      </w:r>
      <w:r w:rsidR="00BE58C0">
        <w:t>delivered</w:t>
      </w:r>
      <w:r>
        <w:t xml:space="preserve"> with a high degree of probability at a</w:t>
      </w:r>
      <w:r w:rsidR="00BE58C0">
        <w:t>ny</w:t>
      </w:r>
      <w:r>
        <w:t xml:space="preserve"> given time</w:t>
      </w:r>
      <w:r w:rsidR="00A25C57">
        <w:t>;</w:t>
      </w:r>
      <w:r>
        <w:t xml:space="preserve"> </w:t>
      </w:r>
    </w:p>
    <w:p w14:paraId="7DD8B644" w14:textId="76DCDC0B" w:rsidR="00124F35" w:rsidRPr="00E648E7" w:rsidRDefault="004C25AE" w:rsidP="00FF4826">
      <w:pPr>
        <w:pStyle w:val="ListParagraph"/>
        <w:numPr>
          <w:ilvl w:val="0"/>
          <w:numId w:val="19"/>
        </w:numPr>
        <w:tabs>
          <w:tab w:val="clear" w:pos="720"/>
        </w:tabs>
        <w:ind w:left="1701"/>
        <w:rPr>
          <w:b/>
          <w:bCs/>
        </w:rPr>
      </w:pPr>
      <w:r w:rsidRPr="00E648E7">
        <w:rPr>
          <w:b/>
          <w:bCs/>
        </w:rPr>
        <w:t xml:space="preserve">“Firm Capacity Certificate” </w:t>
      </w:r>
      <w:r w:rsidRPr="00E648E7">
        <w:t>me</w:t>
      </w:r>
      <w:r w:rsidR="00AE719C" w:rsidRPr="00E648E7">
        <w:t>an</w:t>
      </w:r>
      <w:r w:rsidRPr="00E648E7">
        <w:t>s</w:t>
      </w:r>
      <w:r w:rsidR="00C27D2A" w:rsidRPr="00E648E7">
        <w:t xml:space="preserve"> a certificate issued by the Market Operator</w:t>
      </w:r>
      <w:r w:rsidR="00BE58C0">
        <w:t xml:space="preserve"> to a Generator allowing it to sell Capacity under a Bilateral Contract</w:t>
      </w:r>
      <w:r w:rsidR="00E648E7" w:rsidRPr="00E648E7">
        <w:t xml:space="preserve"> up to the amount </w:t>
      </w:r>
      <w:r w:rsidR="00BE58C0">
        <w:t>provided</w:t>
      </w:r>
      <w:r w:rsidR="00BE58C0" w:rsidRPr="00E648E7">
        <w:t xml:space="preserve"> </w:t>
      </w:r>
      <w:r w:rsidR="00E648E7" w:rsidRPr="00E648E7">
        <w:t>in the certificate</w:t>
      </w:r>
      <w:r w:rsidR="00A25C57">
        <w:t>;</w:t>
      </w:r>
    </w:p>
    <w:p w14:paraId="7E5EB8EF" w14:textId="3A83936D" w:rsidR="00F25E65" w:rsidRDefault="00F25E65" w:rsidP="00FF4826">
      <w:pPr>
        <w:pStyle w:val="ListParagraph"/>
        <w:numPr>
          <w:ilvl w:val="0"/>
          <w:numId w:val="19"/>
        </w:numPr>
        <w:tabs>
          <w:tab w:val="clear" w:pos="720"/>
        </w:tabs>
        <w:ind w:left="1701"/>
      </w:pPr>
      <w:r>
        <w:rPr>
          <w:b/>
          <w:bCs/>
        </w:rPr>
        <w:t xml:space="preserve">“Firm Export” </w:t>
      </w:r>
      <w:r>
        <w:t xml:space="preserve">means an Export which </w:t>
      </w:r>
      <w:r w:rsidR="00D94D0A">
        <w:t xml:space="preserve">may not </w:t>
      </w:r>
      <w:r>
        <w:t xml:space="preserve">be interrupted even </w:t>
      </w:r>
      <w:r w:rsidR="00D94D0A">
        <w:t>where</w:t>
      </w:r>
      <w:r>
        <w:t xml:space="preserve"> the total Available Capacity is </w:t>
      </w:r>
      <w:r w:rsidR="00D94D0A">
        <w:t>less than</w:t>
      </w:r>
      <w:r>
        <w:t xml:space="preserve"> the </w:t>
      </w:r>
      <w:r w:rsidR="00672E71">
        <w:t>potential</w:t>
      </w:r>
      <w:r w:rsidR="00DD3516">
        <w:t xml:space="preserve"> electric power</w:t>
      </w:r>
      <w:r w:rsidR="00672E71">
        <w:t xml:space="preserve"> </w:t>
      </w:r>
      <w:r w:rsidR="00DD3516">
        <w:t>demand in Pakistan</w:t>
      </w:r>
      <w:r>
        <w:t>.</w:t>
      </w:r>
    </w:p>
    <w:p w14:paraId="63EF6F04" w14:textId="635178B8" w:rsidR="008A0B30" w:rsidRDefault="008A0B30" w:rsidP="00FF4826">
      <w:pPr>
        <w:pStyle w:val="ListParagraph"/>
        <w:numPr>
          <w:ilvl w:val="0"/>
          <w:numId w:val="19"/>
        </w:numPr>
        <w:tabs>
          <w:tab w:val="clear" w:pos="720"/>
        </w:tabs>
        <w:ind w:left="1701"/>
      </w:pPr>
      <w:r w:rsidRPr="00E648E7">
        <w:rPr>
          <w:b/>
          <w:bCs/>
        </w:rPr>
        <w:t>“Generate</w:t>
      </w:r>
      <w:r w:rsidR="00D94D0A">
        <w:rPr>
          <w:b/>
          <w:bCs/>
        </w:rPr>
        <w:t>” or “</w:t>
      </w:r>
      <w:r w:rsidRPr="00E648E7">
        <w:rPr>
          <w:b/>
          <w:bCs/>
        </w:rPr>
        <w:t>Generation”</w:t>
      </w:r>
      <w:r w:rsidR="00BC5C9B" w:rsidRPr="00E648E7">
        <w:rPr>
          <w:b/>
          <w:bCs/>
        </w:rPr>
        <w:t xml:space="preserve"> </w:t>
      </w:r>
      <w:r w:rsidRPr="00E648E7">
        <w:t xml:space="preserve">means </w:t>
      </w:r>
      <w:r w:rsidR="00D94D0A">
        <w:t xml:space="preserve">the </w:t>
      </w:r>
      <w:r w:rsidRPr="00E648E7">
        <w:t>produc</w:t>
      </w:r>
      <w:r w:rsidR="00D94D0A">
        <w:t>tion of</w:t>
      </w:r>
      <w:r w:rsidRPr="00E648E7">
        <w:t xml:space="preserve"> Energy at a </w:t>
      </w:r>
      <w:r w:rsidR="000B1401">
        <w:t>Generation</w:t>
      </w:r>
      <w:r w:rsidR="00D94D0A">
        <w:t xml:space="preserve"> Unit or a Generation</w:t>
      </w:r>
      <w:r w:rsidR="000B1401">
        <w:t xml:space="preserve"> Plant</w:t>
      </w:r>
      <w:r w:rsidRPr="00E648E7">
        <w:t xml:space="preserve"> and </w:t>
      </w:r>
      <w:r w:rsidR="00D94D0A">
        <w:t>its delivery</w:t>
      </w:r>
      <w:r w:rsidRPr="00E648E7">
        <w:t xml:space="preserve"> to </w:t>
      </w:r>
      <w:r w:rsidR="00D94D0A">
        <w:t xml:space="preserve">the </w:t>
      </w:r>
      <w:r w:rsidR="00AB2823">
        <w:t>Transmission or Distribution Network</w:t>
      </w:r>
      <w:r w:rsidR="00A25C57">
        <w:t>;</w:t>
      </w:r>
    </w:p>
    <w:p w14:paraId="6B0184B1" w14:textId="2A4643C2" w:rsidR="009276D7" w:rsidRPr="006F26FC" w:rsidRDefault="009276D7" w:rsidP="009276D7">
      <w:pPr>
        <w:pStyle w:val="ListParagraph"/>
        <w:numPr>
          <w:ilvl w:val="0"/>
          <w:numId w:val="19"/>
        </w:numPr>
        <w:tabs>
          <w:tab w:val="clear" w:pos="720"/>
        </w:tabs>
        <w:ind w:left="1701"/>
        <w:rPr>
          <w:b/>
          <w:bCs/>
        </w:rPr>
      </w:pPr>
      <w:r w:rsidRPr="00497642">
        <w:rPr>
          <w:b/>
          <w:bCs/>
        </w:rPr>
        <w:t>“Generat</w:t>
      </w:r>
      <w:r>
        <w:rPr>
          <w:b/>
          <w:bCs/>
        </w:rPr>
        <w:t>ion Company</w:t>
      </w:r>
      <w:r w:rsidRPr="00497642">
        <w:rPr>
          <w:b/>
          <w:bCs/>
        </w:rPr>
        <w:t xml:space="preserve">” </w:t>
      </w:r>
      <w:r w:rsidRPr="00497642">
        <w:t xml:space="preserve">means a Market Participant which is </w:t>
      </w:r>
      <w:r w:rsidR="00520202">
        <w:t>License</w:t>
      </w:r>
      <w:r w:rsidRPr="00497642">
        <w:t xml:space="preserve">d or authorised by the Authority to </w:t>
      </w:r>
      <w:r w:rsidR="00DC26D7" w:rsidRPr="00DC26D7">
        <w:t xml:space="preserve">construct, own or operate a </w:t>
      </w:r>
      <w:r w:rsidR="00DC26D7">
        <w:t>G</w:t>
      </w:r>
      <w:r w:rsidR="00DC26D7" w:rsidRPr="00DC26D7">
        <w:t>eneration facility</w:t>
      </w:r>
      <w:r w:rsidRPr="00497642">
        <w:t xml:space="preserve">, </w:t>
      </w:r>
      <w:r w:rsidRPr="00FE5538">
        <w:t>including Captive Generation</w:t>
      </w:r>
      <w:r w:rsidR="00A25C57">
        <w:t>;</w:t>
      </w:r>
    </w:p>
    <w:p w14:paraId="27896485" w14:textId="1D3FF962" w:rsidR="006F26FC" w:rsidRPr="009276D7" w:rsidRDefault="006F26FC" w:rsidP="009276D7">
      <w:pPr>
        <w:pStyle w:val="ListParagraph"/>
        <w:numPr>
          <w:ilvl w:val="0"/>
          <w:numId w:val="19"/>
        </w:numPr>
        <w:tabs>
          <w:tab w:val="clear" w:pos="720"/>
        </w:tabs>
        <w:ind w:left="1701"/>
        <w:rPr>
          <w:b/>
          <w:bCs/>
        </w:rPr>
      </w:pPr>
      <w:r>
        <w:rPr>
          <w:b/>
          <w:bCs/>
        </w:rPr>
        <w:t xml:space="preserve">“Generation Following Supply Contract” </w:t>
      </w:r>
      <w:r w:rsidR="00D94D0A">
        <w:t>shall have</w:t>
      </w:r>
      <w:r w:rsidR="00D94D0A" w:rsidRPr="006F26FC">
        <w:t xml:space="preserve"> </w:t>
      </w:r>
      <w:r w:rsidRPr="006F26FC">
        <w:t>the</w:t>
      </w:r>
      <w:r>
        <w:rPr>
          <w:b/>
          <w:bCs/>
        </w:rPr>
        <w:t xml:space="preserve"> </w:t>
      </w:r>
      <w:r>
        <w:t xml:space="preserve">meaning </w:t>
      </w:r>
      <w:r w:rsidR="00D94D0A">
        <w:t xml:space="preserve">assigned </w:t>
      </w:r>
      <w:r>
        <w:t xml:space="preserve">to the term in Section </w:t>
      </w:r>
      <w:r>
        <w:fldChar w:fldCharType="begin"/>
      </w:r>
      <w:r>
        <w:instrText xml:space="preserve"> REF _Ref54980926 \r \h </w:instrText>
      </w:r>
      <w:r>
        <w:fldChar w:fldCharType="separate"/>
      </w:r>
      <w:r w:rsidR="00251DBF">
        <w:t>4.3.1</w:t>
      </w:r>
      <w:r>
        <w:fldChar w:fldCharType="end"/>
      </w:r>
      <w:r w:rsidR="00A25C57">
        <w:t>;</w:t>
      </w:r>
    </w:p>
    <w:p w14:paraId="7942A2FC" w14:textId="3A4EE1D2" w:rsidR="002A5F9A" w:rsidRPr="00497642" w:rsidRDefault="002A5F9A" w:rsidP="00FF4826">
      <w:pPr>
        <w:pStyle w:val="ListParagraph"/>
        <w:numPr>
          <w:ilvl w:val="0"/>
          <w:numId w:val="19"/>
        </w:numPr>
        <w:tabs>
          <w:tab w:val="clear" w:pos="720"/>
        </w:tabs>
        <w:ind w:left="1701"/>
      </w:pPr>
      <w:r w:rsidRPr="00497642">
        <w:rPr>
          <w:b/>
          <w:bCs/>
        </w:rPr>
        <w:t>“Generation Plant”</w:t>
      </w:r>
      <w:r w:rsidRPr="00497642">
        <w:t xml:space="preserve"> means</w:t>
      </w:r>
      <w:r w:rsidR="006F59F3" w:rsidRPr="00497642">
        <w:t xml:space="preserve"> a</w:t>
      </w:r>
      <w:r w:rsidR="00497642" w:rsidRPr="00497642">
        <w:t xml:space="preserve"> </w:t>
      </w:r>
      <w:r w:rsidR="00497642">
        <w:t xml:space="preserve">Generation Unit or </w:t>
      </w:r>
      <w:r w:rsidR="00497642" w:rsidRPr="00497642">
        <w:t>group of Generation Units, connected to the Transmission or Distribution Network at a single Connection Point</w:t>
      </w:r>
      <w:r w:rsidR="00A25C57">
        <w:t>;</w:t>
      </w:r>
      <w:r w:rsidR="00497642" w:rsidRPr="00497642">
        <w:t xml:space="preserve"> </w:t>
      </w:r>
    </w:p>
    <w:p w14:paraId="68FE39AA" w14:textId="6DF0BE5C" w:rsidR="00184B0E" w:rsidRPr="00497642" w:rsidRDefault="00184B0E" w:rsidP="00FF4826">
      <w:pPr>
        <w:pStyle w:val="ListParagraph"/>
        <w:numPr>
          <w:ilvl w:val="0"/>
          <w:numId w:val="19"/>
        </w:numPr>
        <w:tabs>
          <w:tab w:val="clear" w:pos="720"/>
        </w:tabs>
        <w:ind w:left="1701"/>
      </w:pPr>
      <w:r w:rsidRPr="00497642">
        <w:rPr>
          <w:b/>
          <w:bCs/>
        </w:rPr>
        <w:t xml:space="preserve">“Generation Unit” </w:t>
      </w:r>
      <w:r w:rsidRPr="00497642">
        <w:t xml:space="preserve">means a </w:t>
      </w:r>
      <w:r w:rsidR="00E93A6A" w:rsidRPr="00E93A6A">
        <w:t xml:space="preserve">conversion apparatus including auxiliaries and associated </w:t>
      </w:r>
      <w:r w:rsidR="005A20C2">
        <w:t>e</w:t>
      </w:r>
      <w:r w:rsidR="00E93A6A" w:rsidRPr="00E93A6A">
        <w:t>quipment</w:t>
      </w:r>
      <w:r w:rsidR="005A20C2">
        <w:t xml:space="preserve">, </w:t>
      </w:r>
      <w:r w:rsidR="005A20C2" w:rsidRPr="005A20C2">
        <w:t xml:space="preserve">used to produce electric </w:t>
      </w:r>
      <w:r w:rsidR="005A20C2">
        <w:t xml:space="preserve">power </w:t>
      </w:r>
      <w:r w:rsidR="005A20C2" w:rsidRPr="005A20C2">
        <w:t xml:space="preserve">from some other form of </w:t>
      </w:r>
      <w:r w:rsidR="00A62290">
        <w:t>e</w:t>
      </w:r>
      <w:r w:rsidR="0046412E">
        <w:t>nergy</w:t>
      </w:r>
      <w:r w:rsidR="005A20C2">
        <w:t xml:space="preserve">, </w:t>
      </w:r>
      <w:r w:rsidRPr="00497642">
        <w:t xml:space="preserve">which </w:t>
      </w:r>
      <w:r w:rsidR="005A20C2">
        <w:t>is</w:t>
      </w:r>
      <w:r w:rsidR="005A20C2" w:rsidRPr="00497642">
        <w:t xml:space="preserve"> </w:t>
      </w:r>
      <w:r w:rsidR="00497642" w:rsidRPr="00497642">
        <w:t xml:space="preserve">dispatched by the </w:t>
      </w:r>
      <w:r w:rsidRPr="00497642">
        <w:t>System Operator</w:t>
      </w:r>
      <w:r w:rsidR="00497642" w:rsidRPr="00497642">
        <w:t xml:space="preserve"> as an indivisible unit</w:t>
      </w:r>
      <w:r w:rsidR="00A25C57">
        <w:t>;</w:t>
      </w:r>
    </w:p>
    <w:p w14:paraId="66508197" w14:textId="47C3CE6D" w:rsidR="009276D7" w:rsidRPr="009276D7" w:rsidRDefault="009276D7" w:rsidP="009276D7">
      <w:pPr>
        <w:pStyle w:val="ListParagraph"/>
        <w:numPr>
          <w:ilvl w:val="0"/>
          <w:numId w:val="19"/>
        </w:numPr>
        <w:tabs>
          <w:tab w:val="clear" w:pos="720"/>
        </w:tabs>
        <w:ind w:left="1701"/>
      </w:pPr>
      <w:r>
        <w:rPr>
          <w:b/>
          <w:bCs/>
        </w:rPr>
        <w:t>“</w:t>
      </w:r>
      <w:r w:rsidRPr="00E624BC">
        <w:rPr>
          <w:b/>
          <w:bCs/>
        </w:rPr>
        <w:t>Generator</w:t>
      </w:r>
      <w:r>
        <w:rPr>
          <w:b/>
          <w:bCs/>
        </w:rPr>
        <w:t xml:space="preserve">” </w:t>
      </w:r>
      <w:r w:rsidRPr="009276D7">
        <w:t xml:space="preserve">has the same meaning as </w:t>
      </w:r>
      <w:r w:rsidR="00A62290">
        <w:t xml:space="preserve">a </w:t>
      </w:r>
      <w:r w:rsidRPr="009276D7">
        <w:t>Generation Company</w:t>
      </w:r>
      <w:r w:rsidR="00A25C57">
        <w:t>;</w:t>
      </w:r>
    </w:p>
    <w:p w14:paraId="4FA72087" w14:textId="3DD300F1" w:rsidR="00184B0E" w:rsidRPr="00CC54D2" w:rsidRDefault="00184B0E" w:rsidP="00FF4826">
      <w:pPr>
        <w:pStyle w:val="ListParagraph"/>
        <w:numPr>
          <w:ilvl w:val="0"/>
          <w:numId w:val="19"/>
        </w:numPr>
        <w:tabs>
          <w:tab w:val="clear" w:pos="720"/>
        </w:tabs>
        <w:ind w:left="1701"/>
      </w:pPr>
      <w:r w:rsidRPr="000F1690">
        <w:rPr>
          <w:b/>
          <w:bCs/>
        </w:rPr>
        <w:t xml:space="preserve">"GOP" </w:t>
      </w:r>
      <w:r w:rsidRPr="00CC54D2">
        <w:t>means the Government of the Islamic Republic of Pakistan</w:t>
      </w:r>
      <w:r w:rsidR="00A25C57">
        <w:t>;</w:t>
      </w:r>
    </w:p>
    <w:p w14:paraId="3D9EAA0B" w14:textId="642C86EA" w:rsidR="008A0B30" w:rsidRDefault="008A0B30" w:rsidP="00FF4826">
      <w:pPr>
        <w:pStyle w:val="ListParagraph"/>
        <w:numPr>
          <w:ilvl w:val="0"/>
          <w:numId w:val="19"/>
        </w:numPr>
        <w:tabs>
          <w:tab w:val="clear" w:pos="720"/>
        </w:tabs>
        <w:ind w:left="1701"/>
      </w:pPr>
      <w:r w:rsidRPr="00DD3516">
        <w:rPr>
          <w:b/>
          <w:bCs/>
        </w:rPr>
        <w:t xml:space="preserve">“Grid Code” </w:t>
      </w:r>
      <w:r w:rsidR="00FC5644" w:rsidRPr="00DD3516">
        <w:t>means the grid code prepared and maintained by the System Operator pursuant to sections 23G and 23H of the Act and approved by the Authority or</w:t>
      </w:r>
      <w:r w:rsidR="00FC5644" w:rsidRPr="00DD3516">
        <w:rPr>
          <w:b/>
          <w:bCs/>
        </w:rPr>
        <w:t xml:space="preserve"> </w:t>
      </w:r>
      <w:r w:rsidR="00FC5644" w:rsidRPr="00DD3516">
        <w:t>till the time the same is approved by the Authority, the Grid Code 2005</w:t>
      </w:r>
      <w:r w:rsidR="00A25C57">
        <w:t>;</w:t>
      </w:r>
    </w:p>
    <w:p w14:paraId="475D3FFF" w14:textId="57CC7A82" w:rsidR="00BB3CA9" w:rsidRDefault="00BB3CA9" w:rsidP="00FF4826">
      <w:pPr>
        <w:pStyle w:val="ListParagraph"/>
        <w:numPr>
          <w:ilvl w:val="0"/>
          <w:numId w:val="19"/>
        </w:numPr>
        <w:tabs>
          <w:tab w:val="clear" w:pos="720"/>
        </w:tabs>
        <w:ind w:left="1701"/>
      </w:pPr>
      <w:r>
        <w:rPr>
          <w:b/>
          <w:bCs/>
        </w:rPr>
        <w:t>“Grid System</w:t>
      </w:r>
      <w:r w:rsidR="00B64708">
        <w:rPr>
          <w:b/>
          <w:bCs/>
        </w:rPr>
        <w:t xml:space="preserve">” </w:t>
      </w:r>
      <w:r w:rsidR="00B64708" w:rsidRPr="00B64708">
        <w:t>means</w:t>
      </w:r>
      <w:r w:rsidR="00B64708">
        <w:t xml:space="preserve"> the Transmission and Distribution Network owned and operated by the Transmission and Distribution Licensees</w:t>
      </w:r>
      <w:r w:rsidR="00A25C57">
        <w:t>;</w:t>
      </w:r>
    </w:p>
    <w:p w14:paraId="14FDC1CB" w14:textId="30267089" w:rsidR="008529A7" w:rsidRDefault="008529A7" w:rsidP="00FF4826">
      <w:pPr>
        <w:pStyle w:val="ListParagraph"/>
        <w:numPr>
          <w:ilvl w:val="0"/>
          <w:numId w:val="19"/>
        </w:numPr>
        <w:tabs>
          <w:tab w:val="clear" w:pos="720"/>
        </w:tabs>
        <w:ind w:left="1701"/>
      </w:pPr>
      <w:r>
        <w:lastRenderedPageBreak/>
        <w:t>“</w:t>
      </w:r>
      <w:r w:rsidRPr="00B03C4A">
        <w:rPr>
          <w:b/>
          <w:bCs/>
        </w:rPr>
        <w:t>Guarantee Amount</w:t>
      </w:r>
      <w:r>
        <w:rPr>
          <w:b/>
          <w:bCs/>
        </w:rPr>
        <w:t xml:space="preserve">” </w:t>
      </w:r>
      <w:r>
        <w:t xml:space="preserve">means an amount, determined by Market Operator, to be deposited by a Market Participant in the Market Operator Settlement Guarantee Fund Account as its </w:t>
      </w:r>
      <w:r w:rsidR="006F4246">
        <w:t>contribution to the Settlement Guarantee Fund</w:t>
      </w:r>
      <w:r w:rsidR="00A25C57">
        <w:t>;</w:t>
      </w:r>
    </w:p>
    <w:p w14:paraId="2BB97685" w14:textId="20D0F968" w:rsidR="00BB78F9" w:rsidRDefault="00BB78F9" w:rsidP="00BB78F9">
      <w:pPr>
        <w:pStyle w:val="ListParagraph"/>
        <w:numPr>
          <w:ilvl w:val="0"/>
          <w:numId w:val="19"/>
        </w:numPr>
        <w:tabs>
          <w:tab w:val="clear" w:pos="720"/>
        </w:tabs>
        <w:ind w:left="1701"/>
      </w:pPr>
      <w:r>
        <w:rPr>
          <w:b/>
          <w:bCs/>
        </w:rPr>
        <w:t xml:space="preserve">“Guaranteed Capacity” </w:t>
      </w:r>
      <w:r w:rsidR="00A62290">
        <w:t>shall have</w:t>
      </w:r>
      <w:r w:rsidR="00A62290" w:rsidRPr="006F26FC">
        <w:t xml:space="preserve"> </w:t>
      </w:r>
      <w:r w:rsidRPr="006F26FC">
        <w:t>the</w:t>
      </w:r>
      <w:r w:rsidRPr="006F26FC">
        <w:rPr>
          <w:b/>
          <w:bCs/>
        </w:rPr>
        <w:t xml:space="preserve"> </w:t>
      </w:r>
      <w:r w:rsidRPr="006F26FC">
        <w:t>meaning</w:t>
      </w:r>
      <w:r>
        <w:t xml:space="preserve"> </w:t>
      </w:r>
      <w:r w:rsidR="00A62290">
        <w:t xml:space="preserve">assigned </w:t>
      </w:r>
      <w:r>
        <w:t xml:space="preserve">to the term in Clause </w:t>
      </w:r>
      <w:r>
        <w:fldChar w:fldCharType="begin"/>
      </w:r>
      <w:r>
        <w:instrText xml:space="preserve"> REF _Ref67476620 \r \h </w:instrText>
      </w:r>
      <w:r>
        <w:fldChar w:fldCharType="separate"/>
      </w:r>
      <w:r w:rsidR="00251DBF">
        <w:t>4.2.1.4</w:t>
      </w:r>
      <w:r>
        <w:fldChar w:fldCharType="end"/>
      </w:r>
      <w:r w:rsidR="00A25C57">
        <w:t>;</w:t>
      </w:r>
    </w:p>
    <w:p w14:paraId="7AD0CACD" w14:textId="3BA08DA2" w:rsidR="00A62290" w:rsidRPr="00A62290" w:rsidRDefault="008431DC" w:rsidP="00FF4826">
      <w:pPr>
        <w:pStyle w:val="ListParagraph"/>
        <w:numPr>
          <w:ilvl w:val="0"/>
          <w:numId w:val="19"/>
        </w:numPr>
        <w:tabs>
          <w:tab w:val="clear" w:pos="720"/>
        </w:tabs>
        <w:ind w:left="1701"/>
        <w:rPr>
          <w:b/>
          <w:bCs/>
        </w:rPr>
      </w:pPr>
      <w:r w:rsidRPr="00727BF6">
        <w:rPr>
          <w:b/>
          <w:bCs/>
        </w:rPr>
        <w:t xml:space="preserve">“Identification Code” </w:t>
      </w:r>
      <w:r w:rsidRPr="00727BF6">
        <w:t xml:space="preserve">is an alphanumerical code which precisely and univocally identifies (i) a Market Participant, or (ii) a </w:t>
      </w:r>
      <w:r w:rsidR="000B1401">
        <w:t>Generation Plant</w:t>
      </w:r>
      <w:r w:rsidRPr="00727BF6">
        <w:t xml:space="preserve"> or Generation Unit, or (iii) a Metering Point</w:t>
      </w:r>
      <w:r w:rsidR="000439D2">
        <w:t>, as the case may be</w:t>
      </w:r>
      <w:r w:rsidR="00A62290">
        <w:t>, which will be assigned:</w:t>
      </w:r>
    </w:p>
    <w:p w14:paraId="4C847557" w14:textId="058B6002" w:rsidR="00A62290" w:rsidRPr="00A62290" w:rsidRDefault="00A62290" w:rsidP="00A62290">
      <w:pPr>
        <w:pStyle w:val="ListParagraph"/>
        <w:numPr>
          <w:ilvl w:val="2"/>
          <w:numId w:val="19"/>
        </w:numPr>
        <w:rPr>
          <w:b/>
          <w:bCs/>
        </w:rPr>
      </w:pPr>
      <w:r>
        <w:t xml:space="preserve"> by the Market Operator to the Market Participants during the registration process</w:t>
      </w:r>
      <w:r w:rsidR="00C31BEE">
        <w:t>;</w:t>
      </w:r>
    </w:p>
    <w:p w14:paraId="03BA3F42" w14:textId="7ECA7CB8" w:rsidR="00A62290" w:rsidRPr="00C31BEE" w:rsidRDefault="00A62290" w:rsidP="00A62290">
      <w:pPr>
        <w:pStyle w:val="ListParagraph"/>
        <w:numPr>
          <w:ilvl w:val="2"/>
          <w:numId w:val="19"/>
        </w:numPr>
        <w:rPr>
          <w:b/>
          <w:bCs/>
        </w:rPr>
      </w:pPr>
      <w:r w:rsidRPr="00A62290">
        <w:t>by the System Operator</w:t>
      </w:r>
      <w:r>
        <w:t xml:space="preserve"> to the Generation Plant</w:t>
      </w:r>
      <w:r w:rsidRPr="00727BF6">
        <w:t>s or Generation Units</w:t>
      </w:r>
      <w:r w:rsidR="00C31BEE">
        <w:t xml:space="preserve"> according to the provisions of the Grid Code; and</w:t>
      </w:r>
    </w:p>
    <w:p w14:paraId="4CC0399A" w14:textId="7B843ED3" w:rsidR="00C31BEE" w:rsidRPr="00A62290" w:rsidRDefault="00C31BEE" w:rsidP="00A62290">
      <w:pPr>
        <w:pStyle w:val="ListParagraph"/>
        <w:numPr>
          <w:ilvl w:val="2"/>
          <w:numId w:val="19"/>
        </w:numPr>
        <w:rPr>
          <w:b/>
          <w:bCs/>
        </w:rPr>
      </w:pPr>
      <w:r w:rsidRPr="00E648E7">
        <w:t>by the Metering Service Provider</w:t>
      </w:r>
      <w:r>
        <w:t xml:space="preserve"> to the Metering Points;</w:t>
      </w:r>
    </w:p>
    <w:p w14:paraId="74F0DFA7" w14:textId="739649AC" w:rsidR="00C31BEE" w:rsidRDefault="00900356" w:rsidP="0055515E">
      <w:pPr>
        <w:pStyle w:val="ListParagraph"/>
        <w:numPr>
          <w:ilvl w:val="0"/>
          <w:numId w:val="19"/>
        </w:numPr>
        <w:tabs>
          <w:tab w:val="clear" w:pos="720"/>
        </w:tabs>
        <w:ind w:left="1701"/>
      </w:pPr>
      <w:r w:rsidRPr="00900356">
        <w:rPr>
          <w:b/>
          <w:bCs/>
        </w:rPr>
        <w:t>“Imbalance”</w:t>
      </w:r>
      <w:r w:rsidRPr="00900356">
        <w:t xml:space="preserve"> </w:t>
      </w:r>
    </w:p>
    <w:p w14:paraId="1DFCF261" w14:textId="4D6EF8D4" w:rsidR="00C31BEE" w:rsidRDefault="00C31BEE" w:rsidP="00AE1AD1">
      <w:pPr>
        <w:pStyle w:val="ListParagraph"/>
        <w:numPr>
          <w:ilvl w:val="2"/>
          <w:numId w:val="19"/>
        </w:numPr>
      </w:pPr>
      <w:r>
        <w:t xml:space="preserve">If used in relation to Capacity, shall </w:t>
      </w:r>
      <w:r w:rsidR="00900356" w:rsidRPr="00900356">
        <w:t xml:space="preserve">mean either the difference between the Capacity sold through a Contract </w:t>
      </w:r>
      <w:r>
        <w:t>(</w:t>
      </w:r>
      <w:r w:rsidR="00900356" w:rsidRPr="00900356">
        <w:t>registered with the Market Operator</w:t>
      </w:r>
      <w:r>
        <w:t>)</w:t>
      </w:r>
      <w:r w:rsidR="00900356" w:rsidRPr="00900356">
        <w:t xml:space="preserve"> and the actual Available Capacity; or the difference between the Capacity purchased through a Contract </w:t>
      </w:r>
      <w:r>
        <w:t>(</w:t>
      </w:r>
      <w:r w:rsidR="00900356" w:rsidRPr="00900356">
        <w:t>registered with the Market Operator</w:t>
      </w:r>
      <w:r>
        <w:t>)</w:t>
      </w:r>
      <w:r w:rsidR="00900356" w:rsidRPr="00900356">
        <w:t xml:space="preserve"> and the actual </w:t>
      </w:r>
      <w:r w:rsidR="00900356">
        <w:t>Maximum Demand in the relevant period</w:t>
      </w:r>
      <w:r w:rsidR="00900356" w:rsidRPr="00900356">
        <w:t xml:space="preserve"> </w:t>
      </w:r>
      <w:r w:rsidR="00CA73DA">
        <w:t>taken</w:t>
      </w:r>
      <w:r w:rsidR="00CA73DA" w:rsidRPr="00900356">
        <w:t xml:space="preserve"> </w:t>
      </w:r>
      <w:r w:rsidR="00900356" w:rsidRPr="00900356">
        <w:t xml:space="preserve">from the </w:t>
      </w:r>
      <w:r w:rsidR="00CA73DA">
        <w:t>Transmission or Distribution Network</w:t>
      </w:r>
      <w:r>
        <w:t>,</w:t>
      </w:r>
      <w:r w:rsidR="00900356" w:rsidRPr="00900356">
        <w:t xml:space="preserve"> as the case may be</w:t>
      </w:r>
      <w:r>
        <w:t>;</w:t>
      </w:r>
      <w:r w:rsidR="00CA73DA">
        <w:t xml:space="preserve"> </w:t>
      </w:r>
    </w:p>
    <w:p w14:paraId="50F4D03C" w14:textId="03A4B7E0" w:rsidR="00900356" w:rsidRDefault="00900356" w:rsidP="00AE1AD1">
      <w:pPr>
        <w:pStyle w:val="ListParagraph"/>
        <w:numPr>
          <w:ilvl w:val="2"/>
          <w:numId w:val="19"/>
        </w:numPr>
      </w:pPr>
      <w:r w:rsidRPr="00900356">
        <w:t xml:space="preserve"> </w:t>
      </w:r>
      <w:r w:rsidR="00C31BEE">
        <w:t>If used in relation to Energy, shall</w:t>
      </w:r>
      <w:r w:rsidR="00C31BEE" w:rsidRPr="00900356">
        <w:t xml:space="preserve"> mean the difference between the Energy quantities bought and sold through a Contract </w:t>
      </w:r>
      <w:r w:rsidR="00C31BEE">
        <w:t>(</w:t>
      </w:r>
      <w:r w:rsidR="00C31BEE" w:rsidRPr="00900356">
        <w:t>registered with the Market Operator</w:t>
      </w:r>
      <w:r w:rsidR="00C31BEE">
        <w:t>)</w:t>
      </w:r>
      <w:r w:rsidR="00C31BEE" w:rsidRPr="00900356">
        <w:t xml:space="preserve"> and the actual quantities injected </w:t>
      </w:r>
      <w:r w:rsidR="00C31BEE">
        <w:t>in</w:t>
      </w:r>
      <w:r w:rsidR="00C31BEE" w:rsidRPr="00900356">
        <w:t xml:space="preserve">to or </w:t>
      </w:r>
      <w:r w:rsidR="00F73C26">
        <w:t>withdrawn</w:t>
      </w:r>
      <w:r w:rsidR="00C31BEE" w:rsidRPr="00900356">
        <w:t xml:space="preserve"> from the </w:t>
      </w:r>
      <w:r w:rsidR="00C31BEE">
        <w:t>Transmission or Distribution Network;</w:t>
      </w:r>
    </w:p>
    <w:p w14:paraId="45004615" w14:textId="3C629DBA" w:rsidR="00184B0E" w:rsidRPr="00CC54D2" w:rsidRDefault="00184B0E" w:rsidP="00AE1AD1">
      <w:pPr>
        <w:pStyle w:val="ListParagraph"/>
        <w:numPr>
          <w:ilvl w:val="0"/>
          <w:numId w:val="19"/>
        </w:numPr>
        <w:tabs>
          <w:tab w:val="clear" w:pos="720"/>
        </w:tabs>
        <w:ind w:left="1701"/>
      </w:pPr>
      <w:commentRangeStart w:id="16"/>
      <w:r w:rsidRPr="00C31BEE">
        <w:rPr>
          <w:b/>
          <w:bCs/>
        </w:rPr>
        <w:t>“Import</w:t>
      </w:r>
      <w:commentRangeEnd w:id="16"/>
      <w:r w:rsidR="00C4406F">
        <w:rPr>
          <w:rStyle w:val="CommentReference"/>
        </w:rPr>
        <w:commentReference w:id="16"/>
      </w:r>
      <w:r w:rsidRPr="00C31BEE">
        <w:rPr>
          <w:b/>
          <w:bCs/>
        </w:rPr>
        <w:t xml:space="preserve">” </w:t>
      </w:r>
      <w:r w:rsidRPr="00CC54D2">
        <w:t xml:space="preserve">means procurement of </w:t>
      </w:r>
      <w:r w:rsidR="00455154" w:rsidRPr="00455154">
        <w:t xml:space="preserve">Energy and/or Capacity </w:t>
      </w:r>
      <w:r w:rsidRPr="00CC54D2">
        <w:t xml:space="preserve">from foreign countries and from </w:t>
      </w:r>
      <w:r w:rsidR="00AB2823">
        <w:t>Generation P</w:t>
      </w:r>
      <w:r w:rsidR="00455154">
        <w:t>l</w:t>
      </w:r>
      <w:r w:rsidR="00AB2823">
        <w:t>ants</w:t>
      </w:r>
      <w:r w:rsidRPr="00CC54D2">
        <w:t xml:space="preserve"> located in </w:t>
      </w:r>
      <w:r w:rsidR="00CA73DA">
        <w:t xml:space="preserve">the </w:t>
      </w:r>
      <w:r w:rsidRPr="00CC54D2">
        <w:t>territories where the applicability of the Act is not extended</w:t>
      </w:r>
      <w:r w:rsidR="00EA6E8B">
        <w:t>;</w:t>
      </w:r>
    </w:p>
    <w:p w14:paraId="4197DA44" w14:textId="5E526337" w:rsidR="00064325" w:rsidRPr="00064325" w:rsidRDefault="004C25AE" w:rsidP="00FF4826">
      <w:pPr>
        <w:pStyle w:val="ListParagraph"/>
        <w:numPr>
          <w:ilvl w:val="0"/>
          <w:numId w:val="19"/>
        </w:numPr>
        <w:tabs>
          <w:tab w:val="clear" w:pos="720"/>
        </w:tabs>
        <w:ind w:left="1701"/>
        <w:rPr>
          <w:b/>
          <w:bCs/>
        </w:rPr>
      </w:pPr>
      <w:r w:rsidRPr="00E648E7">
        <w:rPr>
          <w:b/>
          <w:bCs/>
        </w:rPr>
        <w:t xml:space="preserve">“Initial Firm Capacity Certificate” </w:t>
      </w:r>
      <w:r w:rsidR="00E90FFC" w:rsidRPr="00E648E7">
        <w:t>means</w:t>
      </w:r>
      <w:r w:rsidR="00E648E7" w:rsidRPr="00E648E7">
        <w:t xml:space="preserve"> the Firm Capacity Certificate issued by the Market Operator</w:t>
      </w:r>
      <w:r w:rsidR="00064325">
        <w:t>:</w:t>
      </w:r>
      <w:r w:rsidR="005A20C2">
        <w:t xml:space="preserve"> </w:t>
      </w:r>
    </w:p>
    <w:p w14:paraId="15DC05CD" w14:textId="3BCE377D" w:rsidR="00064325" w:rsidRPr="00064325" w:rsidRDefault="00064325" w:rsidP="00064325">
      <w:pPr>
        <w:pStyle w:val="ListParagraph"/>
        <w:numPr>
          <w:ilvl w:val="2"/>
          <w:numId w:val="19"/>
        </w:numPr>
        <w:rPr>
          <w:b/>
          <w:bCs/>
        </w:rPr>
      </w:pPr>
      <w:r>
        <w:t xml:space="preserve">Before CMOD, </w:t>
      </w:r>
      <w:r w:rsidR="005A20C2">
        <w:t>for those Generation Units</w:t>
      </w:r>
      <w:r w:rsidR="00AA42AA">
        <w:t xml:space="preserve"> </w:t>
      </w:r>
      <w:r w:rsidR="00CA73DA">
        <w:t xml:space="preserve">which </w:t>
      </w:r>
      <w:r>
        <w:t xml:space="preserve">were </w:t>
      </w:r>
      <w:r w:rsidR="00AA42AA">
        <w:t>existing prior to</w:t>
      </w:r>
      <w:r w:rsidR="00E648E7" w:rsidRPr="00E648E7">
        <w:t xml:space="preserve"> </w:t>
      </w:r>
      <w:r w:rsidR="00CA73DA">
        <w:t xml:space="preserve">the </w:t>
      </w:r>
      <w:r w:rsidR="00E648E7" w:rsidRPr="00E648E7">
        <w:t>CMOD</w:t>
      </w:r>
      <w:r>
        <w:t>;</w:t>
      </w:r>
    </w:p>
    <w:p w14:paraId="783AB6DD" w14:textId="1048FF0E" w:rsidR="004C25AE" w:rsidRPr="00E648E7" w:rsidRDefault="00064325" w:rsidP="00064325">
      <w:pPr>
        <w:pStyle w:val="ListParagraph"/>
        <w:numPr>
          <w:ilvl w:val="2"/>
          <w:numId w:val="19"/>
        </w:numPr>
        <w:rPr>
          <w:b/>
          <w:bCs/>
        </w:rPr>
      </w:pPr>
      <w:r>
        <w:t xml:space="preserve">At the time of commissioning, for those Generation Units which are commissioned after </w:t>
      </w:r>
      <w:r w:rsidRPr="00E648E7">
        <w:t>CMOD</w:t>
      </w:r>
      <w:r>
        <w:t>;</w:t>
      </w:r>
      <w:r w:rsidR="00E648E7" w:rsidRPr="00E648E7">
        <w:t xml:space="preserve"> </w:t>
      </w:r>
    </w:p>
    <w:p w14:paraId="21FB754F" w14:textId="2B212DDD" w:rsidR="00947EFB" w:rsidRDefault="00947EFB" w:rsidP="00947EFB">
      <w:pPr>
        <w:pStyle w:val="ListParagraph"/>
        <w:numPr>
          <w:ilvl w:val="0"/>
          <w:numId w:val="19"/>
        </w:numPr>
        <w:tabs>
          <w:tab w:val="clear" w:pos="720"/>
        </w:tabs>
        <w:ind w:left="1701"/>
      </w:pPr>
      <w:r w:rsidRPr="00947EFB">
        <w:rPr>
          <w:b/>
          <w:bCs/>
        </w:rPr>
        <w:t xml:space="preserve">“Installed Capacity” </w:t>
      </w:r>
      <w:r w:rsidRPr="00947EFB">
        <w:t xml:space="preserve">means the amount of electric power that a Generation Unit or a Generation Plant is designed to </w:t>
      </w:r>
      <w:r w:rsidR="005076B7">
        <w:t>operate</w:t>
      </w:r>
      <w:r w:rsidRPr="00947EFB">
        <w:t xml:space="preserve"> on a continuous basis</w:t>
      </w:r>
      <w:r w:rsidR="00064325">
        <w:t xml:space="preserve"> and</w:t>
      </w:r>
      <w:r w:rsidRPr="00947EFB">
        <w:t xml:space="preserve"> determined </w:t>
      </w:r>
      <w:r w:rsidR="00064325">
        <w:t>through</w:t>
      </w:r>
      <w:r w:rsidR="00064325" w:rsidRPr="00947EFB">
        <w:t xml:space="preserve"> </w:t>
      </w:r>
      <w:r w:rsidRPr="00947EFB">
        <w:t>the commissioning or any other test</w:t>
      </w:r>
      <w:r w:rsidR="00064325">
        <w:t>s</w:t>
      </w:r>
      <w:r w:rsidRPr="00947EFB">
        <w:t xml:space="preserve">, specifically designed </w:t>
      </w:r>
      <w:r w:rsidR="0006687B">
        <w:t>for such purpose</w:t>
      </w:r>
      <w:r w:rsidRPr="00947EFB">
        <w:t xml:space="preserve">, </w:t>
      </w:r>
      <w:r w:rsidR="0006687B">
        <w:t xml:space="preserve">which are </w:t>
      </w:r>
      <w:r w:rsidRPr="00947EFB">
        <w:t xml:space="preserve">performed during the useful life of the </w:t>
      </w:r>
      <w:r w:rsidR="0006687B">
        <w:t>Generation Unit or Generation Plant</w:t>
      </w:r>
      <w:r w:rsidR="00A25C57">
        <w:t>;</w:t>
      </w:r>
      <w:r w:rsidRPr="00947EFB">
        <w:t xml:space="preserve"> </w:t>
      </w:r>
    </w:p>
    <w:p w14:paraId="46D01B22" w14:textId="61D1BA02" w:rsidR="00947EFB" w:rsidRPr="00947EFB" w:rsidRDefault="00947EFB" w:rsidP="00947EFB">
      <w:pPr>
        <w:pStyle w:val="ListParagraph"/>
        <w:numPr>
          <w:ilvl w:val="0"/>
          <w:numId w:val="19"/>
        </w:numPr>
        <w:tabs>
          <w:tab w:val="clear" w:pos="720"/>
        </w:tabs>
        <w:ind w:left="1701"/>
      </w:pPr>
      <w:r w:rsidRPr="00947EFB">
        <w:rPr>
          <w:b/>
          <w:bCs/>
        </w:rPr>
        <w:t xml:space="preserve">“Installed Net Capacity” </w:t>
      </w:r>
      <w:r w:rsidRPr="00947EFB">
        <w:t xml:space="preserve">means the share of the Installed Capacity </w:t>
      </w:r>
      <w:r w:rsidR="0006687B">
        <w:t xml:space="preserve">which a Generation Unit or Generation Plant is able to deliver </w:t>
      </w:r>
      <w:r w:rsidRPr="00947EFB">
        <w:t xml:space="preserve">to the </w:t>
      </w:r>
      <w:r w:rsidR="0006687B">
        <w:t xml:space="preserve">Transmission or Distribution Network and </w:t>
      </w:r>
      <w:r w:rsidRPr="00947EFB">
        <w:t xml:space="preserve"> is calculated as the Installed Capacity minus the average </w:t>
      </w:r>
      <w:r w:rsidR="00672E71">
        <w:t>consumption by</w:t>
      </w:r>
      <w:r w:rsidRPr="00947EFB">
        <w:t xml:space="preserve"> the auxiliaries</w:t>
      </w:r>
      <w:r w:rsidR="00A25C57">
        <w:t>;</w:t>
      </w:r>
    </w:p>
    <w:p w14:paraId="59202807" w14:textId="7E439567" w:rsidR="00C832B2" w:rsidRPr="00E648E7" w:rsidRDefault="00C832B2" w:rsidP="00FF4826">
      <w:pPr>
        <w:pStyle w:val="ListParagraph"/>
        <w:numPr>
          <w:ilvl w:val="0"/>
          <w:numId w:val="19"/>
        </w:numPr>
        <w:tabs>
          <w:tab w:val="clear" w:pos="720"/>
        </w:tabs>
        <w:ind w:left="1701"/>
      </w:pPr>
      <w:r w:rsidRPr="00E648E7">
        <w:rPr>
          <w:b/>
          <w:bCs/>
        </w:rPr>
        <w:t>“K-Electric</w:t>
      </w:r>
      <w:r w:rsidR="0006687B">
        <w:rPr>
          <w:b/>
          <w:bCs/>
        </w:rPr>
        <w:t>” or “</w:t>
      </w:r>
      <w:r w:rsidRPr="00E648E7">
        <w:rPr>
          <w:b/>
          <w:bCs/>
        </w:rPr>
        <w:t xml:space="preserve">KE” </w:t>
      </w:r>
      <w:r w:rsidRPr="00E648E7">
        <w:t>means</w:t>
      </w:r>
      <w:r w:rsidR="0006687B">
        <w:t xml:space="preserve"> </w:t>
      </w:r>
      <w:r w:rsidR="00663C40">
        <w:t>the</w:t>
      </w:r>
      <w:r w:rsidR="0006687B">
        <w:t xml:space="preserve"> entity Licensed by the Authority to provide g</w:t>
      </w:r>
      <w:r w:rsidR="0006687B" w:rsidRPr="00E648E7">
        <w:t xml:space="preserve">eneration, </w:t>
      </w:r>
      <w:r w:rsidR="0006687B">
        <w:t>transmission,</w:t>
      </w:r>
      <w:r w:rsidR="0006687B" w:rsidRPr="00E648E7">
        <w:t xml:space="preserve"> </w:t>
      </w:r>
      <w:r w:rsidR="0006687B">
        <w:t>d</w:t>
      </w:r>
      <w:r w:rsidR="0006687B" w:rsidRPr="00E648E7">
        <w:t>istribution</w:t>
      </w:r>
      <w:r w:rsidR="0006687B">
        <w:t xml:space="preserve"> and supply</w:t>
      </w:r>
      <w:r w:rsidR="0006687B" w:rsidRPr="00C832B2">
        <w:t xml:space="preserve"> of </w:t>
      </w:r>
      <w:r w:rsidR="0006687B">
        <w:t>electric power</w:t>
      </w:r>
      <w:r w:rsidR="00663C40">
        <w:t xml:space="preserve"> services</w:t>
      </w:r>
      <w:r w:rsidR="0006687B">
        <w:t xml:space="preserve"> within its specified </w:t>
      </w:r>
      <w:r w:rsidRPr="00E648E7">
        <w:t xml:space="preserve"> </w:t>
      </w:r>
      <w:r w:rsidR="0006687B">
        <w:t>territory</w:t>
      </w:r>
      <w:r w:rsidR="00A25C57">
        <w:t>;</w:t>
      </w:r>
    </w:p>
    <w:p w14:paraId="6437EA40" w14:textId="5FE86ABD" w:rsidR="00E648E7" w:rsidRPr="00E648E7" w:rsidRDefault="00EC7B76" w:rsidP="00FF4826">
      <w:pPr>
        <w:pStyle w:val="ListParagraph"/>
        <w:numPr>
          <w:ilvl w:val="0"/>
          <w:numId w:val="19"/>
        </w:numPr>
        <w:tabs>
          <w:tab w:val="clear" w:pos="720"/>
        </w:tabs>
        <w:ind w:left="1701"/>
      </w:pPr>
      <w:r w:rsidRPr="00E648E7">
        <w:rPr>
          <w:b/>
          <w:bCs/>
        </w:rPr>
        <w:t xml:space="preserve">“Legacy Contract” </w:t>
      </w:r>
      <w:r w:rsidR="00E648E7" w:rsidRPr="00E648E7">
        <w:t xml:space="preserve">means a </w:t>
      </w:r>
      <w:r w:rsidR="00663C40">
        <w:t>PPA or EPA</w:t>
      </w:r>
      <w:r w:rsidR="00CC7D5E">
        <w:t xml:space="preserve"> </w:t>
      </w:r>
      <w:r w:rsidR="00E648E7" w:rsidRPr="00E648E7">
        <w:t xml:space="preserve"> </w:t>
      </w:r>
      <w:r w:rsidR="00CC7D5E">
        <w:t xml:space="preserve">which was </w:t>
      </w:r>
      <w:r w:rsidR="00E648E7" w:rsidRPr="00E648E7">
        <w:t>signed</w:t>
      </w:r>
      <w:r w:rsidR="00CC7D5E">
        <w:t xml:space="preserve">  </w:t>
      </w:r>
      <w:r w:rsidR="00AA42AA">
        <w:t>or administered</w:t>
      </w:r>
      <w:r w:rsidR="00E648E7" w:rsidRPr="00E648E7">
        <w:t xml:space="preserve"> </w:t>
      </w:r>
      <w:r w:rsidR="00AA42AA">
        <w:t>by</w:t>
      </w:r>
      <w:r w:rsidR="00AA42AA" w:rsidRPr="00E648E7">
        <w:t xml:space="preserve"> </w:t>
      </w:r>
      <w:r w:rsidR="00E648E7" w:rsidRPr="00E648E7">
        <w:t xml:space="preserve">the CPPA-G </w:t>
      </w:r>
      <w:r w:rsidR="00CC7D5E">
        <w:t>before the CMOD</w:t>
      </w:r>
      <w:r w:rsidR="00BB40A3">
        <w:t>;</w:t>
      </w:r>
      <w:r w:rsidR="00E648E7" w:rsidRPr="00E648E7">
        <w:t xml:space="preserve"> </w:t>
      </w:r>
    </w:p>
    <w:p w14:paraId="391D6939" w14:textId="282BE111" w:rsidR="008A0B30" w:rsidRDefault="008A0B30" w:rsidP="00FF4826">
      <w:pPr>
        <w:pStyle w:val="ListParagraph"/>
        <w:numPr>
          <w:ilvl w:val="0"/>
          <w:numId w:val="19"/>
        </w:numPr>
        <w:tabs>
          <w:tab w:val="clear" w:pos="720"/>
        </w:tabs>
        <w:ind w:left="1701"/>
      </w:pPr>
      <w:r w:rsidRPr="00DB0BFC">
        <w:rPr>
          <w:b/>
          <w:bCs/>
        </w:rPr>
        <w:lastRenderedPageBreak/>
        <w:t xml:space="preserve">“Licence” </w:t>
      </w:r>
      <w:r w:rsidR="00494427">
        <w:t>shall have</w:t>
      </w:r>
      <w:r w:rsidR="00494427" w:rsidRPr="00DB0BFC">
        <w:t xml:space="preserve"> </w:t>
      </w:r>
      <w:r w:rsidRPr="00DB0BFC">
        <w:t xml:space="preserve">the meaning </w:t>
      </w:r>
      <w:r w:rsidR="00494427">
        <w:t xml:space="preserve">assigned </w:t>
      </w:r>
      <w:r w:rsidR="004C524F">
        <w:t>to the</w:t>
      </w:r>
      <w:r w:rsidRPr="00DB0BFC">
        <w:t xml:space="preserve"> </w:t>
      </w:r>
      <w:r w:rsidR="00BA557E">
        <w:t>term</w:t>
      </w:r>
      <w:r w:rsidR="00BA557E" w:rsidRPr="00DB0BFC">
        <w:t xml:space="preserve"> </w:t>
      </w:r>
      <w:r w:rsidRPr="00DB0BFC">
        <w:t xml:space="preserve">in the Act and the word “Licensee” </w:t>
      </w:r>
      <w:r w:rsidR="00494427">
        <w:t>shall</w:t>
      </w:r>
      <w:r w:rsidR="00494427" w:rsidRPr="00DB0BFC">
        <w:t xml:space="preserve"> </w:t>
      </w:r>
      <w:r w:rsidRPr="00DB0BFC">
        <w:t>be construed accordingly</w:t>
      </w:r>
      <w:r w:rsidR="00BB40A3">
        <w:t>;</w:t>
      </w:r>
    </w:p>
    <w:p w14:paraId="62CB1D58" w14:textId="0243FCB7" w:rsidR="00860A9C" w:rsidRPr="00860A9C" w:rsidRDefault="00860A9C" w:rsidP="00860A9C">
      <w:pPr>
        <w:pStyle w:val="ListParagraph"/>
        <w:numPr>
          <w:ilvl w:val="0"/>
          <w:numId w:val="19"/>
        </w:numPr>
        <w:tabs>
          <w:tab w:val="clear" w:pos="720"/>
        </w:tabs>
        <w:ind w:left="1701"/>
      </w:pPr>
      <w:r w:rsidRPr="00860A9C">
        <w:rPr>
          <w:b/>
          <w:bCs/>
        </w:rPr>
        <w:t xml:space="preserve">“Load Facility” </w:t>
      </w:r>
      <w:r w:rsidRPr="00860A9C">
        <w:t xml:space="preserve">means a facility that consumes </w:t>
      </w:r>
      <w:r>
        <w:t>Energy</w:t>
      </w:r>
      <w:r w:rsidR="00BB40A3">
        <w:t>;</w:t>
      </w:r>
    </w:p>
    <w:p w14:paraId="273802E1" w14:textId="72D7075F" w:rsidR="006F26FC" w:rsidRDefault="006F26FC" w:rsidP="0055515E">
      <w:pPr>
        <w:pStyle w:val="ListParagraph"/>
        <w:numPr>
          <w:ilvl w:val="0"/>
          <w:numId w:val="19"/>
        </w:numPr>
        <w:tabs>
          <w:tab w:val="clear" w:pos="720"/>
        </w:tabs>
        <w:ind w:left="1701"/>
      </w:pPr>
      <w:r w:rsidRPr="006F26FC">
        <w:rPr>
          <w:b/>
          <w:bCs/>
        </w:rPr>
        <w:t xml:space="preserve">“Load Following Supply Contract” </w:t>
      </w:r>
      <w:r w:rsidR="00494427">
        <w:t>shall have</w:t>
      </w:r>
      <w:r w:rsidR="00494427" w:rsidRPr="006F26FC">
        <w:t xml:space="preserve"> </w:t>
      </w:r>
      <w:r w:rsidRPr="006F26FC">
        <w:t>the</w:t>
      </w:r>
      <w:r w:rsidRPr="006F26FC">
        <w:rPr>
          <w:b/>
          <w:bCs/>
        </w:rPr>
        <w:t xml:space="preserve"> </w:t>
      </w:r>
      <w:r w:rsidRPr="006F26FC">
        <w:t>meaning</w:t>
      </w:r>
      <w:r>
        <w:t xml:space="preserve"> </w:t>
      </w:r>
      <w:r w:rsidR="00494427">
        <w:t xml:space="preserve">assigned </w:t>
      </w:r>
      <w:r>
        <w:t xml:space="preserve">to the term in Section </w:t>
      </w:r>
      <w:r>
        <w:fldChar w:fldCharType="begin"/>
      </w:r>
      <w:r>
        <w:instrText xml:space="preserve"> REF _Ref54980947 \r \h </w:instrText>
      </w:r>
      <w:r>
        <w:fldChar w:fldCharType="separate"/>
      </w:r>
      <w:r w:rsidR="00251DBF">
        <w:t>4.3.3</w:t>
      </w:r>
      <w:r>
        <w:fldChar w:fldCharType="end"/>
      </w:r>
      <w:r w:rsidR="00BB40A3">
        <w:t>;</w:t>
      </w:r>
    </w:p>
    <w:p w14:paraId="2D13ECA8" w14:textId="4E43232A" w:rsidR="0032795B" w:rsidRPr="0032795B" w:rsidRDefault="00BD32D2" w:rsidP="00BD32D2">
      <w:pPr>
        <w:pStyle w:val="ListParagraph"/>
        <w:numPr>
          <w:ilvl w:val="0"/>
          <w:numId w:val="19"/>
        </w:numPr>
        <w:tabs>
          <w:tab w:val="clear" w:pos="720"/>
        </w:tabs>
        <w:ind w:left="1701"/>
        <w:rPr>
          <w:b/>
          <w:bCs/>
        </w:rPr>
      </w:pPr>
      <w:r w:rsidRPr="00BD32D2">
        <w:rPr>
          <w:b/>
          <w:bCs/>
        </w:rPr>
        <w:t>“Opportunity Cost Compensation”</w:t>
      </w:r>
      <w:r>
        <w:t xml:space="preserve"> means a compensation that a Generator is entitled to receive </w:t>
      </w:r>
      <w:r w:rsidR="00FF5A65">
        <w:t xml:space="preserve">for the reduction in its potential revenue, </w:t>
      </w:r>
      <w:r w:rsidR="008F66B9">
        <w:t>on account of</w:t>
      </w:r>
      <w:r w:rsidR="00FF5A65">
        <w:t xml:space="preserve"> reduction in the Energy </w:t>
      </w:r>
      <w:r w:rsidR="008F66B9">
        <w:t>dispatched</w:t>
      </w:r>
      <w:r w:rsidR="0032795B">
        <w:t xml:space="preserve"> as</w:t>
      </w:r>
      <w:r w:rsidR="0032795B" w:rsidRPr="0032795B">
        <w:t xml:space="preserve"> </w:t>
      </w:r>
      <w:r w:rsidR="0032795B">
        <w:t>per the instructions issued by the System Operator:</w:t>
      </w:r>
    </w:p>
    <w:p w14:paraId="09289338" w14:textId="542B12AC" w:rsidR="0032795B" w:rsidRPr="0032795B" w:rsidRDefault="008F66B9" w:rsidP="0032795B">
      <w:pPr>
        <w:pStyle w:val="ListParagraph"/>
        <w:numPr>
          <w:ilvl w:val="2"/>
          <w:numId w:val="19"/>
        </w:numPr>
        <w:rPr>
          <w:b/>
          <w:bCs/>
        </w:rPr>
      </w:pPr>
      <w:r w:rsidRPr="008F66B9">
        <w:t xml:space="preserve"> </w:t>
      </w:r>
      <w:r>
        <w:t>for providing Ancillary Services</w:t>
      </w:r>
      <w:r w:rsidR="0032795B">
        <w:t>; or</w:t>
      </w:r>
    </w:p>
    <w:p w14:paraId="1B5AE8E5" w14:textId="67B4A987" w:rsidR="00BD32D2" w:rsidRPr="00BD32D2" w:rsidRDefault="008F66B9" w:rsidP="0032795B">
      <w:pPr>
        <w:pStyle w:val="ListParagraph"/>
        <w:numPr>
          <w:ilvl w:val="2"/>
          <w:numId w:val="19"/>
        </w:numPr>
        <w:rPr>
          <w:b/>
          <w:bCs/>
        </w:rPr>
      </w:pPr>
      <w:r>
        <w:t xml:space="preserve"> allowing the provision of Ancillary Services by other Generation Units</w:t>
      </w:r>
      <w:r w:rsidR="0032795B">
        <w:t>;</w:t>
      </w:r>
    </w:p>
    <w:p w14:paraId="4B0A3BB9" w14:textId="4632A8F8" w:rsidR="004E2D28" w:rsidRPr="00DB0BFC" w:rsidRDefault="004E2D28" w:rsidP="0055515E">
      <w:pPr>
        <w:pStyle w:val="ListParagraph"/>
        <w:numPr>
          <w:ilvl w:val="0"/>
          <w:numId w:val="19"/>
        </w:numPr>
        <w:tabs>
          <w:tab w:val="clear" w:pos="720"/>
        </w:tabs>
        <w:ind w:left="1701"/>
      </w:pPr>
      <w:r w:rsidRPr="004E2D28">
        <w:rPr>
          <w:b/>
          <w:bCs/>
        </w:rPr>
        <w:t>“Manual Local Meter Reading”</w:t>
      </w:r>
      <w:r w:rsidRPr="004E2D28">
        <w:t xml:space="preserve"> means obtaining the </w:t>
      </w:r>
      <w:r>
        <w:t xml:space="preserve">half-hourly, </w:t>
      </w:r>
      <w:r w:rsidRPr="004E2D28">
        <w:t xml:space="preserve">hourly, daily or monthly values of Energy stored in the internal memory of the Meter by visual inspection of the values shown </w:t>
      </w:r>
      <w:r>
        <w:t>on</w:t>
      </w:r>
      <w:r w:rsidRPr="004E2D28">
        <w:t xml:space="preserve"> the Meter display</w:t>
      </w:r>
      <w:r w:rsidR="00BB40A3">
        <w:t>;</w:t>
      </w:r>
    </w:p>
    <w:p w14:paraId="5AB3CC9A" w14:textId="43FD889C" w:rsidR="00EF00C5" w:rsidRPr="004919B7" w:rsidRDefault="00EF00C5" w:rsidP="00FF4826">
      <w:pPr>
        <w:pStyle w:val="ListParagraph"/>
        <w:numPr>
          <w:ilvl w:val="0"/>
          <w:numId w:val="19"/>
        </w:numPr>
        <w:tabs>
          <w:tab w:val="clear" w:pos="720"/>
        </w:tabs>
        <w:ind w:left="1701"/>
      </w:pPr>
      <w:bookmarkStart w:id="17" w:name="page7"/>
      <w:bookmarkEnd w:id="17"/>
      <w:r w:rsidRPr="000F1690">
        <w:rPr>
          <w:b/>
          <w:bCs/>
        </w:rPr>
        <w:t xml:space="preserve">“Metering Service Provider” </w:t>
      </w:r>
      <w:r w:rsidR="0032795B">
        <w:rPr>
          <w:b/>
          <w:bCs/>
        </w:rPr>
        <w:t xml:space="preserve">or “MSP” </w:t>
      </w:r>
      <w:r w:rsidRPr="004919B7">
        <w:t xml:space="preserve">means an entity </w:t>
      </w:r>
      <w:r w:rsidR="00BA557E">
        <w:t>responsible for</w:t>
      </w:r>
      <w:r w:rsidRPr="004919B7">
        <w:t xml:space="preserve"> the organization and administration of the Commercial Metering System and serves as the central aggregator of commercial metering data</w:t>
      </w:r>
      <w:r w:rsidR="00BB40A3">
        <w:t>;</w:t>
      </w:r>
      <w:r w:rsidRPr="004919B7">
        <w:t xml:space="preserve"> </w:t>
      </w:r>
    </w:p>
    <w:p w14:paraId="34C86823" w14:textId="706E9E89" w:rsidR="008A0B30" w:rsidRDefault="008A0B30" w:rsidP="00FF4826">
      <w:pPr>
        <w:pStyle w:val="ListParagraph"/>
        <w:numPr>
          <w:ilvl w:val="0"/>
          <w:numId w:val="19"/>
        </w:numPr>
        <w:tabs>
          <w:tab w:val="clear" w:pos="720"/>
        </w:tabs>
        <w:ind w:left="1701"/>
      </w:pPr>
      <w:r w:rsidRPr="00EF00C5">
        <w:rPr>
          <w:b/>
          <w:bCs/>
        </w:rPr>
        <w:t>“Market”</w:t>
      </w:r>
      <w:r w:rsidR="00186D68">
        <w:rPr>
          <w:b/>
          <w:bCs/>
        </w:rPr>
        <w:t xml:space="preserve"> </w:t>
      </w:r>
      <w:r w:rsidR="00BA557E" w:rsidRPr="00BA557E">
        <w:t>means the Competitive Trading Bilateral Contract Market (CTBCM) of Pakistan organized for wholesale buying and selling of Energy and/or Capacity mainly through Bilateral Contracts</w:t>
      </w:r>
      <w:r w:rsidR="00BB40A3">
        <w:t>;</w:t>
      </w:r>
    </w:p>
    <w:p w14:paraId="02D3FF8F" w14:textId="58E9A7D4" w:rsidR="0029337F" w:rsidRPr="00B03C4A" w:rsidRDefault="0029337F" w:rsidP="00FF4826">
      <w:pPr>
        <w:pStyle w:val="ListParagraph"/>
        <w:numPr>
          <w:ilvl w:val="0"/>
          <w:numId w:val="19"/>
        </w:numPr>
        <w:tabs>
          <w:tab w:val="clear" w:pos="720"/>
        </w:tabs>
        <w:ind w:left="1701"/>
        <w:rPr>
          <w:b/>
          <w:bCs/>
        </w:rPr>
      </w:pPr>
      <w:r w:rsidRPr="00B03C4A">
        <w:rPr>
          <w:b/>
          <w:bCs/>
        </w:rPr>
        <w:t xml:space="preserve">“Market Settlement System” </w:t>
      </w:r>
      <w:r>
        <w:t xml:space="preserve">means a system </w:t>
      </w:r>
      <w:r w:rsidR="003C54EE">
        <w:t xml:space="preserve">set up and </w:t>
      </w:r>
      <w:r>
        <w:t>administered by the Market Operator</w:t>
      </w:r>
      <w:r w:rsidR="003C54EE">
        <w:t xml:space="preserve"> consisting of IT tools and software in order</w:t>
      </w:r>
      <w:r>
        <w:t xml:space="preserve"> to perform the functions as provided in Sub-Section </w:t>
      </w:r>
      <w:r>
        <w:fldChar w:fldCharType="begin"/>
      </w:r>
      <w:r>
        <w:instrText xml:space="preserve"> REF _Ref76900069 \r \h </w:instrText>
      </w:r>
      <w:r>
        <w:fldChar w:fldCharType="separate"/>
      </w:r>
      <w:r>
        <w:t>8.2.2</w:t>
      </w:r>
      <w:r>
        <w:fldChar w:fldCharType="end"/>
      </w:r>
      <w:r>
        <w:t>.</w:t>
      </w:r>
    </w:p>
    <w:p w14:paraId="1C46032F" w14:textId="7703993A" w:rsidR="00EF00C5" w:rsidRDefault="00EF00C5" w:rsidP="00FF4826">
      <w:pPr>
        <w:pStyle w:val="ListParagraph"/>
        <w:numPr>
          <w:ilvl w:val="0"/>
          <w:numId w:val="19"/>
        </w:numPr>
        <w:tabs>
          <w:tab w:val="clear" w:pos="720"/>
        </w:tabs>
        <w:ind w:left="1701"/>
      </w:pPr>
      <w:r w:rsidRPr="00AF4D6A">
        <w:rPr>
          <w:b/>
          <w:bCs/>
        </w:rPr>
        <w:t xml:space="preserve">"Market Operator" </w:t>
      </w:r>
      <w:r w:rsidRPr="00AF4D6A">
        <w:t xml:space="preserve">means the </w:t>
      </w:r>
      <w:r w:rsidR="00FC5644">
        <w:t>person</w:t>
      </w:r>
      <w:r w:rsidR="00724A38">
        <w:t xml:space="preserve"> </w:t>
      </w:r>
      <w:r w:rsidR="00520202">
        <w:t>License</w:t>
      </w:r>
      <w:r w:rsidR="00724A38">
        <w:t xml:space="preserve">d by the Authority </w:t>
      </w:r>
      <w:r w:rsidR="00BA557E">
        <w:t>t</w:t>
      </w:r>
      <w:r w:rsidR="00BA557E" w:rsidRPr="00BA557E">
        <w:t xml:space="preserve">o perform the </w:t>
      </w:r>
      <w:r w:rsidR="00DA6597">
        <w:t>functions</w:t>
      </w:r>
      <w:r w:rsidR="00DA6597" w:rsidRPr="00BA557E">
        <w:t xml:space="preserve"> </w:t>
      </w:r>
      <w:r w:rsidR="00BA557E" w:rsidRPr="00BA557E">
        <w:t xml:space="preserve">of the </w:t>
      </w:r>
      <w:r w:rsidR="00BA557E">
        <w:t>M</w:t>
      </w:r>
      <w:r w:rsidR="00BA557E" w:rsidRPr="00BA557E">
        <w:t xml:space="preserve">arket </w:t>
      </w:r>
      <w:r w:rsidR="00BA557E">
        <w:t>O</w:t>
      </w:r>
      <w:r w:rsidR="00BA557E" w:rsidRPr="00BA557E">
        <w:t>perator</w:t>
      </w:r>
      <w:r w:rsidR="00BB40A3">
        <w:t>;</w:t>
      </w:r>
      <w:r w:rsidRPr="00AF4D6A">
        <w:t xml:space="preserve"> </w:t>
      </w:r>
    </w:p>
    <w:p w14:paraId="3F98ACDE" w14:textId="67B6C340" w:rsidR="00D6124F" w:rsidRPr="00AF4D6A" w:rsidRDefault="00D6124F" w:rsidP="00FF4826">
      <w:pPr>
        <w:pStyle w:val="ListParagraph"/>
        <w:numPr>
          <w:ilvl w:val="0"/>
          <w:numId w:val="19"/>
        </w:numPr>
        <w:tabs>
          <w:tab w:val="clear" w:pos="720"/>
        </w:tabs>
        <w:ind w:left="1701"/>
      </w:pPr>
      <w:r w:rsidRPr="00AF4D6A">
        <w:rPr>
          <w:b/>
          <w:bCs/>
        </w:rPr>
        <w:t>"Market Operator</w:t>
      </w:r>
      <w:r>
        <w:rPr>
          <w:b/>
          <w:bCs/>
        </w:rPr>
        <w:t xml:space="preserve"> Fee</w:t>
      </w:r>
      <w:r w:rsidRPr="00AF4D6A">
        <w:rPr>
          <w:b/>
          <w:bCs/>
        </w:rPr>
        <w:t>"</w:t>
      </w:r>
      <w:r>
        <w:rPr>
          <w:b/>
          <w:bCs/>
        </w:rPr>
        <w:t xml:space="preserve"> </w:t>
      </w:r>
      <w:r w:rsidRPr="00D6124F">
        <w:t xml:space="preserve">means </w:t>
      </w:r>
      <w:r>
        <w:t>the</w:t>
      </w:r>
      <w:r w:rsidRPr="00D6124F">
        <w:t xml:space="preserve"> fee determined by the Authority for the Market Operator</w:t>
      </w:r>
      <w:r w:rsidR="00BB40A3">
        <w:t>;</w:t>
      </w:r>
    </w:p>
    <w:p w14:paraId="7BFFB67B" w14:textId="2458DF27" w:rsidR="00B23282" w:rsidRPr="00316BE9" w:rsidRDefault="00B23282" w:rsidP="00FF4826">
      <w:pPr>
        <w:pStyle w:val="ListParagraph"/>
        <w:numPr>
          <w:ilvl w:val="0"/>
          <w:numId w:val="19"/>
        </w:numPr>
        <w:tabs>
          <w:tab w:val="clear" w:pos="720"/>
        </w:tabs>
        <w:ind w:left="1701"/>
      </w:pPr>
      <w:r w:rsidRPr="008B3A76">
        <w:rPr>
          <w:b/>
          <w:bCs/>
        </w:rPr>
        <w:t xml:space="preserve">“Market </w:t>
      </w:r>
      <w:r w:rsidRPr="00316BE9">
        <w:rPr>
          <w:b/>
          <w:bCs/>
        </w:rPr>
        <w:t xml:space="preserve">Participant” </w:t>
      </w:r>
      <w:r w:rsidRPr="00316BE9">
        <w:t>means any person who</w:t>
      </w:r>
      <w:r w:rsidR="003317B4">
        <w:t xml:space="preserve"> is registered with the Market Operator and has also executed a</w:t>
      </w:r>
      <w:r w:rsidRPr="00316BE9">
        <w:t xml:space="preserve"> Market Participation Agreement</w:t>
      </w:r>
      <w:r w:rsidR="00BB40A3">
        <w:t>;</w:t>
      </w:r>
    </w:p>
    <w:p w14:paraId="19868A90" w14:textId="5CF15784" w:rsidR="008A0B30" w:rsidRPr="00316BE9" w:rsidRDefault="008A0B30" w:rsidP="00FF4826">
      <w:pPr>
        <w:pStyle w:val="ListParagraph"/>
        <w:numPr>
          <w:ilvl w:val="0"/>
          <w:numId w:val="19"/>
        </w:numPr>
        <w:tabs>
          <w:tab w:val="clear" w:pos="720"/>
        </w:tabs>
        <w:ind w:left="1701"/>
        <w:rPr>
          <w:b/>
          <w:bCs/>
        </w:rPr>
      </w:pPr>
      <w:r w:rsidRPr="00316BE9">
        <w:rPr>
          <w:b/>
          <w:bCs/>
        </w:rPr>
        <w:t>“Market Operator Clearing Account”</w:t>
      </w:r>
      <w:r w:rsidR="00EF00C5" w:rsidRPr="00316BE9">
        <w:rPr>
          <w:b/>
          <w:bCs/>
        </w:rPr>
        <w:t xml:space="preserve"> </w:t>
      </w:r>
      <w:r w:rsidRPr="00316BE9">
        <w:t xml:space="preserve">means the </w:t>
      </w:r>
      <w:r w:rsidR="001E4ABA">
        <w:t xml:space="preserve">bank </w:t>
      </w:r>
      <w:r w:rsidRPr="00316BE9">
        <w:t xml:space="preserve">accounts established by the Market Operator pursuant </w:t>
      </w:r>
      <w:r w:rsidR="00316BE9" w:rsidRPr="00316BE9">
        <w:t xml:space="preserve">to Clause </w:t>
      </w:r>
      <w:r w:rsidR="00316BE9" w:rsidRPr="00316BE9">
        <w:fldChar w:fldCharType="begin"/>
      </w:r>
      <w:r w:rsidR="00316BE9" w:rsidRPr="00316BE9">
        <w:instrText xml:space="preserve"> REF _Ref60839625 \w \h </w:instrText>
      </w:r>
      <w:r w:rsidR="00316BE9">
        <w:instrText xml:space="preserve"> \* MERGEFORMAT </w:instrText>
      </w:r>
      <w:r w:rsidR="00316BE9" w:rsidRPr="00316BE9">
        <w:fldChar w:fldCharType="separate"/>
      </w:r>
      <w:r w:rsidR="00251DBF">
        <w:t>13.1.1.3</w:t>
      </w:r>
      <w:r w:rsidR="00316BE9" w:rsidRPr="00316BE9">
        <w:fldChar w:fldCharType="end"/>
      </w:r>
      <w:r w:rsidR="00BB40A3">
        <w:t>;</w:t>
      </w:r>
    </w:p>
    <w:p w14:paraId="64B35EE1" w14:textId="60DD044D" w:rsidR="00860A9C" w:rsidRPr="00860A9C" w:rsidRDefault="00860A9C" w:rsidP="00860A9C">
      <w:pPr>
        <w:pStyle w:val="ListParagraph"/>
        <w:numPr>
          <w:ilvl w:val="0"/>
          <w:numId w:val="19"/>
        </w:numPr>
        <w:tabs>
          <w:tab w:val="clear" w:pos="720"/>
        </w:tabs>
        <w:ind w:left="1701"/>
      </w:pPr>
      <w:r w:rsidRPr="00860A9C">
        <w:rPr>
          <w:b/>
          <w:bCs/>
        </w:rPr>
        <w:t xml:space="preserve">“Market Operator Surplus Account” </w:t>
      </w:r>
      <w:r w:rsidRPr="00860A9C">
        <w:t xml:space="preserve">means the </w:t>
      </w:r>
      <w:r w:rsidR="001E4ABA">
        <w:t>bank</w:t>
      </w:r>
      <w:r w:rsidRPr="00860A9C">
        <w:t xml:space="preserve"> account, established by the Market Operator, in which the Market Participant shall deposit the amounts associated with </w:t>
      </w:r>
      <w:commentRangeStart w:id="18"/>
      <w:r w:rsidRPr="00860A9C">
        <w:t>fines and/or penalties</w:t>
      </w:r>
      <w:commentRangeEnd w:id="18"/>
      <w:r w:rsidR="006601E5">
        <w:rPr>
          <w:rStyle w:val="CommentReference"/>
        </w:rPr>
        <w:commentReference w:id="18"/>
      </w:r>
      <w:r w:rsidR="00BB40A3">
        <w:t>;</w:t>
      </w:r>
      <w:r w:rsidRPr="00860A9C">
        <w:t xml:space="preserve"> </w:t>
      </w:r>
    </w:p>
    <w:p w14:paraId="563B0523" w14:textId="65941054" w:rsidR="0060616E" w:rsidRPr="00316BE9" w:rsidRDefault="0060616E" w:rsidP="00FF4826">
      <w:pPr>
        <w:pStyle w:val="ListParagraph"/>
        <w:numPr>
          <w:ilvl w:val="0"/>
          <w:numId w:val="19"/>
        </w:numPr>
        <w:tabs>
          <w:tab w:val="clear" w:pos="720"/>
        </w:tabs>
        <w:ind w:left="1701"/>
        <w:rPr>
          <w:b/>
          <w:bCs/>
        </w:rPr>
      </w:pPr>
      <w:r w:rsidRPr="00316BE9">
        <w:rPr>
          <w:b/>
          <w:bCs/>
        </w:rPr>
        <w:t xml:space="preserve">“Market Participants Register” </w:t>
      </w:r>
      <w:r w:rsidRPr="00316BE9">
        <w:t xml:space="preserve">means the </w:t>
      </w:r>
      <w:r w:rsidR="006601E5">
        <w:t>register</w:t>
      </w:r>
      <w:r w:rsidR="006601E5" w:rsidRPr="00316BE9">
        <w:t xml:space="preserve"> </w:t>
      </w:r>
      <w:r w:rsidRPr="00316BE9">
        <w:t>organised and maintained by the Market Operator with the registration information of Market Participants, as defined in Chapter 4</w:t>
      </w:r>
      <w:r w:rsidR="00BB40A3">
        <w:t>;</w:t>
      </w:r>
    </w:p>
    <w:p w14:paraId="4D391BE2" w14:textId="5A1F68A5" w:rsidR="0079656A" w:rsidRPr="0079656A" w:rsidRDefault="0079656A" w:rsidP="00FF4826">
      <w:pPr>
        <w:pStyle w:val="ListParagraph"/>
        <w:numPr>
          <w:ilvl w:val="0"/>
          <w:numId w:val="19"/>
        </w:numPr>
        <w:tabs>
          <w:tab w:val="clear" w:pos="720"/>
        </w:tabs>
        <w:ind w:left="1701"/>
      </w:pPr>
      <w:r>
        <w:rPr>
          <w:b/>
          <w:bCs/>
        </w:rPr>
        <w:t xml:space="preserve">“Termination Date” </w:t>
      </w:r>
      <w:r>
        <w:t>means</w:t>
      </w:r>
      <w:r w:rsidR="008B4E8F">
        <w:t xml:space="preserve"> the </w:t>
      </w:r>
      <w:r>
        <w:t xml:space="preserve">date </w:t>
      </w:r>
      <w:r w:rsidR="008B4E8F">
        <w:t xml:space="preserve">on </w:t>
      </w:r>
      <w:r>
        <w:t xml:space="preserve">which a Market </w:t>
      </w:r>
      <w:r w:rsidR="008B4E8F">
        <w:t>Participation Agreement expires or the same is terminated by the Market Operator</w:t>
      </w:r>
      <w:r w:rsidR="00BB40A3">
        <w:t>;</w:t>
      </w:r>
      <w:r w:rsidR="00331214">
        <w:t xml:space="preserve"> </w:t>
      </w:r>
    </w:p>
    <w:p w14:paraId="597E75A0" w14:textId="3ACE6768" w:rsidR="008A0B30" w:rsidRPr="00186D68" w:rsidRDefault="008A0B30" w:rsidP="00FF4826">
      <w:pPr>
        <w:pStyle w:val="ListParagraph"/>
        <w:numPr>
          <w:ilvl w:val="0"/>
          <w:numId w:val="19"/>
        </w:numPr>
        <w:tabs>
          <w:tab w:val="clear" w:pos="720"/>
        </w:tabs>
        <w:ind w:left="1701"/>
      </w:pPr>
      <w:r w:rsidRPr="00316BE9">
        <w:rPr>
          <w:b/>
          <w:bCs/>
        </w:rPr>
        <w:t>“Market Participation Agreement</w:t>
      </w:r>
      <w:r w:rsidRPr="00316BE9">
        <w:t xml:space="preserve">” means the agreement </w:t>
      </w:r>
      <w:r w:rsidR="00C46CCB">
        <w:t>executed</w:t>
      </w:r>
      <w:r w:rsidR="00C46CCB" w:rsidRPr="00D5276E">
        <w:t xml:space="preserve"> </w:t>
      </w:r>
      <w:r w:rsidR="00C46CCB">
        <w:t>by</w:t>
      </w:r>
      <w:r w:rsidR="00C46CCB" w:rsidRPr="00D5276E">
        <w:t xml:space="preserve"> </w:t>
      </w:r>
      <w:r w:rsidR="00D5276E" w:rsidRPr="00D5276E">
        <w:t xml:space="preserve">the </w:t>
      </w:r>
      <w:r w:rsidR="00BB40A3" w:rsidRPr="00D5276E">
        <w:t>M</w:t>
      </w:r>
      <w:r w:rsidR="00BB40A3">
        <w:t>arket Operator</w:t>
      </w:r>
      <w:r w:rsidR="00D5276E" w:rsidRPr="00D5276E">
        <w:t xml:space="preserve"> </w:t>
      </w:r>
      <w:r w:rsidR="00C46CCB">
        <w:t>with</w:t>
      </w:r>
      <w:r w:rsidR="00C46CCB" w:rsidRPr="00D5276E">
        <w:t xml:space="preserve"> </w:t>
      </w:r>
      <w:r w:rsidR="00C46CCB">
        <w:t>another person</w:t>
      </w:r>
      <w:r w:rsidR="00D5276E" w:rsidRPr="00D5276E">
        <w:t xml:space="preserve"> </w:t>
      </w:r>
      <w:r w:rsidR="00C46CCB">
        <w:t xml:space="preserve">who had applied </w:t>
      </w:r>
      <w:r w:rsidR="00D5276E" w:rsidRPr="00D5276E">
        <w:t xml:space="preserve">to register as </w:t>
      </w:r>
      <w:r w:rsidR="00C46CCB">
        <w:t xml:space="preserve">a </w:t>
      </w:r>
      <w:r w:rsidR="00D5276E" w:rsidRPr="00D5276E">
        <w:t>Market Participant</w:t>
      </w:r>
      <w:r w:rsidR="00BB40A3">
        <w:t>;</w:t>
      </w:r>
    </w:p>
    <w:p w14:paraId="4C7DF666" w14:textId="3FD98594" w:rsidR="00207F8B" w:rsidRPr="00316BE9" w:rsidRDefault="00207F8B" w:rsidP="00FF4826">
      <w:pPr>
        <w:pStyle w:val="ListParagraph"/>
        <w:numPr>
          <w:ilvl w:val="0"/>
          <w:numId w:val="19"/>
        </w:numPr>
        <w:tabs>
          <w:tab w:val="clear" w:pos="720"/>
        </w:tabs>
        <w:ind w:left="1701"/>
      </w:pPr>
      <w:r w:rsidRPr="00316BE9">
        <w:rPr>
          <w:b/>
          <w:bCs/>
        </w:rPr>
        <w:t xml:space="preserve">“Maximum Demand” </w:t>
      </w:r>
      <w:r w:rsidRPr="00316BE9">
        <w:t>means</w:t>
      </w:r>
      <w:r w:rsidR="00316BE9" w:rsidRPr="00316BE9">
        <w:t xml:space="preserve"> maximum amount of electric power demanded by a Market Participant, averaged over a [30 minutes] period, expressed in W</w:t>
      </w:r>
      <w:r w:rsidR="00C46CCB">
        <w:t>atts or its standard multiples</w:t>
      </w:r>
      <w:r w:rsidR="00BB40A3">
        <w:t>;</w:t>
      </w:r>
      <w:r w:rsidR="00316BE9" w:rsidRPr="00316BE9">
        <w:t xml:space="preserve"> </w:t>
      </w:r>
    </w:p>
    <w:p w14:paraId="4E70DF5C" w14:textId="7A7D53B2" w:rsidR="00FA5084" w:rsidRPr="00FD2336" w:rsidRDefault="00FA5084" w:rsidP="00FA5084">
      <w:pPr>
        <w:pStyle w:val="ListParagraph"/>
        <w:numPr>
          <w:ilvl w:val="0"/>
          <w:numId w:val="19"/>
        </w:numPr>
        <w:tabs>
          <w:tab w:val="clear" w:pos="720"/>
        </w:tabs>
        <w:ind w:left="1701"/>
      </w:pPr>
      <w:r w:rsidRPr="00FA5084">
        <w:rPr>
          <w:b/>
          <w:bCs/>
        </w:rPr>
        <w:t>“</w:t>
      </w:r>
      <w:r w:rsidR="00190B7B">
        <w:rPr>
          <w:b/>
          <w:bCs/>
        </w:rPr>
        <w:t>Variable Generation Cost</w:t>
      </w:r>
      <w:r w:rsidRPr="00FA5084">
        <w:rPr>
          <w:b/>
          <w:bCs/>
        </w:rPr>
        <w:t xml:space="preserve"> </w:t>
      </w:r>
      <w:r w:rsidR="00190B7B">
        <w:rPr>
          <w:b/>
          <w:bCs/>
        </w:rPr>
        <w:t>List</w:t>
      </w:r>
      <w:r w:rsidRPr="00FA5084">
        <w:rPr>
          <w:b/>
          <w:bCs/>
        </w:rPr>
        <w:t xml:space="preserve">” </w:t>
      </w:r>
      <w:r w:rsidRPr="00FA5084">
        <w:t xml:space="preserve">means the </w:t>
      </w:r>
      <w:r w:rsidR="00190B7B">
        <w:t>table</w:t>
      </w:r>
      <w:r w:rsidRPr="00FA5084">
        <w:t xml:space="preserve">, prepared by the System Operator, containing </w:t>
      </w:r>
      <w:r w:rsidR="00C4406F">
        <w:t xml:space="preserve">list of </w:t>
      </w:r>
      <w:r w:rsidRPr="00FA5084">
        <w:t xml:space="preserve">all Generation Units and </w:t>
      </w:r>
      <w:r w:rsidRPr="003018FA">
        <w:t>Imports</w:t>
      </w:r>
      <w:r w:rsidR="002C65D8" w:rsidRPr="003018FA">
        <w:t xml:space="preserve"> </w:t>
      </w:r>
      <w:r w:rsidR="002C65D8" w:rsidRPr="00FD2336">
        <w:t>associated with specific Generators</w:t>
      </w:r>
      <w:r w:rsidR="00C4406F" w:rsidRPr="00FD2336">
        <w:t>,</w:t>
      </w:r>
      <w:r w:rsidRPr="00FD2336">
        <w:t xml:space="preserve"> </w:t>
      </w:r>
      <w:r w:rsidR="00C46CCB" w:rsidRPr="00FD2336">
        <w:t xml:space="preserve">organized </w:t>
      </w:r>
      <w:r w:rsidRPr="00FD2336">
        <w:t>in ascending order of their Variable Generation Cost</w:t>
      </w:r>
      <w:r w:rsidR="00FD2336" w:rsidRPr="00FD2336">
        <w:t xml:space="preserve"> or </w:t>
      </w:r>
      <w:r w:rsidR="00FD2336">
        <w:t xml:space="preserve">Contract </w:t>
      </w:r>
      <w:r w:rsidR="00FD2336" w:rsidRPr="003018FA">
        <w:t xml:space="preserve">price in </w:t>
      </w:r>
      <w:r w:rsidR="00FD2336">
        <w:t>c</w:t>
      </w:r>
      <w:r w:rsidR="00FD2336" w:rsidRPr="003018FA">
        <w:t>ase of Imports, as the case may be</w:t>
      </w:r>
      <w:r w:rsidR="00BB40A3" w:rsidRPr="00FD2336">
        <w:t>;</w:t>
      </w:r>
    </w:p>
    <w:p w14:paraId="26607065" w14:textId="1F699D7C" w:rsidR="008A0B30" w:rsidRPr="00F45AC8" w:rsidRDefault="008A0B30" w:rsidP="00FF4826">
      <w:pPr>
        <w:pStyle w:val="ListParagraph"/>
        <w:numPr>
          <w:ilvl w:val="0"/>
          <w:numId w:val="19"/>
        </w:numPr>
        <w:tabs>
          <w:tab w:val="clear" w:pos="720"/>
        </w:tabs>
        <w:ind w:left="1701"/>
      </w:pPr>
      <w:r w:rsidRPr="00EF00C5">
        <w:rPr>
          <w:b/>
          <w:bCs/>
        </w:rPr>
        <w:lastRenderedPageBreak/>
        <w:t>“Meter”</w:t>
      </w:r>
      <w:r w:rsidR="00186D68">
        <w:rPr>
          <w:b/>
          <w:bCs/>
        </w:rPr>
        <w:t xml:space="preserve"> </w:t>
      </w:r>
      <w:r w:rsidRPr="00F45AC8">
        <w:t xml:space="preserve">means a device that measures </w:t>
      </w:r>
      <w:r w:rsidR="00EC4516">
        <w:t>electrical e</w:t>
      </w:r>
      <w:r w:rsidRPr="00F45AC8">
        <w:t>nergy</w:t>
      </w:r>
      <w:r w:rsidR="00EC4516">
        <w:t xml:space="preserve"> as per specifications of the Grid Code</w:t>
      </w:r>
      <w:r w:rsidR="00BB40A3">
        <w:t>;</w:t>
      </w:r>
      <w:r w:rsidRPr="00F45AC8">
        <w:t xml:space="preserve"> </w:t>
      </w:r>
    </w:p>
    <w:p w14:paraId="761711D7" w14:textId="63396E5D" w:rsidR="00836CAC" w:rsidRPr="00316BE9" w:rsidRDefault="00836CAC" w:rsidP="00FF4826">
      <w:pPr>
        <w:pStyle w:val="ListParagraph"/>
        <w:numPr>
          <w:ilvl w:val="0"/>
          <w:numId w:val="19"/>
        </w:numPr>
        <w:tabs>
          <w:tab w:val="clear" w:pos="720"/>
        </w:tabs>
        <w:ind w:left="1701"/>
        <w:rPr>
          <w:b/>
          <w:bCs/>
        </w:rPr>
      </w:pPr>
      <w:r w:rsidRPr="00316BE9">
        <w:rPr>
          <w:b/>
          <w:bCs/>
        </w:rPr>
        <w:t>“Met</w:t>
      </w:r>
      <w:r w:rsidR="00316BE9" w:rsidRPr="00316BE9">
        <w:rPr>
          <w:b/>
          <w:bCs/>
        </w:rPr>
        <w:t>e</w:t>
      </w:r>
      <w:r w:rsidRPr="00316BE9">
        <w:rPr>
          <w:b/>
          <w:bCs/>
        </w:rPr>
        <w:t xml:space="preserve">ring Incident Report” </w:t>
      </w:r>
      <w:r w:rsidRPr="00316BE9">
        <w:t>means</w:t>
      </w:r>
      <w:r w:rsidR="00316BE9" w:rsidRPr="00316BE9">
        <w:t xml:space="preserve"> a report prepared by the Metering Service Provider in the cases </w:t>
      </w:r>
      <w:r w:rsidR="00EC4516">
        <w:t>provided</w:t>
      </w:r>
      <w:r w:rsidR="00EC4516" w:rsidRPr="00316BE9">
        <w:t xml:space="preserve"> </w:t>
      </w:r>
      <w:r w:rsidR="00316BE9" w:rsidRPr="00316BE9">
        <w:t xml:space="preserve">in Clauses </w:t>
      </w:r>
      <w:r w:rsidR="00316BE9" w:rsidRPr="00316BE9">
        <w:fldChar w:fldCharType="begin"/>
      </w:r>
      <w:r w:rsidR="00316BE9" w:rsidRPr="00316BE9">
        <w:instrText xml:space="preserve"> REF _Ref64723033 \w \h </w:instrText>
      </w:r>
      <w:r w:rsidR="00316BE9">
        <w:instrText xml:space="preserve"> \* MERGEFORMAT </w:instrText>
      </w:r>
      <w:r w:rsidR="00316BE9" w:rsidRPr="00316BE9">
        <w:fldChar w:fldCharType="separate"/>
      </w:r>
      <w:r w:rsidR="00251DBF">
        <w:t>5.2.2.3</w:t>
      </w:r>
      <w:r w:rsidR="00316BE9" w:rsidRPr="00316BE9">
        <w:fldChar w:fldCharType="end"/>
      </w:r>
      <w:r w:rsidR="00316BE9" w:rsidRPr="00316BE9">
        <w:t xml:space="preserve"> and </w:t>
      </w:r>
      <w:r w:rsidR="00316BE9" w:rsidRPr="00316BE9">
        <w:fldChar w:fldCharType="begin"/>
      </w:r>
      <w:r w:rsidR="00316BE9" w:rsidRPr="00316BE9">
        <w:instrText xml:space="preserve"> REF _Ref64723056 \w \h </w:instrText>
      </w:r>
      <w:r w:rsidR="00316BE9">
        <w:instrText xml:space="preserve"> \* MERGEFORMAT </w:instrText>
      </w:r>
      <w:r w:rsidR="00316BE9" w:rsidRPr="00316BE9">
        <w:fldChar w:fldCharType="separate"/>
      </w:r>
      <w:r w:rsidR="00251DBF">
        <w:t>5.3.2.2</w:t>
      </w:r>
      <w:r w:rsidR="00316BE9" w:rsidRPr="00316BE9">
        <w:fldChar w:fldCharType="end"/>
      </w:r>
      <w:r w:rsidR="00BB40A3">
        <w:t>;</w:t>
      </w:r>
    </w:p>
    <w:p w14:paraId="75872439" w14:textId="47763EBC" w:rsidR="00B23282" w:rsidRPr="009A0D22" w:rsidRDefault="00B23282" w:rsidP="00FF4826">
      <w:pPr>
        <w:pStyle w:val="ListParagraph"/>
        <w:numPr>
          <w:ilvl w:val="0"/>
          <w:numId w:val="19"/>
        </w:numPr>
        <w:tabs>
          <w:tab w:val="clear" w:pos="720"/>
        </w:tabs>
        <w:ind w:left="1701"/>
        <w:rPr>
          <w:b/>
          <w:bCs/>
        </w:rPr>
      </w:pPr>
      <w:r w:rsidRPr="00316BE9">
        <w:rPr>
          <w:b/>
          <w:bCs/>
        </w:rPr>
        <w:t xml:space="preserve">“Metering Point” </w:t>
      </w:r>
      <w:r w:rsidRPr="00316BE9">
        <w:t>means a Connection Point</w:t>
      </w:r>
      <w:r w:rsidR="000D1F7A">
        <w:t>,</w:t>
      </w:r>
      <w:r w:rsidRPr="00316BE9">
        <w:t xml:space="preserve"> equipped with a Comm</w:t>
      </w:r>
      <w:r>
        <w:t xml:space="preserve">ercial Metering System </w:t>
      </w:r>
      <w:r w:rsidR="000D1F7A">
        <w:t xml:space="preserve">which </w:t>
      </w:r>
      <w:r>
        <w:t>is periodically read by an authorised Metering Service Provider</w:t>
      </w:r>
      <w:r w:rsidR="00BB40A3">
        <w:t>;</w:t>
      </w:r>
    </w:p>
    <w:p w14:paraId="32C4AD39" w14:textId="4BD548C4" w:rsidR="007010DA" w:rsidRPr="007010DA" w:rsidRDefault="007010DA" w:rsidP="00FF4826">
      <w:pPr>
        <w:pStyle w:val="ListParagraph"/>
        <w:numPr>
          <w:ilvl w:val="0"/>
          <w:numId w:val="19"/>
        </w:numPr>
        <w:tabs>
          <w:tab w:val="clear" w:pos="720"/>
        </w:tabs>
        <w:ind w:left="1701"/>
      </w:pPr>
      <w:r w:rsidRPr="007010DA">
        <w:rPr>
          <w:b/>
          <w:bCs/>
        </w:rPr>
        <w:t xml:space="preserve">“Metering Service Provider” </w:t>
      </w:r>
      <w:r w:rsidRPr="007010DA">
        <w:t xml:space="preserve">means </w:t>
      </w:r>
      <w:r w:rsidR="002462E3">
        <w:t xml:space="preserve">a person performing the functions of </w:t>
      </w:r>
      <w:r w:rsidRPr="007010DA">
        <w:t xml:space="preserve"> meter reading and validation at Metering Points and transferring </w:t>
      </w:r>
      <w:r w:rsidR="002462E3">
        <w:t>those</w:t>
      </w:r>
      <w:r w:rsidR="002462E3" w:rsidRPr="007010DA">
        <w:t xml:space="preserve"> </w:t>
      </w:r>
      <w:r w:rsidRPr="007010DA">
        <w:t>values to the Market Operator</w:t>
      </w:r>
      <w:r w:rsidR="00BB40A3">
        <w:t>;</w:t>
      </w:r>
      <w:r w:rsidRPr="007010DA">
        <w:t xml:space="preserve"> </w:t>
      </w:r>
    </w:p>
    <w:p w14:paraId="643C8269" w14:textId="5055719A" w:rsidR="00EC7B76" w:rsidRDefault="00EC7B76" w:rsidP="00FF4826">
      <w:pPr>
        <w:pStyle w:val="ListParagraph"/>
        <w:numPr>
          <w:ilvl w:val="0"/>
          <w:numId w:val="19"/>
        </w:numPr>
        <w:tabs>
          <w:tab w:val="clear" w:pos="720"/>
        </w:tabs>
        <w:ind w:left="1701"/>
      </w:pPr>
      <w:r w:rsidRPr="00956479">
        <w:rPr>
          <w:b/>
          <w:bCs/>
        </w:rPr>
        <w:t xml:space="preserve">“Must Run </w:t>
      </w:r>
      <w:r w:rsidR="00805643" w:rsidRPr="00956479">
        <w:rPr>
          <w:b/>
          <w:bCs/>
        </w:rPr>
        <w:t>Generat</w:t>
      </w:r>
      <w:r w:rsidR="00805643">
        <w:rPr>
          <w:b/>
          <w:bCs/>
        </w:rPr>
        <w:t>ion</w:t>
      </w:r>
      <w:r w:rsidRPr="00956479">
        <w:rPr>
          <w:b/>
          <w:bCs/>
        </w:rPr>
        <w:t>”</w:t>
      </w:r>
      <w:r w:rsidRPr="00956479">
        <w:t xml:space="preserve"> </w:t>
      </w:r>
      <w:r w:rsidR="004F1D78" w:rsidRPr="00D31FA3">
        <w:t>in a particular Dispatch Period</w:t>
      </w:r>
      <w:r w:rsidR="004F1D78" w:rsidRPr="00956479">
        <w:t xml:space="preserve"> </w:t>
      </w:r>
      <w:r w:rsidRPr="00956479">
        <w:t>means a</w:t>
      </w:r>
      <w:r w:rsidR="00316BE9">
        <w:t>n Out of Merit Generat</w:t>
      </w:r>
      <w:r w:rsidR="00805643">
        <w:t>ion Unit</w:t>
      </w:r>
      <w:r w:rsidR="00316BE9">
        <w:t xml:space="preserve"> </w:t>
      </w:r>
      <w:r w:rsidRPr="00956479">
        <w:t xml:space="preserve">which </w:t>
      </w:r>
      <w:r w:rsidR="00952E9F">
        <w:t xml:space="preserve">has </w:t>
      </w:r>
      <w:r w:rsidR="00316BE9">
        <w:t xml:space="preserve">been </w:t>
      </w:r>
      <w:r w:rsidRPr="00956479">
        <w:t xml:space="preserve">dispatched by the System Operator in order to </w:t>
      </w:r>
      <w:r w:rsidR="00316BE9">
        <w:t>alleviate Congestion</w:t>
      </w:r>
      <w:r w:rsidR="00BB40A3">
        <w:t>;</w:t>
      </w:r>
      <w:r w:rsidRPr="00956479">
        <w:t xml:space="preserve"> </w:t>
      </w:r>
    </w:p>
    <w:p w14:paraId="1637A82F" w14:textId="5941B4AD" w:rsidR="00596EAE" w:rsidRDefault="00596EAE" w:rsidP="00FF4826">
      <w:pPr>
        <w:pStyle w:val="ListParagraph"/>
        <w:numPr>
          <w:ilvl w:val="0"/>
          <w:numId w:val="19"/>
        </w:numPr>
        <w:tabs>
          <w:tab w:val="clear" w:pos="720"/>
        </w:tabs>
        <w:ind w:left="1701"/>
      </w:pPr>
      <w:r w:rsidRPr="00596EAE">
        <w:rPr>
          <w:b/>
          <w:bCs/>
        </w:rPr>
        <w:t>“</w:t>
      </w:r>
      <w:r w:rsidRPr="007B4431">
        <w:rPr>
          <w:b/>
          <w:bCs/>
        </w:rPr>
        <w:t>Must Stop Generat</w:t>
      </w:r>
      <w:r w:rsidR="00805643">
        <w:rPr>
          <w:b/>
          <w:bCs/>
        </w:rPr>
        <w:t>ion</w:t>
      </w:r>
      <w:r w:rsidRPr="007B4431">
        <w:rPr>
          <w:b/>
          <w:bCs/>
        </w:rPr>
        <w:t xml:space="preserve">” </w:t>
      </w:r>
      <w:r w:rsidRPr="007B4431">
        <w:t>in a particular Dispatch Period, means a Generat</w:t>
      </w:r>
      <w:r w:rsidR="00805643">
        <w:t>ion Unit</w:t>
      </w:r>
      <w:r w:rsidRPr="007B4431">
        <w:t xml:space="preserve"> </w:t>
      </w:r>
      <w:r w:rsidR="002462E3">
        <w:t>having</w:t>
      </w:r>
      <w:r w:rsidR="002462E3" w:rsidRPr="007B4431">
        <w:t xml:space="preserve"> </w:t>
      </w:r>
      <w:r w:rsidRPr="007B4431">
        <w:t xml:space="preserve">Variable Generation Cost lower than the System Marginal </w:t>
      </w:r>
      <w:r w:rsidR="0047166A">
        <w:t xml:space="preserve">Price </w:t>
      </w:r>
      <w:r w:rsidR="002462E3">
        <w:t>and</w:t>
      </w:r>
      <w:r w:rsidRPr="007B4431">
        <w:t xml:space="preserve"> is not dispatched </w:t>
      </w:r>
      <w:r w:rsidR="004F1D78" w:rsidRPr="007B4431">
        <w:t xml:space="preserve">or is dispatched at a value lower than its </w:t>
      </w:r>
      <w:bookmarkStart w:id="19" w:name="_Hlk66286243"/>
      <w:r w:rsidR="004F1D78" w:rsidRPr="007B4431">
        <w:t xml:space="preserve">Available Capacity </w:t>
      </w:r>
      <w:bookmarkEnd w:id="19"/>
      <w:r w:rsidRPr="007B4431">
        <w:t>in order to alleviate Congestion</w:t>
      </w:r>
      <w:r w:rsidR="00BB40A3">
        <w:t>;</w:t>
      </w:r>
      <w:r>
        <w:t xml:space="preserve"> </w:t>
      </w:r>
    </w:p>
    <w:p w14:paraId="4342B74D" w14:textId="7B9D435C" w:rsidR="00B23282" w:rsidRPr="004919B7" w:rsidRDefault="00B23282" w:rsidP="00FF4826">
      <w:pPr>
        <w:pStyle w:val="ListParagraph"/>
        <w:numPr>
          <w:ilvl w:val="0"/>
          <w:numId w:val="19"/>
        </w:numPr>
        <w:tabs>
          <w:tab w:val="clear" w:pos="720"/>
        </w:tabs>
        <w:ind w:left="1701"/>
      </w:pPr>
      <w:r w:rsidRPr="000F1690">
        <w:rPr>
          <w:b/>
          <w:bCs/>
        </w:rPr>
        <w:t>"National Transmission and Despatch Company Limited</w:t>
      </w:r>
      <w:r w:rsidR="002462E3">
        <w:rPr>
          <w:b/>
          <w:bCs/>
        </w:rPr>
        <w:t>” or “</w:t>
      </w:r>
      <w:r w:rsidRPr="000F1690">
        <w:rPr>
          <w:b/>
          <w:bCs/>
        </w:rPr>
        <w:t xml:space="preserve">NTDC" </w:t>
      </w:r>
      <w:r w:rsidRPr="004919B7">
        <w:t xml:space="preserve">means the national grid company </w:t>
      </w:r>
      <w:r w:rsidR="00520202">
        <w:t>License</w:t>
      </w:r>
      <w:r w:rsidRPr="004919B7">
        <w:t>d by</w:t>
      </w:r>
      <w:r w:rsidR="00A04278">
        <w:t xml:space="preserve"> the</w:t>
      </w:r>
      <w:r w:rsidRPr="004919B7">
        <w:t xml:space="preserve"> Authority</w:t>
      </w:r>
      <w:r w:rsidR="00BB40A3">
        <w:t>;</w:t>
      </w:r>
    </w:p>
    <w:p w14:paraId="56C59001" w14:textId="245D78A9" w:rsidR="00C10C5C" w:rsidRPr="00F97520" w:rsidRDefault="00C10C5C" w:rsidP="00FF4826">
      <w:pPr>
        <w:pStyle w:val="ListParagraph"/>
        <w:numPr>
          <w:ilvl w:val="0"/>
          <w:numId w:val="19"/>
        </w:numPr>
        <w:tabs>
          <w:tab w:val="clear" w:pos="720"/>
        </w:tabs>
        <w:ind w:left="1701"/>
      </w:pPr>
      <w:r w:rsidRPr="00E40880">
        <w:rPr>
          <w:b/>
          <w:bCs/>
        </w:rPr>
        <w:t xml:space="preserve">“Non-dispatchable </w:t>
      </w:r>
      <w:r w:rsidR="00E93A6A" w:rsidRPr="00E40880">
        <w:rPr>
          <w:b/>
          <w:bCs/>
        </w:rPr>
        <w:t>Generat</w:t>
      </w:r>
      <w:r w:rsidR="00E93A6A">
        <w:rPr>
          <w:b/>
          <w:bCs/>
        </w:rPr>
        <w:t>ion Unit</w:t>
      </w:r>
      <w:r w:rsidRPr="00E40880">
        <w:rPr>
          <w:b/>
          <w:bCs/>
        </w:rPr>
        <w:t xml:space="preserve">” </w:t>
      </w:r>
      <w:r w:rsidRPr="00E40880">
        <w:t>means a Generat</w:t>
      </w:r>
      <w:r w:rsidR="00E93A6A">
        <w:t>ion Unit</w:t>
      </w:r>
      <w:r w:rsidRPr="00E40880">
        <w:t xml:space="preserve"> </w:t>
      </w:r>
      <w:r w:rsidR="002462E3">
        <w:t>whose</w:t>
      </w:r>
      <w:r w:rsidRPr="00E40880">
        <w:t xml:space="preserve"> actual production, at a given </w:t>
      </w:r>
      <w:r w:rsidR="002462E3">
        <w:t>time</w:t>
      </w:r>
      <w:r w:rsidRPr="00E40880">
        <w:t xml:space="preserve">, is </w:t>
      </w:r>
      <w:r w:rsidR="002462E3">
        <w:t>dependent on</w:t>
      </w:r>
      <w:r w:rsidRPr="00E40880">
        <w:t xml:space="preserve"> </w:t>
      </w:r>
      <w:r w:rsidR="00E40880" w:rsidRPr="00E40880">
        <w:t xml:space="preserve">the availability of primary </w:t>
      </w:r>
      <w:r w:rsidR="002462E3">
        <w:t>e</w:t>
      </w:r>
      <w:r w:rsidR="0046412E">
        <w:t>nergy</w:t>
      </w:r>
      <w:r w:rsidR="00E40880" w:rsidRPr="00E40880">
        <w:t xml:space="preserve"> which is </w:t>
      </w:r>
      <w:r w:rsidR="00E40880" w:rsidRPr="00F97520">
        <w:t xml:space="preserve">subject to </w:t>
      </w:r>
      <w:r w:rsidR="002462E3" w:rsidRPr="00F97520">
        <w:t xml:space="preserve">uncontrollable </w:t>
      </w:r>
      <w:r w:rsidRPr="00F97520">
        <w:t xml:space="preserve">meteorological </w:t>
      </w:r>
      <w:r w:rsidR="00E40880" w:rsidRPr="00F97520">
        <w:t>factors</w:t>
      </w:r>
      <w:r w:rsidR="00BB40A3" w:rsidRPr="00F97520">
        <w:t>;</w:t>
      </w:r>
    </w:p>
    <w:p w14:paraId="73566710" w14:textId="0C8890A4" w:rsidR="008A0B30" w:rsidRPr="00F97520" w:rsidRDefault="008A0B30" w:rsidP="00B03C4A">
      <w:pPr>
        <w:pStyle w:val="ListParagraph"/>
        <w:numPr>
          <w:ilvl w:val="0"/>
          <w:numId w:val="19"/>
        </w:numPr>
        <w:tabs>
          <w:tab w:val="clear" w:pos="720"/>
        </w:tabs>
        <w:ind w:left="1701"/>
      </w:pPr>
      <w:r w:rsidRPr="00F97520">
        <w:rPr>
          <w:b/>
          <w:bCs/>
        </w:rPr>
        <w:t xml:space="preserve">“Notice of Dispute” </w:t>
      </w:r>
      <w:r w:rsidR="008C4E99" w:rsidRPr="00F97520">
        <w:t xml:space="preserve">shall have </w:t>
      </w:r>
      <w:r w:rsidRPr="00F97520">
        <w:t xml:space="preserve">the meaning </w:t>
      </w:r>
      <w:r w:rsidR="008C4E99" w:rsidRPr="00F97520">
        <w:t xml:space="preserve">assigned to the term </w:t>
      </w:r>
      <w:r w:rsidRPr="00F97520">
        <w:t xml:space="preserve">in </w:t>
      </w:r>
      <w:r w:rsidR="00F45AC8" w:rsidRPr="00F97520">
        <w:t xml:space="preserve">Clause </w:t>
      </w:r>
      <w:r w:rsidR="00F97520" w:rsidRPr="00B03C4A">
        <w:fldChar w:fldCharType="begin"/>
      </w:r>
      <w:r w:rsidR="00F97520" w:rsidRPr="00B03C4A">
        <w:instrText xml:space="preserve"> REF _Ref77612832 \w \h </w:instrText>
      </w:r>
      <w:r w:rsidR="00F97520" w:rsidRPr="00F97520">
        <w:instrText xml:space="preserve"> \* MERGEFORMAT </w:instrText>
      </w:r>
      <w:r w:rsidR="00F97520" w:rsidRPr="00B03C4A">
        <w:fldChar w:fldCharType="separate"/>
      </w:r>
      <w:r w:rsidR="00F97520" w:rsidRPr="00B03C4A">
        <w:t>15.3.1.1</w:t>
      </w:r>
      <w:r w:rsidR="00F97520" w:rsidRPr="00B03C4A">
        <w:fldChar w:fldCharType="end"/>
      </w:r>
      <w:r w:rsidR="00BB40A3" w:rsidRPr="00F97520">
        <w:t>;</w:t>
      </w:r>
      <w:r w:rsidRPr="00F97520">
        <w:t xml:space="preserve"> </w:t>
      </w:r>
    </w:p>
    <w:p w14:paraId="2CE71BF3" w14:textId="67C68619" w:rsidR="00594AA7" w:rsidRPr="00F97520" w:rsidRDefault="00594AA7" w:rsidP="00FF4826">
      <w:pPr>
        <w:pStyle w:val="ListParagraph"/>
        <w:numPr>
          <w:ilvl w:val="0"/>
          <w:numId w:val="19"/>
        </w:numPr>
        <w:tabs>
          <w:tab w:val="clear" w:pos="720"/>
        </w:tabs>
        <w:ind w:left="1701"/>
      </w:pPr>
      <w:r w:rsidRPr="00F97520">
        <w:rPr>
          <w:b/>
          <w:bCs/>
        </w:rPr>
        <w:t>“Open Access”</w:t>
      </w:r>
      <w:r w:rsidRPr="00F97520">
        <w:t xml:space="preserve"> </w:t>
      </w:r>
      <w:r w:rsidR="008C4E99" w:rsidRPr="00F97520">
        <w:t>shall have the meaning as assigned to the term in the Grid Code</w:t>
      </w:r>
      <w:r w:rsidR="00AC54F8" w:rsidRPr="00F97520">
        <w:t>.</w:t>
      </w:r>
    </w:p>
    <w:p w14:paraId="481BB64A" w14:textId="6F40BEA0" w:rsidR="002D58BB" w:rsidRPr="00F97520" w:rsidRDefault="002D58BB" w:rsidP="00FF4826">
      <w:pPr>
        <w:pStyle w:val="ListParagraph"/>
        <w:numPr>
          <w:ilvl w:val="0"/>
          <w:numId w:val="19"/>
        </w:numPr>
        <w:tabs>
          <w:tab w:val="clear" w:pos="720"/>
        </w:tabs>
        <w:ind w:left="1701"/>
      </w:pPr>
      <w:r w:rsidRPr="00F97520">
        <w:rPr>
          <w:b/>
          <w:bCs/>
        </w:rPr>
        <w:t xml:space="preserve">“Operational Reserve Margin” </w:t>
      </w:r>
      <w:r w:rsidR="0047166A" w:rsidRPr="00F97520">
        <w:t xml:space="preserve">shall have </w:t>
      </w:r>
      <w:r w:rsidRPr="00F97520">
        <w:t xml:space="preserve">the meaning </w:t>
      </w:r>
      <w:r w:rsidR="0047166A" w:rsidRPr="00F97520">
        <w:t xml:space="preserve">assigned </w:t>
      </w:r>
      <w:r w:rsidRPr="00F97520">
        <w:t>to the term in Clause</w:t>
      </w:r>
      <w:r w:rsidRPr="00F97520">
        <w:rPr>
          <w:b/>
          <w:bCs/>
        </w:rPr>
        <w:t xml:space="preserve"> </w:t>
      </w:r>
      <w:r w:rsidRPr="000E633F">
        <w:fldChar w:fldCharType="begin"/>
      </w:r>
      <w:r w:rsidRPr="00F97520">
        <w:instrText xml:space="preserve"> REF _Ref67524173 \r \h  \* MERGEFORMAT </w:instrText>
      </w:r>
      <w:r w:rsidRPr="000E633F">
        <w:fldChar w:fldCharType="separate"/>
      </w:r>
      <w:r w:rsidRPr="00F97520">
        <w:t>10.2.4.3</w:t>
      </w:r>
      <w:r w:rsidRPr="000E633F">
        <w:fldChar w:fldCharType="end"/>
      </w:r>
      <w:r w:rsidR="00BB40A3" w:rsidRPr="00F97520">
        <w:t>;</w:t>
      </w:r>
    </w:p>
    <w:p w14:paraId="6515AA63" w14:textId="73C9D217" w:rsidR="00B23282" w:rsidRDefault="00B23282" w:rsidP="00FF4826">
      <w:pPr>
        <w:pStyle w:val="ListParagraph"/>
        <w:numPr>
          <w:ilvl w:val="0"/>
          <w:numId w:val="19"/>
        </w:numPr>
        <w:tabs>
          <w:tab w:val="clear" w:pos="720"/>
        </w:tabs>
        <w:ind w:left="1701"/>
      </w:pPr>
      <w:r w:rsidRPr="00F97520">
        <w:rPr>
          <w:b/>
          <w:bCs/>
        </w:rPr>
        <w:t>“Out of Merit Generat</w:t>
      </w:r>
      <w:r w:rsidR="00805643" w:rsidRPr="00F97520">
        <w:rPr>
          <w:b/>
          <w:bCs/>
        </w:rPr>
        <w:t>ion Unit</w:t>
      </w:r>
      <w:r w:rsidRPr="00F97520">
        <w:rPr>
          <w:b/>
          <w:bCs/>
        </w:rPr>
        <w:t>”</w:t>
      </w:r>
      <w:r w:rsidRPr="00F97520">
        <w:t>, in a particular Dispatch</w:t>
      </w:r>
      <w:r w:rsidRPr="00D31FA3">
        <w:t xml:space="preserve"> Period, means a Generat</w:t>
      </w:r>
      <w:r w:rsidR="00805643">
        <w:t>ion Unit</w:t>
      </w:r>
      <w:r w:rsidRPr="00D31FA3">
        <w:t xml:space="preserve"> </w:t>
      </w:r>
      <w:r w:rsidR="0047166A">
        <w:t>having</w:t>
      </w:r>
      <w:r w:rsidR="0047166A" w:rsidRPr="00D31FA3">
        <w:t xml:space="preserve"> </w:t>
      </w:r>
      <w:r w:rsidRPr="00D31FA3">
        <w:t xml:space="preserve">Variable Generation Cost higher than the System Marginal </w:t>
      </w:r>
      <w:r w:rsidR="00805643">
        <w:t>Price</w:t>
      </w:r>
      <w:r w:rsidRPr="00D31FA3">
        <w:t xml:space="preserve"> and, for such reason, (i) has not been dispatched; or (ii) has been dispatched for </w:t>
      </w:r>
      <w:r w:rsidR="00647765">
        <w:t xml:space="preserve">alleviating </w:t>
      </w:r>
      <w:r w:rsidRPr="00D31FA3">
        <w:t>Congestion or for providing Ancillary Services required by the system</w:t>
      </w:r>
      <w:r w:rsidR="00BB40A3">
        <w:t>;</w:t>
      </w:r>
    </w:p>
    <w:p w14:paraId="14F4FBBE" w14:textId="30C48D05" w:rsidR="00860A9C" w:rsidRPr="00860A9C" w:rsidRDefault="00860A9C" w:rsidP="00AE1AD1">
      <w:pPr>
        <w:pStyle w:val="ListParagraph"/>
        <w:numPr>
          <w:ilvl w:val="0"/>
          <w:numId w:val="19"/>
        </w:numPr>
        <w:tabs>
          <w:tab w:val="clear" w:pos="720"/>
        </w:tabs>
        <w:ind w:left="1701"/>
      </w:pPr>
      <w:r w:rsidRPr="00343D05">
        <w:rPr>
          <w:b/>
          <w:bCs/>
        </w:rPr>
        <w:t xml:space="preserve">“Payments Calendar” </w:t>
      </w:r>
      <w:r w:rsidRPr="00860A9C">
        <w:t xml:space="preserve">means the calendar prepared by the Market Operator indicating the dates for issuing the Preliminary </w:t>
      </w:r>
      <w:r w:rsidR="00E62773">
        <w:t xml:space="preserve">and Final </w:t>
      </w:r>
      <w:r w:rsidRPr="00860A9C">
        <w:t>Settlement Statements</w:t>
      </w:r>
      <w:r w:rsidR="00E62773">
        <w:t xml:space="preserve"> (monthly and yearly)</w:t>
      </w:r>
      <w:r w:rsidRPr="00860A9C">
        <w:t xml:space="preserve">, and the </w:t>
      </w:r>
      <w:r w:rsidR="008E7D79">
        <w:t>Debit Notification</w:t>
      </w:r>
      <w:r w:rsidRPr="00860A9C">
        <w:t>s for the whole fiscal year</w:t>
      </w:r>
      <w:r w:rsidR="00BB40A3">
        <w:t>;</w:t>
      </w:r>
      <w:r w:rsidRPr="00860A9C">
        <w:t xml:space="preserve"> </w:t>
      </w:r>
    </w:p>
    <w:p w14:paraId="2706E462" w14:textId="49D4A1C5" w:rsidR="008A0B30" w:rsidRPr="00497642" w:rsidRDefault="008A0B30" w:rsidP="00FF4826">
      <w:pPr>
        <w:pStyle w:val="ListParagraph"/>
        <w:numPr>
          <w:ilvl w:val="0"/>
          <w:numId w:val="19"/>
        </w:numPr>
        <w:tabs>
          <w:tab w:val="clear" w:pos="720"/>
        </w:tabs>
        <w:ind w:left="1701"/>
      </w:pPr>
      <w:r w:rsidRPr="008B3A76">
        <w:rPr>
          <w:b/>
          <w:bCs/>
        </w:rPr>
        <w:t>“</w:t>
      </w:r>
      <w:r w:rsidR="008E7D79">
        <w:rPr>
          <w:b/>
          <w:bCs/>
        </w:rPr>
        <w:t>Payment Due</w:t>
      </w:r>
      <w:r w:rsidR="008E7D79" w:rsidRPr="00596EAE">
        <w:rPr>
          <w:b/>
          <w:bCs/>
        </w:rPr>
        <w:t xml:space="preserve"> </w:t>
      </w:r>
      <w:r w:rsidRPr="00596EAE">
        <w:rPr>
          <w:b/>
          <w:bCs/>
        </w:rPr>
        <w:t>Date”</w:t>
      </w:r>
      <w:r w:rsidR="00B23282" w:rsidRPr="00596EAE">
        <w:rPr>
          <w:b/>
          <w:bCs/>
        </w:rPr>
        <w:t xml:space="preserve"> </w:t>
      </w:r>
      <w:r w:rsidRPr="00596EAE">
        <w:t xml:space="preserve">means the </w:t>
      </w:r>
      <w:r w:rsidR="007F5B32">
        <w:t xml:space="preserve">due </w:t>
      </w:r>
      <w:r w:rsidRPr="00596EAE">
        <w:t>date for payment</w:t>
      </w:r>
      <w:r w:rsidR="00E62773">
        <w:t xml:space="preserve"> of a specific amount</w:t>
      </w:r>
      <w:r w:rsidRPr="00596EAE">
        <w:t xml:space="preserve"> </w:t>
      </w:r>
      <w:r w:rsidR="00E62773">
        <w:t>under</w:t>
      </w:r>
      <w:r w:rsidR="00E62773" w:rsidRPr="00596EAE">
        <w:t xml:space="preserve"> </w:t>
      </w:r>
      <w:r w:rsidRPr="00596EAE">
        <w:t>a</w:t>
      </w:r>
      <w:r w:rsidR="00B23282" w:rsidRPr="00596EAE">
        <w:t xml:space="preserve"> </w:t>
      </w:r>
      <w:r w:rsidR="008E7D79">
        <w:t>Debit Notification</w:t>
      </w:r>
      <w:r w:rsidRPr="00596EAE">
        <w:t xml:space="preserve"> in </w:t>
      </w:r>
      <w:r w:rsidRPr="00497642">
        <w:t>accordance with the Payment</w:t>
      </w:r>
      <w:r w:rsidR="00E62773">
        <w:t>s</w:t>
      </w:r>
      <w:r w:rsidRPr="00497642">
        <w:t xml:space="preserve"> Calendar</w:t>
      </w:r>
      <w:r w:rsidR="00BB40A3">
        <w:t>;</w:t>
      </w:r>
    </w:p>
    <w:p w14:paraId="40943EEF" w14:textId="63F8723C" w:rsidR="005E71E2" w:rsidRPr="00497642" w:rsidRDefault="005E71E2" w:rsidP="00FF4826">
      <w:pPr>
        <w:pStyle w:val="ListParagraph"/>
        <w:numPr>
          <w:ilvl w:val="0"/>
          <w:numId w:val="19"/>
        </w:numPr>
        <w:tabs>
          <w:tab w:val="clear" w:pos="720"/>
        </w:tabs>
        <w:ind w:left="1701"/>
      </w:pPr>
      <w:r w:rsidRPr="00497642">
        <w:t>“</w:t>
      </w:r>
      <w:r w:rsidRPr="00497642">
        <w:rPr>
          <w:b/>
          <w:bCs/>
        </w:rPr>
        <w:t>Permanent Firm Capacity Certificate”</w:t>
      </w:r>
      <w:r w:rsidRPr="00497642">
        <w:t xml:space="preserve"> means </w:t>
      </w:r>
      <w:r w:rsidR="00596EAE" w:rsidRPr="00497642">
        <w:t>a Firm Capacity Certificate</w:t>
      </w:r>
      <w:r w:rsidR="00C75B84">
        <w:t xml:space="preserve"> granted pursuant Clause </w:t>
      </w:r>
      <w:r w:rsidR="00DD05CF">
        <w:fldChar w:fldCharType="begin"/>
      </w:r>
      <w:r w:rsidR="00DD05CF">
        <w:instrText xml:space="preserve"> REF _Ref66562417 \r \h </w:instrText>
      </w:r>
      <w:r w:rsidR="00DD05CF">
        <w:fldChar w:fldCharType="separate"/>
      </w:r>
      <w:r w:rsidR="00251DBF">
        <w:t>9.5.1.6</w:t>
      </w:r>
      <w:r w:rsidR="00DD05CF">
        <w:fldChar w:fldCharType="end"/>
      </w:r>
      <w:r w:rsidR="00DD05CF">
        <w:t xml:space="preserve"> </w:t>
      </w:r>
      <w:r w:rsidR="00596EAE" w:rsidRPr="00497642">
        <w:t xml:space="preserve">that can be used </w:t>
      </w:r>
      <w:r w:rsidR="00C75B84" w:rsidRPr="00C75B84">
        <w:t xml:space="preserve">to register </w:t>
      </w:r>
      <w:r w:rsidR="00C75B84">
        <w:t>C</w:t>
      </w:r>
      <w:r w:rsidR="00C75B84" w:rsidRPr="00C75B84">
        <w:t>ontracts with</w:t>
      </w:r>
      <w:r w:rsidR="00C75B84">
        <w:t xml:space="preserve"> the</w:t>
      </w:r>
      <w:r w:rsidR="00C75B84" w:rsidRPr="00C75B84">
        <w:t xml:space="preserve"> M</w:t>
      </w:r>
      <w:r w:rsidR="00C75B84">
        <w:t xml:space="preserve">arket </w:t>
      </w:r>
      <w:r w:rsidR="00C75B84" w:rsidRPr="00C75B84">
        <w:t>O</w:t>
      </w:r>
      <w:r w:rsidR="00C75B84">
        <w:t>perator</w:t>
      </w:r>
      <w:r w:rsidR="00C75B84" w:rsidRPr="00C75B84">
        <w:t xml:space="preserve"> involving </w:t>
      </w:r>
      <w:r w:rsidR="00C75B84">
        <w:t>C</w:t>
      </w:r>
      <w:r w:rsidR="00C75B84" w:rsidRPr="00C75B84">
        <w:t>apacity transactions</w:t>
      </w:r>
      <w:r w:rsidR="00BB40A3">
        <w:t>;</w:t>
      </w:r>
      <w:r w:rsidR="00596EAE" w:rsidRPr="00497642">
        <w:t xml:space="preserve"> </w:t>
      </w:r>
    </w:p>
    <w:p w14:paraId="6719A697" w14:textId="0D64A381" w:rsidR="00B23282" w:rsidRDefault="00B23282" w:rsidP="00FF4826">
      <w:pPr>
        <w:pStyle w:val="ListParagraph"/>
        <w:numPr>
          <w:ilvl w:val="0"/>
          <w:numId w:val="19"/>
        </w:numPr>
        <w:tabs>
          <w:tab w:val="clear" w:pos="720"/>
        </w:tabs>
        <w:ind w:left="1701"/>
      </w:pPr>
      <w:r w:rsidRPr="00E678E5">
        <w:rPr>
          <w:b/>
          <w:bCs/>
        </w:rPr>
        <w:t>“Physical Asset”</w:t>
      </w:r>
      <w:r>
        <w:t xml:space="preserve"> for the purposes of this Code, means a Generation Unit of a Generation Plant</w:t>
      </w:r>
      <w:r w:rsidR="00E462CA">
        <w:t xml:space="preserve"> which is</w:t>
      </w:r>
      <w:r>
        <w:t xml:space="preserve"> </w:t>
      </w:r>
      <w:r w:rsidR="00E462CA">
        <w:t xml:space="preserve">clearly </w:t>
      </w:r>
      <w:r>
        <w:t>identified</w:t>
      </w:r>
      <w:r w:rsidR="00BB40A3">
        <w:t>;</w:t>
      </w:r>
    </w:p>
    <w:p w14:paraId="7F5A1D24" w14:textId="6B15E3AB" w:rsidR="00B23282" w:rsidRDefault="00B23282" w:rsidP="00FF4826">
      <w:pPr>
        <w:pStyle w:val="ListParagraph"/>
        <w:numPr>
          <w:ilvl w:val="0"/>
          <w:numId w:val="19"/>
        </w:numPr>
        <w:tabs>
          <w:tab w:val="clear" w:pos="720"/>
        </w:tabs>
        <w:ind w:left="1701"/>
      </w:pPr>
      <w:r w:rsidRPr="000F1690">
        <w:rPr>
          <w:b/>
          <w:bCs/>
        </w:rPr>
        <w:t>"</w:t>
      </w:r>
      <w:r w:rsidRPr="002712AD">
        <w:rPr>
          <w:b/>
          <w:bCs/>
        </w:rPr>
        <w:t>Preliminary</w:t>
      </w:r>
      <w:r w:rsidRPr="000F1690">
        <w:rPr>
          <w:b/>
          <w:bCs/>
        </w:rPr>
        <w:t xml:space="preserve"> Settlement Statement" </w:t>
      </w:r>
      <w:r w:rsidR="00E462CA">
        <w:t>shall have</w:t>
      </w:r>
      <w:r w:rsidR="00E462CA" w:rsidRPr="004919B7">
        <w:t xml:space="preserve"> </w:t>
      </w:r>
      <w:r w:rsidRPr="004919B7">
        <w:t xml:space="preserve">the meaning </w:t>
      </w:r>
      <w:r w:rsidR="00E462CA">
        <w:t>assigned</w:t>
      </w:r>
      <w:r w:rsidR="00E462CA" w:rsidRPr="004919B7">
        <w:t xml:space="preserve"> </w:t>
      </w:r>
      <w:r w:rsidR="00D439C0">
        <w:t>to the term</w:t>
      </w:r>
      <w:r w:rsidR="00D439C0" w:rsidRPr="004919B7">
        <w:t xml:space="preserve"> </w:t>
      </w:r>
      <w:r w:rsidRPr="004919B7">
        <w:t xml:space="preserve">in </w:t>
      </w:r>
      <w:r w:rsidR="008C02F7">
        <w:t>Sub-Section</w:t>
      </w:r>
      <w:r w:rsidRPr="003C2FC8">
        <w:t xml:space="preserve"> </w:t>
      </w:r>
      <w:r w:rsidRPr="003C2FC8">
        <w:fldChar w:fldCharType="begin"/>
      </w:r>
      <w:r w:rsidRPr="003C2FC8">
        <w:instrText xml:space="preserve"> REF _Ref59730941 \r \h </w:instrText>
      </w:r>
      <w:r w:rsidR="0077212F" w:rsidRPr="003C2FC8">
        <w:instrText xml:space="preserve"> \* MERGEFORMAT </w:instrText>
      </w:r>
      <w:r w:rsidRPr="003C2FC8">
        <w:fldChar w:fldCharType="separate"/>
      </w:r>
      <w:r w:rsidR="00251DBF">
        <w:t>8.2.1</w:t>
      </w:r>
      <w:r w:rsidRPr="003C2FC8">
        <w:fldChar w:fldCharType="end"/>
      </w:r>
      <w:r w:rsidR="00BB40A3">
        <w:t>;</w:t>
      </w:r>
    </w:p>
    <w:p w14:paraId="2BD95592" w14:textId="5787E283" w:rsidR="003C2FC8" w:rsidRDefault="003C2FC8" w:rsidP="000D0689">
      <w:pPr>
        <w:pStyle w:val="ListParagraph"/>
        <w:numPr>
          <w:ilvl w:val="0"/>
          <w:numId w:val="19"/>
        </w:numPr>
        <w:tabs>
          <w:tab w:val="clear" w:pos="720"/>
        </w:tabs>
        <w:ind w:left="1701"/>
      </w:pPr>
      <w:r w:rsidRPr="003C2FC8">
        <w:rPr>
          <w:b/>
          <w:bCs/>
        </w:rPr>
        <w:t xml:space="preserve">"Preliminary </w:t>
      </w:r>
      <w:r>
        <w:rPr>
          <w:b/>
          <w:bCs/>
        </w:rPr>
        <w:t xml:space="preserve">Yearly </w:t>
      </w:r>
      <w:r w:rsidRPr="003C2FC8">
        <w:rPr>
          <w:b/>
          <w:bCs/>
        </w:rPr>
        <w:t xml:space="preserve">Settlement Statement" </w:t>
      </w:r>
      <w:r w:rsidR="00E462CA">
        <w:t>shall have</w:t>
      </w:r>
      <w:r w:rsidR="00E462CA" w:rsidRPr="004919B7">
        <w:t xml:space="preserve"> </w:t>
      </w:r>
      <w:r w:rsidRPr="004919B7">
        <w:t xml:space="preserve">the meaning </w:t>
      </w:r>
      <w:r w:rsidR="00E462CA">
        <w:t>assigned</w:t>
      </w:r>
      <w:r w:rsidR="00E462CA" w:rsidRPr="004919B7">
        <w:t xml:space="preserve"> </w:t>
      </w:r>
      <w:r>
        <w:t>to the term</w:t>
      </w:r>
      <w:r w:rsidRPr="004919B7">
        <w:t xml:space="preserve"> in </w:t>
      </w:r>
      <w:r w:rsidR="008C02F7">
        <w:t>Sub-Section</w:t>
      </w:r>
      <w:r w:rsidRPr="004919B7">
        <w:t xml:space="preserve"> </w:t>
      </w:r>
      <w:r>
        <w:rPr>
          <w:highlight w:val="red"/>
        </w:rPr>
        <w:fldChar w:fldCharType="begin"/>
      </w:r>
      <w:r>
        <w:instrText xml:space="preserve"> REF _Ref66629289 \r \h </w:instrText>
      </w:r>
      <w:r>
        <w:rPr>
          <w:highlight w:val="red"/>
        </w:rPr>
      </w:r>
      <w:r>
        <w:rPr>
          <w:highlight w:val="red"/>
        </w:rPr>
        <w:fldChar w:fldCharType="separate"/>
      </w:r>
      <w:r w:rsidR="00251DBF">
        <w:t>12.3.1</w:t>
      </w:r>
      <w:r>
        <w:rPr>
          <w:highlight w:val="red"/>
        </w:rPr>
        <w:fldChar w:fldCharType="end"/>
      </w:r>
      <w:r w:rsidR="00BB40A3">
        <w:t>;</w:t>
      </w:r>
    </w:p>
    <w:p w14:paraId="04D64939" w14:textId="11B09EFE" w:rsidR="00596142" w:rsidRPr="00B03C4A" w:rsidRDefault="00596142" w:rsidP="000D0689">
      <w:pPr>
        <w:pStyle w:val="ListParagraph"/>
        <w:numPr>
          <w:ilvl w:val="0"/>
          <w:numId w:val="19"/>
        </w:numPr>
        <w:tabs>
          <w:tab w:val="clear" w:pos="720"/>
        </w:tabs>
        <w:ind w:left="1701"/>
        <w:rPr>
          <w:b/>
          <w:bCs/>
        </w:rPr>
      </w:pPr>
      <w:r w:rsidRPr="00B03C4A">
        <w:rPr>
          <w:b/>
          <w:bCs/>
        </w:rPr>
        <w:t>“Procurement Plan”</w:t>
      </w:r>
      <w:r w:rsidRPr="00DF40BC">
        <w:rPr>
          <w:b/>
          <w:bCs/>
        </w:rPr>
        <w:t xml:space="preserve"> </w:t>
      </w:r>
      <w:r w:rsidRPr="00DF40BC">
        <w:t>means a plan prepared by the Independent Auction Administrator</w:t>
      </w:r>
      <w:r w:rsidR="004A3377">
        <w:t>, as per the applicable regulations,</w:t>
      </w:r>
      <w:r w:rsidRPr="00DF40BC">
        <w:t xml:space="preserve"> to facilitate the EX-WAPDA DISCOs in procuring Energy and/or Capacity on the least cost basis to comply primarily with their Capacity Obligations</w:t>
      </w:r>
      <w:r w:rsidR="00BB40A3" w:rsidRPr="00B03C4A">
        <w:t>;</w:t>
      </w:r>
    </w:p>
    <w:p w14:paraId="43679CCD" w14:textId="709CBB4E" w:rsidR="004D4EF4" w:rsidRPr="004919B7" w:rsidRDefault="004D4EF4" w:rsidP="000D0689">
      <w:pPr>
        <w:pStyle w:val="ListParagraph"/>
        <w:numPr>
          <w:ilvl w:val="0"/>
          <w:numId w:val="19"/>
        </w:numPr>
        <w:tabs>
          <w:tab w:val="clear" w:pos="720"/>
        </w:tabs>
        <w:ind w:left="1701"/>
      </w:pPr>
      <w:r>
        <w:lastRenderedPageBreak/>
        <w:t>“</w:t>
      </w:r>
      <w:r w:rsidRPr="00E462CA">
        <w:rPr>
          <w:b/>
          <w:bCs/>
        </w:rPr>
        <w:t>Reference Technology</w:t>
      </w:r>
      <w:r>
        <w:t xml:space="preserve">” </w:t>
      </w:r>
      <w:r w:rsidR="00E462CA">
        <w:t xml:space="preserve">shall have </w:t>
      </w:r>
      <w:r>
        <w:t xml:space="preserve">the meaning </w:t>
      </w:r>
      <w:r w:rsidR="00E462CA">
        <w:t xml:space="preserve">assigned </w:t>
      </w:r>
      <w:r>
        <w:t xml:space="preserve">to the term in Clause </w:t>
      </w:r>
      <w:r>
        <w:fldChar w:fldCharType="begin"/>
      </w:r>
      <w:r>
        <w:instrText xml:space="preserve"> REF _Ref68872180 \r \h </w:instrText>
      </w:r>
      <w:r>
        <w:fldChar w:fldCharType="separate"/>
      </w:r>
      <w:r w:rsidR="00251DBF">
        <w:t>10.2.6.9</w:t>
      </w:r>
      <w:r>
        <w:fldChar w:fldCharType="end"/>
      </w:r>
      <w:r w:rsidR="00BB40A3">
        <w:t>;</w:t>
      </w:r>
    </w:p>
    <w:p w14:paraId="4746B4D8" w14:textId="67B0207D" w:rsidR="008A0B30" w:rsidRPr="00311FA4" w:rsidRDefault="008A0B30" w:rsidP="00FF4826">
      <w:pPr>
        <w:pStyle w:val="ListParagraph"/>
        <w:numPr>
          <w:ilvl w:val="0"/>
          <w:numId w:val="19"/>
        </w:numPr>
        <w:tabs>
          <w:tab w:val="clear" w:pos="720"/>
        </w:tabs>
        <w:ind w:left="1701"/>
      </w:pPr>
      <w:r w:rsidRPr="00311FA4">
        <w:rPr>
          <w:b/>
          <w:bCs/>
        </w:rPr>
        <w:t>“Regional Market</w:t>
      </w:r>
      <w:r w:rsidR="00E462CA">
        <w:rPr>
          <w:b/>
          <w:bCs/>
        </w:rPr>
        <w:t>”</w:t>
      </w:r>
      <w:r w:rsidRPr="00311FA4">
        <w:rPr>
          <w:b/>
          <w:bCs/>
        </w:rPr>
        <w:t xml:space="preserve"> or </w:t>
      </w:r>
      <w:r w:rsidR="00E462CA">
        <w:rPr>
          <w:b/>
          <w:bCs/>
        </w:rPr>
        <w:t>“</w:t>
      </w:r>
      <w:r w:rsidR="001B01EC">
        <w:rPr>
          <w:b/>
          <w:bCs/>
        </w:rPr>
        <w:t xml:space="preserve">Regional </w:t>
      </w:r>
      <w:r w:rsidRPr="00311FA4">
        <w:rPr>
          <w:b/>
          <w:bCs/>
        </w:rPr>
        <w:t>Pool”</w:t>
      </w:r>
      <w:r w:rsidR="0060616E" w:rsidRPr="00311FA4">
        <w:rPr>
          <w:b/>
          <w:bCs/>
        </w:rPr>
        <w:t xml:space="preserve"> </w:t>
      </w:r>
      <w:r w:rsidRPr="00311FA4">
        <w:t xml:space="preserve">means the </w:t>
      </w:r>
      <w:r w:rsidR="00E462CA">
        <w:t>electric power market established</w:t>
      </w:r>
      <w:r w:rsidR="00E462CA" w:rsidRPr="00311FA4">
        <w:t xml:space="preserve"> </w:t>
      </w:r>
      <w:r w:rsidR="00E462CA">
        <w:t xml:space="preserve">among </w:t>
      </w:r>
      <w:r w:rsidRPr="00311FA4">
        <w:t xml:space="preserve"> different countries for </w:t>
      </w:r>
      <w:r w:rsidR="00EC1896">
        <w:t>buying and selling</w:t>
      </w:r>
      <w:r w:rsidRPr="00311FA4">
        <w:t xml:space="preserve"> </w:t>
      </w:r>
      <w:r w:rsidR="00E462CA">
        <w:t>electric power</w:t>
      </w:r>
      <w:r w:rsidR="00BB40A3">
        <w:t>;</w:t>
      </w:r>
      <w:r w:rsidRPr="00311FA4">
        <w:t xml:space="preserve"> </w:t>
      </w:r>
    </w:p>
    <w:p w14:paraId="314D0834" w14:textId="3CCF5026" w:rsidR="008B666F" w:rsidRPr="00B03C4A" w:rsidRDefault="00311FA4" w:rsidP="00FF4826">
      <w:pPr>
        <w:pStyle w:val="ListParagraph"/>
        <w:numPr>
          <w:ilvl w:val="0"/>
          <w:numId w:val="19"/>
        </w:numPr>
        <w:tabs>
          <w:tab w:val="clear" w:pos="720"/>
        </w:tabs>
        <w:ind w:left="1701"/>
        <w:rPr>
          <w:b/>
          <w:bCs/>
        </w:rPr>
      </w:pPr>
      <w:r w:rsidRPr="00497642">
        <w:rPr>
          <w:b/>
          <w:bCs/>
        </w:rPr>
        <w:t xml:space="preserve">“Renewed Firm Capacity Certificate” </w:t>
      </w:r>
      <w:r w:rsidR="00497642" w:rsidRPr="00497642">
        <w:t>means a Firm Capacity Certificate which has been re-issued by the Market Operator due to the expiration of a previous Firm Capacity Certificate</w:t>
      </w:r>
      <w:r w:rsidR="00BB40A3">
        <w:t>;</w:t>
      </w:r>
    </w:p>
    <w:p w14:paraId="5E9C6F9A" w14:textId="743D0562" w:rsidR="00311FA4" w:rsidRPr="00FF212F" w:rsidRDefault="008B666F" w:rsidP="00FF4826">
      <w:pPr>
        <w:pStyle w:val="ListParagraph"/>
        <w:numPr>
          <w:ilvl w:val="0"/>
          <w:numId w:val="19"/>
        </w:numPr>
        <w:tabs>
          <w:tab w:val="clear" w:pos="720"/>
        </w:tabs>
        <w:ind w:left="1701"/>
        <w:rPr>
          <w:b/>
          <w:bCs/>
        </w:rPr>
      </w:pPr>
      <w:r>
        <w:rPr>
          <w:b/>
          <w:bCs/>
        </w:rPr>
        <w:t xml:space="preserve">“Review Request” </w:t>
      </w:r>
      <w:r>
        <w:t>means a request lodged by a Market Participant with the Market Operator for review of the results of the BME, BMC, Preliminary or Final Settlement Statements (monthly or yearly)</w:t>
      </w:r>
      <w:r w:rsidR="00F97520">
        <w:t xml:space="preserve">, </w:t>
      </w:r>
      <w:r>
        <w:t>or the verification of compliance with the Capacity Obligations on the grounds that there exist errors, inaccuracies or wrong interpretations in any of the said documents;</w:t>
      </w:r>
      <w:r w:rsidR="00497642" w:rsidRPr="00497642">
        <w:t xml:space="preserve"> </w:t>
      </w:r>
    </w:p>
    <w:p w14:paraId="521F239A" w14:textId="16CD47AD" w:rsidR="008C02F7" w:rsidRPr="00B03C4A" w:rsidRDefault="008C02F7" w:rsidP="00B03C4A">
      <w:pPr>
        <w:pStyle w:val="ListParagraph"/>
        <w:numPr>
          <w:ilvl w:val="0"/>
          <w:numId w:val="19"/>
        </w:numPr>
        <w:tabs>
          <w:tab w:val="clear" w:pos="720"/>
        </w:tabs>
        <w:ind w:left="1701"/>
      </w:pPr>
      <w:r w:rsidRPr="003C54EE">
        <w:rPr>
          <w:b/>
          <w:bCs/>
        </w:rPr>
        <w:t xml:space="preserve">“Section” </w:t>
      </w:r>
      <w:r w:rsidRPr="00B03C4A">
        <w:t>means a section of this Code;</w:t>
      </w:r>
    </w:p>
    <w:p w14:paraId="34328A43" w14:textId="427F9F9B" w:rsidR="00497642" w:rsidRDefault="006E61CE" w:rsidP="00FF4826">
      <w:pPr>
        <w:pStyle w:val="ListParagraph"/>
        <w:numPr>
          <w:ilvl w:val="0"/>
          <w:numId w:val="19"/>
        </w:numPr>
        <w:tabs>
          <w:tab w:val="clear" w:pos="720"/>
        </w:tabs>
        <w:ind w:left="1701"/>
      </w:pPr>
      <w:r w:rsidRPr="00497642">
        <w:rPr>
          <w:b/>
          <w:bCs/>
        </w:rPr>
        <w:t>“Secured Metering System</w:t>
      </w:r>
      <w:r w:rsidR="000D4EDF">
        <w:rPr>
          <w:b/>
          <w:bCs/>
        </w:rPr>
        <w:t>” or</w:t>
      </w:r>
      <w:r w:rsidR="00497642" w:rsidRPr="00497642">
        <w:rPr>
          <w:b/>
          <w:bCs/>
        </w:rPr>
        <w:t xml:space="preserve"> </w:t>
      </w:r>
      <w:r w:rsidR="000D4EDF">
        <w:rPr>
          <w:b/>
          <w:bCs/>
        </w:rPr>
        <w:t>“</w:t>
      </w:r>
      <w:r w:rsidR="00497642" w:rsidRPr="00497642">
        <w:rPr>
          <w:b/>
          <w:bCs/>
        </w:rPr>
        <w:t>SMS</w:t>
      </w:r>
      <w:r w:rsidRPr="00497642">
        <w:rPr>
          <w:b/>
          <w:bCs/>
        </w:rPr>
        <w:t xml:space="preserve">” </w:t>
      </w:r>
      <w:r w:rsidRPr="00497642">
        <w:t>means</w:t>
      </w:r>
      <w:r w:rsidR="00497642" w:rsidRPr="00497642">
        <w:t xml:space="preserve"> the IT system, including hardware, software and communication channels, which retrieves information from the Commercial Metering System and transfer</w:t>
      </w:r>
      <w:r w:rsidR="000D4EDF">
        <w:t>s</w:t>
      </w:r>
      <w:r w:rsidR="00497642" w:rsidRPr="00497642">
        <w:t xml:space="preserve"> it electronically to the Market Operator, at </w:t>
      </w:r>
      <w:r w:rsidR="000D4EDF">
        <w:t>specified</w:t>
      </w:r>
      <w:r w:rsidR="00497642" w:rsidRPr="00497642">
        <w:t xml:space="preserve"> times</w:t>
      </w:r>
      <w:r w:rsidR="00BB40A3">
        <w:t>;</w:t>
      </w:r>
      <w:r w:rsidR="00497642" w:rsidRPr="00497642">
        <w:t xml:space="preserve"> </w:t>
      </w:r>
    </w:p>
    <w:p w14:paraId="3A970589" w14:textId="2B8596D5" w:rsidR="002B48FB" w:rsidRPr="002B48FB" w:rsidRDefault="002B48FB" w:rsidP="00FF4826">
      <w:pPr>
        <w:pStyle w:val="ListParagraph"/>
        <w:numPr>
          <w:ilvl w:val="0"/>
          <w:numId w:val="19"/>
        </w:numPr>
        <w:tabs>
          <w:tab w:val="clear" w:pos="720"/>
        </w:tabs>
        <w:ind w:left="1701"/>
        <w:rPr>
          <w:b/>
          <w:bCs/>
        </w:rPr>
      </w:pPr>
      <w:commentRangeStart w:id="20"/>
      <w:commentRangeStart w:id="21"/>
      <w:r>
        <w:rPr>
          <w:b/>
          <w:bCs/>
        </w:rPr>
        <w:t>“</w:t>
      </w:r>
      <w:r w:rsidRPr="002B48FB">
        <w:rPr>
          <w:b/>
          <w:bCs/>
        </w:rPr>
        <w:t>Security Constrained Economic Dispatch</w:t>
      </w:r>
      <w:r w:rsidR="000D4EDF">
        <w:rPr>
          <w:b/>
          <w:bCs/>
        </w:rPr>
        <w:t>” or “</w:t>
      </w:r>
      <w:r w:rsidRPr="002B48FB">
        <w:rPr>
          <w:b/>
          <w:bCs/>
        </w:rPr>
        <w:t>SCED</w:t>
      </w:r>
      <w:r>
        <w:rPr>
          <w:b/>
          <w:bCs/>
        </w:rPr>
        <w:t xml:space="preserve">” </w:t>
      </w:r>
      <w:r w:rsidRPr="002B48FB">
        <w:t xml:space="preserve"> </w:t>
      </w:r>
      <w:r w:rsidR="000D4EDF">
        <w:t xml:space="preserve">shall </w:t>
      </w:r>
      <w:r w:rsidR="00094AFF">
        <w:t xml:space="preserve"> </w:t>
      </w:r>
      <w:r w:rsidR="000D4EDF">
        <w:t xml:space="preserve">have </w:t>
      </w:r>
      <w:r w:rsidR="00094AFF">
        <w:t xml:space="preserve">the meaning </w:t>
      </w:r>
      <w:r w:rsidR="000D4EDF">
        <w:t>assigned to the term</w:t>
      </w:r>
      <w:r w:rsidR="00094AFF">
        <w:t xml:space="preserve"> in </w:t>
      </w:r>
      <w:r w:rsidR="00FC5644">
        <w:t>the Grid Code</w:t>
      </w:r>
      <w:r w:rsidR="00BB40A3">
        <w:t>;</w:t>
      </w:r>
      <w:commentRangeEnd w:id="20"/>
      <w:r w:rsidR="00115486">
        <w:rPr>
          <w:rStyle w:val="CommentReference"/>
        </w:rPr>
        <w:commentReference w:id="20"/>
      </w:r>
      <w:commentRangeEnd w:id="21"/>
      <w:r w:rsidR="00094AFF">
        <w:rPr>
          <w:rStyle w:val="CommentReference"/>
        </w:rPr>
        <w:commentReference w:id="21"/>
      </w:r>
    </w:p>
    <w:p w14:paraId="65538BA6" w14:textId="49B339DD" w:rsidR="008A0B30" w:rsidRPr="00311FA4" w:rsidRDefault="008A0B30" w:rsidP="00FF4826">
      <w:pPr>
        <w:pStyle w:val="ListParagraph"/>
        <w:numPr>
          <w:ilvl w:val="0"/>
          <w:numId w:val="19"/>
        </w:numPr>
        <w:tabs>
          <w:tab w:val="clear" w:pos="720"/>
        </w:tabs>
        <w:ind w:left="1701"/>
      </w:pPr>
      <w:r w:rsidRPr="00311FA4">
        <w:rPr>
          <w:b/>
          <w:bCs/>
        </w:rPr>
        <w:t xml:space="preserve">“Security Cover” </w:t>
      </w:r>
      <w:r w:rsidRPr="00311FA4">
        <w:t xml:space="preserve">means </w:t>
      </w:r>
      <w:r w:rsidR="000D4EDF">
        <w:t>a</w:t>
      </w:r>
      <w:r w:rsidR="000D4EDF" w:rsidRPr="00311FA4">
        <w:t xml:space="preserve"> </w:t>
      </w:r>
      <w:r w:rsidRPr="00311FA4">
        <w:t xml:space="preserve">financial security to be provided and maintained by a </w:t>
      </w:r>
      <w:r w:rsidR="000D4EDF">
        <w:t xml:space="preserve">Market </w:t>
      </w:r>
      <w:r w:rsidRPr="00311FA4">
        <w:t>Participant</w:t>
      </w:r>
      <w:r w:rsidR="00BB40A3">
        <w:t xml:space="preserve"> or a Transmission Service Provider</w:t>
      </w:r>
      <w:r w:rsidRPr="00311FA4">
        <w:t xml:space="preserve"> in the form and amount specified in</w:t>
      </w:r>
      <w:r w:rsidR="0060616E" w:rsidRPr="00311FA4">
        <w:t xml:space="preserve"> </w:t>
      </w:r>
      <w:r w:rsidR="0060616E" w:rsidRPr="00311FA4">
        <w:fldChar w:fldCharType="begin"/>
      </w:r>
      <w:r w:rsidR="0060616E" w:rsidRPr="00311FA4">
        <w:instrText xml:space="preserve"> REF _Ref54689603 \r \h </w:instrText>
      </w:r>
      <w:r w:rsidR="00311FA4" w:rsidRPr="00311FA4">
        <w:instrText xml:space="preserve"> \* MERGEFORMAT </w:instrText>
      </w:r>
      <w:r w:rsidR="0060616E" w:rsidRPr="00311FA4">
        <w:fldChar w:fldCharType="separate"/>
      </w:r>
      <w:r w:rsidR="00251DBF">
        <w:t>Chapter 14</w:t>
      </w:r>
      <w:r w:rsidR="0060616E" w:rsidRPr="00311FA4">
        <w:fldChar w:fldCharType="end"/>
      </w:r>
      <w:r w:rsidR="00BB40A3">
        <w:t>;</w:t>
      </w:r>
    </w:p>
    <w:p w14:paraId="6B39F9B4" w14:textId="277F53D3" w:rsidR="00311FA4" w:rsidRDefault="00311FA4" w:rsidP="00FF4826">
      <w:pPr>
        <w:pStyle w:val="ListParagraph"/>
        <w:numPr>
          <w:ilvl w:val="0"/>
          <w:numId w:val="19"/>
        </w:numPr>
        <w:tabs>
          <w:tab w:val="clear" w:pos="720"/>
        </w:tabs>
        <w:ind w:left="1701"/>
      </w:pPr>
      <w:r>
        <w:rPr>
          <w:b/>
          <w:bCs/>
        </w:rPr>
        <w:t xml:space="preserve">“Self-dispatch” </w:t>
      </w:r>
      <w:r>
        <w:t>associated with a Generat</w:t>
      </w:r>
      <w:r w:rsidR="009276D7">
        <w:t>ion Unit</w:t>
      </w:r>
      <w:r>
        <w:t xml:space="preserve">, means an operative condition in which the Generator decides, by itself, the amount of </w:t>
      </w:r>
      <w:r w:rsidR="000D4EDF">
        <w:t xml:space="preserve">Energy </w:t>
      </w:r>
      <w:r>
        <w:t xml:space="preserve">that </w:t>
      </w:r>
      <w:r w:rsidR="000D4EDF">
        <w:t xml:space="preserve">may be </w:t>
      </w:r>
      <w:r>
        <w:t xml:space="preserve">produced </w:t>
      </w:r>
      <w:r w:rsidR="009276D7">
        <w:t xml:space="preserve">by </w:t>
      </w:r>
      <w:r w:rsidR="000D4EDF">
        <w:t>t</w:t>
      </w:r>
      <w:r w:rsidR="009276D7">
        <w:t>he Generation Unit</w:t>
      </w:r>
      <w:r>
        <w:t>, without a specific instruction of the System Operator in this regard. For the avoidance of doubt, Generat</w:t>
      </w:r>
      <w:r w:rsidR="009276D7">
        <w:t>ors</w:t>
      </w:r>
      <w:r>
        <w:t xml:space="preserve"> which are not receiving specific instructions and/or are not directly controlled by the System Operator, are not considered as being self-dispatched</w:t>
      </w:r>
      <w:r w:rsidR="00BB40A3">
        <w:t>;</w:t>
      </w:r>
      <w:r>
        <w:t xml:space="preserve"> </w:t>
      </w:r>
    </w:p>
    <w:p w14:paraId="1E3C92CC" w14:textId="3BDCD34C" w:rsidR="00311FA4" w:rsidRDefault="00311FA4" w:rsidP="00FF4826">
      <w:pPr>
        <w:pStyle w:val="ListParagraph"/>
        <w:numPr>
          <w:ilvl w:val="0"/>
          <w:numId w:val="19"/>
        </w:numPr>
        <w:tabs>
          <w:tab w:val="clear" w:pos="720"/>
        </w:tabs>
        <w:ind w:left="1701"/>
      </w:pPr>
      <w:r w:rsidRPr="000F1690">
        <w:rPr>
          <w:b/>
          <w:bCs/>
        </w:rPr>
        <w:t xml:space="preserve">“Service Provider” </w:t>
      </w:r>
      <w:r w:rsidR="00305464" w:rsidRPr="00305464">
        <w:t>for the purpose of this code</w:t>
      </w:r>
      <w:r w:rsidR="00305464">
        <w:rPr>
          <w:b/>
          <w:bCs/>
        </w:rPr>
        <w:t xml:space="preserve">, </w:t>
      </w:r>
      <w:r w:rsidRPr="004919B7">
        <w:t xml:space="preserve">means </w:t>
      </w:r>
      <w:r w:rsidR="000D4EDF">
        <w:t>a person who may</w:t>
      </w:r>
      <w:r w:rsidRPr="004919B7">
        <w:t xml:space="preserve"> provide regulated services necessary for proper market </w:t>
      </w:r>
      <w:r>
        <w:t xml:space="preserve">or system </w:t>
      </w:r>
      <w:r w:rsidRPr="004919B7">
        <w:t xml:space="preserve">functioning, </w:t>
      </w:r>
      <w:r w:rsidR="000D4EDF">
        <w:t>and</w:t>
      </w:r>
      <w:r w:rsidR="000D4EDF" w:rsidRPr="004919B7">
        <w:t xml:space="preserve"> </w:t>
      </w:r>
      <w:r w:rsidR="000D4EDF">
        <w:t>is</w:t>
      </w:r>
      <w:r w:rsidR="000D4EDF" w:rsidRPr="004919B7">
        <w:t xml:space="preserve"> </w:t>
      </w:r>
      <w:r w:rsidRPr="004919B7">
        <w:t xml:space="preserve">not </w:t>
      </w:r>
      <w:r w:rsidR="000D4EDF">
        <w:t xml:space="preserve">registered as a </w:t>
      </w:r>
      <w:r w:rsidRPr="004919B7">
        <w:t xml:space="preserve">Market </w:t>
      </w:r>
      <w:r w:rsidRPr="0070518A">
        <w:t>Participant</w:t>
      </w:r>
      <w:r w:rsidR="000D4EDF">
        <w:t xml:space="preserve"> such as </w:t>
      </w:r>
      <w:r w:rsidRPr="0070518A">
        <w:t xml:space="preserve"> Transmission Service Provider, </w:t>
      </w:r>
      <w:r w:rsidR="000279AC" w:rsidRPr="0070518A">
        <w:t>Distribution Network Service Provider</w:t>
      </w:r>
      <w:r w:rsidR="00305464">
        <w:t>,</w:t>
      </w:r>
      <w:r w:rsidR="000279AC" w:rsidRPr="0070518A">
        <w:t xml:space="preserve"> Metering Service Provider</w:t>
      </w:r>
      <w:r w:rsidR="00305464">
        <w:t xml:space="preserve">, </w:t>
      </w:r>
      <w:r w:rsidR="000279AC" w:rsidRPr="0070518A">
        <w:t>Independent Auction Administrat</w:t>
      </w:r>
      <w:r w:rsidR="0077212F" w:rsidRPr="0070518A">
        <w:t>or</w:t>
      </w:r>
      <w:r w:rsidR="00305464">
        <w:t xml:space="preserve"> and</w:t>
      </w:r>
      <w:r w:rsidR="000279AC" w:rsidRPr="0070518A">
        <w:t xml:space="preserve"> </w:t>
      </w:r>
      <w:r w:rsidR="002C65D8">
        <w:t>CPPA-G (</w:t>
      </w:r>
      <w:r w:rsidR="000279AC" w:rsidRPr="00305464">
        <w:rPr>
          <w:highlight w:val="yellow"/>
        </w:rPr>
        <w:t>Special Purpose Trader</w:t>
      </w:r>
      <w:r w:rsidR="002C65D8">
        <w:t>)</w:t>
      </w:r>
      <w:r w:rsidR="000279AC" w:rsidRPr="0070518A">
        <w:t xml:space="preserve">, </w:t>
      </w:r>
      <w:r w:rsidR="00305464">
        <w:t>excluding</w:t>
      </w:r>
      <w:r w:rsidR="000279AC" w:rsidRPr="0070518A">
        <w:t xml:space="preserve"> the </w:t>
      </w:r>
      <w:r w:rsidRPr="0070518A">
        <w:t>System Operator and Market Operator</w:t>
      </w:r>
      <w:r w:rsidR="00BB40A3">
        <w:t>;</w:t>
      </w:r>
    </w:p>
    <w:p w14:paraId="60CF4F01" w14:textId="200DD289" w:rsidR="00545969" w:rsidRPr="00B03C4A" w:rsidRDefault="00545969" w:rsidP="00FF4826">
      <w:pPr>
        <w:pStyle w:val="ListParagraph"/>
        <w:numPr>
          <w:ilvl w:val="0"/>
          <w:numId w:val="19"/>
        </w:numPr>
        <w:tabs>
          <w:tab w:val="clear" w:pos="720"/>
        </w:tabs>
        <w:ind w:left="1701"/>
        <w:rPr>
          <w:b/>
          <w:bCs/>
        </w:rPr>
      </w:pPr>
      <w:r w:rsidRPr="00B03C4A">
        <w:rPr>
          <w:b/>
          <w:bCs/>
        </w:rPr>
        <w:t>“Service Provider Agreement”</w:t>
      </w:r>
      <w:r>
        <w:rPr>
          <w:b/>
          <w:bCs/>
        </w:rPr>
        <w:t xml:space="preserve"> </w:t>
      </w:r>
      <w:r>
        <w:t>means the agreement executed between the Market Operator and a Service Provider to register it as Service Provider with the Market Operator.</w:t>
      </w:r>
    </w:p>
    <w:p w14:paraId="51215013" w14:textId="64C98EB4" w:rsidR="008A0B30" w:rsidRPr="00311FA4" w:rsidRDefault="008A0B30" w:rsidP="00FF4826">
      <w:pPr>
        <w:pStyle w:val="ListParagraph"/>
        <w:numPr>
          <w:ilvl w:val="0"/>
          <w:numId w:val="19"/>
        </w:numPr>
        <w:tabs>
          <w:tab w:val="clear" w:pos="720"/>
        </w:tabs>
        <w:ind w:left="1701"/>
      </w:pPr>
      <w:r w:rsidRPr="00311FA4">
        <w:rPr>
          <w:b/>
          <w:bCs/>
        </w:rPr>
        <w:t>“Settlement”</w:t>
      </w:r>
      <w:r w:rsidR="0060616E" w:rsidRPr="00311FA4">
        <w:rPr>
          <w:b/>
          <w:bCs/>
        </w:rPr>
        <w:t xml:space="preserve"> </w:t>
      </w:r>
      <w:r w:rsidRPr="00311FA4">
        <w:t>means the process of calculating charges</w:t>
      </w:r>
      <w:r w:rsidR="00305464">
        <w:t xml:space="preserve"> to be paid by and to Market Participants</w:t>
      </w:r>
      <w:r w:rsidR="002C65D8">
        <w:t xml:space="preserve"> or Service Providers</w:t>
      </w:r>
      <w:r w:rsidR="00305464">
        <w:t xml:space="preserve"> under this Code</w:t>
      </w:r>
      <w:r w:rsidR="00BB40A3">
        <w:t>;</w:t>
      </w:r>
    </w:p>
    <w:p w14:paraId="3C9E4ABD" w14:textId="46B70DDA" w:rsidR="00B34596" w:rsidRPr="00B34596" w:rsidRDefault="00311FA4" w:rsidP="00FF4826">
      <w:pPr>
        <w:pStyle w:val="ListParagraph"/>
        <w:numPr>
          <w:ilvl w:val="0"/>
          <w:numId w:val="19"/>
        </w:numPr>
        <w:tabs>
          <w:tab w:val="clear" w:pos="720"/>
        </w:tabs>
        <w:ind w:left="1701"/>
        <w:rPr>
          <w:b/>
          <w:bCs/>
        </w:rPr>
      </w:pPr>
      <w:r w:rsidRPr="000F1690">
        <w:rPr>
          <w:b/>
          <w:bCs/>
        </w:rPr>
        <w:t xml:space="preserve">“Settlement Period” </w:t>
      </w:r>
      <w:r w:rsidRPr="000F1690">
        <w:t xml:space="preserve">means </w:t>
      </w:r>
      <w:r w:rsidR="00305464">
        <w:t xml:space="preserve">a </w:t>
      </w:r>
      <w:r w:rsidRPr="000F1690">
        <w:t>period</w:t>
      </w:r>
      <w:r w:rsidR="002D60EE" w:rsidRPr="002D60EE">
        <w:t xml:space="preserve"> of time </w:t>
      </w:r>
      <w:r w:rsidR="00305464">
        <w:t xml:space="preserve">for calculating the </w:t>
      </w:r>
      <w:r w:rsidR="00B34596">
        <w:t>charges</w:t>
      </w:r>
      <w:r w:rsidR="002D60EE" w:rsidRPr="002D60EE">
        <w:t xml:space="preserve"> of the </w:t>
      </w:r>
      <w:r w:rsidR="00D75DA6">
        <w:t>Imbalances</w:t>
      </w:r>
      <w:r w:rsidR="0077212F">
        <w:t xml:space="preserve"> associated with </w:t>
      </w:r>
      <w:r w:rsidR="002D60EE" w:rsidRPr="002D60EE">
        <w:t>commercial transactions among Market Participants</w:t>
      </w:r>
      <w:r w:rsidR="00B34596">
        <w:t xml:space="preserve"> which is specified as one calendar month for Energy</w:t>
      </w:r>
      <w:r w:rsidR="007F1424">
        <w:t>,</w:t>
      </w:r>
      <w:r w:rsidR="00B34596">
        <w:t xml:space="preserve"> one fiscal year for Capacity</w:t>
      </w:r>
      <w:r w:rsidR="007F1424">
        <w:t xml:space="preserve"> </w:t>
      </w:r>
      <w:r w:rsidR="00B34596">
        <w:t xml:space="preserve"> or any other shorter period of time as may be determined by the Market Operator.</w:t>
      </w:r>
      <w:r w:rsidR="007F1424">
        <w:t xml:space="preserve"> The Settlement Period for Ancillary Services shall be the same as the Settlement Period for Energy</w:t>
      </w:r>
      <w:r w:rsidR="00BB40A3">
        <w:t>;</w:t>
      </w:r>
    </w:p>
    <w:p w14:paraId="65A01BCD" w14:textId="58D28BF6" w:rsidR="008A0B30" w:rsidRPr="00311FA4" w:rsidRDefault="008A0B30" w:rsidP="00FF4826">
      <w:pPr>
        <w:pStyle w:val="ListParagraph"/>
        <w:numPr>
          <w:ilvl w:val="0"/>
          <w:numId w:val="19"/>
        </w:numPr>
        <w:tabs>
          <w:tab w:val="clear" w:pos="720"/>
        </w:tabs>
        <w:ind w:left="1701"/>
      </w:pPr>
      <w:r w:rsidRPr="00311FA4">
        <w:rPr>
          <w:b/>
          <w:bCs/>
        </w:rPr>
        <w:t>“Settlement Statement”</w:t>
      </w:r>
      <w:r w:rsidR="00311FA4" w:rsidRPr="00311FA4">
        <w:rPr>
          <w:b/>
          <w:bCs/>
        </w:rPr>
        <w:t xml:space="preserve"> </w:t>
      </w:r>
      <w:r w:rsidRPr="00311FA4">
        <w:t xml:space="preserve">means the document prepared by the Market Operator </w:t>
      </w:r>
      <w:r w:rsidR="001E7972">
        <w:t>which specifies</w:t>
      </w:r>
      <w:r w:rsidRPr="00311FA4">
        <w:t xml:space="preserve"> the amount to be paid</w:t>
      </w:r>
      <w:r w:rsidR="001E7972">
        <w:t xml:space="preserve"> to</w:t>
      </w:r>
      <w:r w:rsidRPr="00311FA4">
        <w:t xml:space="preserve"> </w:t>
      </w:r>
      <w:r w:rsidR="001E7972">
        <w:t xml:space="preserve">or </w:t>
      </w:r>
      <w:r w:rsidRPr="00311FA4">
        <w:t xml:space="preserve">received by each </w:t>
      </w:r>
      <w:r w:rsidR="00311FA4" w:rsidRPr="00311FA4">
        <w:t xml:space="preserve">Market </w:t>
      </w:r>
      <w:r w:rsidRPr="00311FA4">
        <w:t xml:space="preserve">Participant </w:t>
      </w:r>
      <w:r w:rsidR="00311FA4" w:rsidRPr="00311FA4">
        <w:t xml:space="preserve">or Service Provider </w:t>
      </w:r>
      <w:r w:rsidR="001E7972">
        <w:t>under this Code</w:t>
      </w:r>
      <w:r w:rsidR="00BB40A3">
        <w:t>;</w:t>
      </w:r>
    </w:p>
    <w:p w14:paraId="4A577611" w14:textId="33FA421E" w:rsidR="008A0B30" w:rsidRPr="00B03234" w:rsidRDefault="008A0B30" w:rsidP="00FF4826">
      <w:pPr>
        <w:pStyle w:val="ListParagraph"/>
        <w:numPr>
          <w:ilvl w:val="0"/>
          <w:numId w:val="19"/>
        </w:numPr>
        <w:tabs>
          <w:tab w:val="clear" w:pos="720"/>
        </w:tabs>
        <w:ind w:left="1701"/>
      </w:pPr>
      <w:r w:rsidRPr="00311FA4">
        <w:rPr>
          <w:b/>
          <w:bCs/>
        </w:rPr>
        <w:lastRenderedPageBreak/>
        <w:t>“</w:t>
      </w:r>
      <w:r w:rsidRPr="00B03234">
        <w:rPr>
          <w:b/>
          <w:bCs/>
        </w:rPr>
        <w:t>Settlement Software”</w:t>
      </w:r>
      <w:r w:rsidR="00311FA4" w:rsidRPr="00B03234">
        <w:rPr>
          <w:b/>
          <w:bCs/>
        </w:rPr>
        <w:t xml:space="preserve"> </w:t>
      </w:r>
      <w:r w:rsidRPr="00B03234">
        <w:t xml:space="preserve">means the suite of computer programmes used by the Market Operator to calculate the Settlement amounts </w:t>
      </w:r>
      <w:r w:rsidR="001E7972">
        <w:t>under</w:t>
      </w:r>
      <w:r w:rsidR="001E7972" w:rsidRPr="00B03234">
        <w:t xml:space="preserve"> </w:t>
      </w:r>
      <w:r w:rsidR="00F05124">
        <w:t>this Code</w:t>
      </w:r>
      <w:r w:rsidR="00BB40A3">
        <w:t>;</w:t>
      </w:r>
    </w:p>
    <w:p w14:paraId="2034FBE6" w14:textId="5201C6FB" w:rsidR="00773731" w:rsidRPr="00B03234" w:rsidRDefault="00773731" w:rsidP="00FF4826">
      <w:pPr>
        <w:pStyle w:val="ListParagraph"/>
        <w:numPr>
          <w:ilvl w:val="0"/>
          <w:numId w:val="19"/>
        </w:numPr>
        <w:tabs>
          <w:tab w:val="clear" w:pos="720"/>
        </w:tabs>
        <w:ind w:left="1701"/>
      </w:pPr>
      <w:r w:rsidRPr="00B03234">
        <w:rPr>
          <w:b/>
          <w:bCs/>
        </w:rPr>
        <w:t xml:space="preserve">“Special Purpose Trader” </w:t>
      </w:r>
      <w:r w:rsidR="00B03234" w:rsidRPr="00B03234">
        <w:t xml:space="preserve">has the meaning assigned to the term in Clause </w:t>
      </w:r>
      <w:r w:rsidR="00B03234" w:rsidRPr="00B03234">
        <w:fldChar w:fldCharType="begin"/>
      </w:r>
      <w:r w:rsidR="00B03234" w:rsidRPr="00B03234">
        <w:instrText xml:space="preserve"> REF _Ref64838967 \r \h </w:instrText>
      </w:r>
      <w:r w:rsidR="00B03234">
        <w:instrText xml:space="preserve"> \* MERGEFORMAT </w:instrText>
      </w:r>
      <w:r w:rsidR="00B03234" w:rsidRPr="00B03234">
        <w:fldChar w:fldCharType="separate"/>
      </w:r>
      <w:r w:rsidR="00251DBF">
        <w:t>2.2.5.1</w:t>
      </w:r>
      <w:r w:rsidR="00B03234" w:rsidRPr="00B03234">
        <w:fldChar w:fldCharType="end"/>
      </w:r>
      <w:r w:rsidR="00B03234" w:rsidRPr="00B03234">
        <w:t>.</w:t>
      </w:r>
    </w:p>
    <w:p w14:paraId="78DA241A" w14:textId="1C3D68F3" w:rsidR="00FD4DE6" w:rsidRDefault="00FD4DE6" w:rsidP="00AE1AD1">
      <w:pPr>
        <w:pStyle w:val="ListParagraph"/>
        <w:numPr>
          <w:ilvl w:val="0"/>
          <w:numId w:val="19"/>
        </w:numPr>
        <w:tabs>
          <w:tab w:val="clear" w:pos="720"/>
        </w:tabs>
        <w:ind w:left="1701"/>
      </w:pPr>
      <w:r w:rsidRPr="00E97557">
        <w:rPr>
          <w:b/>
          <w:bCs/>
        </w:rPr>
        <w:t xml:space="preserve">“Standardized Contracts” </w:t>
      </w:r>
      <w:r w:rsidR="00E97557">
        <w:t>shall have</w:t>
      </w:r>
      <w:r w:rsidR="00E97557" w:rsidRPr="00FD4DE6">
        <w:t xml:space="preserve"> </w:t>
      </w:r>
      <w:r w:rsidRPr="00FD4DE6">
        <w:t xml:space="preserve">the meaning </w:t>
      </w:r>
      <w:r w:rsidR="00E97557">
        <w:t>assigned</w:t>
      </w:r>
      <w:r w:rsidR="00E97557" w:rsidRPr="00FD4DE6">
        <w:t xml:space="preserve"> </w:t>
      </w:r>
      <w:r w:rsidRPr="00FD4DE6">
        <w:t xml:space="preserve">to the term in Clause </w:t>
      </w:r>
      <w:r w:rsidRPr="00FD4DE6">
        <w:fldChar w:fldCharType="begin"/>
      </w:r>
      <w:r w:rsidRPr="00FD4DE6">
        <w:instrText xml:space="preserve"> REF _Ref66200498 \r \h </w:instrText>
      </w:r>
      <w:r>
        <w:instrText xml:space="preserve"> \* MERGEFORMAT </w:instrText>
      </w:r>
      <w:r w:rsidRPr="00FD4DE6">
        <w:fldChar w:fldCharType="separate"/>
      </w:r>
      <w:r w:rsidR="00251DBF">
        <w:t>4.2.2.2</w:t>
      </w:r>
      <w:r w:rsidRPr="00FD4DE6">
        <w:fldChar w:fldCharType="end"/>
      </w:r>
      <w:r w:rsidR="00BB40A3">
        <w:t>;</w:t>
      </w:r>
    </w:p>
    <w:p w14:paraId="4FB25190" w14:textId="4F81A55F" w:rsidR="008C02F7" w:rsidRPr="00311FA4" w:rsidRDefault="008C02F7" w:rsidP="008C02F7">
      <w:pPr>
        <w:pStyle w:val="ListParagraph"/>
        <w:numPr>
          <w:ilvl w:val="0"/>
          <w:numId w:val="19"/>
        </w:numPr>
        <w:tabs>
          <w:tab w:val="clear" w:pos="720"/>
        </w:tabs>
        <w:ind w:left="1701"/>
      </w:pPr>
      <w:r>
        <w:rPr>
          <w:b/>
          <w:bCs/>
        </w:rPr>
        <w:t xml:space="preserve">“Sub-Section” </w:t>
      </w:r>
      <w:r w:rsidRPr="00A73929">
        <w:t xml:space="preserve">means a </w:t>
      </w:r>
      <w:r>
        <w:t>Sub-Section</w:t>
      </w:r>
      <w:r w:rsidRPr="00A73929">
        <w:t xml:space="preserve"> of this Code</w:t>
      </w:r>
      <w:r>
        <w:t>;</w:t>
      </w:r>
      <w:r w:rsidRPr="004919B7">
        <w:t xml:space="preserve"> </w:t>
      </w:r>
      <w:r w:rsidRPr="00311FA4">
        <w:t xml:space="preserve"> </w:t>
      </w:r>
    </w:p>
    <w:p w14:paraId="23562A18" w14:textId="58D40A9A" w:rsidR="00311FA4" w:rsidRPr="004919B7" w:rsidRDefault="00311FA4" w:rsidP="00FF4826">
      <w:pPr>
        <w:pStyle w:val="ListParagraph"/>
        <w:numPr>
          <w:ilvl w:val="0"/>
          <w:numId w:val="19"/>
        </w:numPr>
        <w:tabs>
          <w:tab w:val="clear" w:pos="720"/>
        </w:tabs>
        <w:ind w:left="1701"/>
      </w:pPr>
      <w:r w:rsidRPr="000F1690">
        <w:rPr>
          <w:b/>
          <w:bCs/>
        </w:rPr>
        <w:t>“Supply License</w:t>
      </w:r>
      <w:r w:rsidR="008F2D5E">
        <w:rPr>
          <w:b/>
          <w:bCs/>
        </w:rPr>
        <w:t>”</w:t>
      </w:r>
      <w:r w:rsidR="00946ADA">
        <w:rPr>
          <w:b/>
          <w:bCs/>
        </w:rPr>
        <w:t xml:space="preserve"> or </w:t>
      </w:r>
      <w:r w:rsidR="008F2D5E">
        <w:rPr>
          <w:b/>
          <w:bCs/>
        </w:rPr>
        <w:t>“</w:t>
      </w:r>
      <w:r w:rsidR="00946ADA">
        <w:rPr>
          <w:b/>
          <w:bCs/>
        </w:rPr>
        <w:t>Electric Power Supply License</w:t>
      </w:r>
      <w:r w:rsidRPr="000F1690">
        <w:rPr>
          <w:b/>
          <w:bCs/>
        </w:rPr>
        <w:t xml:space="preserve">” </w:t>
      </w:r>
      <w:r w:rsidRPr="004919B7">
        <w:t xml:space="preserve">means a </w:t>
      </w:r>
      <w:r w:rsidR="00520202">
        <w:t>License</w:t>
      </w:r>
      <w:r w:rsidRPr="004919B7">
        <w:t xml:space="preserve"> issued by the Authority </w:t>
      </w:r>
      <w:r w:rsidR="008F2D5E">
        <w:t>under section 23E of the Act</w:t>
      </w:r>
      <w:r w:rsidR="00BB40A3">
        <w:t>;</w:t>
      </w:r>
    </w:p>
    <w:p w14:paraId="6E800C73" w14:textId="5AFCDC7C" w:rsidR="00773731" w:rsidRPr="00773731" w:rsidRDefault="00773731" w:rsidP="00FF4826">
      <w:pPr>
        <w:pStyle w:val="ListParagraph"/>
        <w:numPr>
          <w:ilvl w:val="0"/>
          <w:numId w:val="19"/>
        </w:numPr>
        <w:tabs>
          <w:tab w:val="clear" w:pos="720"/>
        </w:tabs>
        <w:ind w:left="1701"/>
      </w:pPr>
      <w:r w:rsidRPr="00773731">
        <w:rPr>
          <w:b/>
          <w:bCs/>
        </w:rPr>
        <w:t xml:space="preserve">“Suspension Order” </w:t>
      </w:r>
      <w:r w:rsidRPr="00773731">
        <w:t xml:space="preserve">means an order issue by the Market Operator pursuant to </w:t>
      </w:r>
      <w:r w:rsidR="008C02F7">
        <w:t>Sub-Section</w:t>
      </w:r>
      <w:r w:rsidRPr="00773731">
        <w:t xml:space="preserve"> </w:t>
      </w:r>
      <w:r w:rsidRPr="00773731">
        <w:fldChar w:fldCharType="begin"/>
      </w:r>
      <w:r w:rsidRPr="00773731">
        <w:instrText xml:space="preserve"> REF _Ref63696606 \r \h  \* MERGEFORMAT </w:instrText>
      </w:r>
      <w:r w:rsidRPr="00773731">
        <w:fldChar w:fldCharType="separate"/>
      </w:r>
      <w:r w:rsidR="00251DBF">
        <w:t>17.2.2</w:t>
      </w:r>
      <w:r w:rsidRPr="00773731">
        <w:fldChar w:fldCharType="end"/>
      </w:r>
      <w:r w:rsidR="00BB40A3">
        <w:t>;</w:t>
      </w:r>
    </w:p>
    <w:p w14:paraId="416A8AB8" w14:textId="31A378A2" w:rsidR="00773731" w:rsidRPr="00773731" w:rsidRDefault="00773731" w:rsidP="00FF4826">
      <w:pPr>
        <w:pStyle w:val="ListParagraph"/>
        <w:numPr>
          <w:ilvl w:val="0"/>
          <w:numId w:val="19"/>
        </w:numPr>
        <w:tabs>
          <w:tab w:val="clear" w:pos="720"/>
        </w:tabs>
        <w:ind w:left="1701"/>
      </w:pPr>
      <w:r w:rsidRPr="00773731">
        <w:rPr>
          <w:b/>
          <w:bCs/>
        </w:rPr>
        <w:t xml:space="preserve">“Suspended Participant” </w:t>
      </w:r>
      <w:r w:rsidRPr="00773731">
        <w:t>is any Market Participant who has received and is the subject of a valid and continuing Suspension Order</w:t>
      </w:r>
      <w:r w:rsidR="00BB40A3">
        <w:t>;</w:t>
      </w:r>
      <w:r w:rsidRPr="00773731">
        <w:t xml:space="preserve"> </w:t>
      </w:r>
    </w:p>
    <w:p w14:paraId="6870B73C" w14:textId="5BD7AA80" w:rsidR="00C06431" w:rsidRDefault="00773731" w:rsidP="00FF4826">
      <w:pPr>
        <w:pStyle w:val="ListParagraph"/>
        <w:numPr>
          <w:ilvl w:val="0"/>
          <w:numId w:val="19"/>
        </w:numPr>
        <w:tabs>
          <w:tab w:val="clear" w:pos="720"/>
        </w:tabs>
        <w:ind w:left="1701"/>
      </w:pPr>
      <w:r w:rsidRPr="006F59F3">
        <w:rPr>
          <w:b/>
          <w:bCs/>
        </w:rPr>
        <w:t xml:space="preserve">“System Marginal Price” </w:t>
      </w:r>
      <w:r w:rsidRPr="006F59F3">
        <w:t xml:space="preserve">means the </w:t>
      </w:r>
      <w:r w:rsidR="006F59F3" w:rsidRPr="006F59F3">
        <w:t xml:space="preserve">Variable Generation Cost </w:t>
      </w:r>
      <w:r w:rsidRPr="006F59F3">
        <w:t xml:space="preserve">of the </w:t>
      </w:r>
      <w:r w:rsidR="006F59F3" w:rsidRPr="006F59F3">
        <w:t xml:space="preserve">most expensive </w:t>
      </w:r>
      <w:r w:rsidR="009276D7" w:rsidRPr="006F59F3">
        <w:t>Generat</w:t>
      </w:r>
      <w:r w:rsidR="009276D7">
        <w:t>ion Unit</w:t>
      </w:r>
      <w:r w:rsidR="009276D7" w:rsidRPr="006F59F3">
        <w:t xml:space="preserve"> </w:t>
      </w:r>
      <w:r w:rsidR="006F59F3" w:rsidRPr="006F59F3">
        <w:t>which would be</w:t>
      </w:r>
      <w:r w:rsidRPr="006F59F3">
        <w:t xml:space="preserve"> dispatched to </w:t>
      </w:r>
      <w:r w:rsidR="006F59F3" w:rsidRPr="006F59F3">
        <w:t>supply one [1] additional MW of Demand</w:t>
      </w:r>
      <w:r w:rsidR="00C06431">
        <w:t xml:space="preserve"> as determined pursuant to:</w:t>
      </w:r>
    </w:p>
    <w:p w14:paraId="1B9EF158" w14:textId="0FD04D71" w:rsidR="00C06431" w:rsidRPr="006F59F3" w:rsidRDefault="00C06431" w:rsidP="00E35F4A">
      <w:pPr>
        <w:pStyle w:val="ListParagraph"/>
        <w:numPr>
          <w:ilvl w:val="2"/>
          <w:numId w:val="45"/>
        </w:numPr>
      </w:pPr>
      <w:r>
        <w:t xml:space="preserve">the transitory methodology stipulated in Section </w:t>
      </w:r>
      <w:r>
        <w:fldChar w:fldCharType="begin"/>
      </w:r>
      <w:r>
        <w:instrText xml:space="preserve"> REF _Ref64724284 \w \h </w:instrText>
      </w:r>
      <w:r>
        <w:fldChar w:fldCharType="separate"/>
      </w:r>
      <w:r>
        <w:t>20.1</w:t>
      </w:r>
      <w:r>
        <w:fldChar w:fldCharType="end"/>
      </w:r>
      <w:r>
        <w:t xml:space="preserve"> as an interim measure till the development of a CCOP for this purpose.</w:t>
      </w:r>
    </w:p>
    <w:p w14:paraId="7298B1DD" w14:textId="54EAB2C9" w:rsidR="00C06431" w:rsidRDefault="006F59F3" w:rsidP="00E35F4A">
      <w:pPr>
        <w:pStyle w:val="ListParagraph"/>
        <w:numPr>
          <w:ilvl w:val="2"/>
          <w:numId w:val="45"/>
        </w:numPr>
      </w:pPr>
      <w:r>
        <w:t xml:space="preserve">the </w:t>
      </w:r>
      <w:r w:rsidR="00C06431">
        <w:t>relevant CCOP</w:t>
      </w:r>
      <w:r>
        <w:t xml:space="preserve"> developed by the System Operator, </w:t>
      </w:r>
      <w:r w:rsidR="00C06431">
        <w:t>according to</w:t>
      </w:r>
      <w:r>
        <w:t xml:space="preserve"> Clause </w:t>
      </w:r>
      <w:r>
        <w:fldChar w:fldCharType="begin"/>
      </w:r>
      <w:r>
        <w:instrText xml:space="preserve"> REF _Ref61214474 \w \h </w:instrText>
      </w:r>
      <w:r>
        <w:fldChar w:fldCharType="separate"/>
      </w:r>
      <w:r w:rsidR="00251DBF">
        <w:t>6.5.1.3</w:t>
      </w:r>
      <w:r>
        <w:fldChar w:fldCharType="end"/>
      </w:r>
      <w:r w:rsidR="00C06431">
        <w:t xml:space="preserve">; </w:t>
      </w:r>
    </w:p>
    <w:p w14:paraId="3AD1488C" w14:textId="75EF95B0" w:rsidR="00773731" w:rsidRPr="00D6124F" w:rsidRDefault="00773731" w:rsidP="00B03C4A">
      <w:pPr>
        <w:pStyle w:val="ListParagraph"/>
        <w:numPr>
          <w:ilvl w:val="0"/>
          <w:numId w:val="19"/>
        </w:numPr>
        <w:tabs>
          <w:tab w:val="clear" w:pos="720"/>
        </w:tabs>
        <w:ind w:left="1701"/>
        <w:rPr>
          <w:b/>
          <w:bCs/>
        </w:rPr>
      </w:pPr>
      <w:r w:rsidRPr="006F59F3">
        <w:rPr>
          <w:b/>
          <w:bCs/>
        </w:rPr>
        <w:t xml:space="preserve">“System Operator” </w:t>
      </w:r>
      <w:r w:rsidRPr="006F59F3">
        <w:t xml:space="preserve">means </w:t>
      </w:r>
      <w:r w:rsidR="00E3153F" w:rsidRPr="006F59F3">
        <w:t>a</w:t>
      </w:r>
      <w:r w:rsidRPr="006F59F3">
        <w:t xml:space="preserve"> </w:t>
      </w:r>
      <w:r w:rsidR="00094AFF">
        <w:t>person</w:t>
      </w:r>
      <w:r w:rsidR="00094AFF" w:rsidRPr="006F59F3">
        <w:t xml:space="preserve"> </w:t>
      </w:r>
      <w:r w:rsidRPr="006F59F3">
        <w:t xml:space="preserve">licenced </w:t>
      </w:r>
      <w:r w:rsidR="00E3153F" w:rsidRPr="006F59F3">
        <w:t xml:space="preserve">by the Authority </w:t>
      </w:r>
      <w:r w:rsidR="00623F0B">
        <w:t>under</w:t>
      </w:r>
      <w:r w:rsidR="00E3153F">
        <w:t xml:space="preserve"> </w:t>
      </w:r>
      <w:r w:rsidR="008C02F7">
        <w:t>s</w:t>
      </w:r>
      <w:r w:rsidR="00E3153F">
        <w:t>ection 23 G of the</w:t>
      </w:r>
      <w:r>
        <w:t xml:space="preserve"> Act</w:t>
      </w:r>
      <w:r w:rsidR="00BB40A3">
        <w:t>;</w:t>
      </w:r>
    </w:p>
    <w:p w14:paraId="4FA51618" w14:textId="726A3A1A" w:rsidR="00D6124F" w:rsidRPr="00D6124F" w:rsidRDefault="00D6124F" w:rsidP="00B03C4A">
      <w:pPr>
        <w:pStyle w:val="ListParagraph"/>
        <w:numPr>
          <w:ilvl w:val="0"/>
          <w:numId w:val="19"/>
        </w:numPr>
        <w:tabs>
          <w:tab w:val="clear" w:pos="720"/>
        </w:tabs>
        <w:ind w:left="1701"/>
        <w:rPr>
          <w:b/>
          <w:bCs/>
        </w:rPr>
      </w:pPr>
      <w:r w:rsidRPr="00D6124F">
        <w:rPr>
          <w:b/>
          <w:bCs/>
        </w:rPr>
        <w:t xml:space="preserve">"System Operator Fee" </w:t>
      </w:r>
      <w:r w:rsidRPr="00D6124F">
        <w:t xml:space="preserve">means </w:t>
      </w:r>
      <w:r>
        <w:t>the</w:t>
      </w:r>
      <w:r w:rsidRPr="00D6124F">
        <w:t xml:space="preserve"> fee determined by the Authority for the </w:t>
      </w:r>
      <w:r>
        <w:t>System</w:t>
      </w:r>
      <w:r w:rsidRPr="00D6124F">
        <w:t xml:space="preserve"> Operator</w:t>
      </w:r>
      <w:r w:rsidR="00BB40A3">
        <w:t>;</w:t>
      </w:r>
    </w:p>
    <w:p w14:paraId="20BB85D9" w14:textId="59E6660C" w:rsidR="00311FA4" w:rsidRPr="004919B7" w:rsidRDefault="00311FA4" w:rsidP="00B03C4A">
      <w:pPr>
        <w:pStyle w:val="ListParagraph"/>
        <w:numPr>
          <w:ilvl w:val="0"/>
          <w:numId w:val="19"/>
        </w:numPr>
        <w:tabs>
          <w:tab w:val="clear" w:pos="720"/>
        </w:tabs>
        <w:ind w:left="1701"/>
      </w:pPr>
      <w:r>
        <w:rPr>
          <w:b/>
          <w:bCs/>
        </w:rPr>
        <w:t>“System Peak Hours”</w:t>
      </w:r>
      <w:r w:rsidRPr="004919B7">
        <w:rPr>
          <w:b/>
          <w:bCs/>
        </w:rPr>
        <w:t xml:space="preserve"> </w:t>
      </w:r>
      <w:r w:rsidRPr="004919B7">
        <w:t>means the hours included in the period from 10</w:t>
      </w:r>
      <w:r w:rsidR="00623F0B">
        <w:t xml:space="preserve"> </w:t>
      </w:r>
      <w:r w:rsidR="00F47B5A">
        <w:t>a.m.</w:t>
      </w:r>
      <w:r w:rsidRPr="004919B7">
        <w:t xml:space="preserve"> to </w:t>
      </w:r>
      <w:r w:rsidR="00F47B5A">
        <w:t>9:00 p.m. for</w:t>
      </w:r>
      <w:r w:rsidRPr="004919B7">
        <w:t xml:space="preserve"> the months of </w:t>
      </w:r>
      <w:r w:rsidR="00344CEB">
        <w:t xml:space="preserve">June, </w:t>
      </w:r>
      <w:r w:rsidRPr="004919B7">
        <w:t>July, August, and September</w:t>
      </w:r>
      <w:r w:rsidR="00BB40A3">
        <w:t>;</w:t>
      </w:r>
    </w:p>
    <w:p w14:paraId="43CEB5A4" w14:textId="1BBE7CC6" w:rsidR="00EC7B76" w:rsidRPr="00596EAE" w:rsidRDefault="00EC7B76" w:rsidP="00B03C4A">
      <w:pPr>
        <w:pStyle w:val="ListParagraph"/>
        <w:numPr>
          <w:ilvl w:val="0"/>
          <w:numId w:val="19"/>
        </w:numPr>
        <w:tabs>
          <w:tab w:val="clear" w:pos="720"/>
        </w:tabs>
        <w:ind w:left="1701"/>
      </w:pPr>
      <w:r w:rsidRPr="00F47B5A">
        <w:rPr>
          <w:b/>
          <w:bCs/>
        </w:rPr>
        <w:t xml:space="preserve">“Tariff Determination” </w:t>
      </w:r>
      <w:r w:rsidRPr="00596EAE">
        <w:t>means</w:t>
      </w:r>
      <w:r w:rsidR="00F47B5A">
        <w:t xml:space="preserve"> a determination whereby the Authority approves </w:t>
      </w:r>
      <w:r w:rsidRPr="00596EAE">
        <w:t xml:space="preserve"> tariff, rates</w:t>
      </w:r>
      <w:r w:rsidR="00F47B5A">
        <w:t xml:space="preserve">, </w:t>
      </w:r>
      <w:r w:rsidRPr="00596EAE">
        <w:t>charges</w:t>
      </w:r>
      <w:r w:rsidR="00F47B5A">
        <w:t xml:space="preserve"> and other terms and conditions for provision of electric power services</w:t>
      </w:r>
      <w:r w:rsidR="00BB40A3">
        <w:t>;</w:t>
      </w:r>
    </w:p>
    <w:p w14:paraId="2FA22638" w14:textId="6779B402" w:rsidR="00596EAE" w:rsidRPr="00596EAE" w:rsidRDefault="005E71E2" w:rsidP="00B03C4A">
      <w:pPr>
        <w:pStyle w:val="ListParagraph"/>
        <w:numPr>
          <w:ilvl w:val="0"/>
          <w:numId w:val="19"/>
        </w:numPr>
        <w:tabs>
          <w:tab w:val="clear" w:pos="720"/>
        </w:tabs>
        <w:ind w:left="1701"/>
      </w:pPr>
      <w:r w:rsidRPr="00596EAE">
        <w:t>“</w:t>
      </w:r>
      <w:r w:rsidRPr="00596EAE">
        <w:rPr>
          <w:b/>
          <w:bCs/>
        </w:rPr>
        <w:t>Temporary Firm Capacity Certificate”</w:t>
      </w:r>
      <w:r w:rsidRPr="00596EAE">
        <w:t xml:space="preserve"> means </w:t>
      </w:r>
      <w:r w:rsidR="00596EAE" w:rsidRPr="00596EAE">
        <w:t>a Firm Capacity Certificate</w:t>
      </w:r>
      <w:r w:rsidR="00296AE8">
        <w:t xml:space="preserve"> i</w:t>
      </w:r>
      <w:r w:rsidR="00296AE8" w:rsidRPr="00296AE8">
        <w:t>ssued by Market Operator pursuant to</w:t>
      </w:r>
      <w:r w:rsidR="00E40580">
        <w:t xml:space="preserve"> Clause</w:t>
      </w:r>
      <w:r w:rsidR="00296AE8" w:rsidRPr="00296AE8">
        <w:t xml:space="preserve"> </w:t>
      </w:r>
      <w:r w:rsidR="00D439C0" w:rsidRPr="00BC2977">
        <w:fldChar w:fldCharType="begin"/>
      </w:r>
      <w:r w:rsidR="00D439C0" w:rsidRPr="00BC2977">
        <w:instrText xml:space="preserve"> REF _Ref66286446 \r \h </w:instrText>
      </w:r>
      <w:r w:rsidR="00BC2977" w:rsidRPr="00BC2977">
        <w:instrText xml:space="preserve"> \* MERGEFORMAT </w:instrText>
      </w:r>
      <w:r w:rsidR="00D439C0" w:rsidRPr="00BC2977">
        <w:fldChar w:fldCharType="separate"/>
      </w:r>
      <w:r w:rsidR="00251DBF">
        <w:t>9.5.1.3</w:t>
      </w:r>
      <w:r w:rsidR="00D439C0" w:rsidRPr="00BC2977">
        <w:fldChar w:fldCharType="end"/>
      </w:r>
      <w:r w:rsidR="00D439C0" w:rsidRPr="00D439C0">
        <w:t xml:space="preserve"> </w:t>
      </w:r>
      <w:r w:rsidR="00596EAE" w:rsidRPr="00D439C0">
        <w:t>that</w:t>
      </w:r>
      <w:r w:rsidR="00596EAE" w:rsidRPr="00596EAE">
        <w:t xml:space="preserve"> can be used as a </w:t>
      </w:r>
      <w:r w:rsidR="00296AE8">
        <w:t>proof</w:t>
      </w:r>
      <w:r w:rsidR="00296AE8" w:rsidRPr="00596EAE">
        <w:t xml:space="preserve"> </w:t>
      </w:r>
      <w:r w:rsidR="00596EAE" w:rsidRPr="00596EAE">
        <w:t xml:space="preserve">of commitment during the verification process </w:t>
      </w:r>
      <w:r w:rsidR="00E40580">
        <w:t>for</w:t>
      </w:r>
      <w:r w:rsidR="00596EAE" w:rsidRPr="00596EAE">
        <w:t xml:space="preserve"> compliance with the Capacity Obligations and/or to obtain financing for a project, but cannot be used</w:t>
      </w:r>
      <w:r w:rsidR="00BB40A3">
        <w:t xml:space="preserve"> to back up Capacity transaction in a</w:t>
      </w:r>
      <w:r w:rsidR="00596EAE" w:rsidRPr="00596EAE">
        <w:t xml:space="preserve"> </w:t>
      </w:r>
      <w:r w:rsidR="003A578F">
        <w:t>B</w:t>
      </w:r>
      <w:r w:rsidR="00596EAE" w:rsidRPr="00596EAE">
        <w:t xml:space="preserve">ilateral </w:t>
      </w:r>
      <w:r w:rsidR="003A578F">
        <w:t>C</w:t>
      </w:r>
      <w:r w:rsidR="00596EAE" w:rsidRPr="00596EAE">
        <w:t xml:space="preserve">ontracts which </w:t>
      </w:r>
      <w:r w:rsidR="00BB40A3">
        <w:t>has</w:t>
      </w:r>
      <w:r w:rsidR="00BB40A3" w:rsidRPr="00596EAE">
        <w:t xml:space="preserve"> </w:t>
      </w:r>
      <w:r w:rsidR="00596EAE" w:rsidRPr="00596EAE">
        <w:t xml:space="preserve">to be </w:t>
      </w:r>
      <w:r w:rsidR="00BB40A3">
        <w:t>registered with the</w:t>
      </w:r>
      <w:r w:rsidR="00596EAE" w:rsidRPr="00596EAE">
        <w:t xml:space="preserve"> Market Operator</w:t>
      </w:r>
      <w:r w:rsidR="00BB40A3">
        <w:t>.</w:t>
      </w:r>
      <w:r w:rsidR="00596EAE" w:rsidRPr="00596EAE">
        <w:t xml:space="preserve"> </w:t>
      </w:r>
    </w:p>
    <w:p w14:paraId="08B9B865" w14:textId="49C2CE88" w:rsidR="008A0B30" w:rsidRPr="00EC7B76" w:rsidRDefault="008A0B30" w:rsidP="00B03C4A">
      <w:pPr>
        <w:pStyle w:val="ListParagraph"/>
        <w:numPr>
          <w:ilvl w:val="0"/>
          <w:numId w:val="19"/>
        </w:numPr>
        <w:tabs>
          <w:tab w:val="clear" w:pos="720"/>
        </w:tabs>
        <w:ind w:left="1701"/>
      </w:pPr>
      <w:r w:rsidRPr="00EC7B76">
        <w:rPr>
          <w:b/>
          <w:bCs/>
        </w:rPr>
        <w:t xml:space="preserve">“Terminated </w:t>
      </w:r>
      <w:r w:rsidR="00A53AD9">
        <w:rPr>
          <w:b/>
          <w:bCs/>
        </w:rPr>
        <w:t xml:space="preserve">Market </w:t>
      </w:r>
      <w:r w:rsidRPr="00EC7B76">
        <w:rPr>
          <w:b/>
          <w:bCs/>
        </w:rPr>
        <w:t xml:space="preserve">Participant” </w:t>
      </w:r>
      <w:r w:rsidRPr="00EC7B76">
        <w:t xml:space="preserve">means a </w:t>
      </w:r>
      <w:r w:rsidR="00773731" w:rsidRPr="00EC7B76">
        <w:t xml:space="preserve">Market </w:t>
      </w:r>
      <w:r w:rsidRPr="00EC7B76">
        <w:t xml:space="preserve">Participant whose </w:t>
      </w:r>
      <w:r w:rsidR="00BB40A3">
        <w:t xml:space="preserve">registration as Market Participant has been revoked and its </w:t>
      </w:r>
      <w:r w:rsidRPr="00EC7B76">
        <w:t>authorisation to participate in the Market has been terminated</w:t>
      </w:r>
      <w:r w:rsidR="006C2D03">
        <w:t xml:space="preserve"> </w:t>
      </w:r>
      <w:r w:rsidRPr="00EC7B76">
        <w:t>pursuant to a Termination Order</w:t>
      </w:r>
      <w:r w:rsidR="00BB40A3">
        <w:t>;</w:t>
      </w:r>
      <w:r w:rsidRPr="00EC7B76">
        <w:t xml:space="preserve"> </w:t>
      </w:r>
    </w:p>
    <w:p w14:paraId="57E3AD6B" w14:textId="67B611FE" w:rsidR="008A0B30" w:rsidRPr="00EC7B76" w:rsidRDefault="008A0B30" w:rsidP="00B03C4A">
      <w:pPr>
        <w:pStyle w:val="ListParagraph"/>
        <w:numPr>
          <w:ilvl w:val="0"/>
          <w:numId w:val="19"/>
        </w:numPr>
        <w:tabs>
          <w:tab w:val="clear" w:pos="720"/>
        </w:tabs>
        <w:ind w:left="1701"/>
      </w:pPr>
      <w:r w:rsidRPr="00EC7B76">
        <w:rPr>
          <w:b/>
          <w:bCs/>
        </w:rPr>
        <w:t xml:space="preserve">“Termination Order” </w:t>
      </w:r>
      <w:r w:rsidRPr="00EC7B76">
        <w:t xml:space="preserve">means an order issued by the Market Operator pursuant to </w:t>
      </w:r>
      <w:r w:rsidR="00773731" w:rsidRPr="00EC7B76">
        <w:t xml:space="preserve">Clause </w:t>
      </w:r>
      <w:r w:rsidR="00773731" w:rsidRPr="00EC7B76">
        <w:fldChar w:fldCharType="begin"/>
      </w:r>
      <w:r w:rsidR="00773731" w:rsidRPr="00EC7B76">
        <w:instrText xml:space="preserve"> REF _Ref63697032 \r \h </w:instrText>
      </w:r>
      <w:r w:rsidR="00EC7B76" w:rsidRPr="00EC7B76">
        <w:instrText xml:space="preserve"> \* MERGEFORMAT </w:instrText>
      </w:r>
      <w:r w:rsidR="00773731" w:rsidRPr="00EC7B76">
        <w:fldChar w:fldCharType="separate"/>
      </w:r>
      <w:r w:rsidR="00251DBF">
        <w:t>17.2.3.1</w:t>
      </w:r>
      <w:r w:rsidR="00773731" w:rsidRPr="00EC7B76">
        <w:fldChar w:fldCharType="end"/>
      </w:r>
      <w:r w:rsidR="00BB40A3">
        <w:t>;</w:t>
      </w:r>
    </w:p>
    <w:p w14:paraId="041951FE" w14:textId="32C64AD2" w:rsidR="00860A9C" w:rsidRPr="00860A9C" w:rsidRDefault="00860A9C" w:rsidP="00B03C4A">
      <w:pPr>
        <w:pStyle w:val="ListParagraph"/>
        <w:numPr>
          <w:ilvl w:val="0"/>
          <w:numId w:val="19"/>
        </w:numPr>
        <w:tabs>
          <w:tab w:val="clear" w:pos="720"/>
        </w:tabs>
        <w:ind w:left="1701"/>
      </w:pPr>
      <w:r w:rsidRPr="007F1424">
        <w:rPr>
          <w:b/>
          <w:bCs/>
        </w:rPr>
        <w:t xml:space="preserve">“Total Demand” </w:t>
      </w:r>
      <w:r w:rsidRPr="00860A9C">
        <w:t xml:space="preserve">means the total Demand of the system, calculated pursuant </w:t>
      </w:r>
      <w:r w:rsidR="00A53AD9">
        <w:t xml:space="preserve">to </w:t>
      </w:r>
      <w:r w:rsidRPr="00860A9C">
        <w:t xml:space="preserve">the </w:t>
      </w:r>
      <w:r w:rsidR="00A53AD9">
        <w:t>provisions</w:t>
      </w:r>
      <w:r w:rsidR="00A53AD9" w:rsidRPr="00860A9C">
        <w:t xml:space="preserve"> </w:t>
      </w:r>
      <w:r w:rsidR="00A53AD9">
        <w:t>of</w:t>
      </w:r>
      <w:r w:rsidRPr="00860A9C">
        <w:t xml:space="preserve"> </w:t>
      </w:r>
      <w:r w:rsidR="008C02F7">
        <w:t>Sub-Section</w:t>
      </w:r>
      <w:r w:rsidRPr="00860A9C">
        <w:t xml:space="preserve"> 6.3.2</w:t>
      </w:r>
      <w:r w:rsidR="00BB40A3">
        <w:t>;</w:t>
      </w:r>
    </w:p>
    <w:p w14:paraId="1FBA2E4F" w14:textId="49EBC005" w:rsidR="00EC7B76" w:rsidRDefault="00EC7B76" w:rsidP="00B03C4A">
      <w:pPr>
        <w:pStyle w:val="ListParagraph"/>
        <w:numPr>
          <w:ilvl w:val="0"/>
          <w:numId w:val="19"/>
        </w:numPr>
        <w:tabs>
          <w:tab w:val="clear" w:pos="720"/>
        </w:tabs>
        <w:ind w:left="1701"/>
      </w:pPr>
      <w:r w:rsidRPr="00BF564D">
        <w:rPr>
          <w:b/>
          <w:bCs/>
        </w:rPr>
        <w:t xml:space="preserve">“Trading Period” </w:t>
      </w:r>
      <w:r w:rsidRPr="005A7F0E">
        <w:t xml:space="preserve">means </w:t>
      </w:r>
      <w:r>
        <w:t>the period for which an Energy transaction or a Capacity transaction is allowed</w:t>
      </w:r>
      <w:r w:rsidR="00A53AD9">
        <w:t xml:space="preserve"> as defined in</w:t>
      </w:r>
      <w:r w:rsidR="00652798">
        <w:t xml:space="preserve"> Clause</w:t>
      </w:r>
      <w:r w:rsidR="00A53AD9">
        <w:t xml:space="preserve"> </w:t>
      </w:r>
      <w:r w:rsidR="00652798">
        <w:fldChar w:fldCharType="begin"/>
      </w:r>
      <w:r w:rsidR="00652798">
        <w:instrText xml:space="preserve"> REF _Ref73629305 \n \h </w:instrText>
      </w:r>
      <w:r w:rsidR="00652798">
        <w:fldChar w:fldCharType="separate"/>
      </w:r>
      <w:r w:rsidR="00652798">
        <w:t>4.2.1.2</w:t>
      </w:r>
      <w:r w:rsidR="00652798">
        <w:fldChar w:fldCharType="end"/>
      </w:r>
      <w:r w:rsidR="00BB40A3">
        <w:t>;</w:t>
      </w:r>
      <w:r>
        <w:t xml:space="preserve"> </w:t>
      </w:r>
    </w:p>
    <w:p w14:paraId="6BDADA15" w14:textId="3A9978B0" w:rsidR="005A3B71" w:rsidRDefault="005A3B71" w:rsidP="00B03C4A">
      <w:pPr>
        <w:pStyle w:val="ListParagraph"/>
        <w:numPr>
          <w:ilvl w:val="0"/>
          <w:numId w:val="19"/>
        </w:numPr>
        <w:tabs>
          <w:tab w:val="clear" w:pos="720"/>
        </w:tabs>
        <w:ind w:left="1701"/>
      </w:pPr>
      <w:r w:rsidRPr="00D2435B">
        <w:rPr>
          <w:b/>
          <w:bCs/>
        </w:rPr>
        <w:t xml:space="preserve">“Trading Point” </w:t>
      </w:r>
      <w:r w:rsidRPr="00D2435B">
        <w:t>means a Metering Point at which commercial transactions (buying or selling</w:t>
      </w:r>
      <w:r w:rsidR="00652798">
        <w:t xml:space="preserve"> of</w:t>
      </w:r>
      <w:r w:rsidRPr="00D2435B">
        <w:t xml:space="preserve"> Energy or Capacity) may take place</w:t>
      </w:r>
      <w:r w:rsidR="00BB40A3">
        <w:t>;</w:t>
      </w:r>
    </w:p>
    <w:p w14:paraId="674729BF" w14:textId="75219BD2" w:rsidR="008A0B30" w:rsidRPr="00EC7B76" w:rsidRDefault="008A0B30" w:rsidP="00B03C4A">
      <w:pPr>
        <w:pStyle w:val="ListParagraph"/>
        <w:numPr>
          <w:ilvl w:val="0"/>
          <w:numId w:val="19"/>
        </w:numPr>
        <w:tabs>
          <w:tab w:val="clear" w:pos="720"/>
        </w:tabs>
        <w:ind w:left="1701"/>
      </w:pPr>
      <w:r w:rsidRPr="00EC7B76">
        <w:rPr>
          <w:b/>
          <w:bCs/>
        </w:rPr>
        <w:t>“Transmission”</w:t>
      </w:r>
      <w:r w:rsidR="00EC7B76">
        <w:rPr>
          <w:b/>
          <w:bCs/>
        </w:rPr>
        <w:t xml:space="preserve"> </w:t>
      </w:r>
      <w:r w:rsidRPr="00EC7B76">
        <w:t xml:space="preserve">means </w:t>
      </w:r>
      <w:r w:rsidR="00652798">
        <w:t xml:space="preserve">transportation of electric power </w:t>
      </w:r>
      <w:r w:rsidRPr="00EC7B76">
        <w:t xml:space="preserve">over a </w:t>
      </w:r>
      <w:r w:rsidR="000D5129" w:rsidRPr="00EC7B76">
        <w:t>Transmission Network</w:t>
      </w:r>
      <w:r w:rsidR="00BB40A3">
        <w:t>;</w:t>
      </w:r>
    </w:p>
    <w:p w14:paraId="18E6A904" w14:textId="7EB72592" w:rsidR="00D8532F" w:rsidRPr="00D87392" w:rsidRDefault="00D8532F" w:rsidP="00B03C4A">
      <w:pPr>
        <w:pStyle w:val="ListParagraph"/>
        <w:numPr>
          <w:ilvl w:val="0"/>
          <w:numId w:val="19"/>
        </w:numPr>
        <w:tabs>
          <w:tab w:val="clear" w:pos="720"/>
        </w:tabs>
        <w:ind w:left="1701"/>
      </w:pPr>
      <w:r w:rsidRPr="00E97A05">
        <w:rPr>
          <w:b/>
          <w:bCs/>
        </w:rPr>
        <w:lastRenderedPageBreak/>
        <w:t xml:space="preserve">“Transmission Licensee” </w:t>
      </w:r>
      <w:r w:rsidRPr="00D87392">
        <w:t xml:space="preserve">means a person </w:t>
      </w:r>
      <w:r w:rsidR="00E97A05">
        <w:t xml:space="preserve">Licensed by the Authority under </w:t>
      </w:r>
      <w:r w:rsidR="008C02F7">
        <w:t>s</w:t>
      </w:r>
      <w:r w:rsidR="00E97A05">
        <w:t>ection 17, 18A or 19 of the Act</w:t>
      </w:r>
      <w:r w:rsidR="00BB40A3">
        <w:t>;</w:t>
      </w:r>
      <w:r w:rsidR="00E97A05">
        <w:t xml:space="preserve"> </w:t>
      </w:r>
      <w:r w:rsidRPr="00D87392">
        <w:t xml:space="preserve"> </w:t>
      </w:r>
    </w:p>
    <w:p w14:paraId="1036EAEC" w14:textId="13A45CEC" w:rsidR="008A0B30" w:rsidRPr="00D87392" w:rsidRDefault="008A0B30" w:rsidP="00B03C4A">
      <w:pPr>
        <w:pStyle w:val="ListParagraph"/>
        <w:numPr>
          <w:ilvl w:val="0"/>
          <w:numId w:val="19"/>
        </w:numPr>
        <w:tabs>
          <w:tab w:val="clear" w:pos="720"/>
        </w:tabs>
        <w:ind w:left="1701"/>
      </w:pPr>
      <w:r w:rsidRPr="00D87392">
        <w:rPr>
          <w:b/>
          <w:bCs/>
        </w:rPr>
        <w:t>“</w:t>
      </w:r>
      <w:r w:rsidR="000D5129" w:rsidRPr="00D87392">
        <w:rPr>
          <w:b/>
          <w:bCs/>
        </w:rPr>
        <w:t>Transmission Network</w:t>
      </w:r>
      <w:r w:rsidRPr="00D87392">
        <w:rPr>
          <w:b/>
          <w:bCs/>
        </w:rPr>
        <w:t xml:space="preserve">” </w:t>
      </w:r>
      <w:r w:rsidR="00E97A05" w:rsidRPr="00E97A05">
        <w:t>for the purposes of this Code</w:t>
      </w:r>
      <w:r w:rsidR="00E97A05">
        <w:rPr>
          <w:b/>
          <w:bCs/>
        </w:rPr>
        <w:t xml:space="preserve">, </w:t>
      </w:r>
      <w:r w:rsidR="00D87392" w:rsidRPr="00D87392">
        <w:t>means</w:t>
      </w:r>
      <w:r w:rsidR="00464D7F">
        <w:t xml:space="preserve"> the </w:t>
      </w:r>
      <w:r w:rsidR="00E97A05">
        <w:t>electrical transmission facilities including electrical circuits, transformers and substations operating at such voltage as determined by the Authority</w:t>
      </w:r>
      <w:r w:rsidR="00BB40A3">
        <w:t>;</w:t>
      </w:r>
    </w:p>
    <w:p w14:paraId="79ABD364" w14:textId="14DB7362" w:rsidR="008A0B30" w:rsidRDefault="00173E7C" w:rsidP="003C1533">
      <w:pPr>
        <w:pStyle w:val="ListParagraph"/>
        <w:numPr>
          <w:ilvl w:val="0"/>
          <w:numId w:val="19"/>
        </w:numPr>
        <w:tabs>
          <w:tab w:val="clear" w:pos="720"/>
        </w:tabs>
        <w:ind w:left="1701"/>
      </w:pPr>
      <w:r w:rsidRPr="00125C68">
        <w:rPr>
          <w:b/>
          <w:bCs/>
        </w:rPr>
        <w:t>“Transmission Service Provider</w:t>
      </w:r>
      <w:r w:rsidR="00125C68">
        <w:rPr>
          <w:b/>
          <w:bCs/>
        </w:rPr>
        <w:t>” or “</w:t>
      </w:r>
      <w:r w:rsidR="008A0B30" w:rsidRPr="00125C68">
        <w:rPr>
          <w:b/>
          <w:bCs/>
        </w:rPr>
        <w:t>TSP”</w:t>
      </w:r>
      <w:r w:rsidR="00EC7B76" w:rsidRPr="00125C68">
        <w:rPr>
          <w:b/>
          <w:bCs/>
        </w:rPr>
        <w:t xml:space="preserve"> </w:t>
      </w:r>
      <w:r w:rsidR="008A0B30" w:rsidRPr="00D87392">
        <w:t xml:space="preserve">means the </w:t>
      </w:r>
      <w:r w:rsidR="00125C68">
        <w:t xml:space="preserve">holder of a </w:t>
      </w:r>
      <w:r w:rsidR="00520202">
        <w:t>T</w:t>
      </w:r>
      <w:r w:rsidR="008A0B30" w:rsidRPr="00D87392">
        <w:t xml:space="preserve">ransmission </w:t>
      </w:r>
      <w:r w:rsidR="00520202">
        <w:t>L</w:t>
      </w:r>
      <w:r w:rsidR="008A0B30" w:rsidRPr="00D87392">
        <w:t>icen</w:t>
      </w:r>
      <w:r w:rsidR="00EC7B76" w:rsidRPr="00D87392">
        <w:t>s</w:t>
      </w:r>
      <w:r w:rsidR="008A0B30" w:rsidRPr="00D87392">
        <w:t xml:space="preserve">e </w:t>
      </w:r>
      <w:r w:rsidR="00125C68">
        <w:t>issued by the Authority and is registered with the Market Operator</w:t>
      </w:r>
      <w:r w:rsidR="00BB40A3">
        <w:t>;</w:t>
      </w:r>
    </w:p>
    <w:p w14:paraId="55D8016F" w14:textId="420AD127" w:rsidR="003C1533" w:rsidRDefault="003C1533" w:rsidP="003C1533">
      <w:pPr>
        <w:pStyle w:val="ListParagraph"/>
        <w:numPr>
          <w:ilvl w:val="0"/>
          <w:numId w:val="19"/>
        </w:numPr>
        <w:tabs>
          <w:tab w:val="clear" w:pos="720"/>
        </w:tabs>
        <w:ind w:left="1701"/>
      </w:pPr>
      <w:r w:rsidRPr="00B03C4A">
        <w:rPr>
          <w:b/>
          <w:bCs/>
        </w:rPr>
        <w:t xml:space="preserve">“Transmitted Energy” </w:t>
      </w:r>
      <w:r w:rsidRPr="003C1533">
        <w:t>means the Energy which has been transported through the Transmission Network</w:t>
      </w:r>
      <w:r>
        <w:t>;</w:t>
      </w:r>
    </w:p>
    <w:p w14:paraId="34069E69" w14:textId="742689E1" w:rsidR="003C1533" w:rsidRDefault="003C1533" w:rsidP="00B03C4A">
      <w:pPr>
        <w:pStyle w:val="ListParagraph"/>
        <w:numPr>
          <w:ilvl w:val="0"/>
          <w:numId w:val="19"/>
        </w:numPr>
        <w:tabs>
          <w:tab w:val="clear" w:pos="720"/>
        </w:tabs>
        <w:ind w:left="1701"/>
      </w:pPr>
      <w:r w:rsidRPr="00B03C4A">
        <w:rPr>
          <w:b/>
          <w:bCs/>
        </w:rPr>
        <w:t>“Urgent Amendment”</w:t>
      </w:r>
      <w:r w:rsidRPr="003C1533">
        <w:t xml:space="preserve"> shall have the meaning as assigned to the term as per Clause 1.3.7.1</w:t>
      </w:r>
    </w:p>
    <w:p w14:paraId="413DA4E8" w14:textId="6234CF2F" w:rsidR="00947EFB" w:rsidRPr="004510F8" w:rsidRDefault="00947EFB" w:rsidP="00B03C4A">
      <w:pPr>
        <w:pStyle w:val="ListParagraph"/>
        <w:numPr>
          <w:ilvl w:val="0"/>
          <w:numId w:val="19"/>
        </w:numPr>
        <w:tabs>
          <w:tab w:val="clear" w:pos="720"/>
        </w:tabs>
        <w:ind w:left="1701"/>
        <w:rPr>
          <w:b/>
          <w:bCs/>
        </w:rPr>
      </w:pPr>
      <w:r w:rsidRPr="004510F8">
        <w:rPr>
          <w:b/>
          <w:bCs/>
        </w:rPr>
        <w:t xml:space="preserve">“Validation Checks” </w:t>
      </w:r>
      <w:r w:rsidRPr="004510F8">
        <w:t>means the set of evaluations, checks or verifications</w:t>
      </w:r>
      <w:r w:rsidR="00466251">
        <w:t xml:space="preserve"> which are </w:t>
      </w:r>
      <w:r w:rsidR="00466251" w:rsidRPr="004510F8">
        <w:t xml:space="preserve">performed by </w:t>
      </w:r>
      <w:r w:rsidR="00466251">
        <w:t>a</w:t>
      </w:r>
      <w:r w:rsidR="00466251" w:rsidRPr="004510F8">
        <w:t xml:space="preserve"> Metering Service Provider</w:t>
      </w:r>
      <w:r w:rsidRPr="004510F8">
        <w:t xml:space="preserve"> to determine the appropriateness of a metered value obtained through the Commercial Metering System</w:t>
      </w:r>
      <w:r w:rsidR="00BB40A3">
        <w:t>;</w:t>
      </w:r>
      <w:r w:rsidRPr="004510F8">
        <w:t xml:space="preserve"> </w:t>
      </w:r>
      <w:r w:rsidRPr="004510F8">
        <w:rPr>
          <w:b/>
          <w:bCs/>
        </w:rPr>
        <w:t xml:space="preserve"> </w:t>
      </w:r>
    </w:p>
    <w:p w14:paraId="5A250AB9" w14:textId="1D57364A" w:rsidR="00596EAE" w:rsidRPr="004510F8" w:rsidRDefault="00B553CF" w:rsidP="00B03C4A">
      <w:pPr>
        <w:pStyle w:val="ListParagraph"/>
        <w:numPr>
          <w:ilvl w:val="0"/>
          <w:numId w:val="19"/>
        </w:numPr>
        <w:tabs>
          <w:tab w:val="clear" w:pos="720"/>
        </w:tabs>
        <w:ind w:left="1701"/>
        <w:rPr>
          <w:b/>
          <w:bCs/>
        </w:rPr>
      </w:pPr>
      <w:r w:rsidRPr="004510F8">
        <w:rPr>
          <w:b/>
          <w:bCs/>
        </w:rPr>
        <w:t>“</w:t>
      </w:r>
      <w:r w:rsidR="00596EAE" w:rsidRPr="004510F8">
        <w:rPr>
          <w:b/>
          <w:bCs/>
        </w:rPr>
        <w:t>Variable Generation Cost</w:t>
      </w:r>
      <w:r w:rsidRPr="004510F8">
        <w:rPr>
          <w:b/>
          <w:bCs/>
        </w:rPr>
        <w:t>”</w:t>
      </w:r>
      <w:r w:rsidRPr="004510F8">
        <w:t xml:space="preserve"> means</w:t>
      </w:r>
      <w:r w:rsidR="00B03234" w:rsidRPr="004510F8">
        <w:t xml:space="preserve"> the costs</w:t>
      </w:r>
      <w:r w:rsidR="002057EE">
        <w:t xml:space="preserve"> which vary with the change of the output</w:t>
      </w:r>
      <w:r w:rsidR="00B03234" w:rsidRPr="004510F8">
        <w:t xml:space="preserve"> of </w:t>
      </w:r>
      <w:r w:rsidR="00466251">
        <w:t xml:space="preserve">a </w:t>
      </w:r>
      <w:r w:rsidR="009276D7" w:rsidRPr="004510F8">
        <w:t>Generation Unit</w:t>
      </w:r>
      <w:r w:rsidR="00BB40A3">
        <w:t>;</w:t>
      </w:r>
      <w:r w:rsidR="009276D7" w:rsidRPr="004510F8">
        <w:t xml:space="preserve"> </w:t>
      </w:r>
    </w:p>
    <w:p w14:paraId="5B21BF73" w14:textId="327F72AC" w:rsidR="00EC7B76" w:rsidRDefault="00EC7B76" w:rsidP="00B03C4A">
      <w:pPr>
        <w:pStyle w:val="ListParagraph"/>
        <w:numPr>
          <w:ilvl w:val="0"/>
          <w:numId w:val="19"/>
        </w:numPr>
        <w:tabs>
          <w:tab w:val="clear" w:pos="720"/>
        </w:tabs>
        <w:ind w:left="1701"/>
      </w:pPr>
      <w:r w:rsidRPr="004510F8">
        <w:rPr>
          <w:b/>
          <w:bCs/>
        </w:rPr>
        <w:t>“</w:t>
      </w:r>
      <w:r w:rsidR="00C1591E" w:rsidRPr="004510F8">
        <w:rPr>
          <w:b/>
          <w:bCs/>
        </w:rPr>
        <w:t xml:space="preserve">MO </w:t>
      </w:r>
      <w:r w:rsidRPr="004510F8">
        <w:rPr>
          <w:b/>
          <w:bCs/>
        </w:rPr>
        <w:t xml:space="preserve">Website” </w:t>
      </w:r>
      <w:r w:rsidRPr="004510F8">
        <w:t xml:space="preserve">means the </w:t>
      </w:r>
      <w:r w:rsidR="002057EE">
        <w:t>web</w:t>
      </w:r>
      <w:r w:rsidRPr="004510F8">
        <w:t>site established by the Market Operator on the world-wide web for the exchange</w:t>
      </w:r>
      <w:r w:rsidRPr="00454761">
        <w:t xml:space="preserve"> of information amongst the System Operator, the Market Operator, the Service Providers, </w:t>
      </w:r>
      <w:r>
        <w:t xml:space="preserve">Market </w:t>
      </w:r>
      <w:r w:rsidRPr="00454761">
        <w:t>Participants, and other interested parties in accordance with such restrictions on access as may be determined from time to time by the Market Operator</w:t>
      </w:r>
      <w:r>
        <w:t>.</w:t>
      </w:r>
    </w:p>
    <w:p w14:paraId="50B43287" w14:textId="7B58EF25" w:rsidR="00CC7F1B" w:rsidRPr="004919B7" w:rsidRDefault="00CC7F1B" w:rsidP="005B295A">
      <w:pPr>
        <w:pStyle w:val="Heading4"/>
      </w:pPr>
      <w:bookmarkStart w:id="23" w:name="_Hlk78463778"/>
      <w:r w:rsidRPr="00A2219F">
        <w:t xml:space="preserve">The words and expressions used but not defined in this Commercial Code shall have the same meaning as are assigned to them in the </w:t>
      </w:r>
      <w:r>
        <w:t>Act</w:t>
      </w:r>
      <w:bookmarkEnd w:id="23"/>
      <w:r w:rsidRPr="00A2219F">
        <w:t>.</w:t>
      </w:r>
    </w:p>
    <w:bookmarkEnd w:id="15"/>
    <w:p w14:paraId="25750B2F" w14:textId="5F9AE6F9" w:rsidR="00AF4D6A" w:rsidRDefault="00AF4D6A" w:rsidP="00AF4D6A">
      <w:pPr>
        <w:pStyle w:val="Heading3"/>
      </w:pPr>
      <w:r>
        <w:t>Interpretation</w:t>
      </w:r>
    </w:p>
    <w:p w14:paraId="163AE0D8" w14:textId="39E3840E" w:rsidR="00AF4D6A" w:rsidRDefault="00AF4D6A" w:rsidP="005B295A">
      <w:pPr>
        <w:pStyle w:val="Heading4"/>
      </w:pPr>
      <w:r>
        <w:t xml:space="preserve">In case of any inconsistency or contradiction of </w:t>
      </w:r>
      <w:r w:rsidR="008A29AA">
        <w:t xml:space="preserve">the provisions of </w:t>
      </w:r>
      <w:r w:rsidR="00F05124">
        <w:t>this Code</w:t>
      </w:r>
      <w:r>
        <w:t xml:space="preserve"> with the Act, the provisions of the Act </w:t>
      </w:r>
      <w:r w:rsidR="008A29AA">
        <w:t xml:space="preserve">shall </w:t>
      </w:r>
      <w:r>
        <w:t>prevail to the extent of inconsistency</w:t>
      </w:r>
      <w:r w:rsidR="008A29AA">
        <w:t xml:space="preserve"> or contradiction</w:t>
      </w:r>
      <w:r>
        <w:t>.</w:t>
      </w:r>
    </w:p>
    <w:p w14:paraId="102C0AE7" w14:textId="28993D1F" w:rsidR="00CC7F1B" w:rsidRDefault="00CC7F1B" w:rsidP="005B295A">
      <w:pPr>
        <w:pStyle w:val="Heading4"/>
      </w:pPr>
      <w:bookmarkStart w:id="24" w:name="_Toc526245575"/>
      <w:bookmarkStart w:id="25" w:name="_Toc526327485"/>
      <w:r>
        <w:t xml:space="preserve">In </w:t>
      </w:r>
      <w:r w:rsidR="00F05124">
        <w:t>this Code</w:t>
      </w:r>
      <w:r>
        <w:t>, unless the context otherwise requires:</w:t>
      </w:r>
      <w:bookmarkEnd w:id="24"/>
      <w:bookmarkEnd w:id="25"/>
    </w:p>
    <w:p w14:paraId="04AAFE1D" w14:textId="010796A5" w:rsidR="00CC7F1B" w:rsidRPr="00CC7F1B" w:rsidRDefault="00CC7F1B" w:rsidP="00B03234">
      <w:pPr>
        <w:pStyle w:val="Heading5"/>
      </w:pPr>
      <w:r w:rsidRPr="00CC7F1B">
        <w:t xml:space="preserve">a reference to a particular </w:t>
      </w:r>
      <w:r w:rsidR="008C02F7">
        <w:t>Part</w:t>
      </w:r>
      <w:r w:rsidRPr="00CC7F1B">
        <w:t>,</w:t>
      </w:r>
      <w:r w:rsidR="008C02F7">
        <w:t xml:space="preserve"> Chapter, Section, Sub-Section</w:t>
      </w:r>
      <w:r w:rsidR="00931E2B">
        <w:t>,</w:t>
      </w:r>
      <w:r>
        <w:t xml:space="preserve"> Clause</w:t>
      </w:r>
      <w:r w:rsidRPr="00CC7F1B">
        <w:t xml:space="preserve">, or Appendix is to a </w:t>
      </w:r>
      <w:r w:rsidR="008C02F7">
        <w:t>P</w:t>
      </w:r>
      <w:r w:rsidRPr="00CC7F1B">
        <w:t>art</w:t>
      </w:r>
      <w:r>
        <w:t>,</w:t>
      </w:r>
      <w:r w:rsidR="008C02F7">
        <w:t xml:space="preserve"> Chapter,</w:t>
      </w:r>
      <w:r>
        <w:t xml:space="preserve"> </w:t>
      </w:r>
      <w:r w:rsidR="008C02F7">
        <w:t>S</w:t>
      </w:r>
      <w:r>
        <w:t>ection,</w:t>
      </w:r>
      <w:r w:rsidR="00931E2B">
        <w:t xml:space="preserve"> </w:t>
      </w:r>
      <w:r w:rsidR="008C02F7">
        <w:t>Sub-Section</w:t>
      </w:r>
      <w:r w:rsidR="00931E2B">
        <w:t>,</w:t>
      </w:r>
      <w:r>
        <w:t xml:space="preserve"> Clause or A</w:t>
      </w:r>
      <w:r w:rsidRPr="00CC7F1B">
        <w:t xml:space="preserve">ppendix </w:t>
      </w:r>
      <w:r w:rsidR="008C02F7">
        <w:t>of</w:t>
      </w:r>
      <w:r w:rsidR="008A29AA">
        <w:t xml:space="preserve"> </w:t>
      </w:r>
      <w:r w:rsidR="00F05124">
        <w:t>this Code</w:t>
      </w:r>
      <w:r w:rsidRPr="00CC7F1B">
        <w:t>;</w:t>
      </w:r>
    </w:p>
    <w:p w14:paraId="606F5E8A" w14:textId="5A25C791" w:rsidR="00CC7F1B" w:rsidRPr="00CC7F1B" w:rsidRDefault="00CC7F1B" w:rsidP="00B03234">
      <w:pPr>
        <w:pStyle w:val="Heading5"/>
      </w:pPr>
      <w:r w:rsidRPr="00CC7F1B">
        <w:t xml:space="preserve">the table of contents and </w:t>
      </w:r>
      <w:r w:rsidR="00206E65">
        <w:t>Chapter</w:t>
      </w:r>
      <w:r w:rsidR="008C02F7">
        <w:t>,</w:t>
      </w:r>
      <w:r w:rsidR="00206E65">
        <w:t xml:space="preserve"> </w:t>
      </w:r>
      <w:r>
        <w:t>Section</w:t>
      </w:r>
      <w:r w:rsidR="008C02F7">
        <w:t xml:space="preserve"> or Sub-Section</w:t>
      </w:r>
      <w:r>
        <w:t xml:space="preserve"> </w:t>
      </w:r>
      <w:r w:rsidRPr="00CC7F1B">
        <w:t xml:space="preserve">headings are for convenience only and shall be ignored </w:t>
      </w:r>
      <w:r w:rsidR="008A29AA">
        <w:t>while</w:t>
      </w:r>
      <w:r w:rsidR="008A29AA" w:rsidRPr="00CC7F1B">
        <w:t xml:space="preserve"> </w:t>
      </w:r>
      <w:r w:rsidRPr="00CC7F1B">
        <w:t xml:space="preserve">construing </w:t>
      </w:r>
      <w:r w:rsidR="005B5E8D">
        <w:t>this Code</w:t>
      </w:r>
      <w:r w:rsidRPr="00CC7F1B">
        <w:t>;</w:t>
      </w:r>
    </w:p>
    <w:p w14:paraId="2B8AB192" w14:textId="3F4934FC" w:rsidR="00CC7F1B" w:rsidRPr="00CC7F1B" w:rsidRDefault="00CC7F1B" w:rsidP="00B03234">
      <w:pPr>
        <w:pStyle w:val="Heading5"/>
      </w:pPr>
      <w:r w:rsidRPr="00CC7F1B">
        <w:t xml:space="preserve">references to the masculine include the feminine and references </w:t>
      </w:r>
      <w:r w:rsidR="008A29AA">
        <w:t>to</w:t>
      </w:r>
      <w:r w:rsidR="008A29AA" w:rsidRPr="00CC7F1B">
        <w:t xml:space="preserve"> </w:t>
      </w:r>
      <w:r w:rsidRPr="00CC7F1B">
        <w:t xml:space="preserve">the singular include </w:t>
      </w:r>
      <w:r w:rsidR="008A29AA">
        <w:t>plural</w:t>
      </w:r>
      <w:r w:rsidRPr="00CC7F1B">
        <w:t>;</w:t>
      </w:r>
    </w:p>
    <w:p w14:paraId="02CAF4ED" w14:textId="76828CC6" w:rsidR="00CC7F1B" w:rsidRPr="00CC7F1B" w:rsidRDefault="00CC7F1B" w:rsidP="00B03234">
      <w:pPr>
        <w:pStyle w:val="Heading5"/>
      </w:pPr>
      <w:r>
        <w:t>PKR</w:t>
      </w:r>
      <w:r w:rsidRPr="00CC7F1B">
        <w:t xml:space="preserve"> means </w:t>
      </w:r>
      <w:r>
        <w:t>Pakistani Rupees</w:t>
      </w:r>
      <w:r w:rsidR="005B133C">
        <w:t>:</w:t>
      </w:r>
    </w:p>
    <w:p w14:paraId="3F22D521" w14:textId="77777777" w:rsidR="00CC7F1B" w:rsidRPr="00CC7F1B" w:rsidRDefault="00CC7F1B" w:rsidP="00B03234">
      <w:pPr>
        <w:pStyle w:val="Heading5"/>
      </w:pPr>
      <w:r w:rsidRPr="00CC7F1B">
        <w:t>the word “include” shall be construed without limitation;</w:t>
      </w:r>
    </w:p>
    <w:p w14:paraId="36573333" w14:textId="77777777" w:rsidR="00CC7F1B" w:rsidRPr="00CC7F1B" w:rsidRDefault="00CC7F1B" w:rsidP="00B03234">
      <w:pPr>
        <w:pStyle w:val="Heading5"/>
      </w:pPr>
      <w:r w:rsidRPr="00CC7F1B">
        <w:t>a reference to a “person” includes any individual, partnership, firm, company, corporation (statutory or otherwise), joint venture, trust, association, organisation or other entity, in each case whether or not having separate legal personality;</w:t>
      </w:r>
    </w:p>
    <w:p w14:paraId="4A53FEB3" w14:textId="02CCCBD8" w:rsidR="00CC7F1B" w:rsidRPr="00EF2126" w:rsidRDefault="00CC7F1B" w:rsidP="00B03234">
      <w:pPr>
        <w:pStyle w:val="Heading5"/>
      </w:pPr>
      <w:r w:rsidRPr="00CC7F1B">
        <w:t xml:space="preserve">a reference to law </w:t>
      </w:r>
      <w:r>
        <w:t xml:space="preserve">or act </w:t>
      </w:r>
      <w:r w:rsidRPr="00CC7F1B">
        <w:t>shall be construed</w:t>
      </w:r>
      <w:r w:rsidR="005B133C">
        <w:t xml:space="preserve"> to include</w:t>
      </w:r>
      <w:r w:rsidRPr="00CC7F1B">
        <w:t xml:space="preserve"> any modification, extension, re-enactment or replacement thereof</w:t>
      </w:r>
      <w:r w:rsidRPr="00EF2126">
        <w:t>; and</w:t>
      </w:r>
    </w:p>
    <w:p w14:paraId="135EE455" w14:textId="05B4E122" w:rsidR="00CC7F1B" w:rsidRDefault="00CC7F1B" w:rsidP="00B03234">
      <w:pPr>
        <w:pStyle w:val="Heading5"/>
      </w:pPr>
      <w:r w:rsidRPr="00EF2126">
        <w:t>a derivative term of any defined or interpreted term or expression shall be construed in accordance with the relevant definition or interpretation</w:t>
      </w:r>
      <w:r w:rsidR="00DE13BC">
        <w:t>; and</w:t>
      </w:r>
    </w:p>
    <w:p w14:paraId="4571BA0B" w14:textId="77777777" w:rsidR="00CC7F1B" w:rsidRDefault="00CC7F1B" w:rsidP="00CC7F1B">
      <w:pPr>
        <w:pStyle w:val="Heading3"/>
      </w:pPr>
      <w:bookmarkStart w:id="26" w:name="_Hlk73703582"/>
      <w:r>
        <w:lastRenderedPageBreak/>
        <w:t xml:space="preserve">Right of </w:t>
      </w:r>
      <w:r w:rsidRPr="008F6773">
        <w:t>Interpretation</w:t>
      </w:r>
    </w:p>
    <w:p w14:paraId="36FB004E" w14:textId="6BF84BFF" w:rsidR="00CC7F1B" w:rsidRDefault="00CC7F1B" w:rsidP="005B295A">
      <w:pPr>
        <w:pStyle w:val="Heading4"/>
      </w:pPr>
      <w:r>
        <w:t xml:space="preserve">The Market Operator shall implement, apply, and enforce the provisions of </w:t>
      </w:r>
      <w:r w:rsidR="00F05124">
        <w:t>this Code</w:t>
      </w:r>
      <w:r>
        <w:t>.</w:t>
      </w:r>
    </w:p>
    <w:p w14:paraId="56476EAD" w14:textId="34082652" w:rsidR="00CC7F1B" w:rsidRDefault="00CC7F1B" w:rsidP="005B295A">
      <w:pPr>
        <w:pStyle w:val="Heading4"/>
      </w:pPr>
      <w:bookmarkStart w:id="27" w:name="_Hlk76661400"/>
      <w:r>
        <w:t xml:space="preserve">The Market Operator </w:t>
      </w:r>
      <w:r w:rsidR="005B133C">
        <w:t xml:space="preserve">shall have </w:t>
      </w:r>
      <w:r>
        <w:t xml:space="preserve">the right of </w:t>
      </w:r>
      <w:r w:rsidR="005B133C">
        <w:t xml:space="preserve">interpretation of </w:t>
      </w:r>
      <w:r w:rsidR="00F05124">
        <w:t>this Code</w:t>
      </w:r>
      <w:r w:rsidR="00F2084E">
        <w:t>. The Market Operator shall publish all such interpretations on the MO Website.</w:t>
      </w:r>
      <w:r w:rsidR="003018FA">
        <w:t xml:space="preserve"> </w:t>
      </w:r>
    </w:p>
    <w:bookmarkEnd w:id="27"/>
    <w:p w14:paraId="0D6DC17C" w14:textId="79A0AF17" w:rsidR="00CC7F1B" w:rsidRDefault="0058615C" w:rsidP="005B295A">
      <w:pPr>
        <w:pStyle w:val="Heading4"/>
      </w:pPr>
      <w:r>
        <w:t xml:space="preserve">The Market Operator, the System Operator, </w:t>
      </w:r>
      <w:r w:rsidR="00CC7F1B">
        <w:t xml:space="preserve">Market Participants </w:t>
      </w:r>
      <w:r w:rsidR="00674C56">
        <w:t xml:space="preserve">and Service Providers </w:t>
      </w:r>
      <w:r w:rsidR="00CC7F1B">
        <w:t xml:space="preserve">shall abide by </w:t>
      </w:r>
      <w:r w:rsidR="00F05124">
        <w:t>this Code</w:t>
      </w:r>
      <w:r w:rsidR="00CC7F1B">
        <w:t>.</w:t>
      </w:r>
    </w:p>
    <w:p w14:paraId="1D2EA5FA" w14:textId="21FFA882" w:rsidR="00293F8F" w:rsidRDefault="00293F8F" w:rsidP="00C173D0">
      <w:pPr>
        <w:pStyle w:val="Heading3"/>
      </w:pPr>
      <w:bookmarkStart w:id="28" w:name="_Toc61780995"/>
      <w:bookmarkStart w:id="29" w:name="_Toc63893914"/>
      <w:bookmarkStart w:id="30" w:name="_Toc64115678"/>
      <w:bookmarkStart w:id="31" w:name="_Toc64116031"/>
      <w:bookmarkEnd w:id="28"/>
      <w:bookmarkEnd w:id="29"/>
      <w:bookmarkEnd w:id="30"/>
      <w:bookmarkEnd w:id="31"/>
      <w:r w:rsidRPr="008F6773">
        <w:t>Times and dates</w:t>
      </w:r>
    </w:p>
    <w:p w14:paraId="37750E78" w14:textId="78EEDDC8" w:rsidR="00AF4D6A" w:rsidRPr="00AF4D6A" w:rsidRDefault="00AF4D6A" w:rsidP="005B295A">
      <w:pPr>
        <w:pStyle w:val="Heading4"/>
      </w:pPr>
      <w:bookmarkStart w:id="32" w:name="_Ref61695358"/>
      <w:r>
        <w:t xml:space="preserve">For the purposes of </w:t>
      </w:r>
      <w:r w:rsidR="00F05124">
        <w:t>this Code</w:t>
      </w:r>
      <w:r>
        <w:t xml:space="preserve">, “Business Day” means a </w:t>
      </w:r>
      <w:r w:rsidR="00FD441C">
        <w:t xml:space="preserve">day </w:t>
      </w:r>
      <w:r w:rsidR="0058615C">
        <w:t xml:space="preserve">on </w:t>
      </w:r>
      <w:r w:rsidR="006A4F6B">
        <w:t xml:space="preserve">which the Banks in Islamabad </w:t>
      </w:r>
      <w:bookmarkEnd w:id="32"/>
      <w:r w:rsidR="006A4F6B">
        <w:t>are operational</w:t>
      </w:r>
      <w:r w:rsidR="00FD441C">
        <w:t>.</w:t>
      </w:r>
    </w:p>
    <w:p w14:paraId="6E91F0FF" w14:textId="08713C24" w:rsidR="00AF4D6A" w:rsidRDefault="00AF4D6A" w:rsidP="005B295A">
      <w:pPr>
        <w:pStyle w:val="Heading4"/>
      </w:pPr>
      <w:r>
        <w:t xml:space="preserve">References to times of </w:t>
      </w:r>
      <w:r w:rsidR="0058615C">
        <w:t xml:space="preserve">a </w:t>
      </w:r>
      <w:r>
        <w:t xml:space="preserve">day in </w:t>
      </w:r>
      <w:r w:rsidR="00674C56">
        <w:t>this Code</w:t>
      </w:r>
      <w:r>
        <w:t xml:space="preserve"> are to Pakistan</w:t>
      </w:r>
      <w:r w:rsidR="006A4F6B">
        <w:t xml:space="preserve"> Standard Time (PST)</w:t>
      </w:r>
      <w:r>
        <w:t>.</w:t>
      </w:r>
    </w:p>
    <w:p w14:paraId="21A219F3" w14:textId="280359EA" w:rsidR="00293F8F" w:rsidRDefault="001C4A85" w:rsidP="00C173D0">
      <w:pPr>
        <w:pStyle w:val="Heading2"/>
      </w:pPr>
      <w:bookmarkStart w:id="33" w:name="_Toc64846650"/>
      <w:bookmarkStart w:id="34" w:name="_Toc69476947"/>
      <w:r w:rsidRPr="008F6773">
        <w:t>Amendment</w:t>
      </w:r>
      <w:r>
        <w:t>s to this Code</w:t>
      </w:r>
      <w:bookmarkEnd w:id="33"/>
      <w:bookmarkEnd w:id="34"/>
    </w:p>
    <w:p w14:paraId="5DC535F4" w14:textId="7CBFAA25" w:rsidR="003A4D77" w:rsidRDefault="00F64A42" w:rsidP="00C173D0">
      <w:pPr>
        <w:pStyle w:val="Heading3"/>
      </w:pPr>
      <w:r>
        <w:t>Commercial Code</w:t>
      </w:r>
      <w:r w:rsidR="003A4D77">
        <w:t xml:space="preserve"> Review Panel</w:t>
      </w:r>
    </w:p>
    <w:p w14:paraId="14CEFEF8" w14:textId="63D50E5A" w:rsidR="003A4D77" w:rsidRPr="00B03234" w:rsidRDefault="0058615C" w:rsidP="005B295A">
      <w:pPr>
        <w:pStyle w:val="Heading4"/>
      </w:pPr>
      <w:r>
        <w:t>There shall be a</w:t>
      </w:r>
      <w:r w:rsidR="003A4D77" w:rsidRPr="00B03234">
        <w:t xml:space="preserve"> </w:t>
      </w:r>
      <w:r w:rsidR="00F64A42">
        <w:t>Commercial Code</w:t>
      </w:r>
      <w:r w:rsidR="003A4D77" w:rsidRPr="00B03234">
        <w:t xml:space="preserve"> Review Panel</w:t>
      </w:r>
      <w:r w:rsidR="000654AA" w:rsidRPr="00B03234">
        <w:t xml:space="preserve"> (CCRP)</w:t>
      </w:r>
      <w:r w:rsidR="00777A50">
        <w:t>, to be established by the Market Operator,</w:t>
      </w:r>
      <w:r w:rsidR="003A4D77" w:rsidRPr="00B03234">
        <w:t xml:space="preserve"> </w:t>
      </w:r>
      <w:r w:rsidR="00777A50">
        <w:t xml:space="preserve">whose duties </w:t>
      </w:r>
      <w:r w:rsidR="003A4D77" w:rsidRPr="00B03234">
        <w:t xml:space="preserve">in respect of this Code and the CTBCM include reviewing, proposing and approving amendments to </w:t>
      </w:r>
      <w:r w:rsidR="00F05124">
        <w:t>this Code</w:t>
      </w:r>
      <w:r w:rsidR="003A4D77" w:rsidRPr="00B03234">
        <w:t xml:space="preserve"> on an on-going basis and </w:t>
      </w:r>
      <w:r w:rsidR="00777A50">
        <w:t>making recommendations to</w:t>
      </w:r>
      <w:r w:rsidR="00777A50" w:rsidRPr="00B03234">
        <w:t xml:space="preserve"> </w:t>
      </w:r>
      <w:r w:rsidR="003A4D77" w:rsidRPr="00B03234">
        <w:t>the Authority on specific issues related to the operation</w:t>
      </w:r>
      <w:r w:rsidR="00777A50">
        <w:t>s</w:t>
      </w:r>
      <w:r w:rsidR="003A4D77" w:rsidRPr="00B03234">
        <w:t xml:space="preserve"> of the CTBCM.</w:t>
      </w:r>
    </w:p>
    <w:p w14:paraId="6D3A5E5F" w14:textId="6F01D1ED" w:rsidR="00777A50" w:rsidRDefault="003A4D77" w:rsidP="005B295A">
      <w:pPr>
        <w:pStyle w:val="Heading4"/>
      </w:pPr>
      <w:r w:rsidRPr="000654AA">
        <w:t xml:space="preserve">The </w:t>
      </w:r>
      <w:r w:rsidR="001D3581">
        <w:t xml:space="preserve">total strength of </w:t>
      </w:r>
      <w:r w:rsidR="000654AA" w:rsidRPr="000654AA">
        <w:t xml:space="preserve">CCRP </w:t>
      </w:r>
      <w:r w:rsidR="00777A50">
        <w:t xml:space="preserve">shall </w:t>
      </w:r>
      <w:r w:rsidRPr="000654AA">
        <w:t xml:space="preserve">consist of </w:t>
      </w:r>
      <w:r w:rsidR="00777A50">
        <w:t>[</w:t>
      </w:r>
      <w:r w:rsidR="00753ACD" w:rsidRPr="000654AA">
        <w:t>1</w:t>
      </w:r>
      <w:r w:rsidR="00777A50">
        <w:t>2]</w:t>
      </w:r>
      <w:r w:rsidRPr="000654AA">
        <w:t xml:space="preserve"> members</w:t>
      </w:r>
      <w:r w:rsidR="00777A50">
        <w:t xml:space="preserve"> to be appointed as provided in Clause </w:t>
      </w:r>
      <w:r w:rsidR="00931E2B">
        <w:fldChar w:fldCharType="begin"/>
      </w:r>
      <w:r w:rsidR="00931E2B">
        <w:instrText xml:space="preserve"> REF _Ref76714844 \r \h </w:instrText>
      </w:r>
      <w:r w:rsidR="00931E2B">
        <w:fldChar w:fldCharType="separate"/>
      </w:r>
      <w:r w:rsidR="00931E2B">
        <w:t>1.3.1.6</w:t>
      </w:r>
      <w:r w:rsidR="00931E2B">
        <w:fldChar w:fldCharType="end"/>
      </w:r>
      <w:r w:rsidRPr="000654AA">
        <w:t xml:space="preserve">. </w:t>
      </w:r>
    </w:p>
    <w:p w14:paraId="419309E2" w14:textId="6049AF70" w:rsidR="00777A50" w:rsidRDefault="001D3581" w:rsidP="00777A50">
      <w:pPr>
        <w:pStyle w:val="Heading4"/>
      </w:pPr>
      <w:r>
        <w:t xml:space="preserve">In order to </w:t>
      </w:r>
      <w:r w:rsidR="00FB0898">
        <w:t>convene</w:t>
      </w:r>
      <w:r>
        <w:t xml:space="preserve"> a meeting, at least </w:t>
      </w:r>
      <w:r w:rsidR="00FB0898">
        <w:t xml:space="preserve">8 members </w:t>
      </w:r>
      <w:r>
        <w:t xml:space="preserve">of the total strength of the CCRP </w:t>
      </w:r>
      <w:r w:rsidR="00FB0898">
        <w:t xml:space="preserve">shall constitute a quorum, </w:t>
      </w:r>
      <w:r w:rsidR="00923EB4">
        <w:t xml:space="preserve">provided that </w:t>
      </w:r>
      <w:r w:rsidR="00FB0898">
        <w:t>no act or proceeding of the CCRP shall be invalid by reason only of the existence of a vacancy in or defect in the constitution of the CCRP</w:t>
      </w:r>
      <w:r>
        <w:t>.</w:t>
      </w:r>
    </w:p>
    <w:p w14:paraId="10F07D7C" w14:textId="2F0B20B4" w:rsidR="003A4D77" w:rsidRDefault="00FB0898" w:rsidP="005B295A">
      <w:pPr>
        <w:pStyle w:val="Heading4"/>
      </w:pPr>
      <w:r>
        <w:t xml:space="preserve">Decisions of the CCRP shall be taken by the majority of its members present and in case of a tie, the person presiding the meeting shall have a casting vote.  </w:t>
      </w:r>
    </w:p>
    <w:p w14:paraId="2D0BD2BA" w14:textId="55FA10F9" w:rsidR="007A3370" w:rsidRPr="007A3370" w:rsidRDefault="007A3370" w:rsidP="007A3370">
      <w:pPr>
        <w:pStyle w:val="BodyText"/>
      </w:pPr>
      <w:r w:rsidRPr="00B03C4A">
        <w:t>Provided that the member specified as independent representative nominated by the Authority shall not have any vote and shall hold the position as an observer</w:t>
      </w:r>
      <w:r w:rsidR="00436768">
        <w:t>.</w:t>
      </w:r>
    </w:p>
    <w:p w14:paraId="37B922CC" w14:textId="58F256C1" w:rsidR="003A4D77" w:rsidRDefault="003A4D77" w:rsidP="005B295A">
      <w:pPr>
        <w:pStyle w:val="Heading4"/>
      </w:pPr>
      <w:r>
        <w:t xml:space="preserve">Members of the </w:t>
      </w:r>
      <w:r w:rsidR="000654AA">
        <w:t>CCRP</w:t>
      </w:r>
      <w:r>
        <w:t xml:space="preserve"> shall:</w:t>
      </w:r>
    </w:p>
    <w:p w14:paraId="5478CF3D" w14:textId="26A22924" w:rsidR="003A4D77" w:rsidRPr="00C173D0" w:rsidRDefault="003A4D77" w:rsidP="00B03234">
      <w:pPr>
        <w:pStyle w:val="Heading5"/>
      </w:pPr>
      <w:r w:rsidRPr="00C173D0">
        <w:t>have a level of technical or commercial knowledge and expertise in the operation of power systems and electricity markets</w:t>
      </w:r>
      <w:r w:rsidR="009C60B3">
        <w:t>, and shall not be members of the Market Operator or System Operator boards</w:t>
      </w:r>
      <w:r w:rsidR="000448A8" w:rsidRPr="00C173D0">
        <w:t>;</w:t>
      </w:r>
    </w:p>
    <w:p w14:paraId="39B33CEA" w14:textId="554986B3" w:rsidR="003A4D77" w:rsidRDefault="003A4D77" w:rsidP="00B03234">
      <w:pPr>
        <w:pStyle w:val="Heading5"/>
      </w:pPr>
      <w:r>
        <w:t xml:space="preserve">in the case of </w:t>
      </w:r>
      <w:r w:rsidR="00624A73">
        <w:t xml:space="preserve">a </w:t>
      </w:r>
      <w:r>
        <w:t xml:space="preserve">member representing </w:t>
      </w:r>
      <w:r w:rsidR="00136176">
        <w:t>Market Participant</w:t>
      </w:r>
      <w:r>
        <w:t>s</w:t>
      </w:r>
      <w:r w:rsidR="001D464A">
        <w:t>,</w:t>
      </w:r>
      <w:r>
        <w:t xml:space="preserve"> </w:t>
      </w:r>
      <w:r w:rsidR="001D464A">
        <w:t>Transmission Service Providers,</w:t>
      </w:r>
      <w:r>
        <w:t xml:space="preserve"> the System Operator </w:t>
      </w:r>
      <w:r w:rsidR="00624A73">
        <w:t xml:space="preserve">or </w:t>
      </w:r>
      <w:r>
        <w:t xml:space="preserve">the Market Operator, </w:t>
      </w:r>
      <w:r w:rsidR="00624A73">
        <w:t xml:space="preserve">he shall </w:t>
      </w:r>
      <w:r>
        <w:t xml:space="preserve">be a member, officer, employee, or agent of a person </w:t>
      </w:r>
      <w:r w:rsidR="00624A73">
        <w:t>in the relevant category</w:t>
      </w:r>
      <w:r>
        <w:t xml:space="preserve"> which such member represents;</w:t>
      </w:r>
    </w:p>
    <w:p w14:paraId="2C34AA1C" w14:textId="00C16EA7" w:rsidR="003A4D77" w:rsidRDefault="003A4D77" w:rsidP="00B03234">
      <w:pPr>
        <w:pStyle w:val="Heading5"/>
      </w:pPr>
      <w:r>
        <w:t xml:space="preserve">in the case of </w:t>
      </w:r>
      <w:r w:rsidR="00624A73">
        <w:t xml:space="preserve">a </w:t>
      </w:r>
      <w:r>
        <w:t xml:space="preserve">member representing the </w:t>
      </w:r>
      <w:r w:rsidR="001D464A">
        <w:t>Bulk Power Consumers</w:t>
      </w:r>
      <w:r>
        <w:t>,</w:t>
      </w:r>
      <w:r w:rsidR="00624A73">
        <w:t xml:space="preserve"> he shall</w:t>
      </w:r>
      <w:r>
        <w:t xml:space="preserve"> be a duly authorised representative of registered bodies of </w:t>
      </w:r>
      <w:r w:rsidR="001D464A">
        <w:t xml:space="preserve">such </w:t>
      </w:r>
      <w:r>
        <w:t>consumers;</w:t>
      </w:r>
    </w:p>
    <w:p w14:paraId="7B6ECA7C" w14:textId="07F9FE52" w:rsidR="003A4D77" w:rsidRPr="00F2084E" w:rsidRDefault="003A4D77" w:rsidP="00B03234">
      <w:pPr>
        <w:pStyle w:val="Heading5"/>
      </w:pPr>
      <w:r w:rsidRPr="001D464A">
        <w:t xml:space="preserve">in the case of </w:t>
      </w:r>
      <w:r w:rsidR="00624A73">
        <w:t xml:space="preserve">a </w:t>
      </w:r>
      <w:r w:rsidRPr="001D464A">
        <w:t xml:space="preserve">member representing a </w:t>
      </w:r>
      <w:r w:rsidR="00136176">
        <w:t>Market Participant</w:t>
      </w:r>
      <w:r w:rsidRPr="001D464A">
        <w:t xml:space="preserve"> or </w:t>
      </w:r>
      <w:r w:rsidR="001D464A" w:rsidRPr="001D464A">
        <w:t xml:space="preserve">a Transmission Service Provider </w:t>
      </w:r>
      <w:r w:rsidRPr="001D464A">
        <w:t xml:space="preserve">or the System Operator </w:t>
      </w:r>
      <w:r w:rsidR="001D464A" w:rsidRPr="001D464A">
        <w:t>or</w:t>
      </w:r>
      <w:r w:rsidRPr="001D464A">
        <w:t xml:space="preserve"> the Market Operator, </w:t>
      </w:r>
      <w:r w:rsidR="00624A73">
        <w:t xml:space="preserve">he shall </w:t>
      </w:r>
      <w:r w:rsidRPr="001D464A">
        <w:t xml:space="preserve">not be a member, </w:t>
      </w:r>
      <w:r w:rsidRPr="001D464A">
        <w:lastRenderedPageBreak/>
        <w:t xml:space="preserve">officer, employee or agent of a person in another class </w:t>
      </w:r>
      <w:r w:rsidR="00624A73">
        <w:t xml:space="preserve">of a </w:t>
      </w:r>
      <w:r w:rsidR="00136176" w:rsidRPr="00F2084E">
        <w:t xml:space="preserve">Market </w:t>
      </w:r>
      <w:r w:rsidR="00136176" w:rsidRPr="00B03C4A">
        <w:t>Participant</w:t>
      </w:r>
      <w:r w:rsidRPr="00B03C4A">
        <w:t xml:space="preserve"> or the </w:t>
      </w:r>
      <w:r w:rsidR="001D464A" w:rsidRPr="00B03C4A">
        <w:t xml:space="preserve">Transmission Service Provider </w:t>
      </w:r>
      <w:r w:rsidRPr="00B03C4A">
        <w:t>or the Market Operator or of an Affiliate of such person</w:t>
      </w:r>
      <w:r w:rsidR="001D464A" w:rsidRPr="00B03C4A">
        <w:t xml:space="preserve">; </w:t>
      </w:r>
      <w:r w:rsidRPr="00B03C4A">
        <w:t xml:space="preserve">except in the case of </w:t>
      </w:r>
      <w:r w:rsidR="001D464A" w:rsidRPr="00B03C4A">
        <w:t xml:space="preserve">NTDC as Transmission Service Provider </w:t>
      </w:r>
      <w:r w:rsidRPr="00B03C4A">
        <w:t xml:space="preserve">and System Operator who may be member, officer, employee or agent of each other until </w:t>
      </w:r>
      <w:r w:rsidR="001D464A" w:rsidRPr="00B03C4A">
        <w:t xml:space="preserve">the </w:t>
      </w:r>
      <w:r w:rsidR="00624A73" w:rsidRPr="00B03C4A">
        <w:t xml:space="preserve">time </w:t>
      </w:r>
      <w:r w:rsidR="001D464A" w:rsidRPr="00B03C4A">
        <w:t xml:space="preserve">the System Operator will be carved out from NTDC, if so decided by the </w:t>
      </w:r>
      <w:r w:rsidR="008F1701" w:rsidRPr="00B03C4A">
        <w:t>C</w:t>
      </w:r>
      <w:r w:rsidR="001D464A" w:rsidRPr="00B03C4A">
        <w:t xml:space="preserve">ompetent </w:t>
      </w:r>
      <w:r w:rsidR="008F1701" w:rsidRPr="00B03C4A">
        <w:t>A</w:t>
      </w:r>
      <w:r w:rsidR="001D464A" w:rsidRPr="00B03C4A">
        <w:t>uthorities</w:t>
      </w:r>
      <w:r w:rsidR="001D464A" w:rsidRPr="00F2084E">
        <w:t xml:space="preserve">. </w:t>
      </w:r>
    </w:p>
    <w:p w14:paraId="123C1372" w14:textId="7242E581" w:rsidR="003A4D77" w:rsidRDefault="003A4D77" w:rsidP="00B03234">
      <w:pPr>
        <w:pStyle w:val="Heading5"/>
      </w:pPr>
      <w:r>
        <w:t>not serve for</w:t>
      </w:r>
      <w:r w:rsidR="000553CB">
        <w:t xml:space="preserve"> more</w:t>
      </w:r>
      <w:r>
        <w:t xml:space="preserve"> </w:t>
      </w:r>
      <w:r w:rsidR="000553CB">
        <w:t xml:space="preserve">than </w:t>
      </w:r>
      <w:r>
        <w:t xml:space="preserve">two terms as a member of the </w:t>
      </w:r>
      <w:r w:rsidR="000654AA">
        <w:t>CCRP</w:t>
      </w:r>
      <w:r>
        <w:t xml:space="preserve">.  </w:t>
      </w:r>
    </w:p>
    <w:p w14:paraId="12053117" w14:textId="3653B3E3" w:rsidR="003A4D77" w:rsidRDefault="001D464A" w:rsidP="005B295A">
      <w:pPr>
        <w:pStyle w:val="Heading4"/>
      </w:pPr>
      <w:bookmarkStart w:id="35" w:name="_Ref76714844"/>
      <w:r>
        <w:t>The</w:t>
      </w:r>
      <w:r w:rsidR="003A4D77">
        <w:t xml:space="preserve"> </w:t>
      </w:r>
      <w:r w:rsidR="000654AA">
        <w:t>CCRP</w:t>
      </w:r>
      <w:r w:rsidR="003A4D77">
        <w:t xml:space="preserve"> </w:t>
      </w:r>
      <w:r w:rsidR="000553CB">
        <w:t>shall consist of the following members</w:t>
      </w:r>
      <w:r w:rsidR="003A4D77">
        <w:t>:</w:t>
      </w:r>
      <w:bookmarkEnd w:id="35"/>
      <w:r w:rsidR="003A4D77">
        <w:t xml:space="preserve"> </w:t>
      </w:r>
    </w:p>
    <w:p w14:paraId="6C390590" w14:textId="4428E1A2" w:rsidR="003A4D77" w:rsidRPr="00B03234" w:rsidRDefault="00F2084E" w:rsidP="00B03234">
      <w:pPr>
        <w:pStyle w:val="Heading5"/>
      </w:pPr>
      <w:r>
        <w:t>O</w:t>
      </w:r>
      <w:r w:rsidR="003A4D77" w:rsidRPr="00B03234">
        <w:t xml:space="preserve">ne representative of </w:t>
      </w:r>
      <w:r w:rsidR="0049027F" w:rsidRPr="00B03234">
        <w:t xml:space="preserve">ex-WAPDA </w:t>
      </w:r>
      <w:r w:rsidR="003A4D77" w:rsidRPr="00B03234">
        <w:t>Generation Companies</w:t>
      </w:r>
      <w:r>
        <w:t>.</w:t>
      </w:r>
    </w:p>
    <w:p w14:paraId="1D471A5B" w14:textId="6F64D958" w:rsidR="009C60B3" w:rsidRPr="00D439C0" w:rsidRDefault="00F2084E" w:rsidP="00B03234">
      <w:pPr>
        <w:pStyle w:val="Heading5"/>
      </w:pPr>
      <w:r>
        <w:t>O</w:t>
      </w:r>
      <w:r w:rsidR="003A4D77" w:rsidRPr="00B03234">
        <w:t xml:space="preserve">ne </w:t>
      </w:r>
      <w:r w:rsidR="003A4D77" w:rsidRPr="00D439C0">
        <w:t>representative of Independent Power Producers</w:t>
      </w:r>
      <w:r w:rsidR="009C60B3" w:rsidRPr="00D439C0">
        <w:t xml:space="preserve"> other than </w:t>
      </w:r>
      <w:bookmarkStart w:id="36" w:name="_Hlk66286580"/>
      <w:r w:rsidR="00D439C0" w:rsidRPr="00D439C0">
        <w:t>A</w:t>
      </w:r>
      <w:r w:rsidR="009C60B3" w:rsidRPr="00D439C0">
        <w:t>RE Producers</w:t>
      </w:r>
      <w:bookmarkEnd w:id="36"/>
      <w:r>
        <w:t>.</w:t>
      </w:r>
    </w:p>
    <w:p w14:paraId="629746B8" w14:textId="0AF2E87A" w:rsidR="003A4D77" w:rsidRDefault="00F2084E" w:rsidP="00B03234">
      <w:pPr>
        <w:pStyle w:val="Heading5"/>
      </w:pPr>
      <w:r>
        <w:t>O</w:t>
      </w:r>
      <w:r w:rsidR="009C60B3" w:rsidRPr="00D439C0">
        <w:t xml:space="preserve">ne representative of </w:t>
      </w:r>
      <w:r w:rsidR="00D439C0" w:rsidRPr="00D439C0">
        <w:t>A</w:t>
      </w:r>
      <w:r w:rsidR="009C60B3" w:rsidRPr="00D439C0">
        <w:t>RE Producers</w:t>
      </w:r>
      <w:r>
        <w:t>.</w:t>
      </w:r>
    </w:p>
    <w:p w14:paraId="458587A5" w14:textId="761771E5" w:rsidR="00352D4E" w:rsidRPr="00B03C4A" w:rsidRDefault="00F2084E">
      <w:pPr>
        <w:pStyle w:val="Heading5"/>
        <w:rPr>
          <w:rFonts w:eastAsiaTheme="minorHAnsi" w:cstheme="minorBidi"/>
          <w:color w:val="1C1C1C"/>
          <w:szCs w:val="22"/>
        </w:rPr>
      </w:pPr>
      <w:r>
        <w:t>O</w:t>
      </w:r>
      <w:r w:rsidR="00352D4E">
        <w:t>ne representative of WAPDA.</w:t>
      </w:r>
    </w:p>
    <w:p w14:paraId="6080DFC7" w14:textId="23CD4C31" w:rsidR="003A4D77" w:rsidRPr="00B03234" w:rsidRDefault="00F2084E" w:rsidP="00B03234">
      <w:pPr>
        <w:pStyle w:val="Heading5"/>
      </w:pPr>
      <w:r>
        <w:t>O</w:t>
      </w:r>
      <w:r w:rsidR="003A4D77" w:rsidRPr="00B03234">
        <w:t>ne representative of the T</w:t>
      </w:r>
      <w:r w:rsidR="0049027F" w:rsidRPr="00B03234">
        <w:t>ransmission Service Providers</w:t>
      </w:r>
      <w:r>
        <w:t>.</w:t>
      </w:r>
    </w:p>
    <w:p w14:paraId="7955BBFD" w14:textId="48AE054B" w:rsidR="00F4537D" w:rsidRPr="00EF2126" w:rsidRDefault="00F2084E" w:rsidP="00B03234">
      <w:pPr>
        <w:pStyle w:val="Heading5"/>
      </w:pPr>
      <w:r>
        <w:t>T</w:t>
      </w:r>
      <w:r w:rsidR="005E38C6">
        <w:t>wo</w:t>
      </w:r>
      <w:r w:rsidR="0049027F" w:rsidRPr="00EF2126">
        <w:t xml:space="preserve"> representative of the </w:t>
      </w:r>
      <w:bookmarkStart w:id="37" w:name="_Hlk66286611"/>
      <w:r w:rsidR="00126D3F" w:rsidRPr="00EF2126">
        <w:t xml:space="preserve">EX-WAPDA </w:t>
      </w:r>
      <w:r w:rsidR="003B731C" w:rsidRPr="00EF2126">
        <w:t>DISCOs</w:t>
      </w:r>
      <w:bookmarkEnd w:id="37"/>
      <w:r>
        <w:t>.</w:t>
      </w:r>
      <w:r w:rsidR="00F4537D" w:rsidRPr="00EF2126">
        <w:t xml:space="preserve"> </w:t>
      </w:r>
    </w:p>
    <w:p w14:paraId="3F54A473" w14:textId="570DF592" w:rsidR="0049027F" w:rsidRPr="00EF2126" w:rsidRDefault="00F2084E" w:rsidP="00B03234">
      <w:pPr>
        <w:pStyle w:val="Heading5"/>
      </w:pPr>
      <w:r>
        <w:t>O</w:t>
      </w:r>
      <w:r w:rsidR="00F4537D" w:rsidRPr="00EF2126">
        <w:t>ne representative of K-Electric</w:t>
      </w:r>
      <w:r>
        <w:t>.</w:t>
      </w:r>
      <w:r w:rsidR="00F4537D" w:rsidRPr="00EF2126">
        <w:t xml:space="preserve"> </w:t>
      </w:r>
    </w:p>
    <w:p w14:paraId="759147E4" w14:textId="11E71115" w:rsidR="0049027F" w:rsidRPr="00C7566F" w:rsidRDefault="00F2084E" w:rsidP="00B03234">
      <w:pPr>
        <w:pStyle w:val="Heading5"/>
      </w:pPr>
      <w:r>
        <w:t>O</w:t>
      </w:r>
      <w:r w:rsidR="0049027F" w:rsidRPr="00F4537D">
        <w:t>ne representative</w:t>
      </w:r>
      <w:r w:rsidR="0049027F" w:rsidRPr="00C7566F">
        <w:t xml:space="preserve"> of the </w:t>
      </w:r>
      <w:r w:rsidR="000553CB">
        <w:t xml:space="preserve">Competitive </w:t>
      </w:r>
      <w:r w:rsidR="00BF564D">
        <w:t>Electric Power Supplier</w:t>
      </w:r>
      <w:r w:rsidR="000553CB">
        <w:t>s</w:t>
      </w:r>
      <w:r>
        <w:t>.</w:t>
      </w:r>
      <w:r w:rsidR="000553CB">
        <w:t xml:space="preserve"> </w:t>
      </w:r>
    </w:p>
    <w:p w14:paraId="1848CEB0" w14:textId="68870487" w:rsidR="00753ACD" w:rsidRPr="00C7566F" w:rsidRDefault="00F2084E" w:rsidP="00B03234">
      <w:pPr>
        <w:pStyle w:val="Heading5"/>
      </w:pPr>
      <w:r>
        <w:t>O</w:t>
      </w:r>
      <w:r w:rsidR="00753ACD" w:rsidRPr="00C7566F">
        <w:t>ne representative of the Bulk Power Consumers</w:t>
      </w:r>
      <w:r>
        <w:t>.</w:t>
      </w:r>
    </w:p>
    <w:p w14:paraId="1AB893D8" w14:textId="20B8975F" w:rsidR="003A4D77" w:rsidRPr="009C60B3" w:rsidRDefault="00F2084E" w:rsidP="00B03234">
      <w:pPr>
        <w:pStyle w:val="Heading5"/>
      </w:pPr>
      <w:r>
        <w:t>O</w:t>
      </w:r>
      <w:r w:rsidR="003A4D77" w:rsidRPr="009C60B3">
        <w:t xml:space="preserve">ne representative of the </w:t>
      </w:r>
      <w:r w:rsidR="000553CB">
        <w:t xml:space="preserve">Electric Power </w:t>
      </w:r>
      <w:r w:rsidR="00753ACD" w:rsidRPr="009C60B3">
        <w:t>Traders</w:t>
      </w:r>
      <w:r>
        <w:t>.</w:t>
      </w:r>
      <w:r w:rsidR="00753ACD" w:rsidRPr="009C60B3">
        <w:t xml:space="preserve"> </w:t>
      </w:r>
    </w:p>
    <w:p w14:paraId="5EFC0FEB" w14:textId="17B37CFF" w:rsidR="0049027F" w:rsidRPr="009C60B3" w:rsidRDefault="00F2084E" w:rsidP="00B03234">
      <w:pPr>
        <w:pStyle w:val="Heading5"/>
      </w:pPr>
      <w:r>
        <w:t>T</w:t>
      </w:r>
      <w:r w:rsidR="009C60B3" w:rsidRPr="009C60B3">
        <w:t xml:space="preserve">wo </w:t>
      </w:r>
      <w:r w:rsidR="003A4D77" w:rsidRPr="009C60B3">
        <w:t>representative</w:t>
      </w:r>
      <w:r w:rsidR="000553CB">
        <w:t>s</w:t>
      </w:r>
      <w:r w:rsidR="003A4D77" w:rsidRPr="009C60B3">
        <w:t xml:space="preserve"> of the System Operator</w:t>
      </w:r>
      <w:r>
        <w:t>.</w:t>
      </w:r>
      <w:r w:rsidR="003A4D77" w:rsidRPr="009C60B3">
        <w:t xml:space="preserve"> </w:t>
      </w:r>
    </w:p>
    <w:p w14:paraId="360C86CF" w14:textId="501CD33C" w:rsidR="003A4D77" w:rsidRPr="009C60B3" w:rsidRDefault="00F2084E" w:rsidP="00B03234">
      <w:pPr>
        <w:pStyle w:val="Heading5"/>
      </w:pPr>
      <w:r>
        <w:t>T</w:t>
      </w:r>
      <w:r w:rsidR="009C60B3" w:rsidRPr="009C60B3">
        <w:t xml:space="preserve">wo </w:t>
      </w:r>
      <w:r w:rsidR="000553CB" w:rsidRPr="009C60B3">
        <w:t>representative</w:t>
      </w:r>
      <w:r w:rsidR="000553CB">
        <w:t xml:space="preserve">s </w:t>
      </w:r>
      <w:r w:rsidR="003A4D77" w:rsidRPr="009C60B3">
        <w:t>of the Market Operator</w:t>
      </w:r>
      <w:r>
        <w:t>.</w:t>
      </w:r>
    </w:p>
    <w:p w14:paraId="199C75AA" w14:textId="4D0D91E0" w:rsidR="003A4D77" w:rsidRPr="00C7566F" w:rsidRDefault="00F2084E" w:rsidP="00B03234">
      <w:pPr>
        <w:pStyle w:val="Heading5"/>
      </w:pPr>
      <w:r>
        <w:t>O</w:t>
      </w:r>
      <w:r w:rsidR="003A4D77" w:rsidRPr="00C7566F">
        <w:t xml:space="preserve">ne </w:t>
      </w:r>
      <w:r w:rsidR="00753ACD" w:rsidRPr="00C7566F">
        <w:t xml:space="preserve">representative </w:t>
      </w:r>
      <w:r w:rsidR="00257340">
        <w:t>nominated</w:t>
      </w:r>
      <w:r w:rsidR="00257340" w:rsidRPr="00C7566F">
        <w:t xml:space="preserve"> </w:t>
      </w:r>
      <w:r w:rsidR="00753ACD" w:rsidRPr="00C7566F">
        <w:t>by the Authority</w:t>
      </w:r>
      <w:r w:rsidR="00436768">
        <w:t xml:space="preserve"> as an observer</w:t>
      </w:r>
      <w:r w:rsidR="00753ACD" w:rsidRPr="00C7566F">
        <w:t>, without voting rights</w:t>
      </w:r>
      <w:r>
        <w:t>.</w:t>
      </w:r>
      <w:r w:rsidR="003A4D77" w:rsidRPr="00C7566F">
        <w:t xml:space="preserve"> </w:t>
      </w:r>
    </w:p>
    <w:p w14:paraId="7CE139C7" w14:textId="11115BE9" w:rsidR="00C7566F" w:rsidRDefault="0044236D" w:rsidP="005B295A">
      <w:pPr>
        <w:pStyle w:val="Heading4"/>
      </w:pPr>
      <w:r>
        <w:t xml:space="preserve">Nomination </w:t>
      </w:r>
      <w:r w:rsidR="00C7566F">
        <w:t xml:space="preserve">of the </w:t>
      </w:r>
      <w:r>
        <w:t>CCRP</w:t>
      </w:r>
      <w:r w:rsidR="00C7566F">
        <w:t xml:space="preserve"> </w:t>
      </w:r>
      <w:r>
        <w:t xml:space="preserve">members </w:t>
      </w:r>
      <w:r w:rsidR="00C7566F">
        <w:t xml:space="preserve">shall be as follows: </w:t>
      </w:r>
    </w:p>
    <w:p w14:paraId="3C3780FF" w14:textId="0B740914" w:rsidR="00C7566F" w:rsidRPr="00C7566F" w:rsidRDefault="00257340" w:rsidP="00B03234">
      <w:pPr>
        <w:pStyle w:val="Heading5"/>
      </w:pPr>
      <w:r>
        <w:t>T</w:t>
      </w:r>
      <w:r w:rsidR="00C7566F">
        <w:t xml:space="preserve">he </w:t>
      </w:r>
      <w:r w:rsidR="0044236D">
        <w:t>r</w:t>
      </w:r>
      <w:r w:rsidR="00C7566F" w:rsidRPr="00C7566F">
        <w:t>epresentative of ex-WAPDA Generation Companies</w:t>
      </w:r>
      <w:r w:rsidR="00C7566F">
        <w:t xml:space="preserve"> </w:t>
      </w:r>
      <w:r>
        <w:t xml:space="preserve">shall </w:t>
      </w:r>
      <w:r w:rsidR="00C7566F">
        <w:t xml:space="preserve">be </w:t>
      </w:r>
      <w:r w:rsidR="0044236D">
        <w:t xml:space="preserve">nominated </w:t>
      </w:r>
      <w:commentRangeStart w:id="38"/>
      <w:commentRangeEnd w:id="38"/>
      <w:r w:rsidR="003A0CC2">
        <w:rPr>
          <w:rStyle w:val="CommentReference"/>
          <w:rFonts w:eastAsiaTheme="minorHAnsi" w:cstheme="minorBidi"/>
          <w:color w:val="1C1C1C"/>
        </w:rPr>
        <w:commentReference w:id="38"/>
      </w:r>
      <w:r w:rsidR="00C7566F">
        <w:t>by the Ministry of Energy (Power Division)</w:t>
      </w:r>
      <w:r>
        <w:t>.</w:t>
      </w:r>
    </w:p>
    <w:p w14:paraId="385C980B" w14:textId="0788DE2D" w:rsidR="00C7566F" w:rsidRDefault="00257340" w:rsidP="00B03234">
      <w:pPr>
        <w:pStyle w:val="Heading5"/>
      </w:pPr>
      <w:r>
        <w:t>T</w:t>
      </w:r>
      <w:r w:rsidR="00C7566F">
        <w:t xml:space="preserve">he </w:t>
      </w:r>
      <w:r w:rsidR="0044236D">
        <w:t>r</w:t>
      </w:r>
      <w:r w:rsidR="00C7566F" w:rsidRPr="00C7566F">
        <w:t>epresentative of Independent Power Producers</w:t>
      </w:r>
      <w:r w:rsidR="00C7566F">
        <w:t xml:space="preserve"> </w:t>
      </w:r>
      <w:r>
        <w:t xml:space="preserve">and ARE Producers shall </w:t>
      </w:r>
      <w:r w:rsidR="00C7566F">
        <w:t xml:space="preserve">be appointed by the Association of </w:t>
      </w:r>
      <w:r>
        <w:t>Generators.</w:t>
      </w:r>
    </w:p>
    <w:p w14:paraId="7E9F080B" w14:textId="005019F1" w:rsidR="00352D4E" w:rsidRPr="00B03C4A" w:rsidRDefault="00352D4E">
      <w:pPr>
        <w:pStyle w:val="Heading5"/>
        <w:rPr>
          <w:rFonts w:eastAsiaTheme="minorHAnsi" w:cstheme="minorBidi"/>
          <w:color w:val="1C1C1C"/>
          <w:szCs w:val="22"/>
        </w:rPr>
      </w:pPr>
      <w:r>
        <w:t>The representative of WAPDA shall be appointed by WAPDA.</w:t>
      </w:r>
    </w:p>
    <w:p w14:paraId="5341BCEE" w14:textId="4140BAB5" w:rsidR="00C7566F" w:rsidRPr="00C7566F" w:rsidRDefault="00257340" w:rsidP="00B03234">
      <w:pPr>
        <w:pStyle w:val="Heading5"/>
      </w:pPr>
      <w:r>
        <w:t>T</w:t>
      </w:r>
      <w:r w:rsidR="00C7566F">
        <w:t xml:space="preserve">he </w:t>
      </w:r>
      <w:r w:rsidR="00C7566F" w:rsidRPr="00C7566F">
        <w:t>representative of the Transmission Service Providers</w:t>
      </w:r>
      <w:r w:rsidR="00C7566F">
        <w:t xml:space="preserve"> </w:t>
      </w:r>
      <w:r>
        <w:t xml:space="preserve">shall </w:t>
      </w:r>
      <w:r w:rsidR="00C7566F">
        <w:t xml:space="preserve">be </w:t>
      </w:r>
      <w:r w:rsidR="0044236D">
        <w:t xml:space="preserve">nominated </w:t>
      </w:r>
      <w:r w:rsidR="00C7566F">
        <w:t>by NTDC</w:t>
      </w:r>
      <w:r>
        <w:t>.</w:t>
      </w:r>
    </w:p>
    <w:p w14:paraId="7D3FB439" w14:textId="436DDA40" w:rsidR="002B726D" w:rsidRDefault="00257340" w:rsidP="00B03234">
      <w:pPr>
        <w:pStyle w:val="Heading5"/>
      </w:pPr>
      <w:r>
        <w:t>T</w:t>
      </w:r>
      <w:r w:rsidR="00C7566F">
        <w:t xml:space="preserve">he </w:t>
      </w:r>
      <w:r w:rsidR="00C7566F" w:rsidRPr="00C7566F">
        <w:t xml:space="preserve">representative of the </w:t>
      </w:r>
      <w:r w:rsidR="00126D3F">
        <w:t xml:space="preserve">Ex-WAPDA </w:t>
      </w:r>
      <w:r w:rsidR="003B731C">
        <w:t>DISCOs</w:t>
      </w:r>
      <w:r w:rsidR="002B726D">
        <w:t xml:space="preserve"> </w:t>
      </w:r>
      <w:r>
        <w:t xml:space="preserve">shall </w:t>
      </w:r>
      <w:r w:rsidR="002B726D">
        <w:t xml:space="preserve">be </w:t>
      </w:r>
      <w:r w:rsidR="0044236D">
        <w:t xml:space="preserve">nominated </w:t>
      </w:r>
      <w:r w:rsidR="002B726D">
        <w:t>by the Association of Distribution Companies</w:t>
      </w:r>
      <w:r>
        <w:t>.</w:t>
      </w:r>
    </w:p>
    <w:p w14:paraId="1BF9D59F" w14:textId="69763C1A" w:rsidR="00C7566F" w:rsidRPr="00C7566F" w:rsidRDefault="00257340" w:rsidP="00B03234">
      <w:pPr>
        <w:pStyle w:val="Heading5"/>
      </w:pPr>
      <w:r>
        <w:t>T</w:t>
      </w:r>
      <w:r w:rsidR="002B726D">
        <w:t xml:space="preserve">he representative of K-Electric </w:t>
      </w:r>
      <w:r>
        <w:t xml:space="preserve">shall </w:t>
      </w:r>
      <w:r w:rsidR="002B726D">
        <w:t xml:space="preserve">be </w:t>
      </w:r>
      <w:r w:rsidR="0044236D">
        <w:t xml:space="preserve">nominated </w:t>
      </w:r>
      <w:r w:rsidR="002B726D">
        <w:t>by K-Electric</w:t>
      </w:r>
      <w:r>
        <w:t>.</w:t>
      </w:r>
      <w:r w:rsidR="002B726D">
        <w:t xml:space="preserve"> </w:t>
      </w:r>
    </w:p>
    <w:p w14:paraId="5BB75163" w14:textId="7BCE91E0" w:rsidR="00C7566F" w:rsidRPr="006C2D03" w:rsidRDefault="00257340" w:rsidP="00B03234">
      <w:pPr>
        <w:pStyle w:val="Heading5"/>
      </w:pPr>
      <w:r>
        <w:t>T</w:t>
      </w:r>
      <w:r w:rsidR="00C7566F">
        <w:t>he</w:t>
      </w:r>
      <w:r w:rsidR="00C7566F" w:rsidRPr="00C7566F">
        <w:t xml:space="preserve"> representative of the </w:t>
      </w:r>
      <w:r w:rsidR="0044236D">
        <w:t xml:space="preserve">Competitive </w:t>
      </w:r>
      <w:r w:rsidR="00BF564D">
        <w:t>Electric Power Supplier</w:t>
      </w:r>
      <w:r w:rsidR="0044236D">
        <w:t>s</w:t>
      </w:r>
      <w:r w:rsidR="00C7566F">
        <w:t xml:space="preserve"> </w:t>
      </w:r>
      <w:r>
        <w:t xml:space="preserve">shall </w:t>
      </w:r>
      <w:r w:rsidR="00C7566F">
        <w:t xml:space="preserve">be </w:t>
      </w:r>
      <w:r w:rsidR="0044236D">
        <w:t xml:space="preserve">nominated </w:t>
      </w:r>
      <w:r w:rsidR="00C7566F">
        <w:t xml:space="preserve">by the </w:t>
      </w:r>
      <w:r w:rsidR="00C7566F" w:rsidRPr="00B03C4A">
        <w:t xml:space="preserve">Association of </w:t>
      </w:r>
      <w:r w:rsidR="00126D3F" w:rsidRPr="00B03C4A">
        <w:t xml:space="preserve">Competitive </w:t>
      </w:r>
      <w:r w:rsidR="00BF564D">
        <w:t>Electric Power Supplier</w:t>
      </w:r>
      <w:r w:rsidR="00C7566F" w:rsidRPr="00B03C4A">
        <w:t>s</w:t>
      </w:r>
      <w:r w:rsidR="00C7566F" w:rsidRPr="006C2D03">
        <w:t>.</w:t>
      </w:r>
    </w:p>
    <w:p w14:paraId="3BBC5092" w14:textId="5045B575" w:rsidR="00C7566F" w:rsidRPr="00C7566F" w:rsidRDefault="00257340" w:rsidP="00B03234">
      <w:pPr>
        <w:pStyle w:val="Heading5"/>
      </w:pPr>
      <w:r>
        <w:t>T</w:t>
      </w:r>
      <w:r w:rsidR="00C7566F">
        <w:t>he r</w:t>
      </w:r>
      <w:r w:rsidR="00C7566F" w:rsidRPr="00C7566F">
        <w:t>epresentative of the Bulk Power Consumers</w:t>
      </w:r>
      <w:r w:rsidR="00C7566F">
        <w:t xml:space="preserve"> </w:t>
      </w:r>
      <w:r>
        <w:t xml:space="preserve">shall </w:t>
      </w:r>
      <w:r w:rsidR="00C7566F">
        <w:t xml:space="preserve">be appointed by the Association of </w:t>
      </w:r>
      <w:r w:rsidR="002B726D">
        <w:t xml:space="preserve">Bulk Power </w:t>
      </w:r>
      <w:r w:rsidR="00C7566F">
        <w:t>Consumers</w:t>
      </w:r>
      <w:r>
        <w:t>.</w:t>
      </w:r>
    </w:p>
    <w:p w14:paraId="613072A9" w14:textId="6B290241" w:rsidR="002B726D" w:rsidRPr="00672497" w:rsidRDefault="00257340" w:rsidP="00B03234">
      <w:pPr>
        <w:pStyle w:val="Heading5"/>
      </w:pPr>
      <w:r>
        <w:t>T</w:t>
      </w:r>
      <w:r w:rsidR="00C7566F" w:rsidRPr="00672497">
        <w:t xml:space="preserve">he representative of the Traders </w:t>
      </w:r>
      <w:r>
        <w:t>shall</w:t>
      </w:r>
      <w:r w:rsidRPr="00672497">
        <w:t xml:space="preserve"> </w:t>
      </w:r>
      <w:r w:rsidR="00C7566F" w:rsidRPr="00672497">
        <w:t>be appointed by the Association of Traders</w:t>
      </w:r>
      <w:r>
        <w:t>.</w:t>
      </w:r>
      <w:r w:rsidR="002B726D" w:rsidRPr="00672497">
        <w:t xml:space="preserve"> </w:t>
      </w:r>
    </w:p>
    <w:p w14:paraId="2902D732" w14:textId="7D92A3A7" w:rsidR="002B726D" w:rsidRPr="00352D4E" w:rsidRDefault="00257340" w:rsidP="00B03234">
      <w:pPr>
        <w:pStyle w:val="Heading5"/>
      </w:pPr>
      <w:r>
        <w:t>T</w:t>
      </w:r>
      <w:r w:rsidR="002B726D" w:rsidRPr="00126D3F">
        <w:t>he representative</w:t>
      </w:r>
      <w:r w:rsidR="0044236D">
        <w:t>s</w:t>
      </w:r>
      <w:r w:rsidR="002B726D" w:rsidRPr="00126D3F">
        <w:t xml:space="preserve"> of the S</w:t>
      </w:r>
      <w:r w:rsidR="0044236D">
        <w:t xml:space="preserve">ystem </w:t>
      </w:r>
      <w:r w:rsidR="002B726D" w:rsidRPr="00126D3F">
        <w:t>O</w:t>
      </w:r>
      <w:r w:rsidR="0044236D">
        <w:t>perator</w:t>
      </w:r>
      <w:r w:rsidR="002B726D" w:rsidRPr="00126D3F">
        <w:t xml:space="preserve"> </w:t>
      </w:r>
      <w:r>
        <w:t>shall</w:t>
      </w:r>
      <w:r w:rsidRPr="00126D3F">
        <w:t xml:space="preserve"> </w:t>
      </w:r>
      <w:r w:rsidR="002B726D" w:rsidRPr="00126D3F">
        <w:t xml:space="preserve">be </w:t>
      </w:r>
      <w:r w:rsidR="002B726D" w:rsidRPr="00352D4E">
        <w:t xml:space="preserve">appointed by NTDC or </w:t>
      </w:r>
      <w:r w:rsidR="002B726D" w:rsidRPr="00B03C4A">
        <w:t xml:space="preserve">by the </w:t>
      </w:r>
      <w:r w:rsidR="0044236D" w:rsidRPr="00B03C4A">
        <w:t xml:space="preserve">relevant </w:t>
      </w:r>
      <w:r w:rsidR="002B726D" w:rsidRPr="00B03C4A">
        <w:t>company, in case the System Operator is carved out from NTDC</w:t>
      </w:r>
      <w:r>
        <w:t>.</w:t>
      </w:r>
      <w:r w:rsidR="002B726D" w:rsidRPr="00352D4E">
        <w:t xml:space="preserve"> </w:t>
      </w:r>
    </w:p>
    <w:p w14:paraId="3D786C6D" w14:textId="0F52C2DF" w:rsidR="00C7566F" w:rsidRPr="00126D3F" w:rsidRDefault="00257340" w:rsidP="00B03234">
      <w:pPr>
        <w:pStyle w:val="Heading5"/>
      </w:pPr>
      <w:r>
        <w:t>T</w:t>
      </w:r>
      <w:r w:rsidR="002B726D" w:rsidRPr="00126D3F">
        <w:t>he representative</w:t>
      </w:r>
      <w:r>
        <w:t>s</w:t>
      </w:r>
      <w:r w:rsidR="002B726D" w:rsidRPr="00126D3F">
        <w:t xml:space="preserve"> of the Market Operator </w:t>
      </w:r>
      <w:r>
        <w:t>shall</w:t>
      </w:r>
      <w:r w:rsidRPr="00126D3F">
        <w:t xml:space="preserve"> </w:t>
      </w:r>
      <w:r w:rsidR="002B726D" w:rsidRPr="00126D3F">
        <w:t xml:space="preserve">be appointed by the Market </w:t>
      </w:r>
      <w:r w:rsidR="002B726D" w:rsidRPr="00126D3F">
        <w:lastRenderedPageBreak/>
        <w:t>Operator.</w:t>
      </w:r>
    </w:p>
    <w:p w14:paraId="7E68AAC8" w14:textId="32AD7FBC" w:rsidR="00D22BA9" w:rsidRDefault="00D22BA9" w:rsidP="005B295A">
      <w:pPr>
        <w:pStyle w:val="Heading4"/>
      </w:pPr>
      <w:r>
        <w:t xml:space="preserve">Until the Association of Independent Power Producers, </w:t>
      </w:r>
      <w:r w:rsidR="000972BB">
        <w:t xml:space="preserve">the Association of Distribution Companies, </w:t>
      </w:r>
      <w:r>
        <w:t xml:space="preserve">the Association of </w:t>
      </w:r>
      <w:r w:rsidR="00126D3F">
        <w:t xml:space="preserve">Competitive </w:t>
      </w:r>
      <w:r w:rsidR="00BF564D">
        <w:t>Electric Power Supplier</w:t>
      </w:r>
      <w:r>
        <w:t xml:space="preserve">s, the Association of </w:t>
      </w:r>
      <w:r w:rsidR="000972BB">
        <w:t xml:space="preserve">Bulk Power </w:t>
      </w:r>
      <w:r>
        <w:t xml:space="preserve">Consumers and the Association of Traders </w:t>
      </w:r>
      <w:r w:rsidR="0044236D">
        <w:t xml:space="preserve">are </w:t>
      </w:r>
      <w:r>
        <w:t xml:space="preserve">constituted and become operative, </w:t>
      </w:r>
      <w:r w:rsidR="000972BB">
        <w:t xml:space="preserve">the </w:t>
      </w:r>
      <w:r>
        <w:t xml:space="preserve">Market Operator shall, in consultation with </w:t>
      </w:r>
      <w:r w:rsidR="0044236D">
        <w:t xml:space="preserve">the </w:t>
      </w:r>
      <w:r>
        <w:t xml:space="preserve">registered Market Participants </w:t>
      </w:r>
      <w:r w:rsidR="00A00241">
        <w:t>(</w:t>
      </w:r>
      <w:r>
        <w:t xml:space="preserve">who will </w:t>
      </w:r>
      <w:r w:rsidR="00A00241">
        <w:t xml:space="preserve">submit [three names] </w:t>
      </w:r>
      <w:r>
        <w:t xml:space="preserve">of </w:t>
      </w:r>
      <w:r w:rsidR="00A00241">
        <w:t xml:space="preserve">the </w:t>
      </w:r>
      <w:r>
        <w:t xml:space="preserve">proposed representatives for </w:t>
      </w:r>
      <w:r w:rsidR="00A00241">
        <w:t xml:space="preserve">the respective </w:t>
      </w:r>
      <w:r>
        <w:t xml:space="preserve">Market Participant </w:t>
      </w:r>
      <w:r w:rsidR="00A00241">
        <w:t>category)</w:t>
      </w:r>
      <w:r>
        <w:t xml:space="preserve"> </w:t>
      </w:r>
      <w:r w:rsidR="0044236D">
        <w:t xml:space="preserve">nominate </w:t>
      </w:r>
      <w:r>
        <w:t xml:space="preserve">the representatives of the </w:t>
      </w:r>
      <w:r w:rsidR="00ED0FB0">
        <w:t>i</w:t>
      </w:r>
      <w:r>
        <w:t xml:space="preserve">nitial </w:t>
      </w:r>
      <w:r w:rsidR="000654AA">
        <w:t>CCRP</w:t>
      </w:r>
      <w:r w:rsidR="00126D3F">
        <w:t>.</w:t>
      </w:r>
    </w:p>
    <w:p w14:paraId="759F9485" w14:textId="2B4CAADB" w:rsidR="003A4D77" w:rsidRDefault="00A00241" w:rsidP="005B295A">
      <w:pPr>
        <w:pStyle w:val="Heading4"/>
      </w:pPr>
      <w:r>
        <w:t xml:space="preserve">One of the representatives of the Market Operator shall be nominated by the Market Operator as the </w:t>
      </w:r>
      <w:r w:rsidR="003A4D77">
        <w:t xml:space="preserve">chairperson of the </w:t>
      </w:r>
      <w:r w:rsidR="000654AA">
        <w:t>CCRP</w:t>
      </w:r>
      <w:r w:rsidR="003A4D77">
        <w:t>.</w:t>
      </w:r>
    </w:p>
    <w:p w14:paraId="6F1D1418" w14:textId="02B9FF21" w:rsidR="003A4D77" w:rsidRDefault="008C08CF" w:rsidP="005B295A">
      <w:pPr>
        <w:pStyle w:val="Heading4"/>
      </w:pPr>
      <w:r>
        <w:t>T</w:t>
      </w:r>
      <w:r w:rsidR="003A4D77">
        <w:t xml:space="preserve">he term of each member of the </w:t>
      </w:r>
      <w:r w:rsidR="000654AA">
        <w:t>CCRP</w:t>
      </w:r>
      <w:r w:rsidR="003A4D77">
        <w:t xml:space="preserve"> shall be three years. </w:t>
      </w:r>
      <w:r>
        <w:t>A</w:t>
      </w:r>
      <w:r w:rsidR="003A4D77">
        <w:t xml:space="preserve"> member of the </w:t>
      </w:r>
      <w:r w:rsidR="000654AA">
        <w:t>CCRP</w:t>
      </w:r>
      <w:r w:rsidR="003A4D77">
        <w:t xml:space="preserve">, whose term has expired, shall be eligible for </w:t>
      </w:r>
      <w:r w:rsidR="00A00241">
        <w:t xml:space="preserve">renomination </w:t>
      </w:r>
      <w:r w:rsidR="003A4D77">
        <w:t xml:space="preserve">for a further term </w:t>
      </w:r>
      <w:r w:rsidR="00A00241">
        <w:t xml:space="preserve">of </w:t>
      </w:r>
      <w:r w:rsidR="003A4D77">
        <w:t>three years.</w:t>
      </w:r>
    </w:p>
    <w:p w14:paraId="0A4BBA07" w14:textId="77C2C875" w:rsidR="00432E2B" w:rsidRDefault="00F64A42" w:rsidP="00C173D0">
      <w:pPr>
        <w:pStyle w:val="Heading3"/>
      </w:pPr>
      <w:r>
        <w:t>Commercial Code</w:t>
      </w:r>
      <w:r w:rsidR="00432E2B">
        <w:t xml:space="preserve"> Report</w:t>
      </w:r>
    </w:p>
    <w:p w14:paraId="352C92C1" w14:textId="0C9E1F3A" w:rsidR="003A4D77" w:rsidRDefault="003A4D77" w:rsidP="005B295A">
      <w:pPr>
        <w:pStyle w:val="Heading4"/>
      </w:pPr>
      <w:r>
        <w:t xml:space="preserve">Every </w:t>
      </w:r>
      <w:r w:rsidR="007A3370">
        <w:t>year,</w:t>
      </w:r>
      <w:r>
        <w:t xml:space="preserve"> the Market Operator shall prepare a </w:t>
      </w:r>
      <w:r w:rsidR="00F64A42">
        <w:t>Commercial Code</w:t>
      </w:r>
      <w:r w:rsidR="008C08CF">
        <w:t xml:space="preserve"> </w:t>
      </w:r>
      <w:r>
        <w:t>Report</w:t>
      </w:r>
      <w:r w:rsidR="00FD7E54">
        <w:t xml:space="preserve"> (CC Report)</w:t>
      </w:r>
      <w:r w:rsidR="008C08CF">
        <w:t>,</w:t>
      </w:r>
      <w:r>
        <w:t xml:space="preserve"> describing the problems experienced by the Market Operator and</w:t>
      </w:r>
      <w:r w:rsidR="008C08CF">
        <w:t>/or</w:t>
      </w:r>
      <w:r>
        <w:t xml:space="preserve"> the System Operator </w:t>
      </w:r>
      <w:r w:rsidR="00257340">
        <w:t xml:space="preserve">during </w:t>
      </w:r>
      <w:r>
        <w:t xml:space="preserve">the implementation of the </w:t>
      </w:r>
      <w:r w:rsidR="00F64A42">
        <w:t>Commercial Code</w:t>
      </w:r>
      <w:r w:rsidR="008C08CF">
        <w:t xml:space="preserve">, if </w:t>
      </w:r>
      <w:r w:rsidR="00257340">
        <w:t>applicable</w:t>
      </w:r>
      <w:r w:rsidR="008C08CF">
        <w:t xml:space="preserve">, </w:t>
      </w:r>
      <w:r>
        <w:t xml:space="preserve">the Grid Code, and </w:t>
      </w:r>
      <w:r w:rsidR="008C08CF">
        <w:t xml:space="preserve">the </w:t>
      </w:r>
      <w:r w:rsidR="007A3370">
        <w:t>relevant CCOPs</w:t>
      </w:r>
      <w:r w:rsidR="00257340">
        <w:t xml:space="preserve">. The Market Operator shall </w:t>
      </w:r>
      <w:r w:rsidR="007A3370">
        <w:t xml:space="preserve">submit </w:t>
      </w:r>
      <w:r w:rsidR="00257340">
        <w:t xml:space="preserve">such report </w:t>
      </w:r>
      <w:r w:rsidR="007A3370">
        <w:t xml:space="preserve"> </w:t>
      </w:r>
      <w:r>
        <w:t xml:space="preserve">to the </w:t>
      </w:r>
      <w:r w:rsidR="00672497">
        <w:t>Authority</w:t>
      </w:r>
      <w:r w:rsidR="00257340">
        <w:t xml:space="preserve"> as well as publish it </w:t>
      </w:r>
      <w:r w:rsidR="007A3370">
        <w:t>on MO Website.</w:t>
      </w:r>
      <w:r>
        <w:t xml:space="preserve"> </w:t>
      </w:r>
    </w:p>
    <w:p w14:paraId="0A06D01B" w14:textId="2920B782" w:rsidR="003A4D77" w:rsidRDefault="003A4D77" w:rsidP="005B295A">
      <w:pPr>
        <w:pStyle w:val="Heading4"/>
      </w:pPr>
      <w:r>
        <w:t xml:space="preserve">The </w:t>
      </w:r>
      <w:r w:rsidR="00FD7E54">
        <w:t>CC</w:t>
      </w:r>
      <w:r>
        <w:t xml:space="preserve"> Report shall include: </w:t>
      </w:r>
    </w:p>
    <w:p w14:paraId="281F82BC" w14:textId="3A349082" w:rsidR="00372499" w:rsidRDefault="00257340" w:rsidP="00B03234">
      <w:pPr>
        <w:pStyle w:val="Heading5"/>
      </w:pPr>
      <w:r>
        <w:t>statistics of transactions in the market</w:t>
      </w:r>
      <w:r w:rsidR="00372499">
        <w:t xml:space="preserve">;  </w:t>
      </w:r>
    </w:p>
    <w:p w14:paraId="426A550E" w14:textId="3C2505D1" w:rsidR="003A4D77" w:rsidRDefault="00A10EFB" w:rsidP="00B03234">
      <w:pPr>
        <w:pStyle w:val="Heading5"/>
      </w:pPr>
      <w:r>
        <w:t>p</w:t>
      </w:r>
      <w:r w:rsidR="003A4D77">
        <w:t xml:space="preserve">roblems identified in the implementation of the </w:t>
      </w:r>
      <w:r w:rsidR="00F64A42">
        <w:t>Commercial Code</w:t>
      </w:r>
      <w:r w:rsidR="003A4D77">
        <w:t>, the Grid Code</w:t>
      </w:r>
      <w:r w:rsidR="008C08CF">
        <w:t xml:space="preserve"> and the </w:t>
      </w:r>
      <w:r w:rsidR="00257340">
        <w:t>CCOPs</w:t>
      </w:r>
      <w:r w:rsidR="003A4D77">
        <w:t>;</w:t>
      </w:r>
    </w:p>
    <w:p w14:paraId="044DCB3D" w14:textId="735D0082" w:rsidR="003A4D77" w:rsidRDefault="00A10EFB" w:rsidP="00B03234">
      <w:pPr>
        <w:pStyle w:val="Heading5"/>
      </w:pPr>
      <w:r>
        <w:t>c</w:t>
      </w:r>
      <w:r w:rsidR="003A4D77">
        <w:t>onflicts of interpretation</w:t>
      </w:r>
      <w:r w:rsidR="00257340">
        <w:t xml:space="preserve"> of this Code</w:t>
      </w:r>
      <w:r w:rsidR="003A4D77">
        <w:t xml:space="preserve"> with </w:t>
      </w:r>
      <w:r w:rsidR="008C08CF">
        <w:t xml:space="preserve">Market </w:t>
      </w:r>
      <w:r w:rsidR="003A4D77">
        <w:t xml:space="preserve">Participants or </w:t>
      </w:r>
      <w:r w:rsidR="008C08CF">
        <w:t>Service Providers</w:t>
      </w:r>
      <w:r w:rsidR="003A4D77">
        <w:t xml:space="preserve">; </w:t>
      </w:r>
    </w:p>
    <w:p w14:paraId="377A8BC6" w14:textId="4F13FD95" w:rsidR="003A4D77" w:rsidRDefault="00A10EFB" w:rsidP="00B03234">
      <w:pPr>
        <w:pStyle w:val="Heading5"/>
      </w:pPr>
      <w:r>
        <w:t>a</w:t>
      </w:r>
      <w:r w:rsidR="003A4D77">
        <w:t xml:space="preserve">ny transitional exception </w:t>
      </w:r>
      <w:r w:rsidR="00257340">
        <w:t xml:space="preserve">granted to a Market Participant </w:t>
      </w:r>
      <w:r w:rsidR="003A4D77">
        <w:t>in complying with the</w:t>
      </w:r>
      <w:r w:rsidR="00FD7E54">
        <w:t xml:space="preserve"> </w:t>
      </w:r>
      <w:r w:rsidR="00F64A42">
        <w:t>Commercial Code</w:t>
      </w:r>
      <w:r w:rsidR="00FD7E54">
        <w:t xml:space="preserve"> or </w:t>
      </w:r>
      <w:r w:rsidR="00257340">
        <w:t>the CCOPs</w:t>
      </w:r>
      <w:r w:rsidR="00FD7E54">
        <w:t>,</w:t>
      </w:r>
      <w:r w:rsidR="003A4D77">
        <w:t xml:space="preserve"> </w:t>
      </w:r>
      <w:r w:rsidR="00340C45">
        <w:t xml:space="preserve">and </w:t>
      </w:r>
      <w:r w:rsidR="003A4D77">
        <w:t>the reason</w:t>
      </w:r>
      <w:r w:rsidR="00340C45">
        <w:t>s thereof</w:t>
      </w:r>
      <w:r w:rsidR="003A4D77">
        <w:t>; and</w:t>
      </w:r>
    </w:p>
    <w:p w14:paraId="7350EFA3" w14:textId="4A1F4568" w:rsidR="003A4D77" w:rsidRDefault="00A10EFB" w:rsidP="00B03234">
      <w:pPr>
        <w:pStyle w:val="Heading5"/>
      </w:pPr>
      <w:r>
        <w:t>a</w:t>
      </w:r>
      <w:r w:rsidR="003A4D77">
        <w:t xml:space="preserve">ny other relevant matter to identify any problems in the performance, feasibility, efficiency and design of </w:t>
      </w:r>
      <w:r w:rsidR="00F05124">
        <w:t>this Code</w:t>
      </w:r>
      <w:r w:rsidR="00FD7E54">
        <w:t xml:space="preserve"> and, if </w:t>
      </w:r>
      <w:r w:rsidR="00340C45">
        <w:t>applicable</w:t>
      </w:r>
      <w:r w:rsidR="00FD7E54">
        <w:t xml:space="preserve">, </w:t>
      </w:r>
      <w:r w:rsidR="003A4D77">
        <w:t>the Grid Code.</w:t>
      </w:r>
    </w:p>
    <w:p w14:paraId="68582996" w14:textId="2CB6736F" w:rsidR="00304662" w:rsidRDefault="00F64A42" w:rsidP="00C173D0">
      <w:pPr>
        <w:pStyle w:val="Heading3"/>
      </w:pPr>
      <w:r>
        <w:t>Commercial Code</w:t>
      </w:r>
      <w:r w:rsidR="00304662">
        <w:t xml:space="preserve"> Working Group</w:t>
      </w:r>
    </w:p>
    <w:p w14:paraId="6ACAE245" w14:textId="387A6A21" w:rsidR="003A4D77" w:rsidRDefault="00E74C53" w:rsidP="005B295A">
      <w:pPr>
        <w:pStyle w:val="Heading4"/>
      </w:pPr>
      <w:r>
        <w:t xml:space="preserve">The </w:t>
      </w:r>
      <w:r w:rsidR="00DC4C37">
        <w:t xml:space="preserve">Market Operator </w:t>
      </w:r>
      <w:r w:rsidR="00841F6A">
        <w:t>shall set up a</w:t>
      </w:r>
      <w:r>
        <w:t xml:space="preserve"> </w:t>
      </w:r>
      <w:r w:rsidR="00F64A42">
        <w:t>Commercial Code</w:t>
      </w:r>
      <w:r>
        <w:t xml:space="preserve"> </w:t>
      </w:r>
      <w:r w:rsidR="003A4D77">
        <w:t xml:space="preserve">Working Group </w:t>
      </w:r>
      <w:r>
        <w:t xml:space="preserve">(CCWG), as a permanent advisory group to assist the CCRP in </w:t>
      </w:r>
      <w:r w:rsidR="00841F6A">
        <w:t>performing its functions</w:t>
      </w:r>
      <w:r>
        <w:t xml:space="preserve">. The </w:t>
      </w:r>
      <w:r w:rsidR="00841F6A">
        <w:t xml:space="preserve">Market Operator or the </w:t>
      </w:r>
      <w:r>
        <w:t>CCRP</w:t>
      </w:r>
      <w:r w:rsidR="00841F6A">
        <w:t>, as the case may be,</w:t>
      </w:r>
      <w:r>
        <w:t xml:space="preserve"> </w:t>
      </w:r>
      <w:r w:rsidR="00841F6A">
        <w:t>may assign tasks to the</w:t>
      </w:r>
      <w:r>
        <w:t xml:space="preserve"> CCWG </w:t>
      </w:r>
      <w:r w:rsidR="003A4D77">
        <w:t xml:space="preserve">to assess any problem or gap in the </w:t>
      </w:r>
      <w:r w:rsidR="00F64A42">
        <w:t>Commercial Code</w:t>
      </w:r>
      <w:r w:rsidR="00FD7E54">
        <w:t xml:space="preserve"> and, if </w:t>
      </w:r>
      <w:r w:rsidR="00841F6A">
        <w:t>required</w:t>
      </w:r>
      <w:r w:rsidR="00FD7E54">
        <w:t xml:space="preserve">, the </w:t>
      </w:r>
      <w:r w:rsidR="003A4D77">
        <w:t>Grid Code</w:t>
      </w:r>
      <w:r w:rsidR="00841F6A">
        <w:t xml:space="preserve"> including the operational procedures.</w:t>
      </w:r>
    </w:p>
    <w:p w14:paraId="633EC69F" w14:textId="5DD78E57" w:rsidR="00E74C53" w:rsidRDefault="00E74C53" w:rsidP="005B295A">
      <w:pPr>
        <w:pStyle w:val="Heading4"/>
      </w:pPr>
      <w:r>
        <w:t xml:space="preserve">The </w:t>
      </w:r>
      <w:r w:rsidR="00841F6A">
        <w:t>CCWG</w:t>
      </w:r>
      <w:r>
        <w:t xml:space="preserve"> </w:t>
      </w:r>
      <w:r w:rsidR="00111950">
        <w:t xml:space="preserve">shall include members from the </w:t>
      </w:r>
      <w:r>
        <w:t>System Operator and the Market Operator</w:t>
      </w:r>
      <w:r w:rsidR="00841F6A">
        <w:t xml:space="preserve"> or </w:t>
      </w:r>
      <w:r w:rsidR="00111950">
        <w:t xml:space="preserve">if required, </w:t>
      </w:r>
      <w:r w:rsidR="00841F6A">
        <w:t>any other technical experts</w:t>
      </w:r>
      <w:r w:rsidR="00111950">
        <w:t xml:space="preserve"> from the market or other organizations</w:t>
      </w:r>
      <w:r>
        <w:t>.</w:t>
      </w:r>
      <w:r w:rsidR="00111950">
        <w:t xml:space="preserve"> </w:t>
      </w:r>
      <w:r>
        <w:t xml:space="preserve"> </w:t>
      </w:r>
    </w:p>
    <w:p w14:paraId="04574F7B" w14:textId="369DDAA0" w:rsidR="003A4D77" w:rsidRDefault="003A4D77" w:rsidP="005B295A">
      <w:pPr>
        <w:pStyle w:val="Heading4"/>
      </w:pPr>
      <w:r>
        <w:t xml:space="preserve">The </w:t>
      </w:r>
      <w:r w:rsidR="00FD7E54">
        <w:t>CC</w:t>
      </w:r>
      <w:r>
        <w:t xml:space="preserve"> Working Group may propose to the </w:t>
      </w:r>
      <w:r w:rsidR="000654AA">
        <w:t>CCRP</w:t>
      </w:r>
      <w:r>
        <w:t>:</w:t>
      </w:r>
    </w:p>
    <w:p w14:paraId="2490D011" w14:textId="024D94D1" w:rsidR="003A4D77" w:rsidRDefault="00111950" w:rsidP="00B03234">
      <w:pPr>
        <w:pStyle w:val="Heading5"/>
      </w:pPr>
      <w:r>
        <w:t>t</w:t>
      </w:r>
      <w:r w:rsidR="003A4D77">
        <w:t>o accept or review a</w:t>
      </w:r>
      <w:r w:rsidR="00FD7E54">
        <w:t xml:space="preserve">n </w:t>
      </w:r>
      <w:r w:rsidR="003A4D77">
        <w:t xml:space="preserve">amendment proposal that has been presented to the </w:t>
      </w:r>
      <w:r>
        <w:t>CCRP</w:t>
      </w:r>
      <w:r w:rsidR="003A4D77">
        <w:t>;</w:t>
      </w:r>
    </w:p>
    <w:p w14:paraId="628AE05C" w14:textId="6ABB0F9C" w:rsidR="003A4D77" w:rsidRDefault="003A4D77" w:rsidP="00B03234">
      <w:pPr>
        <w:pStyle w:val="Heading5"/>
      </w:pPr>
      <w:r>
        <w:t xml:space="preserve">Amendments to correct, complete or improve the </w:t>
      </w:r>
      <w:r w:rsidR="00F64A42">
        <w:t>Commercial Code</w:t>
      </w:r>
      <w:r w:rsidR="00FD7E54">
        <w:t xml:space="preserve"> (and if </w:t>
      </w:r>
      <w:r w:rsidR="00111950">
        <w:t xml:space="preserve">required, </w:t>
      </w:r>
      <w:r w:rsidR="00FD7E54">
        <w:t xml:space="preserve">the </w:t>
      </w:r>
      <w:r>
        <w:t>Grid Code</w:t>
      </w:r>
      <w:r w:rsidR="00FD7E54">
        <w:t>)</w:t>
      </w:r>
      <w:r>
        <w:t>; and</w:t>
      </w:r>
    </w:p>
    <w:p w14:paraId="04CE0E81" w14:textId="354B061F" w:rsidR="003A4D77" w:rsidRDefault="00A10EFB" w:rsidP="00B03234">
      <w:pPr>
        <w:pStyle w:val="Heading5"/>
      </w:pPr>
      <w:r>
        <w:t>n</w:t>
      </w:r>
      <w:r w:rsidR="003A4D77">
        <w:t xml:space="preserve">ew or updated </w:t>
      </w:r>
      <w:r w:rsidR="00111950">
        <w:t>CCOPs</w:t>
      </w:r>
      <w:r w:rsidR="003A4D77">
        <w:t xml:space="preserve"> for implementation of the </w:t>
      </w:r>
      <w:r w:rsidR="00F64A42">
        <w:t>Commercial Code</w:t>
      </w:r>
      <w:r w:rsidR="00DA3B2B">
        <w:t>.</w:t>
      </w:r>
    </w:p>
    <w:p w14:paraId="700F1F9C" w14:textId="59FD00E4" w:rsidR="003A4D77" w:rsidRDefault="003A4D77" w:rsidP="005B295A">
      <w:pPr>
        <w:pStyle w:val="Heading4"/>
      </w:pPr>
      <w:r>
        <w:lastRenderedPageBreak/>
        <w:t xml:space="preserve">The </w:t>
      </w:r>
      <w:r w:rsidR="000654AA">
        <w:t>CCRP</w:t>
      </w:r>
      <w:r>
        <w:t xml:space="preserve"> may delegate to the </w:t>
      </w:r>
      <w:r w:rsidR="00DA3B2B">
        <w:t>CC</w:t>
      </w:r>
      <w:r>
        <w:t xml:space="preserve"> Working Group the </w:t>
      </w:r>
      <w:r w:rsidR="00111950">
        <w:t xml:space="preserve">power </w:t>
      </w:r>
      <w:r>
        <w:t xml:space="preserve">to </w:t>
      </w:r>
      <w:r w:rsidR="00111950">
        <w:t xml:space="preserve">propose </w:t>
      </w:r>
      <w:r>
        <w:t xml:space="preserve">an Urgent Amendment to </w:t>
      </w:r>
      <w:r w:rsidR="00F05124">
        <w:t>this Code</w:t>
      </w:r>
      <w:r w:rsidR="00111950">
        <w:t xml:space="preserve"> and submission of the same </w:t>
      </w:r>
      <w:r w:rsidR="0070741C">
        <w:t xml:space="preserve">by the Market Operator </w:t>
      </w:r>
      <w:r w:rsidR="00111950">
        <w:t>for approval of the Authority</w:t>
      </w:r>
      <w:r>
        <w:t>.</w:t>
      </w:r>
    </w:p>
    <w:p w14:paraId="206DB7C6" w14:textId="6A26BB5F" w:rsidR="00304662" w:rsidRDefault="0070741C" w:rsidP="00C173D0">
      <w:pPr>
        <w:pStyle w:val="Heading3"/>
      </w:pPr>
      <w:r>
        <w:t>Procedure</w:t>
      </w:r>
      <w:r w:rsidR="00304662">
        <w:t xml:space="preserve"> for Review or Amendment of </w:t>
      </w:r>
      <w:r w:rsidR="00F64A42">
        <w:t>Commercial Code</w:t>
      </w:r>
      <w:r w:rsidR="00304662">
        <w:t xml:space="preserve"> </w:t>
      </w:r>
    </w:p>
    <w:p w14:paraId="3F95A96D" w14:textId="096165DF" w:rsidR="00A67FA2" w:rsidRDefault="003A4D77" w:rsidP="005B295A">
      <w:pPr>
        <w:pStyle w:val="Heading4"/>
      </w:pPr>
      <w:r>
        <w:t>The</w:t>
      </w:r>
      <w:r w:rsidR="0070741C">
        <w:t xml:space="preserve"> </w:t>
      </w:r>
      <w:r>
        <w:t>System Operator</w:t>
      </w:r>
      <w:r w:rsidR="00DA3B2B">
        <w:t xml:space="preserve">, </w:t>
      </w:r>
      <w:r>
        <w:t xml:space="preserve">a </w:t>
      </w:r>
      <w:r w:rsidR="00DA3B2B">
        <w:t xml:space="preserve">Service Provider, a Market </w:t>
      </w:r>
      <w:r>
        <w:t xml:space="preserve">Participant, the </w:t>
      </w:r>
      <w:r w:rsidR="00DA3B2B">
        <w:t>MCC</w:t>
      </w:r>
      <w:r>
        <w:t xml:space="preserve"> Working Group or any other interested person may</w:t>
      </w:r>
      <w:r w:rsidR="0070741C">
        <w:t xml:space="preserve"> propose</w:t>
      </w:r>
      <w:r w:rsidR="00ED46EE">
        <w:t xml:space="preserve"> in writing</w:t>
      </w:r>
      <w:r w:rsidR="0070741C">
        <w:t xml:space="preserve"> to review or amend a provision of this Code or the Grid Code </w:t>
      </w:r>
      <w:r>
        <w:t xml:space="preserve"> (the “Amendment Submission”) to the </w:t>
      </w:r>
      <w:r w:rsidR="00A67FA2">
        <w:t>Market Operator</w:t>
      </w:r>
      <w:r w:rsidR="00ED46EE">
        <w:t>, accompanied with a statement of reasons.</w:t>
      </w:r>
      <w:r>
        <w:t xml:space="preserve"> </w:t>
      </w:r>
    </w:p>
    <w:p w14:paraId="4C514ED7" w14:textId="4E6F0E16" w:rsidR="00A67FA2" w:rsidRDefault="00A67FA2" w:rsidP="005B295A">
      <w:pPr>
        <w:pStyle w:val="Heading4"/>
      </w:pPr>
      <w:r>
        <w:t>The Market Operator shall submit to the CCRP the Amendment Submission, with the identification of the person who submitted it.</w:t>
      </w:r>
      <w:r w:rsidRPr="00A67FA2">
        <w:t xml:space="preserve"> The CCRP may </w:t>
      </w:r>
      <w:r w:rsidR="00ED46EE">
        <w:t>direct</w:t>
      </w:r>
      <w:r w:rsidR="00ED46EE" w:rsidRPr="00A67FA2">
        <w:t xml:space="preserve"> </w:t>
      </w:r>
      <w:r w:rsidRPr="00A67FA2">
        <w:t xml:space="preserve">the person </w:t>
      </w:r>
      <w:r w:rsidR="00ED46EE">
        <w:t xml:space="preserve">who submitted </w:t>
      </w:r>
      <w:r w:rsidRPr="00A67FA2">
        <w:t xml:space="preserve">the Amendment Submission </w:t>
      </w:r>
      <w:r w:rsidR="00ED46EE">
        <w:t xml:space="preserve">to </w:t>
      </w:r>
      <w:r w:rsidRPr="00A67FA2">
        <w:t xml:space="preserve">provide further </w:t>
      </w:r>
      <w:r w:rsidR="00ED46EE">
        <w:t>information as may be required.</w:t>
      </w:r>
    </w:p>
    <w:p w14:paraId="147B4225" w14:textId="3B0D87A7" w:rsidR="003A4D77" w:rsidRDefault="00ED46EE" w:rsidP="005B295A">
      <w:pPr>
        <w:pStyle w:val="Heading4"/>
      </w:pPr>
      <w:r>
        <w:t xml:space="preserve">If the Amendment Submission is not proposed by the MCCWG, the </w:t>
      </w:r>
      <w:r w:rsidR="000654AA">
        <w:t>CCRP</w:t>
      </w:r>
      <w:r w:rsidR="003A4D77">
        <w:t xml:space="preserve"> </w:t>
      </w:r>
      <w:r>
        <w:t xml:space="preserve">shall refer the Amendment Submission to the </w:t>
      </w:r>
      <w:r w:rsidR="00DA3B2B">
        <w:t>MCC</w:t>
      </w:r>
      <w:r w:rsidR="003A4D77">
        <w:t xml:space="preserve"> Working Group </w:t>
      </w:r>
      <w:r>
        <w:t>for review and submission of its opinion thereon.</w:t>
      </w:r>
      <w:r w:rsidR="003A4D77">
        <w:t xml:space="preserve"> </w:t>
      </w:r>
    </w:p>
    <w:p w14:paraId="57A543DB" w14:textId="1CD4D589" w:rsidR="003A4D77" w:rsidRDefault="00ED46EE" w:rsidP="005B295A">
      <w:pPr>
        <w:pStyle w:val="Heading4"/>
      </w:pPr>
      <w:r>
        <w:t xml:space="preserve">While considering an </w:t>
      </w:r>
      <w:r w:rsidR="0002591E">
        <w:t>a</w:t>
      </w:r>
      <w:r>
        <w:t xml:space="preserve">mendment to this Code or the Grid Code, the </w:t>
      </w:r>
      <w:r w:rsidR="000654AA">
        <w:t>CCRP</w:t>
      </w:r>
      <w:r w:rsidR="003A4D77">
        <w:t xml:space="preserve"> </w:t>
      </w:r>
      <w:r>
        <w:t xml:space="preserve">shall </w:t>
      </w:r>
      <w:r w:rsidR="003A4D77">
        <w:t xml:space="preserve">take into consideration the recommendations of the </w:t>
      </w:r>
      <w:r w:rsidR="00DA3B2B">
        <w:t>MCC</w:t>
      </w:r>
      <w:r w:rsidR="003A4D77">
        <w:t xml:space="preserve"> Working Group.</w:t>
      </w:r>
    </w:p>
    <w:p w14:paraId="1411206D" w14:textId="6EB4DF11" w:rsidR="003A4D77" w:rsidRDefault="00677B8A" w:rsidP="005B295A">
      <w:pPr>
        <w:pStyle w:val="Heading4"/>
      </w:pPr>
      <w:bookmarkStart w:id="39" w:name="_Ref61184187"/>
      <w:r>
        <w:t xml:space="preserve">Within </w:t>
      </w:r>
      <w:r w:rsidR="0002591E">
        <w:t>thirty [30]</w:t>
      </w:r>
      <w:r>
        <w:t xml:space="preserve"> Business Days of </w:t>
      </w:r>
      <w:r w:rsidR="0002591E">
        <w:t xml:space="preserve">receipt of </w:t>
      </w:r>
      <w:r>
        <w:t xml:space="preserve">the Amendment Submission, the </w:t>
      </w:r>
      <w:r w:rsidR="000654AA">
        <w:t>CCRP</w:t>
      </w:r>
      <w:r w:rsidR="003A4D77">
        <w:t xml:space="preserve"> shall </w:t>
      </w:r>
      <w:r w:rsidR="0002591E">
        <w:t>respond in writing</w:t>
      </w:r>
      <w:r w:rsidR="003A4D77">
        <w:t xml:space="preserve"> whether </w:t>
      </w:r>
      <w:r w:rsidR="0002591E">
        <w:t xml:space="preserve">the Amendment Submission </w:t>
      </w:r>
      <w:r w:rsidR="003A4D77">
        <w:t xml:space="preserve">, in the opinion of the </w:t>
      </w:r>
      <w:r w:rsidR="000654AA">
        <w:t>CCRP</w:t>
      </w:r>
      <w:r w:rsidR="003A4D77">
        <w:t>:</w:t>
      </w:r>
      <w:bookmarkEnd w:id="39"/>
      <w:r w:rsidR="003A4D77">
        <w:t xml:space="preserve"> </w:t>
      </w:r>
    </w:p>
    <w:p w14:paraId="7015ADDE" w14:textId="13719686" w:rsidR="003A4D77" w:rsidRPr="00432E2B" w:rsidRDefault="0002591E" w:rsidP="00B03234">
      <w:pPr>
        <w:pStyle w:val="Heading5"/>
      </w:pPr>
      <w:r>
        <w:t>warrants further consideration</w:t>
      </w:r>
      <w:r w:rsidR="003A4D77" w:rsidRPr="00432E2B">
        <w:t>; or</w:t>
      </w:r>
    </w:p>
    <w:p w14:paraId="6A70CCF1" w14:textId="66D56DBC" w:rsidR="003A4D77" w:rsidRDefault="0002591E" w:rsidP="00B03C4A">
      <w:pPr>
        <w:pStyle w:val="Heading5"/>
      </w:pPr>
      <w:r>
        <w:t>requires no consideration</w:t>
      </w:r>
      <w:r w:rsidR="00456D46">
        <w:t xml:space="preserve"> in accordance with Clause </w:t>
      </w:r>
      <w:r w:rsidR="00E82DCA">
        <w:fldChar w:fldCharType="begin"/>
      </w:r>
      <w:r w:rsidR="00E82DCA">
        <w:instrText xml:space="preserve"> REF _Ref76832466 \r \h </w:instrText>
      </w:r>
      <w:r w:rsidR="00E82DCA">
        <w:fldChar w:fldCharType="separate"/>
      </w:r>
      <w:r w:rsidR="00E82DCA">
        <w:t>1.3.4.16</w:t>
      </w:r>
      <w:r w:rsidR="00E82DCA">
        <w:fldChar w:fldCharType="end"/>
      </w:r>
      <w:r w:rsidR="003A4D77" w:rsidRPr="00432E2B">
        <w:t>.</w:t>
      </w:r>
    </w:p>
    <w:p w14:paraId="04732DB2" w14:textId="3C9560E6" w:rsidR="003A4D77" w:rsidRDefault="003A4D77" w:rsidP="005B295A">
      <w:pPr>
        <w:pStyle w:val="Heading4"/>
      </w:pPr>
      <w:bookmarkStart w:id="40" w:name="_Ref61184198"/>
      <w:r>
        <w:t xml:space="preserve">Where the </w:t>
      </w:r>
      <w:r w:rsidR="000654AA">
        <w:t>CCRP</w:t>
      </w:r>
      <w:r>
        <w:t xml:space="preserve"> decides to proc</w:t>
      </w:r>
      <w:r w:rsidR="00357352">
        <w:t>ess the Amendment Submission further</w:t>
      </w:r>
      <w:r>
        <w:t>,</w:t>
      </w:r>
      <w:r w:rsidR="00432E2B">
        <w:t xml:space="preserve"> it</w:t>
      </w:r>
      <w:r>
        <w:t xml:space="preserve"> shall </w:t>
      </w:r>
      <w:r w:rsidR="00357352">
        <w:t>p</w:t>
      </w:r>
      <w:r>
        <w:t xml:space="preserve">ublish and give notice to all </w:t>
      </w:r>
      <w:r w:rsidR="00432E2B">
        <w:t xml:space="preserve">Market </w:t>
      </w:r>
      <w:r>
        <w:t xml:space="preserve">Participants of the </w:t>
      </w:r>
      <w:r w:rsidR="00357352">
        <w:t xml:space="preserve">contents </w:t>
      </w:r>
      <w:r>
        <w:t>of the Amendment Submission</w:t>
      </w:r>
      <w:r w:rsidR="00357352">
        <w:t>.</w:t>
      </w:r>
      <w:r>
        <w:t xml:space="preserve"> The notice shall invite </w:t>
      </w:r>
      <w:r w:rsidR="00432E2B">
        <w:t xml:space="preserve">Market </w:t>
      </w:r>
      <w:r>
        <w:t>Participants and other interested persons, to make, within such reasonable period as shall be specified in the notice,</w:t>
      </w:r>
      <w:r w:rsidR="00677B8A">
        <w:t xml:space="preserve"> which shall not be shorter than ten </w:t>
      </w:r>
      <w:r w:rsidR="00357352">
        <w:t>[</w:t>
      </w:r>
      <w:r w:rsidR="00677B8A">
        <w:t>10</w:t>
      </w:r>
      <w:r w:rsidR="00357352">
        <w:t>]</w:t>
      </w:r>
      <w:r w:rsidR="00677B8A">
        <w:t xml:space="preserve"> Business Days, </w:t>
      </w:r>
      <w:r>
        <w:t>written submissions concerning the Amendment Submission.</w:t>
      </w:r>
      <w:bookmarkEnd w:id="40"/>
      <w:r>
        <w:t xml:space="preserve"> </w:t>
      </w:r>
    </w:p>
    <w:p w14:paraId="7F5C0ED1" w14:textId="7BBF92BF" w:rsidR="00304662" w:rsidRDefault="003A4D77" w:rsidP="005B295A">
      <w:pPr>
        <w:pStyle w:val="Heading4"/>
      </w:pPr>
      <w:r>
        <w:t xml:space="preserve">The </w:t>
      </w:r>
      <w:r w:rsidR="000654AA">
        <w:t>CCRP</w:t>
      </w:r>
      <w:r>
        <w:t xml:space="preserve"> may</w:t>
      </w:r>
      <w:r w:rsidR="00304662">
        <w:t>,</w:t>
      </w:r>
      <w:r>
        <w:t xml:space="preserve"> at any time </w:t>
      </w:r>
      <w:r w:rsidR="00357352">
        <w:t xml:space="preserve">direct </w:t>
      </w:r>
      <w:r>
        <w:t xml:space="preserve">the person who made the Amendment Submission, the </w:t>
      </w:r>
      <w:r w:rsidR="00304662">
        <w:t xml:space="preserve">Market </w:t>
      </w:r>
      <w:r>
        <w:t>Participants or other interested persons</w:t>
      </w:r>
      <w:r w:rsidR="00304662">
        <w:t>:</w:t>
      </w:r>
    </w:p>
    <w:p w14:paraId="67A6CA03" w14:textId="7F6DA3D1" w:rsidR="00304662" w:rsidRDefault="003A4D77" w:rsidP="00B03234">
      <w:pPr>
        <w:pStyle w:val="Heading5"/>
      </w:pPr>
      <w:r>
        <w:t xml:space="preserve">to make such additional written submissions within such reasonable time as the </w:t>
      </w:r>
      <w:r w:rsidR="000654AA">
        <w:t>CCRP</w:t>
      </w:r>
      <w:r>
        <w:t xml:space="preserve"> determines appropriate</w:t>
      </w:r>
      <w:r w:rsidR="00304662">
        <w:t>; or</w:t>
      </w:r>
    </w:p>
    <w:p w14:paraId="04A0B3BA" w14:textId="32725806" w:rsidR="003A4D77" w:rsidRDefault="003A4D77" w:rsidP="00B03234">
      <w:pPr>
        <w:pStyle w:val="Heading5"/>
      </w:pPr>
      <w:r>
        <w:t xml:space="preserve">schedule and hold meetings with the person who made the Amendment Submission, </w:t>
      </w:r>
      <w:r w:rsidR="00136176">
        <w:t>Market Participant</w:t>
      </w:r>
      <w:r>
        <w:t xml:space="preserve">s and other interested persons who filed a written submission. </w:t>
      </w:r>
    </w:p>
    <w:p w14:paraId="241BA9DC" w14:textId="59FC9D8C" w:rsidR="003A4D77" w:rsidRDefault="003A4D77" w:rsidP="005B295A">
      <w:pPr>
        <w:pStyle w:val="Heading4"/>
      </w:pPr>
      <w:r>
        <w:t xml:space="preserve">The </w:t>
      </w:r>
      <w:r w:rsidR="000654AA">
        <w:t>CCRP</w:t>
      </w:r>
      <w:r>
        <w:t xml:space="preserve"> shall provide notice of meetings to</w:t>
      </w:r>
      <w:r w:rsidR="00357352">
        <w:t xml:space="preserve"> any relevant</w:t>
      </w:r>
      <w:r>
        <w:t xml:space="preserve"> </w:t>
      </w:r>
      <w:r w:rsidR="00136176">
        <w:t>Market Participant</w:t>
      </w:r>
      <w:r w:rsidR="00357352">
        <w:t xml:space="preserve"> or other interested persons</w:t>
      </w:r>
      <w:r>
        <w:t xml:space="preserve">, at the discretion of the </w:t>
      </w:r>
      <w:r w:rsidR="000654AA">
        <w:t>CCRP</w:t>
      </w:r>
      <w:r>
        <w:t xml:space="preserve">, </w:t>
      </w:r>
      <w:r w:rsidR="00357352">
        <w:t xml:space="preserve">to </w:t>
      </w:r>
      <w:r>
        <w:t xml:space="preserve">participate in </w:t>
      </w:r>
      <w:r w:rsidR="00357352">
        <w:t>the</w:t>
      </w:r>
      <w:r>
        <w:t xml:space="preserve"> meeting</w:t>
      </w:r>
      <w:r w:rsidR="00BD0BA2">
        <w:t>s</w:t>
      </w:r>
      <w:r>
        <w:t>.</w:t>
      </w:r>
    </w:p>
    <w:p w14:paraId="7C7B875F" w14:textId="3ADC220A" w:rsidR="003A4D77" w:rsidRDefault="003A4D77" w:rsidP="005B295A">
      <w:pPr>
        <w:pStyle w:val="Heading4"/>
      </w:pPr>
      <w:r>
        <w:t xml:space="preserve">The </w:t>
      </w:r>
      <w:r w:rsidR="000654AA">
        <w:t>CCRP</w:t>
      </w:r>
      <w:r>
        <w:t xml:space="preserve"> shall, as soon as reasonably practicable</w:t>
      </w:r>
      <w:r w:rsidR="003F4455">
        <w:t>,</w:t>
      </w:r>
      <w:r>
        <w:t xml:space="preserve"> </w:t>
      </w:r>
      <w:r w:rsidR="003F4455">
        <w:t xml:space="preserve">consequent to </w:t>
      </w:r>
      <w:r>
        <w:t>any meetings and consultation</w:t>
      </w:r>
      <w:r w:rsidR="003F4455">
        <w:t xml:space="preserve"> sessions</w:t>
      </w:r>
      <w:r>
        <w:t xml:space="preserve"> which may have been held, convene</w:t>
      </w:r>
      <w:r w:rsidR="003F4455">
        <w:t xml:space="preserve"> </w:t>
      </w:r>
      <w:r>
        <w:t xml:space="preserve"> one or more </w:t>
      </w:r>
      <w:r w:rsidR="003F4455">
        <w:t>meetings</w:t>
      </w:r>
      <w:r w:rsidR="005129C1">
        <w:t xml:space="preserve"> of its members,</w:t>
      </w:r>
      <w:r w:rsidR="003F4455">
        <w:t xml:space="preserve"> </w:t>
      </w:r>
      <w:r>
        <w:t>as may be necessary</w:t>
      </w:r>
      <w:r w:rsidR="005129C1">
        <w:t>,</w:t>
      </w:r>
      <w:r>
        <w:t xml:space="preserve"> to consider and vote on the Amendment Submission. The </w:t>
      </w:r>
      <w:r w:rsidR="000654AA">
        <w:t>CCRP</w:t>
      </w:r>
      <w:r>
        <w:t xml:space="preserve"> shall consider all submissions, received by it within the </w:t>
      </w:r>
      <w:r w:rsidR="005129C1">
        <w:t xml:space="preserve">specified </w:t>
      </w:r>
      <w:r>
        <w:t>time .</w:t>
      </w:r>
    </w:p>
    <w:p w14:paraId="2A053402" w14:textId="4EFBED53" w:rsidR="003A4D77" w:rsidRDefault="003A4D77" w:rsidP="005B295A">
      <w:pPr>
        <w:pStyle w:val="Heading4"/>
      </w:pPr>
      <w:bookmarkStart w:id="41" w:name="_Ref61184066"/>
      <w:r>
        <w:t>Following the conclusion of the deliberations and meetings</w:t>
      </w:r>
      <w:r w:rsidR="005129C1">
        <w:t xml:space="preserve"> of CCRP</w:t>
      </w:r>
      <w:r w:rsidR="00304662">
        <w:t xml:space="preserve">, </w:t>
      </w:r>
      <w:r>
        <w:t xml:space="preserve"> if </w:t>
      </w:r>
      <w:r w:rsidR="005129C1">
        <w:t>an Amendment Submission is approved</w:t>
      </w:r>
      <w:r>
        <w:t>,</w:t>
      </w:r>
      <w:r w:rsidR="005129C1">
        <w:t xml:space="preserve"> as originally proposed or with any modifications,</w:t>
      </w:r>
      <w:r>
        <w:t xml:space="preserve"> the </w:t>
      </w:r>
      <w:r w:rsidR="000654AA">
        <w:t>CCRP</w:t>
      </w:r>
      <w:r>
        <w:t xml:space="preserve"> shall </w:t>
      </w:r>
      <w:r w:rsidR="004C245A">
        <w:t>prepare</w:t>
      </w:r>
      <w:r w:rsidR="003D5C2F">
        <w:t xml:space="preserve"> a</w:t>
      </w:r>
      <w:r w:rsidR="004C245A">
        <w:t xml:space="preserve"> </w:t>
      </w:r>
      <w:r>
        <w:t xml:space="preserve">report </w:t>
      </w:r>
      <w:r w:rsidR="003D5C2F">
        <w:t>which includes</w:t>
      </w:r>
      <w:r>
        <w:t>:</w:t>
      </w:r>
      <w:bookmarkEnd w:id="41"/>
    </w:p>
    <w:p w14:paraId="24A90B2B" w14:textId="5447D821" w:rsidR="003A4D77" w:rsidRDefault="003A4D77" w:rsidP="00B03234">
      <w:pPr>
        <w:pStyle w:val="Heading5"/>
      </w:pPr>
      <w:r>
        <w:t xml:space="preserve">the recommendations of the </w:t>
      </w:r>
      <w:r w:rsidR="000654AA">
        <w:t>CCRP</w:t>
      </w:r>
      <w:r>
        <w:t xml:space="preserve"> and the reasons </w:t>
      </w:r>
      <w:r w:rsidR="005129C1">
        <w:t>thereof</w:t>
      </w:r>
      <w:r>
        <w:t>;</w:t>
      </w:r>
    </w:p>
    <w:p w14:paraId="041E2D51" w14:textId="1AFCBCF4" w:rsidR="003A4D77" w:rsidRDefault="003A4D77" w:rsidP="00B03234">
      <w:pPr>
        <w:pStyle w:val="Heading5"/>
      </w:pPr>
      <w:r>
        <w:lastRenderedPageBreak/>
        <w:t xml:space="preserve">where the recommendations of the </w:t>
      </w:r>
      <w:r w:rsidR="000654AA">
        <w:t>CCRP</w:t>
      </w:r>
      <w:r>
        <w:t xml:space="preserve"> include a proposal to amend </w:t>
      </w:r>
      <w:r w:rsidR="005129C1">
        <w:t xml:space="preserve">the </w:t>
      </w:r>
      <w:r w:rsidR="00F05124">
        <w:t>Code</w:t>
      </w:r>
      <w:r>
        <w:t xml:space="preserve">, a copy of the proposed text of the Amendment, the suggested time of commencement of the Amendment, and a summary of any objections to the Amendment Submission which may have been </w:t>
      </w:r>
      <w:r w:rsidR="003D5C2F">
        <w:t>raised through</w:t>
      </w:r>
      <w:r>
        <w:t xml:space="preserve"> written submissions or brought to the attention of the </w:t>
      </w:r>
      <w:r w:rsidR="000654AA">
        <w:t>CCRP</w:t>
      </w:r>
      <w:r>
        <w:t xml:space="preserve"> during any meetings; </w:t>
      </w:r>
    </w:p>
    <w:p w14:paraId="14BD34DA" w14:textId="6CE9AF82" w:rsidR="003A4D77" w:rsidRDefault="009079CF" w:rsidP="00B03234">
      <w:pPr>
        <w:pStyle w:val="Heading5"/>
      </w:pPr>
      <w:r>
        <w:t>a</w:t>
      </w:r>
      <w:r w:rsidR="003A4D77">
        <w:t xml:space="preserve"> summary of the procedure followed by the </w:t>
      </w:r>
      <w:r w:rsidR="000654AA">
        <w:t>CCRP</w:t>
      </w:r>
      <w:r w:rsidR="003A4D77">
        <w:t xml:space="preserve"> in considering the matter;</w:t>
      </w:r>
    </w:p>
    <w:p w14:paraId="793D0107" w14:textId="5BFF0A62" w:rsidR="003A4D77" w:rsidRDefault="003A4D77" w:rsidP="00B03234">
      <w:pPr>
        <w:pStyle w:val="Heading5"/>
      </w:pPr>
      <w:r>
        <w:t xml:space="preserve">a record of the vote of each member of the </w:t>
      </w:r>
      <w:r w:rsidR="000654AA">
        <w:t>CCRP</w:t>
      </w:r>
      <w:r>
        <w:t xml:space="preserve"> in respect of each of the recommendations made in the report; and</w:t>
      </w:r>
    </w:p>
    <w:p w14:paraId="345D507F" w14:textId="2E45F2B1" w:rsidR="003A4D77" w:rsidRDefault="003A4D77" w:rsidP="00B03234">
      <w:pPr>
        <w:pStyle w:val="Heading5"/>
      </w:pPr>
      <w:r>
        <w:t xml:space="preserve">a summary of any objections raised by any member of the </w:t>
      </w:r>
      <w:r w:rsidR="000654AA">
        <w:t>CCRP</w:t>
      </w:r>
      <w:r>
        <w:t xml:space="preserve"> to the recommendations, if so request</w:t>
      </w:r>
      <w:r w:rsidR="003D5C2F">
        <w:t>ed by the said member</w:t>
      </w:r>
      <w:r>
        <w:t>.</w:t>
      </w:r>
    </w:p>
    <w:p w14:paraId="2B90A05E" w14:textId="01737484" w:rsidR="004C245A" w:rsidRDefault="004C245A" w:rsidP="005B295A">
      <w:pPr>
        <w:pStyle w:val="Heading4"/>
      </w:pPr>
      <w:r>
        <w:t xml:space="preserve">Upon completion of the report </w:t>
      </w:r>
      <w:r w:rsidR="003D5C2F">
        <w:t xml:space="preserve">referred to </w:t>
      </w:r>
      <w:r>
        <w:t xml:space="preserve">in Clause </w:t>
      </w:r>
      <w:r>
        <w:fldChar w:fldCharType="begin"/>
      </w:r>
      <w:r>
        <w:instrText xml:space="preserve"> REF _Ref61184066 \r \h </w:instrText>
      </w:r>
      <w:r>
        <w:fldChar w:fldCharType="separate"/>
      </w:r>
      <w:r w:rsidR="00251DBF">
        <w:t>1.3.4.10</w:t>
      </w:r>
      <w:r>
        <w:fldChar w:fldCharType="end"/>
      </w:r>
      <w:r>
        <w:t xml:space="preserve">, the CCRP shall </w:t>
      </w:r>
      <w:r w:rsidR="003D5C2F">
        <w:t xml:space="preserve">refer </w:t>
      </w:r>
      <w:r>
        <w:t>the</w:t>
      </w:r>
      <w:r w:rsidR="003D5C2F">
        <w:t xml:space="preserve"> matter to the</w:t>
      </w:r>
      <w:r>
        <w:t xml:space="preserve"> M</w:t>
      </w:r>
      <w:r w:rsidR="003D5C2F">
        <w:t xml:space="preserve">arket </w:t>
      </w:r>
      <w:r>
        <w:t>O</w:t>
      </w:r>
      <w:r w:rsidR="003D5C2F">
        <w:t>perator</w:t>
      </w:r>
      <w:r>
        <w:t xml:space="preserve"> </w:t>
      </w:r>
      <w:r w:rsidR="003D5C2F">
        <w:t>for onward submission</w:t>
      </w:r>
      <w:r>
        <w:t xml:space="preserve"> to the Authority</w:t>
      </w:r>
      <w:r w:rsidR="003D5C2F">
        <w:t xml:space="preserve"> for</w:t>
      </w:r>
      <w:r>
        <w:t xml:space="preserve"> approval</w:t>
      </w:r>
      <w:r w:rsidR="003D5C2F">
        <w:t xml:space="preserve"> of the recommendations</w:t>
      </w:r>
      <w:r>
        <w:t xml:space="preserve">. </w:t>
      </w:r>
    </w:p>
    <w:p w14:paraId="34B5A4A9" w14:textId="752A35DD" w:rsidR="00456D46" w:rsidRDefault="000448A8" w:rsidP="005B295A">
      <w:pPr>
        <w:pStyle w:val="Heading4"/>
      </w:pPr>
      <w:r>
        <w:t>T</w:t>
      </w:r>
      <w:r w:rsidR="003A4D77">
        <w:t xml:space="preserve">he </w:t>
      </w:r>
      <w:r w:rsidR="0046619D">
        <w:t xml:space="preserve">Market Operator </w:t>
      </w:r>
      <w:r w:rsidR="00456D46">
        <w:t xml:space="preserve">may </w:t>
      </w:r>
      <w:r w:rsidR="0046619D">
        <w:t>p</w:t>
      </w:r>
      <w:r w:rsidR="003A4D77">
        <w:t xml:space="preserve">ublish the recommendations contained in the report referred to in </w:t>
      </w:r>
      <w:r w:rsidR="009079CF">
        <w:t xml:space="preserve">Clause </w:t>
      </w:r>
      <w:r w:rsidR="009079CF">
        <w:fldChar w:fldCharType="begin"/>
      </w:r>
      <w:r w:rsidR="009079CF">
        <w:instrText xml:space="preserve"> REF _Ref61184066 \r \h </w:instrText>
      </w:r>
      <w:r w:rsidR="009079CF">
        <w:fldChar w:fldCharType="separate"/>
      </w:r>
      <w:r w:rsidR="00251DBF">
        <w:t>1.3.4.10</w:t>
      </w:r>
      <w:r w:rsidR="009079CF">
        <w:fldChar w:fldCharType="end"/>
      </w:r>
      <w:r w:rsidR="003A4D77">
        <w:t xml:space="preserve"> and give notice thereof to all</w:t>
      </w:r>
      <w:r w:rsidR="009079CF">
        <w:t xml:space="preserve"> </w:t>
      </w:r>
      <w:r w:rsidR="00456D46">
        <w:t xml:space="preserve">relevant </w:t>
      </w:r>
      <w:r w:rsidR="009079CF">
        <w:t>Market</w:t>
      </w:r>
      <w:r w:rsidR="003A4D77">
        <w:t xml:space="preserve"> Participants and to the person who made an Amendment Submission. </w:t>
      </w:r>
    </w:p>
    <w:p w14:paraId="7AE5E1CA" w14:textId="1377320D" w:rsidR="003A4D77" w:rsidRDefault="003A4D77" w:rsidP="005B295A">
      <w:pPr>
        <w:pStyle w:val="Heading4"/>
      </w:pPr>
      <w:r>
        <w:t xml:space="preserve">At the request of a </w:t>
      </w:r>
      <w:r w:rsidR="00456D46">
        <w:t xml:space="preserve">person </w:t>
      </w:r>
      <w:r>
        <w:t xml:space="preserve">, the </w:t>
      </w:r>
      <w:r w:rsidR="00ED0FB0">
        <w:t>Market Operator</w:t>
      </w:r>
      <w:r>
        <w:t xml:space="preserve"> </w:t>
      </w:r>
      <w:r w:rsidR="00456D46">
        <w:t xml:space="preserve">may </w:t>
      </w:r>
      <w:r>
        <w:t xml:space="preserve">provide to </w:t>
      </w:r>
      <w:r w:rsidR="00456D46">
        <w:t>such person</w:t>
      </w:r>
      <w:r>
        <w:t xml:space="preserve">, subject to the </w:t>
      </w:r>
      <w:r w:rsidR="00456D46">
        <w:t>payment of</w:t>
      </w:r>
      <w:r>
        <w:t xml:space="preserve"> a </w:t>
      </w:r>
      <w:r w:rsidR="00456D46">
        <w:t>fee</w:t>
      </w:r>
      <w:r>
        <w:t xml:space="preserve"> determined by the </w:t>
      </w:r>
      <w:r w:rsidR="00ED0FB0">
        <w:t>Market Operator</w:t>
      </w:r>
      <w:r>
        <w:t xml:space="preserve">, copies of all submissions received pursuant to </w:t>
      </w:r>
      <w:r w:rsidR="009079CF">
        <w:t xml:space="preserve">Clause </w:t>
      </w:r>
      <w:r w:rsidR="009079CF">
        <w:fldChar w:fldCharType="begin"/>
      </w:r>
      <w:r w:rsidR="009079CF">
        <w:instrText xml:space="preserve"> REF _Ref61184187 \r \h </w:instrText>
      </w:r>
      <w:r w:rsidR="009079CF">
        <w:fldChar w:fldCharType="separate"/>
      </w:r>
      <w:r w:rsidR="00251DBF">
        <w:t>1.3.4.5</w:t>
      </w:r>
      <w:r w:rsidR="009079CF">
        <w:fldChar w:fldCharType="end"/>
      </w:r>
      <w:r w:rsidR="009079CF">
        <w:t xml:space="preserve"> or </w:t>
      </w:r>
      <w:r w:rsidR="009079CF">
        <w:fldChar w:fldCharType="begin"/>
      </w:r>
      <w:r w:rsidR="009079CF">
        <w:instrText xml:space="preserve"> REF _Ref61184198 \r \h </w:instrText>
      </w:r>
      <w:r w:rsidR="009079CF">
        <w:fldChar w:fldCharType="separate"/>
      </w:r>
      <w:r w:rsidR="00251DBF">
        <w:t>1.3.4.6</w:t>
      </w:r>
      <w:r w:rsidR="009079CF">
        <w:fldChar w:fldCharType="end"/>
      </w:r>
      <w:r>
        <w:t xml:space="preserve">, together with </w:t>
      </w:r>
      <w:r w:rsidR="00456D46">
        <w:t xml:space="preserve">details </w:t>
      </w:r>
      <w:r>
        <w:t xml:space="preserve">of any further submissions which were made before the </w:t>
      </w:r>
      <w:r w:rsidR="000654AA">
        <w:t>CCRP</w:t>
      </w:r>
      <w:r>
        <w:t xml:space="preserve"> during the course of any meetings or deliberations that may have been hel</w:t>
      </w:r>
      <w:r w:rsidR="009079CF">
        <w:t>d</w:t>
      </w:r>
      <w:r>
        <w:t xml:space="preserve">, provided that the </w:t>
      </w:r>
      <w:r w:rsidR="00ED0FB0">
        <w:t>Market Operator</w:t>
      </w:r>
      <w:r>
        <w:t xml:space="preserve"> shall not disclose any Confidential Information without express written permission of the person to whom </w:t>
      </w:r>
      <w:r w:rsidR="00456D46">
        <w:t xml:space="preserve">such information </w:t>
      </w:r>
      <w:r>
        <w:t>relates.</w:t>
      </w:r>
    </w:p>
    <w:p w14:paraId="302C6987" w14:textId="0ABD5109" w:rsidR="000448A8" w:rsidRDefault="00E82DCA" w:rsidP="005B295A">
      <w:pPr>
        <w:pStyle w:val="Heading4"/>
      </w:pPr>
      <w:bookmarkStart w:id="42" w:name="_Ref76832466"/>
      <w:bookmarkStart w:id="43" w:name="_Ref61185004"/>
      <w:r>
        <w:t>T</w:t>
      </w:r>
      <w:r w:rsidR="000448A8">
        <w:t xml:space="preserve">he </w:t>
      </w:r>
      <w:r>
        <w:t xml:space="preserve">CCRP </w:t>
      </w:r>
      <w:r w:rsidR="000448A8">
        <w:t>may reject the proposed Amendment if, in its opinion, the proposed Amendment:</w:t>
      </w:r>
      <w:bookmarkEnd w:id="42"/>
    </w:p>
    <w:p w14:paraId="32D926C7" w14:textId="5CBC2ECA" w:rsidR="000448A8" w:rsidRPr="00862954" w:rsidRDefault="000448A8" w:rsidP="00B03234">
      <w:pPr>
        <w:pStyle w:val="Heading5"/>
      </w:pPr>
      <w:r w:rsidRPr="00862954">
        <w:t>unfairly discriminates against a Market Participant or class of Market Participants;</w:t>
      </w:r>
    </w:p>
    <w:p w14:paraId="4FB165C0" w14:textId="28F55588" w:rsidR="000448A8" w:rsidRPr="00862954" w:rsidRDefault="000448A8" w:rsidP="00B03234">
      <w:pPr>
        <w:pStyle w:val="Heading5"/>
      </w:pPr>
      <w:r w:rsidRPr="00862954">
        <w:t>will limit, and not advance, competition, or prevent free entry into the wholesale competitive market;</w:t>
      </w:r>
    </w:p>
    <w:p w14:paraId="63995F33" w14:textId="36667E61" w:rsidR="000448A8" w:rsidRPr="00862954" w:rsidRDefault="000448A8" w:rsidP="00B03234">
      <w:pPr>
        <w:pStyle w:val="Heading5"/>
      </w:pPr>
      <w:r w:rsidRPr="00862954">
        <w:t xml:space="preserve">may allow one or more Market Participants to possess market power;  </w:t>
      </w:r>
    </w:p>
    <w:p w14:paraId="0DE60950" w14:textId="2F2EC7C7" w:rsidR="000448A8" w:rsidRPr="00862954" w:rsidRDefault="000448A8" w:rsidP="00B03234">
      <w:pPr>
        <w:pStyle w:val="Heading5"/>
      </w:pPr>
      <w:r w:rsidRPr="00862954">
        <w:t>may have a potential for abuse of market power by one or more Market Participants;</w:t>
      </w:r>
    </w:p>
    <w:p w14:paraId="4CFFF71C" w14:textId="0129AA83" w:rsidR="000448A8" w:rsidRPr="00862954" w:rsidRDefault="000448A8" w:rsidP="00B03234">
      <w:pPr>
        <w:pStyle w:val="Heading5"/>
      </w:pPr>
      <w:r w:rsidRPr="00862954">
        <w:t>is not conducive to efficient and economic operation of the wholesale competitive market;</w:t>
      </w:r>
    </w:p>
    <w:p w14:paraId="12B7DE18" w14:textId="0801638E" w:rsidR="000448A8" w:rsidRDefault="000448A8" w:rsidP="00B03234">
      <w:pPr>
        <w:pStyle w:val="Heading5"/>
      </w:pPr>
      <w:r>
        <w:t>materially alters the framework of the CTBCM; or</w:t>
      </w:r>
    </w:p>
    <w:p w14:paraId="32CFE7EE" w14:textId="2738A755" w:rsidR="000448A8" w:rsidRDefault="000448A8" w:rsidP="00B03234">
      <w:pPr>
        <w:pStyle w:val="Heading5"/>
      </w:pPr>
      <w:r>
        <w:t>is not consistent with the Applicable Law or policy direction of the GoP.</w:t>
      </w:r>
    </w:p>
    <w:p w14:paraId="64327DCE" w14:textId="5BC6F8E2" w:rsidR="003A4D77" w:rsidRDefault="003A4D77" w:rsidP="005B295A">
      <w:pPr>
        <w:pStyle w:val="Heading4"/>
      </w:pPr>
      <w:r>
        <w:t xml:space="preserve">Where the </w:t>
      </w:r>
      <w:r w:rsidR="009079CF">
        <w:t>Authority</w:t>
      </w:r>
      <w:r>
        <w:t>:</w:t>
      </w:r>
      <w:bookmarkEnd w:id="43"/>
    </w:p>
    <w:p w14:paraId="00112AF8" w14:textId="2FA52ADD" w:rsidR="003A4D77" w:rsidRDefault="003A4D77" w:rsidP="00B03234">
      <w:pPr>
        <w:pStyle w:val="Heading5"/>
      </w:pPr>
      <w:r>
        <w:t xml:space="preserve">confirms the recommendation to amend </w:t>
      </w:r>
      <w:r w:rsidR="00F05124">
        <w:t>this Code</w:t>
      </w:r>
      <w:r>
        <w:t>, the Market Operator</w:t>
      </w:r>
      <w:r w:rsidR="000C61B7">
        <w:t xml:space="preserve">, within 5 business days after receiving </w:t>
      </w:r>
      <w:r w:rsidR="007903AD">
        <w:t xml:space="preserve">decision of </w:t>
      </w:r>
      <w:r w:rsidR="000C61B7">
        <w:t>the Authority,</w:t>
      </w:r>
      <w:r>
        <w:t xml:space="preserve"> </w:t>
      </w:r>
      <w:r w:rsidR="007903AD">
        <w:t>shall</w:t>
      </w:r>
      <w:r w:rsidR="006B007E">
        <w:t xml:space="preserve"> </w:t>
      </w:r>
      <w:r>
        <w:t xml:space="preserve">publish such decision on the </w:t>
      </w:r>
      <w:r w:rsidR="00C1591E">
        <w:t xml:space="preserve">MO </w:t>
      </w:r>
      <w:r>
        <w:t xml:space="preserve">Website, together with a copy of the Amendment, and shall give notice of the decision to all </w:t>
      </w:r>
      <w:r w:rsidR="009079CF">
        <w:t xml:space="preserve">Market </w:t>
      </w:r>
      <w:r>
        <w:t>Participants</w:t>
      </w:r>
      <w:r w:rsidR="007903AD">
        <w:t xml:space="preserve"> and</w:t>
      </w:r>
      <w:r>
        <w:t xml:space="preserve"> the person who </w:t>
      </w:r>
      <w:r w:rsidR="007903AD">
        <w:t xml:space="preserve">proposed </w:t>
      </w:r>
      <w:r>
        <w:t>the Amendment Submission</w:t>
      </w:r>
      <w:r w:rsidR="009079CF">
        <w:t>.</w:t>
      </w:r>
      <w:r>
        <w:t xml:space="preserve"> </w:t>
      </w:r>
      <w:r w:rsidR="009079CF">
        <w:t>T</w:t>
      </w:r>
      <w:r>
        <w:t xml:space="preserve">he Market Operator </w:t>
      </w:r>
      <w:r w:rsidR="00BF564D">
        <w:t xml:space="preserve">shall </w:t>
      </w:r>
      <w:r w:rsidR="007903AD">
        <w:t>update the Code accordingly</w:t>
      </w:r>
      <w:r>
        <w:t>.</w:t>
      </w:r>
    </w:p>
    <w:p w14:paraId="2DAA2B7C" w14:textId="7CD6596C" w:rsidR="003A4D77" w:rsidRDefault="003A4D77" w:rsidP="00B03234">
      <w:pPr>
        <w:pStyle w:val="Heading5"/>
      </w:pPr>
      <w:r>
        <w:t xml:space="preserve">rejects the </w:t>
      </w:r>
      <w:r w:rsidR="007903AD">
        <w:t>recommendation to a</w:t>
      </w:r>
      <w:r>
        <w:t>men</w:t>
      </w:r>
      <w:r w:rsidR="007903AD">
        <w:t>d</w:t>
      </w:r>
      <w:r>
        <w:t xml:space="preserve"> </w:t>
      </w:r>
      <w:r w:rsidR="00F05124">
        <w:t>this Code</w:t>
      </w:r>
      <w:r>
        <w:t xml:space="preserve">, the Market Operator shall publish such decision on the </w:t>
      </w:r>
      <w:r w:rsidR="00C1591E">
        <w:t xml:space="preserve">MO </w:t>
      </w:r>
      <w:r>
        <w:t xml:space="preserve">Website and </w:t>
      </w:r>
      <w:r w:rsidR="007903AD">
        <w:t>disseminate it to all relevant stakeholders</w:t>
      </w:r>
      <w:r>
        <w:t>.</w:t>
      </w:r>
    </w:p>
    <w:p w14:paraId="2F5FF2C3" w14:textId="463180C4" w:rsidR="003A4D77" w:rsidRDefault="003A4D77" w:rsidP="00C173D0">
      <w:pPr>
        <w:pStyle w:val="Heading3"/>
      </w:pPr>
      <w:r>
        <w:lastRenderedPageBreak/>
        <w:t xml:space="preserve">Amendments Initiated by the </w:t>
      </w:r>
      <w:r w:rsidR="000654AA">
        <w:t>CCRP</w:t>
      </w:r>
    </w:p>
    <w:p w14:paraId="4A269E68" w14:textId="4D149A64" w:rsidR="003A4D77" w:rsidRDefault="003A4D77" w:rsidP="005B295A">
      <w:pPr>
        <w:pStyle w:val="Heading4"/>
      </w:pPr>
      <w:bookmarkStart w:id="44" w:name="_Hlk67684892"/>
      <w:r>
        <w:t xml:space="preserve">Where the </w:t>
      </w:r>
      <w:r w:rsidR="000654AA">
        <w:t>CCRP</w:t>
      </w:r>
      <w:r>
        <w:t xml:space="preserve"> on its own </w:t>
      </w:r>
      <w:r w:rsidR="000B4CB0">
        <w:t xml:space="preserve">motion </w:t>
      </w:r>
      <w:r>
        <w:t xml:space="preserve">or recommendations of the </w:t>
      </w:r>
      <w:r w:rsidR="000448A8">
        <w:t>MCC</w:t>
      </w:r>
      <w:r>
        <w:t xml:space="preserve"> Working Group determines at any time that an Amendment to or a review of </w:t>
      </w:r>
      <w:r w:rsidR="009079CF">
        <w:t xml:space="preserve">the </w:t>
      </w:r>
      <w:r w:rsidR="00F64A42">
        <w:t>Commercial Code</w:t>
      </w:r>
      <w:r w:rsidR="009079CF">
        <w:t xml:space="preserve"> </w:t>
      </w:r>
      <w:r w:rsidR="000B4CB0">
        <w:t xml:space="preserve">is </w:t>
      </w:r>
      <w:r>
        <w:t xml:space="preserve">necessary, it shall issue a notice (the “Review Notice”) </w:t>
      </w:r>
      <w:r w:rsidR="000B4CB0">
        <w:t xml:space="preserve">in this respect </w:t>
      </w:r>
      <w:r>
        <w:t xml:space="preserve">together with the reasons </w:t>
      </w:r>
      <w:r w:rsidR="000B4CB0">
        <w:t>thereof</w:t>
      </w:r>
      <w:r>
        <w:t xml:space="preserve"> to the </w:t>
      </w:r>
      <w:r w:rsidR="009079CF">
        <w:t xml:space="preserve">Market </w:t>
      </w:r>
      <w:r>
        <w:t>Participants and other interested persons</w:t>
      </w:r>
      <w:r w:rsidR="000B4CB0">
        <w:t xml:space="preserve"> to make written submissions within a specified period</w:t>
      </w:r>
      <w:bookmarkEnd w:id="44"/>
      <w:r>
        <w:t xml:space="preserve">. </w:t>
      </w:r>
    </w:p>
    <w:p w14:paraId="4697CDFA" w14:textId="27467DC7" w:rsidR="003A4D77" w:rsidRDefault="000B4CB0" w:rsidP="005B295A">
      <w:pPr>
        <w:pStyle w:val="Heading4"/>
      </w:pPr>
      <w:r>
        <w:t xml:space="preserve">The procedure set out in </w:t>
      </w:r>
      <w:r w:rsidR="009079CF">
        <w:t xml:space="preserve">Clauses </w:t>
      </w:r>
      <w:r w:rsidR="00163EC2">
        <w:fldChar w:fldCharType="begin"/>
      </w:r>
      <w:r w:rsidR="00163EC2">
        <w:instrText xml:space="preserve"> REF _Ref61184198 \r \h </w:instrText>
      </w:r>
      <w:r w:rsidR="00163EC2">
        <w:fldChar w:fldCharType="separate"/>
      </w:r>
      <w:r w:rsidR="00251DBF">
        <w:t>1.3.4.6</w:t>
      </w:r>
      <w:r w:rsidR="00163EC2">
        <w:fldChar w:fldCharType="end"/>
      </w:r>
      <w:r w:rsidR="00163EC2">
        <w:t xml:space="preserve"> to </w:t>
      </w:r>
      <w:r w:rsidR="00163EC2">
        <w:fldChar w:fldCharType="begin"/>
      </w:r>
      <w:r w:rsidR="00163EC2">
        <w:instrText xml:space="preserve"> REF _Ref61184364 \r \h </w:instrText>
      </w:r>
      <w:r w:rsidR="00163EC2">
        <w:fldChar w:fldCharType="separate"/>
      </w:r>
      <w:r w:rsidR="00251DBF">
        <w:t>1.3.4.14</w:t>
      </w:r>
      <w:r w:rsidR="00163EC2">
        <w:fldChar w:fldCharType="end"/>
      </w:r>
      <w:r w:rsidR="00163EC2">
        <w:t xml:space="preserve"> </w:t>
      </w:r>
      <w:r w:rsidR="00163EC2" w:rsidRPr="00163EC2">
        <w:t>shall</w:t>
      </w:r>
      <w:r>
        <w:t>,</w:t>
      </w:r>
      <w:r w:rsidR="00163EC2" w:rsidRPr="00163EC2">
        <w:t xml:space="preserve"> </w:t>
      </w:r>
      <w:r w:rsidRPr="000B4CB0">
        <w:rPr>
          <w:i/>
          <w:iCs w:val="0"/>
        </w:rPr>
        <w:t>mutatis mutandis</w:t>
      </w:r>
      <w:r>
        <w:t xml:space="preserve">, </w:t>
      </w:r>
      <w:r w:rsidR="00163EC2" w:rsidRPr="00163EC2">
        <w:t>apply</w:t>
      </w:r>
      <w:r>
        <w:t xml:space="preserve"> to the Review Notice</w:t>
      </w:r>
      <w:r w:rsidR="003A4D77">
        <w:t>.</w:t>
      </w:r>
    </w:p>
    <w:p w14:paraId="07410F51" w14:textId="611CB29C" w:rsidR="00FB6322" w:rsidRDefault="00FB6322" w:rsidP="00FB6322">
      <w:pPr>
        <w:pStyle w:val="Heading3"/>
      </w:pPr>
      <w:r>
        <w:t>Amendments instructed by the Authority</w:t>
      </w:r>
    </w:p>
    <w:p w14:paraId="7023DA15" w14:textId="43BC8D21" w:rsidR="00D56436" w:rsidRDefault="00337926" w:rsidP="005B295A">
      <w:pPr>
        <w:pStyle w:val="Heading4"/>
      </w:pPr>
      <w:r>
        <w:t>Where the Authority under section</w:t>
      </w:r>
      <w:r w:rsidR="00FB6322">
        <w:t xml:space="preserve"> 23B (3) </w:t>
      </w:r>
      <w:r w:rsidR="00D56436">
        <w:t xml:space="preserve">of the Act </w:t>
      </w:r>
      <w:r w:rsidR="00FB6322">
        <w:t xml:space="preserve"> direct</w:t>
      </w:r>
      <w:r>
        <w:t>s</w:t>
      </w:r>
      <w:r w:rsidR="00FB6322">
        <w:t xml:space="preserve"> the </w:t>
      </w:r>
      <w:r w:rsidR="00D56436">
        <w:t>M</w:t>
      </w:r>
      <w:r w:rsidR="00FB6322">
        <w:t xml:space="preserve">arket </w:t>
      </w:r>
      <w:r w:rsidR="00D56436">
        <w:t>O</w:t>
      </w:r>
      <w:r w:rsidR="00FB6322">
        <w:t xml:space="preserve">perator to </w:t>
      </w:r>
      <w:r>
        <w:t xml:space="preserve">make  </w:t>
      </w:r>
      <w:r w:rsidR="00D56436">
        <w:t xml:space="preserve">an </w:t>
      </w:r>
      <w:r>
        <w:t>A</w:t>
      </w:r>
      <w:r w:rsidR="00D56436">
        <w:t xml:space="preserve">mendment </w:t>
      </w:r>
      <w:r>
        <w:t xml:space="preserve">in </w:t>
      </w:r>
      <w:r w:rsidR="00D56436">
        <w:t xml:space="preserve">the </w:t>
      </w:r>
      <w:r w:rsidR="00F64A42">
        <w:t>Commercial Code</w:t>
      </w:r>
      <w:r>
        <w:t>, the Market Operator shall refer the  said Amendment to the CCRP immediately</w:t>
      </w:r>
      <w:r w:rsidR="00D56436">
        <w:t xml:space="preserve">. </w:t>
      </w:r>
    </w:p>
    <w:p w14:paraId="073522A1" w14:textId="6568F945" w:rsidR="00EB3650" w:rsidRDefault="00EB3650" w:rsidP="005B295A">
      <w:pPr>
        <w:pStyle w:val="Heading4"/>
      </w:pPr>
      <w:r>
        <w:t xml:space="preserve">The CCRP shall analyse the </w:t>
      </w:r>
      <w:r w:rsidR="00337926">
        <w:t xml:space="preserve"> proposed A</w:t>
      </w:r>
      <w:r>
        <w:t>mendment</w:t>
      </w:r>
      <w:r w:rsidR="003C7831">
        <w:t xml:space="preserve"> and in case there is no cause to object the Amendment, it will adopt the amendment and direct the Market Operator to implement the same</w:t>
      </w:r>
      <w:r w:rsidR="00375BB8">
        <w:t>.</w:t>
      </w:r>
      <w:r>
        <w:t xml:space="preserve"> </w:t>
      </w:r>
    </w:p>
    <w:p w14:paraId="592925A5" w14:textId="7896F8B4" w:rsidR="003C7831" w:rsidRPr="003C7831" w:rsidRDefault="003C7831" w:rsidP="003C7831">
      <w:pPr>
        <w:pStyle w:val="Heading4"/>
      </w:pPr>
      <w:r>
        <w:t xml:space="preserve">Where the CCRP considers that there </w:t>
      </w:r>
      <w:r w:rsidR="00AB0C49">
        <w:t>is a</w:t>
      </w:r>
      <w:r>
        <w:t xml:space="preserve"> just cause not to adopt the Amendment </w:t>
      </w:r>
      <w:r w:rsidR="00AB0C49">
        <w:t xml:space="preserve">as </w:t>
      </w:r>
      <w:r>
        <w:t xml:space="preserve">directed by the Authority, it shall </w:t>
      </w:r>
      <w:r w:rsidR="00AB0C49">
        <w:t xml:space="preserve">prepare its recommendations in this respect and </w:t>
      </w:r>
      <w:r>
        <w:t xml:space="preserve">instruct the Market Operator to submit </w:t>
      </w:r>
      <w:r w:rsidR="00AB0C49">
        <w:t>the same</w:t>
      </w:r>
      <w:r>
        <w:t xml:space="preserve"> to </w:t>
      </w:r>
      <w:r w:rsidR="00AB0C49">
        <w:t xml:space="preserve">the </w:t>
      </w:r>
      <w:r>
        <w:t>Authority.</w:t>
      </w:r>
    </w:p>
    <w:p w14:paraId="79BC6BD9" w14:textId="4D57A5D4" w:rsidR="00377FF0" w:rsidRDefault="00377FF0" w:rsidP="003C7831">
      <w:pPr>
        <w:pStyle w:val="Heading6"/>
        <w:numPr>
          <w:ilvl w:val="0"/>
          <w:numId w:val="0"/>
        </w:numPr>
        <w:ind w:left="1986"/>
      </w:pPr>
    </w:p>
    <w:p w14:paraId="48C5D3A0" w14:textId="4D1F7695" w:rsidR="003A4D77" w:rsidRPr="000448A8" w:rsidRDefault="003A4D77" w:rsidP="00C173D0">
      <w:pPr>
        <w:pStyle w:val="Heading3"/>
      </w:pPr>
      <w:bookmarkStart w:id="45" w:name="_Toc63893923"/>
      <w:bookmarkStart w:id="46" w:name="_Toc64115687"/>
      <w:bookmarkStart w:id="47" w:name="_Toc64116040"/>
      <w:bookmarkEnd w:id="45"/>
      <w:bookmarkEnd w:id="46"/>
      <w:bookmarkEnd w:id="47"/>
      <w:r w:rsidRPr="000448A8">
        <w:t>Urgent Amendments</w:t>
      </w:r>
    </w:p>
    <w:p w14:paraId="3CC2FF4F" w14:textId="527FA622" w:rsidR="00AB0C49" w:rsidRDefault="00AB0C49" w:rsidP="005B295A">
      <w:pPr>
        <w:pStyle w:val="Heading4"/>
      </w:pPr>
      <w:bookmarkStart w:id="48" w:name="_Ref74404668"/>
      <w:bookmarkStart w:id="49" w:name="_Ref61185342"/>
      <w:r>
        <w:t xml:space="preserve">An </w:t>
      </w:r>
      <w:r w:rsidR="003A4D77">
        <w:t xml:space="preserve">Urgent Amendment </w:t>
      </w:r>
      <w:r>
        <w:t xml:space="preserve">may </w:t>
      </w:r>
      <w:r w:rsidR="003A4D77">
        <w:t xml:space="preserve">be </w:t>
      </w:r>
      <w:r w:rsidR="0046619D">
        <w:t xml:space="preserve">proposed </w:t>
      </w:r>
      <w:r w:rsidR="003A4D77">
        <w:t xml:space="preserve">by the </w:t>
      </w:r>
      <w:r w:rsidR="000654AA">
        <w:t>CCRP</w:t>
      </w:r>
      <w:r w:rsidR="003A4D77">
        <w:t xml:space="preserve"> or recommended by the </w:t>
      </w:r>
      <w:r w:rsidR="003A3188">
        <w:t>CC</w:t>
      </w:r>
      <w:r w:rsidR="003A4D77">
        <w:t xml:space="preserve"> Working Group to the </w:t>
      </w:r>
      <w:r w:rsidR="000654AA">
        <w:t>CCRP</w:t>
      </w:r>
      <w:r>
        <w:t xml:space="preserve"> in the following cases:</w:t>
      </w:r>
      <w:bookmarkEnd w:id="48"/>
    </w:p>
    <w:p w14:paraId="4FDB9AD8" w14:textId="77777777" w:rsidR="00AB0C49" w:rsidRPr="003B38AD" w:rsidRDefault="00AB0C49" w:rsidP="00AB0C49">
      <w:pPr>
        <w:pStyle w:val="Heading5"/>
        <w:numPr>
          <w:ilvl w:val="4"/>
          <w:numId w:val="39"/>
        </w:numPr>
        <w:ind w:left="2268"/>
      </w:pPr>
      <w:r w:rsidRPr="003B38AD">
        <w:t xml:space="preserve">to avoid, reduce </w:t>
      </w:r>
      <w:r>
        <w:t xml:space="preserve">or mitigate </w:t>
      </w:r>
      <w:r w:rsidRPr="003B38AD">
        <w:t>the risk</w:t>
      </w:r>
      <w:r>
        <w:t>s</w:t>
      </w:r>
      <w:r w:rsidRPr="003B38AD">
        <w:t xml:space="preserve"> of abus</w:t>
      </w:r>
      <w:r>
        <w:t>ing</w:t>
      </w:r>
      <w:r w:rsidRPr="003B38AD">
        <w:t xml:space="preserve"> market power; </w:t>
      </w:r>
    </w:p>
    <w:p w14:paraId="36D03F83" w14:textId="77777777" w:rsidR="00AB0C49" w:rsidRDefault="00AB0C49" w:rsidP="00AB0C49">
      <w:pPr>
        <w:pStyle w:val="Heading5"/>
        <w:ind w:left="2268"/>
      </w:pPr>
      <w:r w:rsidRPr="003B38AD">
        <w:t>to implement</w:t>
      </w:r>
      <w:r>
        <w:t xml:space="preserve"> rules or</w:t>
      </w:r>
      <w:r w:rsidRPr="003B38AD">
        <w:t xml:space="preserve"> </w:t>
      </w:r>
      <w:r>
        <w:t xml:space="preserve">regulations framed under the Act; </w:t>
      </w:r>
    </w:p>
    <w:p w14:paraId="6E2165C5" w14:textId="77777777" w:rsidR="00AB0C49" w:rsidRPr="0070518A" w:rsidRDefault="00AB0C49" w:rsidP="00AB0C49">
      <w:pPr>
        <w:pStyle w:val="Heading5"/>
        <w:ind w:left="2268"/>
      </w:pPr>
      <w:r w:rsidRPr="0070518A">
        <w:t xml:space="preserve">to modify </w:t>
      </w:r>
      <w:r>
        <w:t>the provisions of this Code</w:t>
      </w:r>
      <w:r w:rsidRPr="0070518A">
        <w:t xml:space="preserve"> which are contradictory or inconsistent with </w:t>
      </w:r>
      <w:r>
        <w:t>the new rules or regulations framed under the Act</w:t>
      </w:r>
      <w:r w:rsidRPr="0070518A">
        <w:t xml:space="preserve">; </w:t>
      </w:r>
    </w:p>
    <w:p w14:paraId="124A26F6" w14:textId="77777777" w:rsidR="00AB0C49" w:rsidRPr="00B553CF" w:rsidRDefault="00AB0C49" w:rsidP="00AB0C49">
      <w:pPr>
        <w:pStyle w:val="Heading5"/>
        <w:ind w:left="2268"/>
      </w:pPr>
      <w:r w:rsidRPr="00B553CF">
        <w:t>to avoid, reduce or mitigate unintended adverse effect</w:t>
      </w:r>
      <w:r>
        <w:t>s</w:t>
      </w:r>
      <w:r w:rsidRPr="00B553CF">
        <w:t xml:space="preserve"> of a </w:t>
      </w:r>
      <w:r>
        <w:t>provision of this Code</w:t>
      </w:r>
      <w:r w:rsidRPr="00B553CF">
        <w:t>.</w:t>
      </w:r>
    </w:p>
    <w:p w14:paraId="2086DEDF" w14:textId="1FA24219" w:rsidR="003A4D77" w:rsidRDefault="003A4D77" w:rsidP="00AB0C49">
      <w:pPr>
        <w:pStyle w:val="Heading4"/>
      </w:pPr>
      <w:r>
        <w:t xml:space="preserve"> </w:t>
      </w:r>
      <w:bookmarkStart w:id="50" w:name="_Ref61185204"/>
      <w:bookmarkEnd w:id="49"/>
      <w:r>
        <w:t xml:space="preserve">Where the </w:t>
      </w:r>
      <w:r w:rsidR="003A3188">
        <w:t>MCC</w:t>
      </w:r>
      <w:r>
        <w:t xml:space="preserve"> Working Group recommends an Urgent Amendment</w:t>
      </w:r>
      <w:r w:rsidR="00AB0C49">
        <w:t xml:space="preserve"> to the CCRP, it shall convene, within 20 Business Days, a meeting to consider the proposed </w:t>
      </w:r>
      <w:r w:rsidR="00417E57">
        <w:t>Amendment</w:t>
      </w:r>
      <w:r w:rsidR="00AB0C49">
        <w:t xml:space="preserve"> and either</w:t>
      </w:r>
      <w:bookmarkEnd w:id="50"/>
      <w:r>
        <w:t>:</w:t>
      </w:r>
    </w:p>
    <w:p w14:paraId="7120D4BF" w14:textId="15D923F0" w:rsidR="003A4D77" w:rsidRDefault="00417E57" w:rsidP="00B03234">
      <w:pPr>
        <w:pStyle w:val="Heading5"/>
      </w:pPr>
      <w:r>
        <w:t xml:space="preserve">recommend </w:t>
      </w:r>
      <w:r w:rsidR="003A4D77">
        <w:t xml:space="preserve">the Urgent Amendment, in the form proposed by the </w:t>
      </w:r>
      <w:r w:rsidR="003A3188">
        <w:t>CC</w:t>
      </w:r>
      <w:r w:rsidR="003A4D77">
        <w:t xml:space="preserve"> Working Group or </w:t>
      </w:r>
      <w:r>
        <w:t>with necessary modifications</w:t>
      </w:r>
      <w:r w:rsidR="003A4D77">
        <w:t>; or</w:t>
      </w:r>
    </w:p>
    <w:p w14:paraId="138E8505" w14:textId="2DB7AEA0" w:rsidR="003A4D77" w:rsidRDefault="003A4D77" w:rsidP="00B03234">
      <w:pPr>
        <w:pStyle w:val="Heading5"/>
      </w:pPr>
      <w:r>
        <w:t xml:space="preserve">reject the </w:t>
      </w:r>
      <w:r w:rsidR="00417E57">
        <w:t xml:space="preserve">proposed </w:t>
      </w:r>
      <w:r>
        <w:t>Urgent Amendment.</w:t>
      </w:r>
    </w:p>
    <w:p w14:paraId="5D91DE5E" w14:textId="2CCC7684" w:rsidR="003A4D77" w:rsidRDefault="003A4D77" w:rsidP="005B295A">
      <w:pPr>
        <w:pStyle w:val="Heading4"/>
      </w:pPr>
      <w:r>
        <w:t xml:space="preserve">Where an Urgent Amendment is </w:t>
      </w:r>
      <w:r w:rsidR="00417E57">
        <w:t>recommended</w:t>
      </w:r>
      <w:r>
        <w:t xml:space="preserve"> by the </w:t>
      </w:r>
      <w:r w:rsidR="000654AA">
        <w:t>CCRP</w:t>
      </w:r>
      <w:r>
        <w:t xml:space="preserve">, </w:t>
      </w:r>
      <w:r w:rsidR="00417E57">
        <w:t>it</w:t>
      </w:r>
      <w:r>
        <w:t xml:space="preserve"> shall</w:t>
      </w:r>
      <w:r w:rsidR="00AA2616">
        <w:t xml:space="preserve"> </w:t>
      </w:r>
      <w:r w:rsidR="00417E57">
        <w:t xml:space="preserve">instruct the Market Operator to submit the same for consideration and approval of the Authority. </w:t>
      </w:r>
    </w:p>
    <w:p w14:paraId="63D48156" w14:textId="68232A9A" w:rsidR="003A4D77" w:rsidRDefault="003A4D77" w:rsidP="005B295A">
      <w:pPr>
        <w:pStyle w:val="Heading4"/>
      </w:pPr>
      <w:r>
        <w:t xml:space="preserve">Where an Urgent Amendment is </w:t>
      </w:r>
      <w:r w:rsidR="00417E57">
        <w:t xml:space="preserve">approved </w:t>
      </w:r>
      <w:r>
        <w:t xml:space="preserve">by the </w:t>
      </w:r>
      <w:r w:rsidR="000448A8">
        <w:t>Authority</w:t>
      </w:r>
      <w:r>
        <w:t xml:space="preserve">, the Market Operator shall forthwith publish such Urgent Amendment on </w:t>
      </w:r>
      <w:r w:rsidR="00C1591E">
        <w:t>the</w:t>
      </w:r>
      <w:r>
        <w:t xml:space="preserve"> </w:t>
      </w:r>
      <w:r w:rsidR="00C1591E">
        <w:t xml:space="preserve">MO </w:t>
      </w:r>
      <w:r w:rsidR="00EC1896">
        <w:t>Website</w:t>
      </w:r>
      <w:r>
        <w:t xml:space="preserve"> and shall </w:t>
      </w:r>
      <w:r w:rsidR="00417E57">
        <w:t>also inform</w:t>
      </w:r>
      <w:r>
        <w:t xml:space="preserve"> all </w:t>
      </w:r>
      <w:r w:rsidR="00417E57">
        <w:t xml:space="preserve">the </w:t>
      </w:r>
      <w:r w:rsidR="000448A8">
        <w:t xml:space="preserve">Market </w:t>
      </w:r>
      <w:r>
        <w:t xml:space="preserve">Participants.  </w:t>
      </w:r>
    </w:p>
    <w:p w14:paraId="0459D908" w14:textId="2FEA1909" w:rsidR="008B38D8" w:rsidRPr="008B38D8" w:rsidRDefault="008B38D8" w:rsidP="008B38D8">
      <w:pPr>
        <w:pStyle w:val="Heading3"/>
      </w:pPr>
      <w:commentRangeStart w:id="51"/>
      <w:r w:rsidRPr="008B38D8">
        <w:lastRenderedPageBreak/>
        <w:t xml:space="preserve">Amendment to the Grid Code </w:t>
      </w:r>
      <w:commentRangeEnd w:id="51"/>
      <w:r w:rsidR="00EF2126">
        <w:rPr>
          <w:rStyle w:val="CommentReference"/>
          <w:rFonts w:eastAsiaTheme="minorHAnsi" w:cstheme="minorBidi"/>
          <w:smallCaps w:val="0"/>
          <w:color w:val="1C1C1C"/>
        </w:rPr>
        <w:commentReference w:id="51"/>
      </w:r>
    </w:p>
    <w:p w14:paraId="256FE773" w14:textId="72473F2E" w:rsidR="008B38D8" w:rsidRPr="008B38D8" w:rsidRDefault="008B38D8" w:rsidP="005B295A">
      <w:pPr>
        <w:pStyle w:val="Heading4"/>
      </w:pPr>
      <w:r w:rsidRPr="008B38D8">
        <w:t xml:space="preserve">Where the CCRP on its own initiative or </w:t>
      </w:r>
      <w:r w:rsidR="00417E57">
        <w:t xml:space="preserve"> on </w:t>
      </w:r>
      <w:r w:rsidRPr="008B38D8">
        <w:t xml:space="preserve">recommendations of the CC Working Group </w:t>
      </w:r>
      <w:r w:rsidR="0035256F">
        <w:t xml:space="preserve">considers </w:t>
      </w:r>
      <w:r w:rsidRPr="008B38D8">
        <w:t xml:space="preserve">that an </w:t>
      </w:r>
      <w:r w:rsidR="00417E57">
        <w:t>a</w:t>
      </w:r>
      <w:r w:rsidRPr="008B38D8">
        <w:t xml:space="preserve">mendment to or a review of the Grid Code may be necessary, it shall </w:t>
      </w:r>
      <w:r w:rsidR="003D099B">
        <w:t xml:space="preserve">direct the Market Operator to </w:t>
      </w:r>
      <w:r w:rsidR="0035256F">
        <w:t xml:space="preserve">submit a </w:t>
      </w:r>
      <w:r w:rsidRPr="008B38D8">
        <w:t>request</w:t>
      </w:r>
      <w:r w:rsidR="0035256F">
        <w:t xml:space="preserve"> to</w:t>
      </w:r>
      <w:r w:rsidRPr="008B38D8">
        <w:t xml:space="preserve"> the Grid Code review panel</w:t>
      </w:r>
      <w:r w:rsidR="003D099B">
        <w:t xml:space="preserve"> along with supporting documents</w:t>
      </w:r>
      <w:r w:rsidRPr="008B38D8">
        <w:t>.</w:t>
      </w:r>
      <w:r w:rsidRPr="008B38D8">
        <w:rPr>
          <w:highlight w:val="green"/>
        </w:rPr>
        <w:t xml:space="preserve">  </w:t>
      </w:r>
    </w:p>
    <w:p w14:paraId="5864BE03" w14:textId="42950D48" w:rsidR="00E805DC" w:rsidRDefault="00E805DC" w:rsidP="00E805DC">
      <w:pPr>
        <w:pStyle w:val="Heading3"/>
      </w:pPr>
      <w:r>
        <w:t xml:space="preserve">Amendment to the CCOPs </w:t>
      </w:r>
    </w:p>
    <w:p w14:paraId="78200560" w14:textId="37F4C1EE" w:rsidR="00E805DC" w:rsidRDefault="003D099B" w:rsidP="005B295A">
      <w:pPr>
        <w:pStyle w:val="Heading4"/>
      </w:pPr>
      <w:bookmarkStart w:id="52" w:name="_Ref67684362"/>
      <w:r>
        <w:t>If a</w:t>
      </w:r>
      <w:r w:rsidR="0035256F">
        <w:t>n A</w:t>
      </w:r>
      <w:r w:rsidR="00E805DC">
        <w:t>mendment</w:t>
      </w:r>
      <w:r>
        <w:t xml:space="preserve"> is required</w:t>
      </w:r>
      <w:r w:rsidR="00E805DC">
        <w:t xml:space="preserve"> to the CCOPs</w:t>
      </w:r>
      <w:r>
        <w:t>, the same</w:t>
      </w:r>
      <w:r w:rsidR="00E805DC">
        <w:t xml:space="preserve"> shall be </w:t>
      </w:r>
      <w:commentRangeStart w:id="53"/>
      <w:r>
        <w:t xml:space="preserve">prepared </w:t>
      </w:r>
      <w:r w:rsidR="00E805DC">
        <w:t xml:space="preserve">by the </w:t>
      </w:r>
      <w:commentRangeEnd w:id="53"/>
      <w:r w:rsidR="003A3882">
        <w:rPr>
          <w:rStyle w:val="CommentReference"/>
          <w:rFonts w:eastAsiaTheme="minorHAnsi" w:cstheme="minorBidi"/>
          <w:bCs w:val="0"/>
          <w:iCs w:val="0"/>
          <w:color w:val="1C1C1C"/>
        </w:rPr>
        <w:commentReference w:id="53"/>
      </w:r>
      <w:r w:rsidR="00E805DC">
        <w:t>Market Operator, the System Operator or the Metering Service Provider, as the case may be.</w:t>
      </w:r>
      <w:bookmarkEnd w:id="52"/>
    </w:p>
    <w:p w14:paraId="6B2B531A" w14:textId="43C09E87" w:rsidR="00E805DC" w:rsidRPr="00E805DC" w:rsidRDefault="00E805DC" w:rsidP="005B295A">
      <w:pPr>
        <w:pStyle w:val="Heading4"/>
      </w:pPr>
      <w:r>
        <w:t xml:space="preserve">Any Amendment to the CCOPs pursuant to Clause </w:t>
      </w:r>
      <w:r>
        <w:fldChar w:fldCharType="begin"/>
      </w:r>
      <w:r>
        <w:instrText xml:space="preserve"> REF _Ref67684362 \r \h </w:instrText>
      </w:r>
      <w:r>
        <w:fldChar w:fldCharType="separate"/>
      </w:r>
      <w:r w:rsidR="00251DBF">
        <w:t>1.3.9.1</w:t>
      </w:r>
      <w:r>
        <w:fldChar w:fldCharType="end"/>
      </w:r>
      <w:r>
        <w:t>, shall be approved by the CCRP before implementation.</w:t>
      </w:r>
    </w:p>
    <w:bookmarkEnd w:id="26"/>
    <w:p w14:paraId="6FDA2C06" w14:textId="77777777" w:rsidR="00293F8F" w:rsidRDefault="00293F8F">
      <w:pPr>
        <w:spacing w:line="240" w:lineRule="auto"/>
        <w:rPr>
          <w:rFonts w:eastAsiaTheme="majorEastAsia" w:cstheme="majorBidi"/>
          <w:b/>
          <w:bCs/>
          <w:smallCaps/>
          <w:color w:val="00153F" w:themeColor="accent1" w:themeShade="80"/>
          <w:sz w:val="34"/>
          <w:szCs w:val="32"/>
        </w:rPr>
      </w:pPr>
      <w:r>
        <w:br w:type="page"/>
      </w:r>
    </w:p>
    <w:p w14:paraId="17F3A1CF" w14:textId="428E803B" w:rsidR="00293F8F" w:rsidRPr="001868FE" w:rsidRDefault="00293F8F" w:rsidP="00A40A5D">
      <w:pPr>
        <w:pStyle w:val="Heading1"/>
      </w:pPr>
      <w:bookmarkStart w:id="54" w:name="_Toc64846651"/>
      <w:bookmarkStart w:id="55" w:name="_Toc69476948"/>
      <w:r w:rsidRPr="001868FE">
        <w:lastRenderedPageBreak/>
        <w:t>ROLES OF INSTITUTIONS IN THE CTBCM</w:t>
      </w:r>
      <w:bookmarkEnd w:id="54"/>
      <w:bookmarkEnd w:id="55"/>
    </w:p>
    <w:p w14:paraId="326D3297" w14:textId="6116F6FA" w:rsidR="003F05DB" w:rsidRDefault="003F05DB" w:rsidP="00C173D0">
      <w:pPr>
        <w:pStyle w:val="Heading2"/>
      </w:pPr>
      <w:bookmarkStart w:id="56" w:name="_Toc64846652"/>
      <w:bookmarkStart w:id="57" w:name="_Toc69476949"/>
      <w:r>
        <w:t>O</w:t>
      </w:r>
      <w:r w:rsidR="001C4A85">
        <w:t>perators</w:t>
      </w:r>
      <w:bookmarkEnd w:id="56"/>
      <w:bookmarkEnd w:id="57"/>
    </w:p>
    <w:p w14:paraId="3B538737" w14:textId="7ECE1ADF" w:rsidR="003F05DB" w:rsidRDefault="009D65ED" w:rsidP="00C173D0">
      <w:pPr>
        <w:pStyle w:val="Heading3"/>
      </w:pPr>
      <w:r w:rsidRPr="00396089">
        <w:t>Market Operator</w:t>
      </w:r>
    </w:p>
    <w:p w14:paraId="1442080E" w14:textId="7CC02D90" w:rsidR="003F05DB" w:rsidRDefault="003F05DB" w:rsidP="005B295A">
      <w:pPr>
        <w:pStyle w:val="Heading4"/>
      </w:pPr>
      <w:r>
        <w:t xml:space="preserve">The Market Operator </w:t>
      </w:r>
      <w:r w:rsidR="00352AC9">
        <w:t xml:space="preserve">shall be </w:t>
      </w:r>
      <w:r>
        <w:t>responsible for establishing and administering the wholesale market</w:t>
      </w:r>
      <w:r w:rsidR="00352AC9">
        <w:t xml:space="preserve"> and shall perform, </w:t>
      </w:r>
      <w:r w:rsidR="00352AC9" w:rsidRPr="00352AC9">
        <w:rPr>
          <w:i/>
          <w:iCs w:val="0"/>
        </w:rPr>
        <w:t>inter alia</w:t>
      </w:r>
      <w:r w:rsidR="00352AC9">
        <w:t xml:space="preserve">,  the following functions: </w:t>
      </w:r>
      <w:r>
        <w:t xml:space="preserve"> </w:t>
      </w:r>
    </w:p>
    <w:p w14:paraId="6CB526BE" w14:textId="73A0F754" w:rsidR="003F05DB" w:rsidRDefault="00352AC9" w:rsidP="00B03234">
      <w:pPr>
        <w:pStyle w:val="Heading5"/>
      </w:pPr>
      <w:r>
        <w:t>a</w:t>
      </w:r>
      <w:r w:rsidR="003F05DB">
        <w:t xml:space="preserve">dmission and registration of Market Participants </w:t>
      </w:r>
      <w:r w:rsidR="00DB548B">
        <w:t xml:space="preserve">and Service Providers; </w:t>
      </w:r>
    </w:p>
    <w:p w14:paraId="4E0FE3A0" w14:textId="2A184014" w:rsidR="003F05DB" w:rsidRDefault="00352AC9" w:rsidP="00B03234">
      <w:pPr>
        <w:pStyle w:val="Heading5"/>
      </w:pPr>
      <w:r>
        <w:t>r</w:t>
      </w:r>
      <w:r w:rsidR="003F05DB">
        <w:t xml:space="preserve">eview and registration of </w:t>
      </w:r>
      <w:r>
        <w:t>C</w:t>
      </w:r>
      <w:r w:rsidR="003F05DB">
        <w:t xml:space="preserve">ontracts; </w:t>
      </w:r>
    </w:p>
    <w:p w14:paraId="4D54F53D" w14:textId="41608159" w:rsidR="00FA0AAE" w:rsidRDefault="00352AC9" w:rsidP="00B03234">
      <w:pPr>
        <w:pStyle w:val="Heading5"/>
      </w:pPr>
      <w:r>
        <w:t>r</w:t>
      </w:r>
      <w:r w:rsidR="003F05DB">
        <w:t xml:space="preserve">egistration of the </w:t>
      </w:r>
      <w:r w:rsidR="00ED0FB0">
        <w:t>Trading</w:t>
      </w:r>
      <w:r w:rsidR="003F05DB">
        <w:t xml:space="preserve"> Points </w:t>
      </w:r>
      <w:r>
        <w:t xml:space="preserve">where commercial </w:t>
      </w:r>
      <w:r w:rsidR="003F05DB">
        <w:t>transactions</w:t>
      </w:r>
      <w:r>
        <w:t xml:space="preserve"> may take place</w:t>
      </w:r>
      <w:r w:rsidR="003F05DB">
        <w:t xml:space="preserve"> among Market Participants;</w:t>
      </w:r>
    </w:p>
    <w:p w14:paraId="04284EDE" w14:textId="2A881959" w:rsidR="003F05DB" w:rsidRDefault="00352AC9" w:rsidP="00B03234">
      <w:pPr>
        <w:pStyle w:val="Heading5"/>
      </w:pPr>
      <w:r>
        <w:t>r</w:t>
      </w:r>
      <w:r w:rsidR="00FA0AAE">
        <w:t xml:space="preserve">egistration of Metering Points, other than </w:t>
      </w:r>
      <w:r w:rsidR="00ED0FB0">
        <w:t>Trading</w:t>
      </w:r>
      <w:r w:rsidR="00FA0AAE">
        <w:t xml:space="preserve"> Points, which are necessary for proper implementation of </w:t>
      </w:r>
      <w:r w:rsidR="00F05124">
        <w:t>this Code</w:t>
      </w:r>
      <w:r w:rsidR="00FA0AAE">
        <w:t>.</w:t>
      </w:r>
      <w:r w:rsidR="003F05DB">
        <w:t xml:space="preserve"> </w:t>
      </w:r>
    </w:p>
    <w:p w14:paraId="6776BCB4" w14:textId="4241288C" w:rsidR="00DB548B" w:rsidRDefault="00352AC9" w:rsidP="00B03234">
      <w:pPr>
        <w:pStyle w:val="Heading5"/>
      </w:pPr>
      <w:r>
        <w:t>e</w:t>
      </w:r>
      <w:r w:rsidR="00DB548B">
        <w:t>stablishing of Firm Capacity of Generat</w:t>
      </w:r>
      <w:r w:rsidR="009276D7">
        <w:t>ion Units</w:t>
      </w:r>
      <w:r w:rsidR="00DB548B">
        <w:t xml:space="preserve"> and issuing of Firm Capacity Certificates; </w:t>
      </w:r>
    </w:p>
    <w:p w14:paraId="6CE8BAC6" w14:textId="58BD6C0F" w:rsidR="003F05DB" w:rsidRDefault="00A10EFB" w:rsidP="00B03234">
      <w:pPr>
        <w:pStyle w:val="Heading5"/>
      </w:pPr>
      <w:r>
        <w:t>d</w:t>
      </w:r>
      <w:r w:rsidR="003F05DB">
        <w:t xml:space="preserve">etermination of prices for the Capacity; </w:t>
      </w:r>
    </w:p>
    <w:p w14:paraId="5C66EA6E" w14:textId="75E7562F" w:rsidR="003F05DB" w:rsidRDefault="00A10EFB" w:rsidP="00B03234">
      <w:pPr>
        <w:pStyle w:val="Heading5"/>
      </w:pPr>
      <w:r>
        <w:t>a</w:t>
      </w:r>
      <w:r w:rsidR="003F05DB">
        <w:t>dministering a settlement system for the Capacity and Energy Balancing Mechanisms to clear differences between actual and contracted quantities</w:t>
      </w:r>
      <w:r w:rsidR="00DB548B">
        <w:t>;</w:t>
      </w:r>
    </w:p>
    <w:p w14:paraId="49FF3E85" w14:textId="46E24801" w:rsidR="00DB548B" w:rsidRDefault="00A10EFB" w:rsidP="00B03234">
      <w:pPr>
        <w:pStyle w:val="Heading5"/>
      </w:pPr>
      <w:r>
        <w:t>a</w:t>
      </w:r>
      <w:r w:rsidR="003F05DB">
        <w:t xml:space="preserve">dministering a payment system for the </w:t>
      </w:r>
      <w:r w:rsidR="00D75DA6">
        <w:t>Imbalances</w:t>
      </w:r>
      <w:r w:rsidR="000C2242" w:rsidDel="000C2242">
        <w:t xml:space="preserve"> </w:t>
      </w:r>
      <w:r w:rsidR="003F05DB">
        <w:t>of Market Participants, including the verification and registration of Security Covers</w:t>
      </w:r>
      <w:r w:rsidR="00DB548B">
        <w:t>; and</w:t>
      </w:r>
    </w:p>
    <w:p w14:paraId="467D7933" w14:textId="71F11CCF" w:rsidR="003F05DB" w:rsidRDefault="00A10EFB" w:rsidP="00B03234">
      <w:pPr>
        <w:pStyle w:val="Heading5"/>
      </w:pPr>
      <w:r>
        <w:t>r</w:t>
      </w:r>
      <w:r w:rsidR="00DB548B">
        <w:t>esolve disputes among Market Participants</w:t>
      </w:r>
      <w:r w:rsidR="003F05DB">
        <w:t xml:space="preserve">. </w:t>
      </w:r>
    </w:p>
    <w:p w14:paraId="30B7C87D" w14:textId="4B064A0B" w:rsidR="003F05DB" w:rsidRDefault="003F05DB" w:rsidP="005B295A">
      <w:pPr>
        <w:pStyle w:val="Heading4"/>
      </w:pPr>
      <w:r>
        <w:t xml:space="preserve">The Market Operator will also be in charge to </w:t>
      </w:r>
      <w:r w:rsidRPr="00311E38">
        <w:t>monitor market</w:t>
      </w:r>
      <w:r>
        <w:t xml:space="preserve"> development </w:t>
      </w:r>
      <w:r w:rsidR="00DB548B">
        <w:t xml:space="preserve">and effectiveness </w:t>
      </w:r>
      <w:r>
        <w:t xml:space="preserve">and to propose changes for enhancing its efficiency. </w:t>
      </w:r>
    </w:p>
    <w:p w14:paraId="3E532A9F" w14:textId="55B5FC2A" w:rsidR="00BD4A27" w:rsidRDefault="00BD4A27" w:rsidP="005B295A">
      <w:pPr>
        <w:pStyle w:val="Heading4"/>
      </w:pPr>
      <w:r>
        <w:t xml:space="preserve">The Market Operator shall carry out all its activities in accordance with </w:t>
      </w:r>
      <w:r w:rsidR="00CD687F">
        <w:t xml:space="preserve">the provisions </w:t>
      </w:r>
      <w:r w:rsidR="00862954">
        <w:t xml:space="preserve">of the </w:t>
      </w:r>
      <w:r w:rsidR="00CD687F">
        <w:t>Act,</w:t>
      </w:r>
      <w:r w:rsidR="00F5425D">
        <w:t xml:space="preserve"> rules, regulations,</w:t>
      </w:r>
      <w:r w:rsidR="00CD687F">
        <w:t xml:space="preserve"> </w:t>
      </w:r>
      <w:r>
        <w:t xml:space="preserve">its </w:t>
      </w:r>
      <w:r w:rsidR="00520202">
        <w:t>License</w:t>
      </w:r>
      <w:r>
        <w:t xml:space="preserve">, </w:t>
      </w:r>
      <w:r w:rsidR="00F05124">
        <w:t>this Code</w:t>
      </w:r>
      <w:r w:rsidR="00DB548B">
        <w:t xml:space="preserve"> </w:t>
      </w:r>
      <w:r w:rsidR="001A5320">
        <w:t xml:space="preserve">and any other </w:t>
      </w:r>
      <w:r w:rsidR="00F5425D">
        <w:t>applicable legal instruments.</w:t>
      </w:r>
    </w:p>
    <w:p w14:paraId="41E9863F" w14:textId="70630125" w:rsidR="00293F8F" w:rsidRDefault="00293F8F" w:rsidP="00C173D0">
      <w:pPr>
        <w:pStyle w:val="Heading3"/>
      </w:pPr>
      <w:r w:rsidRPr="00396089">
        <w:t>SYSTEM OPERATOR</w:t>
      </w:r>
    </w:p>
    <w:p w14:paraId="2874979D" w14:textId="67386C0C" w:rsidR="009D65ED" w:rsidRDefault="009D65ED" w:rsidP="005B295A">
      <w:pPr>
        <w:pStyle w:val="Heading4"/>
      </w:pPr>
      <w:r>
        <w:t xml:space="preserve">The System Operator </w:t>
      </w:r>
      <w:r w:rsidR="009D71A0">
        <w:t xml:space="preserve">shall be </w:t>
      </w:r>
      <w:r>
        <w:t>responsible for</w:t>
      </w:r>
      <w:r w:rsidR="009D71A0">
        <w:t xml:space="preserve"> planning, dispatch and </w:t>
      </w:r>
      <w:r>
        <w:t xml:space="preserve">secure </w:t>
      </w:r>
      <w:r w:rsidR="009D71A0">
        <w:t xml:space="preserve">&amp; </w:t>
      </w:r>
      <w:r>
        <w:t xml:space="preserve">reliable operation of the </w:t>
      </w:r>
      <w:r w:rsidR="000D5129">
        <w:t>Transmission</w:t>
      </w:r>
      <w:r w:rsidR="009D71A0">
        <w:t xml:space="preserve"> and relevant segment of Distribution</w:t>
      </w:r>
      <w:r w:rsidR="000D5129">
        <w:t xml:space="preserve"> Network</w:t>
      </w:r>
      <w:r>
        <w:t xml:space="preserve"> </w:t>
      </w:r>
      <w:r w:rsidR="009D71A0">
        <w:t>as specified in the Grid Code</w:t>
      </w:r>
      <w:r>
        <w:t xml:space="preserve">. </w:t>
      </w:r>
    </w:p>
    <w:p w14:paraId="0FDD7391" w14:textId="629313D3" w:rsidR="009D65ED" w:rsidRDefault="009B416F" w:rsidP="005B295A">
      <w:pPr>
        <w:pStyle w:val="Heading4"/>
      </w:pPr>
      <w:r>
        <w:t xml:space="preserve">The duties of the </w:t>
      </w:r>
      <w:r w:rsidR="009D65ED">
        <w:t xml:space="preserve">System Operator </w:t>
      </w:r>
      <w:r>
        <w:t xml:space="preserve">shall, </w:t>
      </w:r>
      <w:r w:rsidRPr="009B416F">
        <w:rPr>
          <w:i/>
          <w:iCs w:val="0"/>
        </w:rPr>
        <w:t>inter alia,</w:t>
      </w:r>
      <w:r>
        <w:t xml:space="preserve"> </w:t>
      </w:r>
      <w:r w:rsidR="009D65ED">
        <w:t xml:space="preserve">include: </w:t>
      </w:r>
    </w:p>
    <w:p w14:paraId="7159724E" w14:textId="3F6C6F00" w:rsidR="002B48FB" w:rsidRDefault="00A10EFB" w:rsidP="002B48FB">
      <w:pPr>
        <w:pStyle w:val="Heading5"/>
      </w:pPr>
      <w:r>
        <w:t>G</w:t>
      </w:r>
      <w:r w:rsidR="002B48FB" w:rsidRPr="002B48FB">
        <w:t xml:space="preserve">eneration scheduling, </w:t>
      </w:r>
      <w:r w:rsidR="009B416F">
        <w:t xml:space="preserve">unit </w:t>
      </w:r>
      <w:r w:rsidR="002B48FB" w:rsidRPr="002B48FB">
        <w:t>commitment and dispatch</w:t>
      </w:r>
      <w:r w:rsidR="002B48FB">
        <w:t>;</w:t>
      </w:r>
    </w:p>
    <w:p w14:paraId="022139CB" w14:textId="02963461" w:rsidR="002B48FB" w:rsidRPr="002B48FB" w:rsidRDefault="00520202" w:rsidP="002B48FB">
      <w:pPr>
        <w:pStyle w:val="Heading5"/>
      </w:pPr>
      <w:r>
        <w:t>Transmission</w:t>
      </w:r>
      <w:r w:rsidR="002B48FB" w:rsidRPr="002B48FB">
        <w:t xml:space="preserve"> scheduling and generation outage coordination</w:t>
      </w:r>
      <w:r w:rsidR="002B48FB">
        <w:t xml:space="preserve"> including </w:t>
      </w:r>
      <w:r w:rsidR="002B48FB" w:rsidRPr="002B48FB">
        <w:t xml:space="preserve">cross border </w:t>
      </w:r>
      <w:r>
        <w:t>Transmission</w:t>
      </w:r>
      <w:r w:rsidR="002B48FB" w:rsidRPr="002B48FB">
        <w:t xml:space="preserve"> coordination</w:t>
      </w:r>
      <w:r w:rsidR="002B48FB">
        <w:t>;</w:t>
      </w:r>
    </w:p>
    <w:p w14:paraId="56E730EE" w14:textId="045D2C2D" w:rsidR="009D65ED" w:rsidRDefault="009B416F" w:rsidP="002B48FB">
      <w:pPr>
        <w:pStyle w:val="Heading5"/>
      </w:pPr>
      <w:r>
        <w:t>c</w:t>
      </w:r>
      <w:r w:rsidR="009D65ED">
        <w:t xml:space="preserve">onducting reliable </w:t>
      </w:r>
      <w:r>
        <w:t xml:space="preserve">short and medium term </w:t>
      </w:r>
      <w:r w:rsidR="009D65ED">
        <w:t>operational planning;</w:t>
      </w:r>
    </w:p>
    <w:p w14:paraId="571677C6" w14:textId="5D081BF2" w:rsidR="009D65ED" w:rsidRDefault="009D65ED" w:rsidP="005B5C64">
      <w:pPr>
        <w:pStyle w:val="Heading5"/>
      </w:pPr>
      <w:r>
        <w:t xml:space="preserve"> </w:t>
      </w:r>
      <w:r w:rsidR="009B416F">
        <w:t>i</w:t>
      </w:r>
      <w:r>
        <w:t>mplementing the Security Constrained Economic Dispatch (SCED) for secure and economic operation of the system</w:t>
      </w:r>
      <w:r w:rsidR="002B48FB">
        <w:t xml:space="preserve"> including </w:t>
      </w:r>
      <w:r w:rsidR="00520202">
        <w:t>Transmission</w:t>
      </w:r>
      <w:r w:rsidR="002B48FB" w:rsidRPr="002B48FB">
        <w:t xml:space="preserve"> </w:t>
      </w:r>
      <w:r w:rsidR="009B416F">
        <w:t>C</w:t>
      </w:r>
      <w:r w:rsidR="002B48FB" w:rsidRPr="002B48FB">
        <w:t>ongestion management</w:t>
      </w:r>
      <w:r>
        <w:t xml:space="preserve">; </w:t>
      </w:r>
    </w:p>
    <w:p w14:paraId="368783AF" w14:textId="1B24FE4A" w:rsidR="009D65ED" w:rsidRDefault="009B416F" w:rsidP="002B48FB">
      <w:pPr>
        <w:pStyle w:val="Heading5"/>
      </w:pPr>
      <w:r>
        <w:t>scheduling</w:t>
      </w:r>
      <w:r w:rsidR="009D65ED">
        <w:t xml:space="preserve"> and dispatching the necessary Ancillary Services; </w:t>
      </w:r>
    </w:p>
    <w:p w14:paraId="1072E970" w14:textId="4462FB7B" w:rsidR="009D65ED" w:rsidRDefault="009B416F" w:rsidP="002B48FB">
      <w:pPr>
        <w:pStyle w:val="Heading5"/>
      </w:pPr>
      <w:r>
        <w:t>c</w:t>
      </w:r>
      <w:r w:rsidR="009D65ED">
        <w:t xml:space="preserve">alculation of the </w:t>
      </w:r>
      <w:r>
        <w:t>System M</w:t>
      </w:r>
      <w:r w:rsidR="009D65ED">
        <w:t xml:space="preserve">arginal </w:t>
      </w:r>
      <w:r>
        <w:t>P</w:t>
      </w:r>
      <w:r w:rsidR="009D65ED">
        <w:t xml:space="preserve">rices for each hour; </w:t>
      </w:r>
    </w:p>
    <w:p w14:paraId="156E6C48" w14:textId="636FD166" w:rsidR="001A5320" w:rsidRPr="00B31FEE" w:rsidRDefault="009B416F" w:rsidP="00B03234">
      <w:pPr>
        <w:pStyle w:val="Heading5"/>
      </w:pPr>
      <w:r>
        <w:lastRenderedPageBreak/>
        <w:t>k</w:t>
      </w:r>
      <w:r w:rsidR="009D65ED">
        <w:t xml:space="preserve">eeping the system in permanent balance </w:t>
      </w:r>
      <w:r>
        <w:t>by considering</w:t>
      </w:r>
      <w:r w:rsidR="009D65ED">
        <w:t xml:space="preserve"> the security and reliability </w:t>
      </w:r>
      <w:r w:rsidR="009D65ED" w:rsidRPr="00B31FEE">
        <w:t>constraints</w:t>
      </w:r>
      <w:r w:rsidR="001A5320" w:rsidRPr="00B31FEE">
        <w:t xml:space="preserve">; </w:t>
      </w:r>
    </w:p>
    <w:p w14:paraId="66746A7B" w14:textId="188CFB78" w:rsidR="002B48FB" w:rsidRPr="00B31FEE" w:rsidRDefault="009B416F" w:rsidP="00B03234">
      <w:pPr>
        <w:pStyle w:val="Heading5"/>
      </w:pPr>
      <w:r w:rsidRPr="00B03C4A">
        <w:t>d</w:t>
      </w:r>
      <w:r w:rsidR="001A5320" w:rsidRPr="00B03C4A">
        <w:t>evelop indicative long</w:t>
      </w:r>
      <w:r w:rsidR="00650C89" w:rsidRPr="00B03C4A">
        <w:t>-</w:t>
      </w:r>
      <w:r w:rsidR="001A5320" w:rsidRPr="00B03C4A">
        <w:t xml:space="preserve">term generation </w:t>
      </w:r>
      <w:r w:rsidR="00E82DCA" w:rsidRPr="00B03C4A">
        <w:t xml:space="preserve">plans </w:t>
      </w:r>
      <w:r w:rsidR="001A5320" w:rsidRPr="00B03C4A">
        <w:t xml:space="preserve">and </w:t>
      </w:r>
      <w:r w:rsidR="00E82DCA" w:rsidRPr="00B03C4A">
        <w:t>t</w:t>
      </w:r>
      <w:r w:rsidR="00520202" w:rsidRPr="00B03C4A">
        <w:t>ransmission</w:t>
      </w:r>
      <w:r w:rsidR="00E82DCA" w:rsidRPr="00B03C4A">
        <w:t xml:space="preserve"> system expansion</w:t>
      </w:r>
      <w:r w:rsidR="001A5320" w:rsidRPr="00B03C4A">
        <w:t xml:space="preserve"> </w:t>
      </w:r>
      <w:r w:rsidR="00E82DCA" w:rsidRPr="00B03C4A">
        <w:t>plans</w:t>
      </w:r>
      <w:r w:rsidRPr="00B31FEE">
        <w:t xml:space="preserve">; </w:t>
      </w:r>
      <w:r w:rsidR="00B31FEE" w:rsidRPr="00B31FEE">
        <w:t xml:space="preserve">when such functions are transferred to the System Operator; </w:t>
      </w:r>
      <w:r w:rsidRPr="00B31FEE">
        <w:t>and</w:t>
      </w:r>
    </w:p>
    <w:p w14:paraId="4C43A6DF" w14:textId="7397F405" w:rsidR="009D65ED" w:rsidRDefault="009B416F" w:rsidP="00B03234">
      <w:pPr>
        <w:pStyle w:val="Heading5"/>
      </w:pPr>
      <w:r>
        <w:t>s</w:t>
      </w:r>
      <w:r w:rsidR="002B48FB" w:rsidRPr="002B48FB">
        <w:t>uch other activities as may be required for reliable and efficient system operations</w:t>
      </w:r>
      <w:r w:rsidR="00B31FEE">
        <w:t>.</w:t>
      </w:r>
      <w:r w:rsidR="009D65ED">
        <w:t xml:space="preserve"> </w:t>
      </w:r>
    </w:p>
    <w:p w14:paraId="7A1528CD" w14:textId="4AA26733" w:rsidR="00BD4A27" w:rsidRPr="00BD4A27" w:rsidRDefault="00BD4A27" w:rsidP="005B295A">
      <w:pPr>
        <w:pStyle w:val="Heading4"/>
      </w:pPr>
      <w:r>
        <w:t xml:space="preserve">The System Operator shall </w:t>
      </w:r>
      <w:r w:rsidR="00DE3E99">
        <w:t>perform</w:t>
      </w:r>
      <w:r>
        <w:t xml:space="preserve"> its </w:t>
      </w:r>
      <w:r w:rsidR="00DE3E99">
        <w:t xml:space="preserve">duties </w:t>
      </w:r>
      <w:r>
        <w:t xml:space="preserve">in accordance with </w:t>
      </w:r>
      <w:r w:rsidR="00650C89">
        <w:t>the provisions of the Act,</w:t>
      </w:r>
      <w:r w:rsidR="00C72ECB">
        <w:t xml:space="preserve"> rules, regulations,</w:t>
      </w:r>
      <w:r w:rsidR="00650C89">
        <w:t xml:space="preserve"> </w:t>
      </w:r>
      <w:r w:rsidR="00520202">
        <w:t>License</w:t>
      </w:r>
      <w:r>
        <w:t xml:space="preserve">, </w:t>
      </w:r>
      <w:r w:rsidRPr="00BD4A27">
        <w:t>the Grid Code</w:t>
      </w:r>
      <w:r w:rsidR="00650C89">
        <w:t xml:space="preserve">, </w:t>
      </w:r>
      <w:r w:rsidR="00F05124">
        <w:t>this Code</w:t>
      </w:r>
      <w:r w:rsidRPr="00BD4A27">
        <w:t xml:space="preserve"> and any other </w:t>
      </w:r>
      <w:r w:rsidR="00C72ECB">
        <w:t>a</w:t>
      </w:r>
      <w:r w:rsidR="00CD687F" w:rsidRPr="002B48FB">
        <w:t xml:space="preserve">pplicable </w:t>
      </w:r>
      <w:r w:rsidR="00C72ECB">
        <w:t>legal instruments</w:t>
      </w:r>
      <w:r w:rsidR="003C34C7" w:rsidRPr="00BD4A27">
        <w:t>.</w:t>
      </w:r>
    </w:p>
    <w:p w14:paraId="212FCEDF" w14:textId="6A3CBE9A" w:rsidR="009D65ED" w:rsidRPr="009D65ED" w:rsidRDefault="009D65ED" w:rsidP="00AE1AD1">
      <w:pPr>
        <w:pStyle w:val="Heading4"/>
      </w:pPr>
      <w:r>
        <w:t>To ensure transparency in its operations, the</w:t>
      </w:r>
      <w:r w:rsidRPr="004C0699">
        <w:t xml:space="preserve"> S</w:t>
      </w:r>
      <w:r>
        <w:t xml:space="preserve">ystem </w:t>
      </w:r>
      <w:r w:rsidRPr="004C0699">
        <w:t>O</w:t>
      </w:r>
      <w:r>
        <w:t>perator</w:t>
      </w:r>
      <w:r w:rsidRPr="004C0699">
        <w:t xml:space="preserve"> </w:t>
      </w:r>
      <w:r>
        <w:t>shall</w:t>
      </w:r>
      <w:r w:rsidRPr="004C0699">
        <w:t xml:space="preserve"> publish planning reports</w:t>
      </w:r>
      <w:r>
        <w:t xml:space="preserve">, </w:t>
      </w:r>
      <w:r w:rsidRPr="004C0699">
        <w:t>real time operational decisions</w:t>
      </w:r>
      <w:r>
        <w:t>,</w:t>
      </w:r>
      <w:r w:rsidRPr="004C0699">
        <w:t xml:space="preserve"> </w:t>
      </w:r>
      <w:r>
        <w:t xml:space="preserve">the results of the </w:t>
      </w:r>
      <w:r w:rsidR="00DE3E99">
        <w:t xml:space="preserve">dispatch </w:t>
      </w:r>
      <w:r>
        <w:t xml:space="preserve">and the </w:t>
      </w:r>
      <w:r w:rsidR="00DE3E99">
        <w:t>System M</w:t>
      </w:r>
      <w:r>
        <w:t xml:space="preserve">arginal </w:t>
      </w:r>
      <w:r w:rsidR="00DE3E99">
        <w:t>P</w:t>
      </w:r>
      <w:r>
        <w:t xml:space="preserve">rices </w:t>
      </w:r>
      <w:r w:rsidRPr="004C0699">
        <w:t>on its website</w:t>
      </w:r>
      <w:r>
        <w:t xml:space="preserve">. </w:t>
      </w:r>
    </w:p>
    <w:p w14:paraId="36CFE88B" w14:textId="55D74634" w:rsidR="00293F8F" w:rsidRDefault="00293F8F" w:rsidP="00C173D0">
      <w:pPr>
        <w:pStyle w:val="Heading2"/>
      </w:pPr>
      <w:bookmarkStart w:id="58" w:name="_Toc64846653"/>
      <w:bookmarkStart w:id="59" w:name="_Toc69476950"/>
      <w:r w:rsidRPr="00396089">
        <w:t>M</w:t>
      </w:r>
      <w:r w:rsidR="001C4A85">
        <w:t>arket Participants</w:t>
      </w:r>
      <w:bookmarkEnd w:id="58"/>
      <w:bookmarkEnd w:id="59"/>
    </w:p>
    <w:p w14:paraId="651ED82A" w14:textId="77777777" w:rsidR="003B2622" w:rsidRDefault="00293F8F" w:rsidP="00C173D0">
      <w:pPr>
        <w:pStyle w:val="Heading3"/>
      </w:pPr>
      <w:r>
        <w:t>G</w:t>
      </w:r>
      <w:r w:rsidR="003B2622">
        <w:t>eneral</w:t>
      </w:r>
    </w:p>
    <w:p w14:paraId="56B014C8" w14:textId="3769041F" w:rsidR="009C2B37" w:rsidRDefault="003B2622" w:rsidP="005B295A">
      <w:pPr>
        <w:pStyle w:val="Heading4"/>
      </w:pPr>
      <w:r>
        <w:t xml:space="preserve">The Market Participants </w:t>
      </w:r>
      <w:r w:rsidR="00DE3E99">
        <w:t xml:space="preserve">shall be </w:t>
      </w:r>
      <w:r>
        <w:t xml:space="preserve">the entities which buy and / or sell </w:t>
      </w:r>
      <w:r w:rsidR="00CD687F">
        <w:t xml:space="preserve">Energy and/or Capacity </w:t>
      </w:r>
      <w:r>
        <w:t xml:space="preserve">in the </w:t>
      </w:r>
      <w:r w:rsidR="009C2B37">
        <w:t xml:space="preserve">wholesale </w:t>
      </w:r>
      <w:r>
        <w:t xml:space="preserve">market. </w:t>
      </w:r>
    </w:p>
    <w:p w14:paraId="2587B6AC" w14:textId="52CFDB7F" w:rsidR="009C2B37" w:rsidRDefault="009C2B37" w:rsidP="005B295A">
      <w:pPr>
        <w:pStyle w:val="Heading4"/>
      </w:pPr>
      <w:bookmarkStart w:id="60" w:name="_Ref64552873"/>
      <w:r>
        <w:t>F</w:t>
      </w:r>
      <w:r w:rsidR="003B2622">
        <w:t xml:space="preserve">ollowing </w:t>
      </w:r>
      <w:r w:rsidR="008A4B65">
        <w:t>Categories</w:t>
      </w:r>
      <w:r w:rsidR="003B2622">
        <w:t xml:space="preserve"> of </w:t>
      </w:r>
      <w:r w:rsidR="00136176">
        <w:t>Market Participant</w:t>
      </w:r>
      <w:r w:rsidR="003B2622">
        <w:t xml:space="preserve">s </w:t>
      </w:r>
      <w:r w:rsidR="00DE3E99">
        <w:t xml:space="preserve">shall be </w:t>
      </w:r>
      <w:r>
        <w:t>entitled to participate in the CTBCM:</w:t>
      </w:r>
      <w:bookmarkEnd w:id="60"/>
      <w:r>
        <w:t xml:space="preserve"> </w:t>
      </w:r>
    </w:p>
    <w:p w14:paraId="7BFA8FE4" w14:textId="69B2792A" w:rsidR="003B2622" w:rsidRDefault="009C2B37" w:rsidP="00B03234">
      <w:pPr>
        <w:pStyle w:val="Heading5"/>
      </w:pPr>
      <w:r>
        <w:t>Generation Companies</w:t>
      </w:r>
      <w:r w:rsidR="00B31FEE">
        <w:t>.</w:t>
      </w:r>
    </w:p>
    <w:p w14:paraId="19B7176A" w14:textId="0B2486DC" w:rsidR="009C2B37" w:rsidRDefault="00DE3E99" w:rsidP="00B03234">
      <w:pPr>
        <w:pStyle w:val="Heading5"/>
      </w:pPr>
      <w:r>
        <w:t xml:space="preserve">Electric Power </w:t>
      </w:r>
      <w:r w:rsidR="009C2B37">
        <w:t>Suppliers</w:t>
      </w:r>
      <w:r w:rsidR="00B31FEE">
        <w:t>.</w:t>
      </w:r>
      <w:r w:rsidR="009C2B37">
        <w:t xml:space="preserve"> </w:t>
      </w:r>
    </w:p>
    <w:p w14:paraId="32FE288D" w14:textId="135652BB" w:rsidR="009C2B37" w:rsidRDefault="00DE3E99" w:rsidP="00B03234">
      <w:pPr>
        <w:pStyle w:val="Heading5"/>
      </w:pPr>
      <w:r>
        <w:t xml:space="preserve">Electric Power </w:t>
      </w:r>
      <w:r w:rsidR="009C2B37">
        <w:t>Traders</w:t>
      </w:r>
      <w:r w:rsidR="00B31FEE">
        <w:t>.</w:t>
      </w:r>
      <w:r w:rsidR="009C2B37">
        <w:t xml:space="preserve"> </w:t>
      </w:r>
    </w:p>
    <w:p w14:paraId="7F39545B" w14:textId="696165DA" w:rsidR="009C2B37" w:rsidRDefault="009C2B37" w:rsidP="00B03234">
      <w:pPr>
        <w:pStyle w:val="Heading5"/>
      </w:pPr>
      <w:r>
        <w:t>B</w:t>
      </w:r>
      <w:r w:rsidR="00DE3E99">
        <w:t xml:space="preserve">ulk </w:t>
      </w:r>
      <w:r>
        <w:t>P</w:t>
      </w:r>
      <w:r w:rsidR="00DE3E99">
        <w:t xml:space="preserve">ower </w:t>
      </w:r>
      <w:r>
        <w:t>C</w:t>
      </w:r>
      <w:r w:rsidR="00DE3E99">
        <w:t>onsumers</w:t>
      </w:r>
      <w:r w:rsidR="00B31FEE">
        <w:t>.</w:t>
      </w:r>
    </w:p>
    <w:p w14:paraId="566F18A2" w14:textId="7E219228" w:rsidR="003B2622" w:rsidRDefault="003B2622" w:rsidP="00C173D0">
      <w:pPr>
        <w:pStyle w:val="Heading3"/>
      </w:pPr>
      <w:bookmarkStart w:id="61" w:name="_Toc479763158"/>
      <w:r>
        <w:t>Generat</w:t>
      </w:r>
      <w:r w:rsidR="0020620F">
        <w:t>ion Companies</w:t>
      </w:r>
      <w:bookmarkEnd w:id="61"/>
    </w:p>
    <w:p w14:paraId="384EDC78" w14:textId="1420967C" w:rsidR="0020620F" w:rsidRPr="0020620F" w:rsidRDefault="00C10165" w:rsidP="005B295A">
      <w:pPr>
        <w:pStyle w:val="Heading4"/>
      </w:pPr>
      <w:r>
        <w:t xml:space="preserve">A </w:t>
      </w:r>
      <w:r w:rsidR="0020620F" w:rsidRPr="0020620F">
        <w:t>Generation Compan</w:t>
      </w:r>
      <w:r>
        <w:t>y</w:t>
      </w:r>
      <w:r w:rsidR="0020620F" w:rsidRPr="0020620F">
        <w:t xml:space="preserve"> </w:t>
      </w:r>
      <w:r>
        <w:t>shall be an</w:t>
      </w:r>
      <w:r w:rsidRPr="0020620F">
        <w:t xml:space="preserve"> </w:t>
      </w:r>
      <w:r>
        <w:t>entity</w:t>
      </w:r>
      <w:r w:rsidRPr="0020620F">
        <w:t xml:space="preserve"> </w:t>
      </w:r>
      <w:r w:rsidR="0020620F" w:rsidRPr="0020620F">
        <w:t xml:space="preserve">which </w:t>
      </w:r>
      <w:r>
        <w:t>has</w:t>
      </w:r>
      <w:r w:rsidRPr="0020620F">
        <w:t xml:space="preserve"> installed </w:t>
      </w:r>
      <w:r>
        <w:t>a</w:t>
      </w:r>
      <w:r w:rsidRPr="0020620F">
        <w:t xml:space="preserve"> </w:t>
      </w:r>
      <w:r>
        <w:t>Generation Unit or a Generation Plant</w:t>
      </w:r>
      <w:r w:rsidRPr="0020620F">
        <w:t xml:space="preserve"> </w:t>
      </w:r>
      <w:r>
        <w:t>and is engaged in production</w:t>
      </w:r>
      <w:r w:rsidR="003B2622" w:rsidRPr="0020620F">
        <w:t xml:space="preserve"> and sell</w:t>
      </w:r>
      <w:r>
        <w:t>ing of</w:t>
      </w:r>
      <w:r w:rsidR="003B2622" w:rsidRPr="0020620F">
        <w:t xml:space="preserve"> </w:t>
      </w:r>
      <w:r w:rsidR="0020779B">
        <w:t>electric power</w:t>
      </w:r>
      <w:r w:rsidR="003B2622" w:rsidRPr="0020779B">
        <w:t>.</w:t>
      </w:r>
      <w:r w:rsidR="0020620F" w:rsidRPr="0020620F">
        <w:t xml:space="preserve"> </w:t>
      </w:r>
    </w:p>
    <w:p w14:paraId="486C20E6" w14:textId="4139DEF3" w:rsidR="003B2622" w:rsidRPr="0020620F" w:rsidRDefault="0020620F" w:rsidP="005B295A">
      <w:pPr>
        <w:pStyle w:val="Heading4"/>
      </w:pPr>
      <w:r>
        <w:t xml:space="preserve">To participate in the CTBCM, </w:t>
      </w:r>
      <w:r w:rsidR="00C10165">
        <w:t xml:space="preserve">a </w:t>
      </w:r>
      <w:r w:rsidR="003B2622" w:rsidRPr="0020620F">
        <w:t xml:space="preserve">Generator shall abide </w:t>
      </w:r>
      <w:r w:rsidR="0020779B">
        <w:t>by the</w:t>
      </w:r>
      <w:r w:rsidR="0020779B" w:rsidRPr="0020620F">
        <w:t xml:space="preserve"> </w:t>
      </w:r>
      <w:r w:rsidR="003B2622" w:rsidRPr="0020620F">
        <w:t xml:space="preserve">following </w:t>
      </w:r>
      <w:r w:rsidR="003A3188">
        <w:t>requirements</w:t>
      </w:r>
      <w:r w:rsidR="003B2622" w:rsidRPr="0020620F">
        <w:t xml:space="preserve">: </w:t>
      </w:r>
    </w:p>
    <w:p w14:paraId="19DDBD18" w14:textId="497B2426" w:rsidR="007A6204" w:rsidRDefault="00B31FEE" w:rsidP="007A6204">
      <w:pPr>
        <w:pStyle w:val="Heading5"/>
      </w:pPr>
      <w:r>
        <w:t>A</w:t>
      </w:r>
      <w:r w:rsidR="00C10165">
        <w:t xml:space="preserve"> </w:t>
      </w:r>
      <w:r w:rsidR="000B1401">
        <w:t>Generation</w:t>
      </w:r>
      <w:r w:rsidR="003B2622">
        <w:t xml:space="preserve"> </w:t>
      </w:r>
      <w:r w:rsidR="000B1401">
        <w:t>P</w:t>
      </w:r>
      <w:r w:rsidR="003B2622">
        <w:t>lant</w:t>
      </w:r>
      <w:r w:rsidR="007A6204">
        <w:t xml:space="preserve"> or a Generation Unit</w:t>
      </w:r>
      <w:r w:rsidR="003B2622">
        <w:t xml:space="preserve"> </w:t>
      </w:r>
      <w:r w:rsidR="007A6204">
        <w:t xml:space="preserve">which has been classified as Dispatchable Generation Unit shall be operated in accordance with the </w:t>
      </w:r>
      <w:r w:rsidR="003B2622" w:rsidRPr="00C173D0">
        <w:t>centralized Security Constrained Economic Dispatch (SCED)</w:t>
      </w:r>
      <w:r>
        <w:t>.</w:t>
      </w:r>
      <w:r w:rsidR="003B2622" w:rsidRPr="00C173D0">
        <w:t xml:space="preserve"> </w:t>
      </w:r>
    </w:p>
    <w:p w14:paraId="7736ED32" w14:textId="20C7D00C" w:rsidR="003B2622" w:rsidRDefault="003B2622" w:rsidP="007A6204">
      <w:pPr>
        <w:pStyle w:val="Heading5"/>
      </w:pPr>
      <w:r w:rsidRPr="00C173D0">
        <w:t xml:space="preserve"> </w:t>
      </w:r>
      <w:r w:rsidR="00B31FEE">
        <w:t>A</w:t>
      </w:r>
      <w:r w:rsidR="007A6204">
        <w:t xml:space="preserve"> Generation Plant or a Generation Unit which has been classified as Non-Dispatchable Generation Unit shall be </w:t>
      </w:r>
      <w:r w:rsidR="0020620F">
        <w:t>operated</w:t>
      </w:r>
      <w:r>
        <w:t xml:space="preserve"> in accordance </w:t>
      </w:r>
      <w:r w:rsidR="00C10165">
        <w:t xml:space="preserve">with </w:t>
      </w:r>
      <w:r w:rsidR="0020620F">
        <w:t xml:space="preserve">the </w:t>
      </w:r>
      <w:r>
        <w:t xml:space="preserve">conditions, requirements and procedures </w:t>
      </w:r>
      <w:r w:rsidR="007A6204">
        <w:t xml:space="preserve">specified </w:t>
      </w:r>
      <w:r>
        <w:t>in the Grid Code</w:t>
      </w:r>
      <w:r w:rsidR="00B31FEE">
        <w:t>.</w:t>
      </w:r>
    </w:p>
    <w:p w14:paraId="1136889C" w14:textId="488105A4" w:rsidR="003B2622" w:rsidRDefault="00B31FEE" w:rsidP="00B03234">
      <w:pPr>
        <w:pStyle w:val="Heading5"/>
      </w:pPr>
      <w:r>
        <w:t>W</w:t>
      </w:r>
      <w:r w:rsidR="0020620F">
        <w:t xml:space="preserve">ithin </w:t>
      </w:r>
      <w:r w:rsidR="007A6204">
        <w:t xml:space="preserve">its </w:t>
      </w:r>
      <w:r w:rsidR="0020620F">
        <w:t xml:space="preserve">technical capabilities, </w:t>
      </w:r>
      <w:r w:rsidR="007A6204">
        <w:t xml:space="preserve">it </w:t>
      </w:r>
      <w:r w:rsidR="0020620F">
        <w:t xml:space="preserve">shall provide the </w:t>
      </w:r>
      <w:r w:rsidR="003B2622">
        <w:t xml:space="preserve">Ancillary </w:t>
      </w:r>
      <w:r w:rsidR="0020620F">
        <w:t>S</w:t>
      </w:r>
      <w:r w:rsidR="003B2622">
        <w:t xml:space="preserve">ervices </w:t>
      </w:r>
      <w:r w:rsidR="0020620F">
        <w:t xml:space="preserve">required by the </w:t>
      </w:r>
      <w:r w:rsidR="003B2622">
        <w:t xml:space="preserve">System Operator, as </w:t>
      </w:r>
      <w:r w:rsidR="007A6204">
        <w:t>specified in</w:t>
      </w:r>
      <w:r w:rsidR="003B2622">
        <w:t xml:space="preserve"> the Grid Code</w:t>
      </w:r>
      <w:r>
        <w:t>.</w:t>
      </w:r>
    </w:p>
    <w:p w14:paraId="106A0EF6" w14:textId="74A877AA" w:rsidR="003B2622" w:rsidRDefault="00B31FEE" w:rsidP="00B03234">
      <w:pPr>
        <w:pStyle w:val="Heading5"/>
      </w:pPr>
      <w:bookmarkStart w:id="62" w:name="_Hlk63505083"/>
      <w:r>
        <w:t>I</w:t>
      </w:r>
      <w:r w:rsidR="007A6204">
        <w:t xml:space="preserve">t </w:t>
      </w:r>
      <w:r w:rsidR="0020620F">
        <w:t xml:space="preserve">shall register as </w:t>
      </w:r>
      <w:r w:rsidR="007A6204">
        <w:t xml:space="preserve">a </w:t>
      </w:r>
      <w:r w:rsidR="0020620F">
        <w:t xml:space="preserve">Market Participant </w:t>
      </w:r>
      <w:r w:rsidR="00AF399E">
        <w:t xml:space="preserve">if </w:t>
      </w:r>
      <w:r w:rsidR="0020620F">
        <w:t xml:space="preserve"> </w:t>
      </w:r>
      <w:r w:rsidR="007A6204">
        <w:t xml:space="preserve">it </w:t>
      </w:r>
      <w:r w:rsidR="0020620F">
        <w:t>sell</w:t>
      </w:r>
      <w:r w:rsidR="007A6204">
        <w:t>s</w:t>
      </w:r>
      <w:r w:rsidR="0020620F">
        <w:t xml:space="preserve"> or plan</w:t>
      </w:r>
      <w:r w:rsidR="007A6204">
        <w:t>s</w:t>
      </w:r>
      <w:r w:rsidR="0020620F">
        <w:t xml:space="preserve"> to sell </w:t>
      </w:r>
      <w:r w:rsidR="007A6204">
        <w:t xml:space="preserve">the </w:t>
      </w:r>
      <w:r w:rsidR="0046412E">
        <w:t>Energy</w:t>
      </w:r>
      <w:r w:rsidR="0020620F">
        <w:t xml:space="preserve"> and/or </w:t>
      </w:r>
      <w:r w:rsidR="0046412E">
        <w:t>Capacity</w:t>
      </w:r>
      <w:r w:rsidR="0020620F">
        <w:t xml:space="preserve"> to other Market Participants. </w:t>
      </w:r>
      <w:r w:rsidR="00AF399E">
        <w:t xml:space="preserve">However, it is clarified </w:t>
      </w:r>
      <w:r w:rsidR="0020779B">
        <w:t xml:space="preserve">that </w:t>
      </w:r>
      <w:r w:rsidR="00AF399E">
        <w:t xml:space="preserve">a </w:t>
      </w:r>
      <w:r w:rsidR="003B2622">
        <w:t xml:space="preserve">small </w:t>
      </w:r>
      <w:r w:rsidR="00F16219">
        <w:t xml:space="preserve">Generator, </w:t>
      </w:r>
      <w:r w:rsidR="003B2622">
        <w:t xml:space="preserve">connected to </w:t>
      </w:r>
      <w:r w:rsidR="00D93747">
        <w:t xml:space="preserve">a </w:t>
      </w:r>
      <w:r w:rsidR="00AF399E">
        <w:t>D</w:t>
      </w:r>
      <w:r w:rsidR="003B2622">
        <w:t xml:space="preserve">istribution </w:t>
      </w:r>
      <w:r w:rsidR="00AF399E">
        <w:t>N</w:t>
      </w:r>
      <w:r w:rsidR="003B2622">
        <w:t>etwork</w:t>
      </w:r>
      <w:r w:rsidR="00AF399E">
        <w:t xml:space="preserve"> at the distribution voltage</w:t>
      </w:r>
      <w:r w:rsidR="00D93747">
        <w:t xml:space="preserve">  which doesn’t fall in the scope of the Grid Code,</w:t>
      </w:r>
      <w:r w:rsidR="003B2622">
        <w:t xml:space="preserve"> </w:t>
      </w:r>
      <w:r w:rsidR="00D93747">
        <w:t>and</w:t>
      </w:r>
      <w:r w:rsidR="00AF399E">
        <w:t xml:space="preserve"> </w:t>
      </w:r>
      <w:r w:rsidR="003B2622">
        <w:t>sell</w:t>
      </w:r>
      <w:r w:rsidR="00D93747">
        <w:t>s</w:t>
      </w:r>
      <w:r w:rsidR="003B2622">
        <w:t xml:space="preserve"> </w:t>
      </w:r>
      <w:r w:rsidR="0013082F">
        <w:t xml:space="preserve">all its </w:t>
      </w:r>
      <w:r w:rsidR="0020779B">
        <w:t>C</w:t>
      </w:r>
      <w:r w:rsidR="0013082F">
        <w:t xml:space="preserve">apacity and </w:t>
      </w:r>
      <w:r w:rsidR="0020779B">
        <w:t>E</w:t>
      </w:r>
      <w:r w:rsidR="0013082F">
        <w:t>nergy to a</w:t>
      </w:r>
      <w:r w:rsidR="003B2622">
        <w:t xml:space="preserve"> </w:t>
      </w:r>
      <w:r w:rsidR="00E82736">
        <w:t xml:space="preserve">Default Supplier </w:t>
      </w:r>
      <w:r w:rsidR="00686211">
        <w:t>or a</w:t>
      </w:r>
      <w:r w:rsidR="00BF564D">
        <w:t>n</w:t>
      </w:r>
      <w:r w:rsidR="00686211">
        <w:t xml:space="preserve"> </w:t>
      </w:r>
      <w:r w:rsidR="00BF564D">
        <w:t>Electric Power Trader</w:t>
      </w:r>
      <w:r w:rsidR="003B2622">
        <w:t xml:space="preserve">, </w:t>
      </w:r>
      <w:r w:rsidR="00D93747">
        <w:t>shall not be required to</w:t>
      </w:r>
      <w:r w:rsidR="00AF399E">
        <w:t xml:space="preserve"> </w:t>
      </w:r>
      <w:r w:rsidR="0013082F">
        <w:t>become</w:t>
      </w:r>
      <w:r w:rsidR="00D93747">
        <w:t xml:space="preserve"> a</w:t>
      </w:r>
      <w:r w:rsidR="0013082F">
        <w:t xml:space="preserve"> Market Participant. </w:t>
      </w:r>
    </w:p>
    <w:p w14:paraId="4FCCBC6C" w14:textId="2DBD4FF7" w:rsidR="003B2622" w:rsidRDefault="00D93747" w:rsidP="00C173D0">
      <w:pPr>
        <w:pStyle w:val="Heading3"/>
      </w:pPr>
      <w:bookmarkStart w:id="63" w:name="_Toc479763160"/>
      <w:bookmarkEnd w:id="62"/>
      <w:r>
        <w:lastRenderedPageBreak/>
        <w:t xml:space="preserve">Electric Power </w:t>
      </w:r>
      <w:r w:rsidR="003B2622">
        <w:t>Suppliers</w:t>
      </w:r>
      <w:bookmarkEnd w:id="63"/>
    </w:p>
    <w:p w14:paraId="50D60EC1" w14:textId="29EE8504" w:rsidR="00A1025D" w:rsidRPr="00B31FEE" w:rsidRDefault="00A1025D" w:rsidP="005B295A">
      <w:pPr>
        <w:pStyle w:val="Heading4"/>
      </w:pPr>
      <w:r w:rsidRPr="00B31FEE">
        <w:t xml:space="preserve">In the CTBCM, there shall be two types of Electric </w:t>
      </w:r>
      <w:commentRangeStart w:id="64"/>
      <w:r w:rsidRPr="00B31FEE">
        <w:t xml:space="preserve">Power Suppliers namely Competitive Electric Power Supplier and a Default Supplier Licensed by the </w:t>
      </w:r>
      <w:commentRangeEnd w:id="64"/>
      <w:r w:rsidR="00E82736" w:rsidRPr="00B31FEE">
        <w:rPr>
          <w:rStyle w:val="CommentReference"/>
          <w:rFonts w:eastAsiaTheme="minorHAnsi" w:cstheme="minorBidi"/>
          <w:bCs w:val="0"/>
          <w:iCs w:val="0"/>
          <w:color w:val="1C1C1C"/>
        </w:rPr>
        <w:commentReference w:id="64"/>
      </w:r>
      <w:r w:rsidRPr="00B31FEE">
        <w:t xml:space="preserve">Authority. </w:t>
      </w:r>
    </w:p>
    <w:p w14:paraId="02DC8F58" w14:textId="7243D251" w:rsidR="0013082F" w:rsidRDefault="00D93747" w:rsidP="005B295A">
      <w:pPr>
        <w:pStyle w:val="Heading4"/>
      </w:pPr>
      <w:r>
        <w:t xml:space="preserve">An </w:t>
      </w:r>
      <w:r w:rsidR="003B2622" w:rsidRPr="0013082F">
        <w:t xml:space="preserve">Electric Power Supplier (EPS) </w:t>
      </w:r>
      <w:r>
        <w:t>shall</w:t>
      </w:r>
      <w:r w:rsidRPr="0013082F">
        <w:t xml:space="preserve"> </w:t>
      </w:r>
      <w:r w:rsidR="003B2622" w:rsidRPr="0013082F">
        <w:t xml:space="preserve">be </w:t>
      </w:r>
      <w:r>
        <w:t xml:space="preserve">a </w:t>
      </w:r>
      <w:r w:rsidR="00520202">
        <w:t>License</w:t>
      </w:r>
      <w:r w:rsidR="003B2622" w:rsidRPr="0013082F">
        <w:t xml:space="preserve">d </w:t>
      </w:r>
      <w:r>
        <w:t>entity</w:t>
      </w:r>
      <w:r w:rsidRPr="0013082F">
        <w:t xml:space="preserve"> </w:t>
      </w:r>
      <w:r w:rsidR="003B2622" w:rsidRPr="0013082F">
        <w:t xml:space="preserve">as </w:t>
      </w:r>
      <w:r>
        <w:t>stipulated under</w:t>
      </w:r>
      <w:r w:rsidRPr="0013082F">
        <w:t xml:space="preserve"> </w:t>
      </w:r>
      <w:r w:rsidR="003B2622" w:rsidRPr="0013082F">
        <w:t xml:space="preserve">the Act, which </w:t>
      </w:r>
      <w:r>
        <w:t>may</w:t>
      </w:r>
      <w:r w:rsidRPr="0013082F">
        <w:t xml:space="preserve"> </w:t>
      </w:r>
      <w:r w:rsidR="003B2622" w:rsidRPr="0013082F">
        <w:t xml:space="preserve">involve in the procurement of </w:t>
      </w:r>
      <w:r>
        <w:t xml:space="preserve">electric power </w:t>
      </w:r>
      <w:r w:rsidR="003B2622" w:rsidRPr="0013082F">
        <w:t>(</w:t>
      </w:r>
      <w:r w:rsidR="0046412E">
        <w:t>Energy</w:t>
      </w:r>
      <w:r w:rsidR="003B2622" w:rsidRPr="0013082F">
        <w:t xml:space="preserve"> and </w:t>
      </w:r>
      <w:r w:rsidR="0046412E">
        <w:t>Capacity</w:t>
      </w:r>
      <w:r w:rsidR="003B2622" w:rsidRPr="0013082F">
        <w:t xml:space="preserve">) and </w:t>
      </w:r>
      <w:r>
        <w:t>sell</w:t>
      </w:r>
      <w:r w:rsidRPr="0013082F">
        <w:t xml:space="preserve"> </w:t>
      </w:r>
      <w:r w:rsidR="003B2622" w:rsidRPr="0013082F">
        <w:t>it to</w:t>
      </w:r>
      <w:r>
        <w:t xml:space="preserve"> the</w:t>
      </w:r>
      <w:r w:rsidR="003B2622" w:rsidRPr="0013082F">
        <w:t xml:space="preserve"> end </w:t>
      </w:r>
      <w:r w:rsidR="003B2622" w:rsidRPr="00B31FEE">
        <w:t>consumers,</w:t>
      </w:r>
      <w:r w:rsidR="00A91956" w:rsidRPr="00B03C4A">
        <w:t xml:space="preserve"> or re-selling it to other </w:t>
      </w:r>
      <w:r w:rsidR="00B31FEE" w:rsidRPr="00B03C4A">
        <w:t>Market Participants</w:t>
      </w:r>
      <w:r w:rsidR="00BF564D" w:rsidRPr="00B03C4A">
        <w:t xml:space="preserve"> </w:t>
      </w:r>
      <w:r w:rsidR="00B31FEE" w:rsidRPr="00B03C4A">
        <w:t>as specified in the applicable regulations</w:t>
      </w:r>
      <w:r w:rsidR="00A91956" w:rsidRPr="00B03C4A">
        <w:t>.</w:t>
      </w:r>
      <w:r w:rsidR="00A91956">
        <w:t xml:space="preserve"> </w:t>
      </w:r>
    </w:p>
    <w:p w14:paraId="7C6558E4" w14:textId="718D0BC9" w:rsidR="003B2622" w:rsidRPr="0013082F" w:rsidRDefault="00A1025D" w:rsidP="005B295A">
      <w:pPr>
        <w:pStyle w:val="Heading4"/>
      </w:pPr>
      <w:r>
        <w:t xml:space="preserve">An Electric Power Supplier may </w:t>
      </w:r>
      <w:r w:rsidR="00A91956">
        <w:t xml:space="preserve">own </w:t>
      </w:r>
      <w:r w:rsidR="00E82736">
        <w:t xml:space="preserve">Generation Plants </w:t>
      </w:r>
      <w:r w:rsidR="00A91956">
        <w:t>or</w:t>
      </w:r>
      <w:r w:rsidR="0013082F">
        <w:t xml:space="preserve"> procure</w:t>
      </w:r>
      <w:r w:rsidR="00E82736">
        <w:t xml:space="preserve"> and sell</w:t>
      </w:r>
      <w:r w:rsidR="0013082F">
        <w:t xml:space="preserve"> </w:t>
      </w:r>
      <w:r>
        <w:t xml:space="preserve">its </w:t>
      </w:r>
      <w:r w:rsidR="0013082F">
        <w:t xml:space="preserve">Energy and Capacity </w:t>
      </w:r>
      <w:r w:rsidR="003E551F">
        <w:t xml:space="preserve">through </w:t>
      </w:r>
      <w:r w:rsidR="008C7853">
        <w:t>C</w:t>
      </w:r>
      <w:r w:rsidR="003E551F">
        <w:t xml:space="preserve">ontracts which shall be registered with the Market Operator as </w:t>
      </w:r>
      <w:r w:rsidR="008C7853">
        <w:t xml:space="preserve">specified </w:t>
      </w:r>
      <w:r w:rsidR="003E551F">
        <w:t xml:space="preserve">in </w:t>
      </w:r>
      <w:r w:rsidR="003E551F">
        <w:fldChar w:fldCharType="begin"/>
      </w:r>
      <w:r w:rsidR="003E551F">
        <w:instrText xml:space="preserve"> REF _Ref60653923 \r \h </w:instrText>
      </w:r>
      <w:r w:rsidR="003E551F">
        <w:fldChar w:fldCharType="separate"/>
      </w:r>
      <w:r w:rsidR="00251DBF">
        <w:t>Chapter 4</w:t>
      </w:r>
      <w:r w:rsidR="003E551F">
        <w:fldChar w:fldCharType="end"/>
      </w:r>
      <w:r w:rsidR="008C7853">
        <w:t>,</w:t>
      </w:r>
      <w:r w:rsidR="003B2622" w:rsidRPr="0013082F">
        <w:t xml:space="preserve"> </w:t>
      </w:r>
      <w:r w:rsidR="008C7853">
        <w:t>p</w:t>
      </w:r>
      <w:r>
        <w:t xml:space="preserve">rovided that the Default Supplier </w:t>
      </w:r>
      <w:r w:rsidR="008C7853">
        <w:t>shall</w:t>
      </w:r>
      <w:r>
        <w:t xml:space="preserve"> not </w:t>
      </w:r>
      <w:r w:rsidR="008C7853">
        <w:t xml:space="preserve">be </w:t>
      </w:r>
      <w:r>
        <w:t>required to register</w:t>
      </w:r>
      <w:r w:rsidR="008C7853">
        <w:t xml:space="preserve"> with the Market Operator</w:t>
      </w:r>
      <w:r>
        <w:t xml:space="preserve"> its Contract</w:t>
      </w:r>
      <w:r w:rsidR="00E82736">
        <w:t>s</w:t>
      </w:r>
      <w:r>
        <w:t xml:space="preserve"> with</w:t>
      </w:r>
      <w:r w:rsidR="008C7853">
        <w:t xml:space="preserve"> </w:t>
      </w:r>
      <w:r w:rsidR="00E82736">
        <w:t>its consumers</w:t>
      </w:r>
      <w:r w:rsidR="008C7853">
        <w:t>.</w:t>
      </w:r>
    </w:p>
    <w:p w14:paraId="7B51B9C4" w14:textId="02122831" w:rsidR="003B2622" w:rsidRDefault="008C7853" w:rsidP="00C173D0">
      <w:pPr>
        <w:pStyle w:val="Heading3"/>
      </w:pPr>
      <w:r>
        <w:t xml:space="preserve">Electric Power </w:t>
      </w:r>
      <w:r w:rsidR="003B2622">
        <w:t>Trader</w:t>
      </w:r>
    </w:p>
    <w:p w14:paraId="7747413F" w14:textId="0CEEF097" w:rsidR="00FE4100" w:rsidRDefault="008C7853" w:rsidP="005B295A">
      <w:pPr>
        <w:pStyle w:val="Heading4"/>
      </w:pPr>
      <w:r>
        <w:t xml:space="preserve">An </w:t>
      </w:r>
      <w:r w:rsidR="003B2622" w:rsidRPr="003E551F">
        <w:t>Electric Power Trader</w:t>
      </w:r>
      <w:r>
        <w:t xml:space="preserve"> shall be</w:t>
      </w:r>
      <w:r w:rsidR="003B2622" w:rsidRPr="003E551F">
        <w:t xml:space="preserve"> </w:t>
      </w:r>
      <w:r>
        <w:t>a</w:t>
      </w:r>
      <w:r w:rsidRPr="003E551F">
        <w:t xml:space="preserve"> </w:t>
      </w:r>
      <w:r w:rsidR="00520202">
        <w:t>License</w:t>
      </w:r>
      <w:r w:rsidR="003B2622" w:rsidRPr="003E551F">
        <w:t>d entit</w:t>
      </w:r>
      <w:r>
        <w:t>y</w:t>
      </w:r>
      <w:r w:rsidR="003B2622" w:rsidRPr="003E551F">
        <w:t xml:space="preserve"> </w:t>
      </w:r>
      <w:r w:rsidR="003E551F">
        <w:t>which</w:t>
      </w:r>
      <w:r w:rsidR="003B2622" w:rsidRPr="003E551F">
        <w:t xml:space="preserve"> </w:t>
      </w:r>
      <w:r>
        <w:t xml:space="preserve">may </w:t>
      </w:r>
      <w:r w:rsidR="00FE4100">
        <w:t>carry out the functions of trading of electric power in the CTBCM at the wholesale level and may include:</w:t>
      </w:r>
    </w:p>
    <w:p w14:paraId="3042DF6A" w14:textId="5BF0E89A" w:rsidR="00FE4100" w:rsidRDefault="00FE4100" w:rsidP="00FE4100">
      <w:pPr>
        <w:pStyle w:val="Heading5"/>
      </w:pPr>
      <w:r>
        <w:t xml:space="preserve"> </w:t>
      </w:r>
      <w:r w:rsidR="003E551F">
        <w:t xml:space="preserve">Import </w:t>
      </w:r>
      <w:r>
        <w:t xml:space="preserve">of </w:t>
      </w:r>
      <w:r w:rsidR="00686211">
        <w:t xml:space="preserve">electric power </w:t>
      </w:r>
      <w:r w:rsidR="003E551F">
        <w:t>(Energy and/or Capacity)</w:t>
      </w:r>
      <w:r>
        <w:t>;</w:t>
      </w:r>
    </w:p>
    <w:p w14:paraId="3D2DC401" w14:textId="04D4A588" w:rsidR="00FE4100" w:rsidRDefault="003E551F" w:rsidP="00FE4100">
      <w:pPr>
        <w:pStyle w:val="Heading5"/>
      </w:pPr>
      <w:r>
        <w:t xml:space="preserve"> </w:t>
      </w:r>
      <w:r w:rsidR="00FE4100">
        <w:t>purchase of</w:t>
      </w:r>
      <w:r w:rsidR="00FE4100" w:rsidRPr="003E551F">
        <w:t xml:space="preserve"> </w:t>
      </w:r>
      <w:r w:rsidR="008C7853">
        <w:t xml:space="preserve">the </w:t>
      </w:r>
      <w:r w:rsidR="00FE4100">
        <w:t>electric power from a Generator or a</w:t>
      </w:r>
      <w:r w:rsidR="00BF564D">
        <w:t>n</w:t>
      </w:r>
      <w:r w:rsidR="00FE4100">
        <w:t xml:space="preserve"> </w:t>
      </w:r>
      <w:r w:rsidR="00BF564D">
        <w:t>Electric Power Trader</w:t>
      </w:r>
      <w:r w:rsidR="00FE4100">
        <w:t xml:space="preserve"> or a</w:t>
      </w:r>
      <w:r w:rsidR="00BF564D">
        <w:t>n</w:t>
      </w:r>
      <w:r w:rsidR="00FE4100">
        <w:t xml:space="preserve"> </w:t>
      </w:r>
      <w:r w:rsidR="00BF564D">
        <w:t>Electric Power Supplier</w:t>
      </w:r>
      <w:r w:rsidR="00FE4100">
        <w:t>;</w:t>
      </w:r>
    </w:p>
    <w:p w14:paraId="7C0541B5" w14:textId="04D534C0" w:rsidR="00FE4100" w:rsidRDefault="00937470" w:rsidP="00FE4100">
      <w:pPr>
        <w:pStyle w:val="Heading5"/>
      </w:pPr>
      <w:r>
        <w:t>sale of</w:t>
      </w:r>
      <w:r w:rsidR="00FE4100">
        <w:t xml:space="preserve"> electric power to a</w:t>
      </w:r>
      <w:r w:rsidR="00BF564D">
        <w:t>n</w:t>
      </w:r>
      <w:r w:rsidR="00FE4100">
        <w:t xml:space="preserve"> </w:t>
      </w:r>
      <w:r w:rsidR="00BF564D">
        <w:t>Electric Power Trader</w:t>
      </w:r>
      <w:r w:rsidR="00FE4100">
        <w:t xml:space="preserve"> or an Electric Power Supplier;</w:t>
      </w:r>
    </w:p>
    <w:p w14:paraId="47B8E816" w14:textId="58D7389F" w:rsidR="003E551F" w:rsidRDefault="003E551F" w:rsidP="00FE4100">
      <w:pPr>
        <w:pStyle w:val="Heading5"/>
      </w:pPr>
      <w:r>
        <w:t xml:space="preserve">Export </w:t>
      </w:r>
      <w:r w:rsidR="00FE4100">
        <w:t>of the electric power</w:t>
      </w:r>
      <w:r>
        <w:t>.</w:t>
      </w:r>
    </w:p>
    <w:p w14:paraId="09509994" w14:textId="228164D2" w:rsidR="003B2622" w:rsidRPr="003E551F" w:rsidRDefault="003B2622" w:rsidP="005B295A">
      <w:pPr>
        <w:pStyle w:val="Heading4"/>
      </w:pPr>
      <w:r w:rsidRPr="003E551F">
        <w:t xml:space="preserve"> An Electric Power Trader </w:t>
      </w:r>
      <w:r w:rsidR="00937470">
        <w:t>may</w:t>
      </w:r>
      <w:r w:rsidR="00937470" w:rsidRPr="003E551F">
        <w:t xml:space="preserve"> </w:t>
      </w:r>
      <w:r w:rsidRPr="003E551F">
        <w:t xml:space="preserve">enter into an agreement with one or </w:t>
      </w:r>
      <w:r w:rsidR="003E551F">
        <w:t>more</w:t>
      </w:r>
      <w:r w:rsidRPr="003E551F">
        <w:t xml:space="preserve"> </w:t>
      </w:r>
      <w:r w:rsidR="003E551F">
        <w:t>G</w:t>
      </w:r>
      <w:r w:rsidRPr="003E551F">
        <w:t xml:space="preserve">enerators </w:t>
      </w:r>
      <w:r w:rsidR="00937470">
        <w:t xml:space="preserve">, which may or may not be Market Participants, </w:t>
      </w:r>
      <w:r w:rsidRPr="003E551F">
        <w:t xml:space="preserve">and sell the aggregated </w:t>
      </w:r>
      <w:r w:rsidR="00CE6BBD">
        <w:t>G</w:t>
      </w:r>
      <w:r w:rsidRPr="003E551F">
        <w:t xml:space="preserve">eneration in the </w:t>
      </w:r>
      <w:r w:rsidR="003E551F">
        <w:t>CTBCM</w:t>
      </w:r>
      <w:r w:rsidRPr="003E551F">
        <w:t xml:space="preserve"> through </w:t>
      </w:r>
      <w:r w:rsidR="001C333B">
        <w:t>Bilateral</w:t>
      </w:r>
      <w:r w:rsidRPr="003E551F">
        <w:t xml:space="preserve"> </w:t>
      </w:r>
      <w:r w:rsidR="00CE6BBD">
        <w:t>C</w:t>
      </w:r>
      <w:r w:rsidRPr="003E551F">
        <w:t>ontracts.</w:t>
      </w:r>
    </w:p>
    <w:p w14:paraId="50BE959C" w14:textId="39B4C6D6" w:rsidR="003B2622" w:rsidRDefault="00F91FFB" w:rsidP="005B295A">
      <w:pPr>
        <w:pStyle w:val="Heading4"/>
        <w:rPr>
          <w:lang w:val="en-US"/>
        </w:rPr>
      </w:pPr>
      <w:r w:rsidRPr="00F91FFB">
        <w:t>For</w:t>
      </w:r>
      <w:r w:rsidR="003B2622" w:rsidRPr="00F91FFB">
        <w:t xml:space="preserve"> </w:t>
      </w:r>
      <w:r w:rsidR="003E551F" w:rsidRPr="00F91FFB">
        <w:t>I</w:t>
      </w:r>
      <w:r w:rsidR="003B2622" w:rsidRPr="00F91FFB">
        <w:t>mports and</w:t>
      </w:r>
      <w:r w:rsidR="003E551F" w:rsidRPr="00F91FFB">
        <w:t>/or</w:t>
      </w:r>
      <w:r w:rsidR="003B2622" w:rsidRPr="00F91FFB">
        <w:t xml:space="preserve"> </w:t>
      </w:r>
      <w:r w:rsidR="003E551F" w:rsidRPr="00F91FFB">
        <w:t>E</w:t>
      </w:r>
      <w:r w:rsidR="003B2622" w:rsidRPr="00F91FFB">
        <w:t xml:space="preserve">xports, </w:t>
      </w:r>
      <w:r w:rsidR="003E551F" w:rsidRPr="00F91FFB">
        <w:t>the</w:t>
      </w:r>
      <w:r w:rsidR="003B2622" w:rsidRPr="00F91FFB">
        <w:t xml:space="preserve"> seller or buyer, </w:t>
      </w:r>
      <w:r w:rsidR="003E551F" w:rsidRPr="00F91FFB">
        <w:t xml:space="preserve">as the case may be, </w:t>
      </w:r>
      <w:r w:rsidR="00937470">
        <w:t>shall be</w:t>
      </w:r>
      <w:r w:rsidR="00937470" w:rsidRPr="00F91FFB">
        <w:t xml:space="preserve"> </w:t>
      </w:r>
      <w:r w:rsidR="003E551F" w:rsidRPr="00F91FFB">
        <w:t xml:space="preserve">exempted </w:t>
      </w:r>
      <w:r w:rsidR="00937470">
        <w:t xml:space="preserve">from registration as a </w:t>
      </w:r>
      <w:r w:rsidR="003E551F" w:rsidRPr="00F91FFB">
        <w:t>Market</w:t>
      </w:r>
      <w:r w:rsidR="003B2622" w:rsidRPr="00F91FFB">
        <w:t xml:space="preserve"> Participant.</w:t>
      </w:r>
      <w:r w:rsidRPr="00F91FFB">
        <w:t xml:space="preserve"> </w:t>
      </w:r>
    </w:p>
    <w:p w14:paraId="65F90CAC" w14:textId="77777777" w:rsidR="009C2B37" w:rsidRDefault="009C2B37" w:rsidP="00C173D0">
      <w:pPr>
        <w:pStyle w:val="Heading3"/>
      </w:pPr>
      <w:r>
        <w:t xml:space="preserve">Bulk Power Consumers </w:t>
      </w:r>
    </w:p>
    <w:p w14:paraId="5A9827B0" w14:textId="362F3468" w:rsidR="0081721B" w:rsidRDefault="001D2E97" w:rsidP="005B295A">
      <w:pPr>
        <w:pStyle w:val="Heading4"/>
      </w:pPr>
      <w:r>
        <w:t xml:space="preserve">A </w:t>
      </w:r>
      <w:r w:rsidR="009C2B37">
        <w:t xml:space="preserve">Bulk Power Consumer (BPC) </w:t>
      </w:r>
      <w:r>
        <w:t xml:space="preserve">is a </w:t>
      </w:r>
      <w:r w:rsidR="009C2B37">
        <w:t xml:space="preserve">consumer </w:t>
      </w:r>
      <w:r>
        <w:t>who may</w:t>
      </w:r>
      <w:r w:rsidR="009C2B37">
        <w:t xml:space="preserve"> buy </w:t>
      </w:r>
      <w:r w:rsidR="00686211">
        <w:t>electric power</w:t>
      </w:r>
      <w:r w:rsidR="0081721B">
        <w:t>, E</w:t>
      </w:r>
      <w:r w:rsidR="009C2B37">
        <w:t>nergy and</w:t>
      </w:r>
      <w:r w:rsidR="0081721B">
        <w:t>/or C</w:t>
      </w:r>
      <w:r w:rsidR="009C2B37">
        <w:t>apacity</w:t>
      </w:r>
      <w:r w:rsidR="0081721B">
        <w:t>,</w:t>
      </w:r>
      <w:r w:rsidR="00686211">
        <w:t xml:space="preserve"> </w:t>
      </w:r>
      <w:r>
        <w:t xml:space="preserve">from </w:t>
      </w:r>
      <w:r w:rsidR="009C2B37">
        <w:t xml:space="preserve">the </w:t>
      </w:r>
      <w:r w:rsidR="0081721B">
        <w:t xml:space="preserve">wholesale </w:t>
      </w:r>
      <w:r w:rsidR="009C2B37">
        <w:t xml:space="preserve">market or </w:t>
      </w:r>
      <w:r>
        <w:t xml:space="preserve">from an Electric Power Supplier of its choice </w:t>
      </w:r>
      <w:r w:rsidR="0081721B">
        <w:t xml:space="preserve">through </w:t>
      </w:r>
      <w:r>
        <w:t xml:space="preserve">a </w:t>
      </w:r>
      <w:r w:rsidR="003A578F">
        <w:t>B</w:t>
      </w:r>
      <w:r w:rsidR="0081721B">
        <w:t xml:space="preserve">ilateral </w:t>
      </w:r>
      <w:r w:rsidR="003A578F">
        <w:t>C</w:t>
      </w:r>
      <w:r w:rsidR="0081721B">
        <w:t>ontract</w:t>
      </w:r>
      <w:r>
        <w:t>.</w:t>
      </w:r>
      <w:r w:rsidR="0081721B">
        <w:t xml:space="preserve"> </w:t>
      </w:r>
    </w:p>
    <w:p w14:paraId="5D24554E" w14:textId="50EA74BC" w:rsidR="0081721B" w:rsidRDefault="001D2E97" w:rsidP="005B295A">
      <w:pPr>
        <w:pStyle w:val="Heading4"/>
      </w:pPr>
      <w:r>
        <w:t xml:space="preserve">A </w:t>
      </w:r>
      <w:r w:rsidR="0081721B">
        <w:t xml:space="preserve">Bulk Power Consumer may be exempted </w:t>
      </w:r>
      <w:r>
        <w:t>from registering</w:t>
      </w:r>
      <w:r w:rsidR="0081721B">
        <w:t xml:space="preserve"> as </w:t>
      </w:r>
      <w:r>
        <w:t xml:space="preserve">a </w:t>
      </w:r>
      <w:r w:rsidR="0081721B">
        <w:t xml:space="preserve">Market Participant in case </w:t>
      </w:r>
      <w:r>
        <w:t xml:space="preserve">it </w:t>
      </w:r>
      <w:r w:rsidR="0081721B">
        <w:t>decide</w:t>
      </w:r>
      <w:r w:rsidR="00C17071">
        <w:t>s</w:t>
      </w:r>
      <w:r w:rsidR="0081721B">
        <w:t xml:space="preserve"> to</w:t>
      </w:r>
      <w:r w:rsidR="00686211">
        <w:t xml:space="preserve"> </w:t>
      </w:r>
      <w:r>
        <w:t xml:space="preserve">buy </w:t>
      </w:r>
      <w:r w:rsidR="00686211">
        <w:t xml:space="preserve">both its </w:t>
      </w:r>
      <w:r w:rsidR="0095375C">
        <w:t>E</w:t>
      </w:r>
      <w:r w:rsidR="00686211">
        <w:t xml:space="preserve">nergy and </w:t>
      </w:r>
      <w:r w:rsidR="0095375C">
        <w:t>C</w:t>
      </w:r>
      <w:r w:rsidR="00686211">
        <w:t xml:space="preserve">apacity from the </w:t>
      </w:r>
      <w:r>
        <w:t xml:space="preserve">relevant </w:t>
      </w:r>
      <w:r w:rsidR="00686211">
        <w:t>DISCO</w:t>
      </w:r>
      <w:r w:rsidR="00CD6E5A">
        <w:t xml:space="preserve"> or </w:t>
      </w:r>
      <w:r>
        <w:t xml:space="preserve">it decides </w:t>
      </w:r>
      <w:r w:rsidR="00CD6E5A">
        <w:t>to</w:t>
      </w:r>
      <w:r w:rsidR="0081721B">
        <w:t xml:space="preserve"> sign a </w:t>
      </w:r>
      <w:r w:rsidR="00E82DCA">
        <w:t xml:space="preserve">Standardized </w:t>
      </w:r>
      <w:r w:rsidR="0081721B">
        <w:t xml:space="preserve">Load Following </w:t>
      </w:r>
      <w:r w:rsidR="00862954">
        <w:t xml:space="preserve">Supply </w:t>
      </w:r>
      <w:r w:rsidR="0081721B">
        <w:t>Contract with a</w:t>
      </w:r>
      <w:r>
        <w:t xml:space="preserve"> Competitive Electric Power</w:t>
      </w:r>
      <w:r w:rsidR="0081721B">
        <w:t xml:space="preserve"> Supplier, as per the conditions </w:t>
      </w:r>
      <w:r>
        <w:t xml:space="preserve">stipulated </w:t>
      </w:r>
      <w:r w:rsidR="0081721B">
        <w:t xml:space="preserve">in </w:t>
      </w:r>
      <w:r w:rsidR="008C02F7">
        <w:t>Sub-Section</w:t>
      </w:r>
      <w:r w:rsidR="00A23A2D">
        <w:t xml:space="preserve"> </w:t>
      </w:r>
      <w:r w:rsidR="00A23A2D">
        <w:fldChar w:fldCharType="begin"/>
      </w:r>
      <w:r w:rsidR="00A23A2D">
        <w:instrText xml:space="preserve"> REF _Ref54980947 \r \h  \* MERGEFORMAT </w:instrText>
      </w:r>
      <w:r w:rsidR="00A23A2D">
        <w:fldChar w:fldCharType="separate"/>
      </w:r>
      <w:r w:rsidR="00251DBF">
        <w:t>4.3.3</w:t>
      </w:r>
      <w:r w:rsidR="00A23A2D">
        <w:fldChar w:fldCharType="end"/>
      </w:r>
      <w:r w:rsidR="00A23A2D">
        <w:t xml:space="preserve">. </w:t>
      </w:r>
    </w:p>
    <w:p w14:paraId="08B15D6A" w14:textId="4719D823" w:rsidR="00293F8F" w:rsidRDefault="00293F8F" w:rsidP="00C173D0">
      <w:pPr>
        <w:pStyle w:val="Heading2"/>
      </w:pPr>
      <w:bookmarkStart w:id="65" w:name="_Toc64846654"/>
      <w:bookmarkStart w:id="66" w:name="_Toc69476951"/>
      <w:r w:rsidRPr="00396089">
        <w:t>S</w:t>
      </w:r>
      <w:r w:rsidR="001C4A85">
        <w:t>ervice Providers</w:t>
      </w:r>
      <w:bookmarkEnd w:id="65"/>
      <w:bookmarkEnd w:id="66"/>
    </w:p>
    <w:p w14:paraId="1759510D" w14:textId="4F0595D3" w:rsidR="00293F8F" w:rsidRPr="00C173D0" w:rsidRDefault="00293F8F" w:rsidP="00C173D0">
      <w:pPr>
        <w:pStyle w:val="Heading3"/>
      </w:pPr>
      <w:r w:rsidRPr="00C173D0">
        <w:t>Transmission Service Providers</w:t>
      </w:r>
    </w:p>
    <w:p w14:paraId="57C8C3A7" w14:textId="5C46C160" w:rsidR="00273BC0" w:rsidRDefault="00273BC0" w:rsidP="005B295A">
      <w:pPr>
        <w:pStyle w:val="Heading4"/>
      </w:pPr>
      <w:r>
        <w:t>All Transmission Service Providers shall be registered with the Market Operator as Service Providers</w:t>
      </w:r>
    </w:p>
    <w:p w14:paraId="20DC1229" w14:textId="202BE941" w:rsidR="00DA24F4" w:rsidRPr="00DE1CA3" w:rsidRDefault="00317F70" w:rsidP="005B295A">
      <w:pPr>
        <w:pStyle w:val="Heading4"/>
      </w:pPr>
      <w:r>
        <w:lastRenderedPageBreak/>
        <w:t xml:space="preserve">A </w:t>
      </w:r>
      <w:r w:rsidR="00DA24F4" w:rsidRPr="00DE1CA3">
        <w:t xml:space="preserve">Transmission Service Provider (TSP) </w:t>
      </w:r>
      <w:r>
        <w:t>shall be</w:t>
      </w:r>
      <w:r w:rsidRPr="00DE1CA3">
        <w:t xml:space="preserve"> </w:t>
      </w:r>
      <w:r w:rsidR="00DA24F4" w:rsidRPr="00DE1CA3">
        <w:t xml:space="preserve">responsible for providing the </w:t>
      </w:r>
      <w:r w:rsidR="00520202">
        <w:t>Transmission</w:t>
      </w:r>
      <w:r w:rsidR="00DA24F4" w:rsidRPr="00DE1CA3">
        <w:t xml:space="preserve"> </w:t>
      </w:r>
      <w:r>
        <w:t>services</w:t>
      </w:r>
      <w:r w:rsidRPr="00DE1CA3">
        <w:t xml:space="preserve"> </w:t>
      </w:r>
      <w:r>
        <w:t>to</w:t>
      </w:r>
      <w:r w:rsidRPr="00DE1CA3">
        <w:t xml:space="preserve"> </w:t>
      </w:r>
      <w:r w:rsidR="00DA24F4" w:rsidRPr="00DE1CA3">
        <w:t xml:space="preserve">enable wholesale buying and selling of </w:t>
      </w:r>
      <w:r>
        <w:t>electric power</w:t>
      </w:r>
      <w:r w:rsidRPr="00DE1CA3">
        <w:t xml:space="preserve"> </w:t>
      </w:r>
      <w:r w:rsidR="00DA24F4" w:rsidRPr="00DE1CA3">
        <w:t>(Energy and/or Capacity). TSP</w:t>
      </w:r>
      <w:r w:rsidR="00EC57BC" w:rsidRPr="00DE1CA3">
        <w:t>s</w:t>
      </w:r>
      <w:r w:rsidR="00DA24F4" w:rsidRPr="00DE1CA3">
        <w:t xml:space="preserve"> </w:t>
      </w:r>
      <w:r>
        <w:t xml:space="preserve">shall </w:t>
      </w:r>
      <w:r w:rsidR="00DA24F4" w:rsidRPr="00DE1CA3">
        <w:t xml:space="preserve">include NTDC, which is the largest </w:t>
      </w:r>
      <w:r w:rsidR="00CD6E5A">
        <w:t>TSP and</w:t>
      </w:r>
      <w:r w:rsidR="00CD6E5A" w:rsidRPr="00CD6E5A">
        <w:t xml:space="preserve"> </w:t>
      </w:r>
      <w:r w:rsidR="00520202">
        <w:t>License</w:t>
      </w:r>
      <w:r w:rsidR="00CD6E5A" w:rsidRPr="00CD6E5A">
        <w:t xml:space="preserve">d as national grid company by </w:t>
      </w:r>
      <w:r w:rsidR="00CD6E5A">
        <w:t xml:space="preserve">the </w:t>
      </w:r>
      <w:r w:rsidR="00CD6E5A" w:rsidRPr="00CD6E5A">
        <w:t>Authority</w:t>
      </w:r>
      <w:r w:rsidR="00DA24F4" w:rsidRPr="00DE1CA3">
        <w:t xml:space="preserve">, </w:t>
      </w:r>
      <w:r w:rsidR="00090024">
        <w:t>K-Electric</w:t>
      </w:r>
      <w:r w:rsidR="00DA24F4" w:rsidRPr="00DE1CA3">
        <w:t>, Provincial Grid Companies (PGCs) and Special Purpose Transmission Licensees (SPTLs).</w:t>
      </w:r>
    </w:p>
    <w:p w14:paraId="04B0BB74" w14:textId="50F4BFFE" w:rsidR="00273BC0" w:rsidRPr="00273BC0" w:rsidRDefault="00273BC0" w:rsidP="005B295A">
      <w:pPr>
        <w:pStyle w:val="Heading4"/>
      </w:pPr>
      <w:r>
        <w:t xml:space="preserve">A </w:t>
      </w:r>
      <w:r w:rsidR="00DA24F4" w:rsidRPr="00DE1CA3">
        <w:t xml:space="preserve">Transmission Service Provider </w:t>
      </w:r>
      <w:r w:rsidR="00317F70">
        <w:t>shall be required to</w:t>
      </w:r>
      <w:r w:rsidR="00317F70" w:rsidRPr="00DE1CA3">
        <w:t xml:space="preserve"> </w:t>
      </w:r>
      <w:r w:rsidR="00DA24F4" w:rsidRPr="00DE1CA3">
        <w:t xml:space="preserve">allow </w:t>
      </w:r>
      <w:r w:rsidR="00B424A1">
        <w:t>O</w:t>
      </w:r>
      <w:r w:rsidR="00DA24F4" w:rsidRPr="00DE1CA3">
        <w:t xml:space="preserve">pen </w:t>
      </w:r>
      <w:r w:rsidR="00B424A1">
        <w:t>A</w:t>
      </w:r>
      <w:r w:rsidR="00DA24F4" w:rsidRPr="00DE1CA3">
        <w:t>ccess to the Market Participants</w:t>
      </w:r>
      <w:r w:rsidR="00317F70">
        <w:t xml:space="preserve"> by</w:t>
      </w:r>
      <w:r w:rsidR="00DA24F4" w:rsidRPr="00DE1CA3">
        <w:t xml:space="preserve"> signing Connection Agreements</w:t>
      </w:r>
      <w:r w:rsidR="00C17071">
        <w:t xml:space="preserve"> with them</w:t>
      </w:r>
      <w:r w:rsidR="00317F70">
        <w:rPr>
          <w:lang w:val="en-US"/>
        </w:rPr>
        <w:t xml:space="preserve"> and</w:t>
      </w:r>
      <w:r w:rsidR="00DA24F4" w:rsidRPr="00DE1CA3">
        <w:rPr>
          <w:lang w:val="en-US"/>
        </w:rPr>
        <w:t xml:space="preserve"> shall also </w:t>
      </w:r>
      <w:r w:rsidR="00DA24F4" w:rsidRPr="00DE1CA3">
        <w:t xml:space="preserve">provide access to the </w:t>
      </w:r>
      <w:r w:rsidR="00DE1CA3" w:rsidRPr="00DE1CA3">
        <w:t>M</w:t>
      </w:r>
      <w:r w:rsidR="00DA24F4" w:rsidRPr="00DE1CA3">
        <w:t xml:space="preserve">eters and </w:t>
      </w:r>
      <w:r w:rsidR="00C17071">
        <w:t>metering values</w:t>
      </w:r>
      <w:r w:rsidR="00DA24F4" w:rsidRPr="00DE1CA3">
        <w:t xml:space="preserve"> to </w:t>
      </w:r>
      <w:r>
        <w:t xml:space="preserve">an </w:t>
      </w:r>
      <w:r w:rsidRPr="00DE1CA3">
        <w:t xml:space="preserve"> </w:t>
      </w:r>
      <w:r w:rsidR="00DE1CA3" w:rsidRPr="00DE1CA3">
        <w:t>authorised Metering Service Provider</w:t>
      </w:r>
      <w:r w:rsidR="00317F70">
        <w:t xml:space="preserve"> in order to enable </w:t>
      </w:r>
      <w:r>
        <w:t>it</w:t>
      </w:r>
      <w:r w:rsidR="00DE1CA3" w:rsidRPr="00DE1CA3">
        <w:t xml:space="preserve"> to comply </w:t>
      </w:r>
      <w:r w:rsidR="00DA24F4" w:rsidRPr="00DE1CA3">
        <w:t xml:space="preserve">with </w:t>
      </w:r>
      <w:r>
        <w:t>its</w:t>
      </w:r>
      <w:r w:rsidRPr="00DE1CA3">
        <w:t xml:space="preserve"> </w:t>
      </w:r>
      <w:r w:rsidR="00DA24F4" w:rsidRPr="00DE1CA3">
        <w:t>obligations</w:t>
      </w:r>
      <w:r w:rsidR="00DE1CA3" w:rsidRPr="00DE1CA3">
        <w:t>.</w:t>
      </w:r>
      <w:r w:rsidR="00452040" w:rsidRPr="00452040">
        <w:rPr>
          <w:lang w:val="en-US"/>
        </w:rPr>
        <w:t xml:space="preserve"> </w:t>
      </w:r>
    </w:p>
    <w:p w14:paraId="31697C86" w14:textId="2582E932" w:rsidR="00DE1CA3" w:rsidRPr="00DE1CA3" w:rsidRDefault="00273BC0" w:rsidP="005B295A">
      <w:pPr>
        <w:pStyle w:val="Heading4"/>
      </w:pPr>
      <w:r>
        <w:rPr>
          <w:lang w:val="en-US"/>
        </w:rPr>
        <w:t xml:space="preserve">A </w:t>
      </w:r>
      <w:r w:rsidR="00452040">
        <w:rPr>
          <w:lang w:val="en-US"/>
        </w:rPr>
        <w:t>TSP</w:t>
      </w:r>
      <w:r w:rsidR="00452040" w:rsidRPr="00026B10">
        <w:rPr>
          <w:lang w:val="en-US"/>
        </w:rPr>
        <w:t xml:space="preserve"> </w:t>
      </w:r>
      <w:r>
        <w:rPr>
          <w:lang w:val="en-US"/>
        </w:rPr>
        <w:t>shall</w:t>
      </w:r>
      <w:r w:rsidRPr="00026B10">
        <w:rPr>
          <w:lang w:val="en-US"/>
        </w:rPr>
        <w:t xml:space="preserve"> </w:t>
      </w:r>
      <w:r w:rsidR="00452040" w:rsidRPr="00026B10">
        <w:rPr>
          <w:lang w:val="en-US"/>
        </w:rPr>
        <w:t xml:space="preserve">publish information related to </w:t>
      </w:r>
      <w:r>
        <w:rPr>
          <w:lang w:val="en-US"/>
        </w:rPr>
        <w:t xml:space="preserve">the </w:t>
      </w:r>
      <w:r w:rsidR="00452040" w:rsidRPr="00026B10">
        <w:rPr>
          <w:lang w:val="en-US"/>
        </w:rPr>
        <w:t>network availability</w:t>
      </w:r>
      <w:r>
        <w:rPr>
          <w:lang w:val="en-US"/>
        </w:rPr>
        <w:t xml:space="preserve"> and its future expansion plans</w:t>
      </w:r>
      <w:r w:rsidR="00452040">
        <w:rPr>
          <w:lang w:val="en-US"/>
        </w:rPr>
        <w:t>.</w:t>
      </w:r>
    </w:p>
    <w:p w14:paraId="44991101" w14:textId="1010B7B9" w:rsidR="00DA24F4" w:rsidRDefault="00273BC0" w:rsidP="005B295A">
      <w:pPr>
        <w:pStyle w:val="Heading4"/>
      </w:pPr>
      <w:r>
        <w:rPr>
          <w:lang w:val="en-US"/>
        </w:rPr>
        <w:t xml:space="preserve">A </w:t>
      </w:r>
      <w:r w:rsidR="00DE1CA3" w:rsidRPr="00DE1CA3">
        <w:rPr>
          <w:lang w:val="en-US"/>
        </w:rPr>
        <w:t>T</w:t>
      </w:r>
      <w:r w:rsidR="00DA24F4" w:rsidRPr="00DE1CA3">
        <w:rPr>
          <w:lang w:val="en-US"/>
        </w:rPr>
        <w:t xml:space="preserve">ransmission </w:t>
      </w:r>
      <w:r w:rsidR="00520202">
        <w:rPr>
          <w:lang w:val="en-US"/>
        </w:rPr>
        <w:t>License</w:t>
      </w:r>
      <w:r w:rsidR="00DA24F4" w:rsidRPr="00DE1CA3">
        <w:rPr>
          <w:lang w:val="en-US"/>
        </w:rPr>
        <w:t xml:space="preserve">es </w:t>
      </w:r>
      <w:r w:rsidR="00DE1CA3" w:rsidRPr="00DE1CA3">
        <w:rPr>
          <w:lang w:val="en-US"/>
        </w:rPr>
        <w:t xml:space="preserve">shall </w:t>
      </w:r>
      <w:r>
        <w:rPr>
          <w:lang w:val="en-US"/>
        </w:rPr>
        <w:t>carry out</w:t>
      </w:r>
      <w:r w:rsidRPr="00DE1CA3">
        <w:rPr>
          <w:lang w:val="en-US"/>
        </w:rPr>
        <w:t xml:space="preserve"> </w:t>
      </w:r>
      <w:r>
        <w:rPr>
          <w:lang w:val="en-US"/>
        </w:rPr>
        <w:t>its</w:t>
      </w:r>
      <w:r w:rsidRPr="00DE1CA3">
        <w:rPr>
          <w:lang w:val="en-US"/>
        </w:rPr>
        <w:t xml:space="preserve"> </w:t>
      </w:r>
      <w:r w:rsidR="00DE1CA3" w:rsidRPr="00DE1CA3">
        <w:rPr>
          <w:lang w:val="en-US"/>
        </w:rPr>
        <w:t xml:space="preserve">operations </w:t>
      </w:r>
      <w:r w:rsidR="00CE6BBD">
        <w:rPr>
          <w:lang w:val="en-US"/>
        </w:rPr>
        <w:t>in accordance with</w:t>
      </w:r>
      <w:r w:rsidR="00DE1CA3" w:rsidRPr="00DE1CA3">
        <w:rPr>
          <w:lang w:val="en-US"/>
        </w:rPr>
        <w:t xml:space="preserve"> the </w:t>
      </w:r>
      <w:r>
        <w:rPr>
          <w:lang w:val="en-US"/>
        </w:rPr>
        <w:t>provisions</w:t>
      </w:r>
      <w:r w:rsidRPr="00DE1CA3">
        <w:rPr>
          <w:lang w:val="en-US"/>
        </w:rPr>
        <w:t xml:space="preserve"> </w:t>
      </w:r>
      <w:r w:rsidR="00DE1CA3" w:rsidRPr="00DE1CA3">
        <w:rPr>
          <w:lang w:val="en-US"/>
        </w:rPr>
        <w:t>of the Grid Code</w:t>
      </w:r>
      <w:r w:rsidR="00B424A1">
        <w:rPr>
          <w:lang w:val="en-US"/>
        </w:rPr>
        <w:t>, this Code</w:t>
      </w:r>
      <w:r w:rsidR="00DE1CA3" w:rsidRPr="00DE1CA3">
        <w:rPr>
          <w:lang w:val="en-US"/>
        </w:rPr>
        <w:t xml:space="preserve"> and </w:t>
      </w:r>
      <w:r w:rsidR="00DA24F4" w:rsidRPr="00DE1CA3">
        <w:rPr>
          <w:lang w:val="en-US"/>
        </w:rPr>
        <w:t>comply with</w:t>
      </w:r>
      <w:r w:rsidR="00DA24F4" w:rsidRPr="00DE1CA3">
        <w:rPr>
          <w:rFonts w:asciiTheme="minorHAnsi" w:eastAsiaTheme="minorEastAsia"/>
          <w:kern w:val="24"/>
          <w:sz w:val="40"/>
          <w:szCs w:val="40"/>
        </w:rPr>
        <w:t xml:space="preserve"> </w:t>
      </w:r>
      <w:r w:rsidR="00DA24F4" w:rsidRPr="00DE1CA3">
        <w:t xml:space="preserve">the </w:t>
      </w:r>
      <w:r w:rsidR="00520202">
        <w:t>Transmission</w:t>
      </w:r>
      <w:r w:rsidR="00DA24F4" w:rsidRPr="00DE1CA3">
        <w:t xml:space="preserve"> standards set by the </w:t>
      </w:r>
      <w:r w:rsidR="00DE1CA3" w:rsidRPr="00DE1CA3">
        <w:t>Authority</w:t>
      </w:r>
      <w:r w:rsidR="00DA24F4" w:rsidRPr="00DE1CA3">
        <w:t>.</w:t>
      </w:r>
    </w:p>
    <w:p w14:paraId="58871346" w14:textId="30CAC8D6" w:rsidR="00293F8F" w:rsidRDefault="00293F8F" w:rsidP="00C173D0">
      <w:pPr>
        <w:pStyle w:val="Heading3"/>
      </w:pPr>
      <w:r>
        <w:t xml:space="preserve">Distribution </w:t>
      </w:r>
      <w:r w:rsidR="00B424A1">
        <w:t xml:space="preserve">Network </w:t>
      </w:r>
      <w:r>
        <w:t>Service Providers</w:t>
      </w:r>
    </w:p>
    <w:p w14:paraId="03DE2B4D" w14:textId="6C64ECC7" w:rsidR="00273BC0" w:rsidRPr="00452040" w:rsidRDefault="00273BC0" w:rsidP="00273BC0">
      <w:pPr>
        <w:pStyle w:val="Heading4"/>
        <w:rPr>
          <w:lang w:val="en-US"/>
        </w:rPr>
      </w:pPr>
      <w:r>
        <w:rPr>
          <w:lang w:val="en-US"/>
        </w:rPr>
        <w:t xml:space="preserve">All </w:t>
      </w:r>
      <w:r w:rsidRPr="00452040">
        <w:rPr>
          <w:lang w:val="en-US"/>
        </w:rPr>
        <w:t xml:space="preserve">Distribution Network Service Providers shall </w:t>
      </w:r>
      <w:r>
        <w:rPr>
          <w:lang w:val="en-US"/>
        </w:rPr>
        <w:t>be registered with the Market Operator as Service Providers</w:t>
      </w:r>
    </w:p>
    <w:p w14:paraId="4F35D5D7" w14:textId="416F7EE9" w:rsidR="00026B10" w:rsidRPr="00026B10" w:rsidRDefault="00273BC0" w:rsidP="005B295A">
      <w:pPr>
        <w:pStyle w:val="Heading4"/>
        <w:rPr>
          <w:lang w:val="en-US"/>
        </w:rPr>
      </w:pPr>
      <w:r>
        <w:rPr>
          <w:lang w:val="en-US"/>
        </w:rPr>
        <w:t xml:space="preserve">A </w:t>
      </w:r>
      <w:r w:rsidR="008D0EBA" w:rsidRPr="00026B10">
        <w:rPr>
          <w:lang w:val="en-US"/>
        </w:rPr>
        <w:t>Distribution</w:t>
      </w:r>
      <w:r w:rsidR="00026B10">
        <w:rPr>
          <w:lang w:val="en-US"/>
        </w:rPr>
        <w:t xml:space="preserve"> Network </w:t>
      </w:r>
      <w:r w:rsidR="008D0EBA" w:rsidRPr="00026B10">
        <w:rPr>
          <w:lang w:val="en-US"/>
        </w:rPr>
        <w:t>Service Provider</w:t>
      </w:r>
      <w:r w:rsidR="00026B10">
        <w:rPr>
          <w:lang w:val="en-US"/>
        </w:rPr>
        <w:t xml:space="preserve"> </w:t>
      </w:r>
      <w:r>
        <w:rPr>
          <w:lang w:val="en-US"/>
        </w:rPr>
        <w:t xml:space="preserve">shall be a </w:t>
      </w:r>
      <w:r w:rsidR="00520202">
        <w:rPr>
          <w:lang w:val="en-US"/>
        </w:rPr>
        <w:t>License</w:t>
      </w:r>
      <w:r w:rsidR="00026B10">
        <w:rPr>
          <w:lang w:val="en-US"/>
        </w:rPr>
        <w:t xml:space="preserve">d </w:t>
      </w:r>
      <w:r>
        <w:rPr>
          <w:lang w:val="en-US"/>
        </w:rPr>
        <w:t>entity</w:t>
      </w:r>
      <w:r w:rsidR="00026B10">
        <w:rPr>
          <w:lang w:val="en-US"/>
        </w:rPr>
        <w:t xml:space="preserve"> which </w:t>
      </w:r>
      <w:r>
        <w:rPr>
          <w:lang w:val="en-US"/>
        </w:rPr>
        <w:t xml:space="preserve">is required to </w:t>
      </w:r>
      <w:r w:rsidR="00026B10">
        <w:rPr>
          <w:lang w:val="en-US"/>
        </w:rPr>
        <w:t>develop and operate</w:t>
      </w:r>
      <w:r w:rsidR="00026B10" w:rsidRPr="00026B10">
        <w:rPr>
          <w:lang w:val="en-US"/>
        </w:rPr>
        <w:t xml:space="preserve"> </w:t>
      </w:r>
      <w:r>
        <w:rPr>
          <w:lang w:val="en-US"/>
        </w:rPr>
        <w:t>the D</w:t>
      </w:r>
      <w:r w:rsidR="00026B10" w:rsidRPr="00026B10">
        <w:rPr>
          <w:lang w:val="en-US"/>
        </w:rPr>
        <w:t xml:space="preserve">istribution </w:t>
      </w:r>
      <w:r>
        <w:rPr>
          <w:lang w:val="en-US"/>
        </w:rPr>
        <w:t>N</w:t>
      </w:r>
      <w:r w:rsidR="00026B10" w:rsidRPr="00026B10">
        <w:rPr>
          <w:lang w:val="en-US"/>
        </w:rPr>
        <w:t>etwork infrastructure</w:t>
      </w:r>
      <w:r w:rsidR="00026B10">
        <w:rPr>
          <w:lang w:val="en-US"/>
        </w:rPr>
        <w:t xml:space="preserve"> </w:t>
      </w:r>
      <w:r w:rsidR="00E82DCA" w:rsidRPr="00E82DCA">
        <w:rPr>
          <w:lang w:val="en-US"/>
        </w:rPr>
        <w:t>to</w:t>
      </w:r>
      <w:r w:rsidRPr="00B03C4A">
        <w:rPr>
          <w:lang w:val="en-US"/>
        </w:rPr>
        <w:t xml:space="preserve"> enable the </w:t>
      </w:r>
      <w:r w:rsidR="00026B10" w:rsidRPr="00B03C4A">
        <w:rPr>
          <w:lang w:val="en-US"/>
        </w:rPr>
        <w:t>Generators and</w:t>
      </w:r>
      <w:r w:rsidR="00987867" w:rsidRPr="00B03C4A">
        <w:rPr>
          <w:lang w:val="en-US"/>
        </w:rPr>
        <w:t>/</w:t>
      </w:r>
      <w:r w:rsidR="00026B10" w:rsidRPr="00B03C4A">
        <w:rPr>
          <w:lang w:val="en-US"/>
        </w:rPr>
        <w:t xml:space="preserve"> or BPCs connected to such network to participate in the wholesale market</w:t>
      </w:r>
      <w:r w:rsidR="00026B10" w:rsidRPr="00C17071">
        <w:rPr>
          <w:strike/>
          <w:lang w:val="en-US"/>
        </w:rPr>
        <w:t>.</w:t>
      </w:r>
      <w:r w:rsidR="00026B10" w:rsidRPr="00026B10">
        <w:rPr>
          <w:lang w:val="en-US"/>
        </w:rPr>
        <w:t xml:space="preserve"> </w:t>
      </w:r>
    </w:p>
    <w:p w14:paraId="17B19EC7" w14:textId="169769F1" w:rsidR="00452040" w:rsidRPr="00452040" w:rsidRDefault="00273BC0" w:rsidP="00B03C4A">
      <w:pPr>
        <w:pStyle w:val="Heading4"/>
        <w:rPr>
          <w:lang w:val="en-US"/>
        </w:rPr>
      </w:pPr>
      <w:r w:rsidRPr="005A41BC">
        <w:rPr>
          <w:bCs w:val="0"/>
          <w:iCs w:val="0"/>
          <w:lang w:val="en-US"/>
        </w:rPr>
        <w:t xml:space="preserve">A </w:t>
      </w:r>
      <w:r w:rsidR="008D0EBA" w:rsidRPr="005A41BC">
        <w:rPr>
          <w:bCs w:val="0"/>
          <w:iCs w:val="0"/>
          <w:lang w:val="en-US"/>
        </w:rPr>
        <w:t xml:space="preserve">Distribution Network Service Provider </w:t>
      </w:r>
      <w:r w:rsidR="00026B10" w:rsidRPr="005A41BC">
        <w:rPr>
          <w:bCs w:val="0"/>
          <w:iCs w:val="0"/>
          <w:lang w:val="en-US"/>
        </w:rPr>
        <w:t>shall</w:t>
      </w:r>
      <w:r w:rsidR="008D0EBA" w:rsidRPr="005A41BC">
        <w:rPr>
          <w:bCs w:val="0"/>
          <w:iCs w:val="0"/>
          <w:lang w:val="en-US"/>
        </w:rPr>
        <w:t xml:space="preserve"> ensure </w:t>
      </w:r>
      <w:r w:rsidR="00452040" w:rsidRPr="005A41BC">
        <w:rPr>
          <w:bCs w:val="0"/>
          <w:iCs w:val="0"/>
          <w:color w:val="auto"/>
          <w:lang w:val="en-US"/>
        </w:rPr>
        <w:t>O</w:t>
      </w:r>
      <w:r w:rsidR="008D0EBA" w:rsidRPr="005A41BC">
        <w:rPr>
          <w:bCs w:val="0"/>
          <w:iCs w:val="0"/>
          <w:color w:val="auto"/>
          <w:lang w:val="en-US"/>
        </w:rPr>
        <w:t xml:space="preserve">pen </w:t>
      </w:r>
      <w:r w:rsidR="00452040" w:rsidRPr="005A41BC">
        <w:rPr>
          <w:bCs w:val="0"/>
          <w:iCs w:val="0"/>
          <w:color w:val="auto"/>
          <w:lang w:val="en-US"/>
        </w:rPr>
        <w:t>A</w:t>
      </w:r>
      <w:r w:rsidR="008D0EBA" w:rsidRPr="005A41BC">
        <w:rPr>
          <w:bCs w:val="0"/>
          <w:iCs w:val="0"/>
          <w:color w:val="auto"/>
          <w:lang w:val="en-US"/>
        </w:rPr>
        <w:t xml:space="preserve">ccess </w:t>
      </w:r>
      <w:r w:rsidR="008D0EBA" w:rsidRPr="005A41BC">
        <w:rPr>
          <w:bCs w:val="0"/>
          <w:iCs w:val="0"/>
          <w:lang w:val="en-US"/>
        </w:rPr>
        <w:t xml:space="preserve">to </w:t>
      </w:r>
      <w:r w:rsidRPr="005A41BC">
        <w:rPr>
          <w:bCs w:val="0"/>
          <w:iCs w:val="0"/>
          <w:lang w:val="en-US"/>
        </w:rPr>
        <w:t xml:space="preserve">its </w:t>
      </w:r>
      <w:r w:rsidR="008D0EBA" w:rsidRPr="005A41BC">
        <w:rPr>
          <w:bCs w:val="0"/>
          <w:iCs w:val="0"/>
          <w:lang w:val="en-US"/>
        </w:rPr>
        <w:t xml:space="preserve">network and </w:t>
      </w:r>
      <w:r w:rsidRPr="005A41BC">
        <w:rPr>
          <w:bCs w:val="0"/>
          <w:iCs w:val="0"/>
          <w:lang w:val="en-US"/>
        </w:rPr>
        <w:t xml:space="preserve">shall also </w:t>
      </w:r>
      <w:r w:rsidR="008D0EBA" w:rsidRPr="005A41BC">
        <w:rPr>
          <w:bCs w:val="0"/>
          <w:iCs w:val="0"/>
          <w:lang w:val="en-US"/>
        </w:rPr>
        <w:t xml:space="preserve">publish information related to </w:t>
      </w:r>
      <w:r w:rsidRPr="005A41BC">
        <w:rPr>
          <w:bCs w:val="0"/>
          <w:iCs w:val="0"/>
          <w:lang w:val="en-US"/>
        </w:rPr>
        <w:t xml:space="preserve">the </w:t>
      </w:r>
      <w:r w:rsidR="008D0EBA" w:rsidRPr="005A41BC">
        <w:rPr>
          <w:bCs w:val="0"/>
          <w:iCs w:val="0"/>
          <w:lang w:val="en-US"/>
        </w:rPr>
        <w:t>network availability</w:t>
      </w:r>
      <w:r w:rsidRPr="005A41BC">
        <w:rPr>
          <w:bCs w:val="0"/>
          <w:iCs w:val="0"/>
          <w:lang w:val="en-US"/>
        </w:rPr>
        <w:t xml:space="preserve"> and its future expansion plans</w:t>
      </w:r>
      <w:r w:rsidR="008D0EBA" w:rsidRPr="005A41BC">
        <w:rPr>
          <w:bCs w:val="0"/>
          <w:iCs w:val="0"/>
          <w:lang w:val="en-US"/>
        </w:rPr>
        <w:t xml:space="preserve">. </w:t>
      </w:r>
      <w:r w:rsidR="00026B10" w:rsidRPr="005A41BC">
        <w:rPr>
          <w:bCs w:val="0"/>
          <w:iCs w:val="0"/>
          <w:lang w:val="en-US"/>
        </w:rPr>
        <w:t xml:space="preserve"> </w:t>
      </w:r>
    </w:p>
    <w:p w14:paraId="50FB3D12" w14:textId="4F351B82" w:rsidR="00293F8F" w:rsidRDefault="00293F8F" w:rsidP="00C173D0">
      <w:pPr>
        <w:pStyle w:val="Heading3"/>
      </w:pPr>
      <w:r>
        <w:t>Metering Service Providers</w:t>
      </w:r>
    </w:p>
    <w:p w14:paraId="1D40BDAA" w14:textId="02F81D97" w:rsidR="00273BC0" w:rsidRPr="00452040" w:rsidRDefault="00273BC0" w:rsidP="00273BC0">
      <w:pPr>
        <w:pStyle w:val="Heading4"/>
        <w:rPr>
          <w:lang w:val="en-US"/>
        </w:rPr>
      </w:pPr>
      <w:r>
        <w:rPr>
          <w:lang w:val="en-US"/>
        </w:rPr>
        <w:t>All Metering Service</w:t>
      </w:r>
      <w:r w:rsidRPr="00452040">
        <w:rPr>
          <w:lang w:val="en-US"/>
        </w:rPr>
        <w:t xml:space="preserve"> Providers shall </w:t>
      </w:r>
      <w:r>
        <w:rPr>
          <w:lang w:val="en-US"/>
        </w:rPr>
        <w:t>be registered with the Market Operator as Service Providers</w:t>
      </w:r>
      <w:r w:rsidR="005A41BC">
        <w:rPr>
          <w:lang w:val="en-US"/>
        </w:rPr>
        <w:t>.</w:t>
      </w:r>
    </w:p>
    <w:p w14:paraId="14107E97" w14:textId="45AB39E0" w:rsidR="0007555C" w:rsidRDefault="00273BC0" w:rsidP="005B295A">
      <w:pPr>
        <w:pStyle w:val="Heading4"/>
        <w:rPr>
          <w:lang w:val="en-US"/>
        </w:rPr>
      </w:pPr>
      <w:r>
        <w:rPr>
          <w:lang w:val="en-US"/>
        </w:rPr>
        <w:t xml:space="preserve">A </w:t>
      </w:r>
      <w:r w:rsidR="00DE1CA3" w:rsidRPr="006102D7">
        <w:rPr>
          <w:lang w:val="en-US"/>
        </w:rPr>
        <w:t xml:space="preserve">Metering Service Provider (MSP) </w:t>
      </w:r>
      <w:r w:rsidR="0007555C">
        <w:rPr>
          <w:lang w:val="en-US"/>
        </w:rPr>
        <w:t>shall be an</w:t>
      </w:r>
      <w:r w:rsidR="0007555C" w:rsidRPr="006102D7">
        <w:rPr>
          <w:lang w:val="en-US"/>
        </w:rPr>
        <w:t xml:space="preserve"> </w:t>
      </w:r>
      <w:r w:rsidR="0007555C">
        <w:rPr>
          <w:lang w:val="en-US"/>
        </w:rPr>
        <w:t>entity</w:t>
      </w:r>
      <w:r w:rsidR="00BC5B11">
        <w:rPr>
          <w:lang w:val="en-US"/>
        </w:rPr>
        <w:t>,</w:t>
      </w:r>
      <w:r w:rsidR="006102D7">
        <w:rPr>
          <w:lang w:val="en-US"/>
        </w:rPr>
        <w:t xml:space="preserve"> </w:t>
      </w:r>
      <w:r w:rsidR="00DE1CA3" w:rsidRPr="006102D7">
        <w:rPr>
          <w:lang w:val="en-US"/>
        </w:rPr>
        <w:t>responsible</w:t>
      </w:r>
      <w:r w:rsidR="0007555C">
        <w:rPr>
          <w:lang w:val="en-US"/>
        </w:rPr>
        <w:t>:</w:t>
      </w:r>
    </w:p>
    <w:p w14:paraId="3D07C342" w14:textId="54D81C64" w:rsidR="0007555C" w:rsidRDefault="00DE1CA3" w:rsidP="0007555C">
      <w:pPr>
        <w:pStyle w:val="Heading5"/>
        <w:rPr>
          <w:lang w:val="en-US"/>
        </w:rPr>
      </w:pPr>
      <w:r w:rsidRPr="006102D7">
        <w:rPr>
          <w:lang w:val="en-US"/>
        </w:rPr>
        <w:t>to collect all metering information required by the Market Operator to perform the settlement functions</w:t>
      </w:r>
      <w:r w:rsidR="006102D7">
        <w:rPr>
          <w:lang w:val="en-US"/>
        </w:rPr>
        <w:t>;</w:t>
      </w:r>
      <w:r w:rsidRPr="006102D7">
        <w:rPr>
          <w:lang w:val="en-US"/>
        </w:rPr>
        <w:t xml:space="preserve"> </w:t>
      </w:r>
    </w:p>
    <w:p w14:paraId="5339EEE2" w14:textId="01C61641" w:rsidR="0007555C" w:rsidRDefault="00DE1CA3" w:rsidP="0007555C">
      <w:pPr>
        <w:pStyle w:val="Heading5"/>
        <w:rPr>
          <w:lang w:val="en-US"/>
        </w:rPr>
      </w:pPr>
      <w:r w:rsidRPr="006102D7">
        <w:rPr>
          <w:lang w:val="en-US"/>
        </w:rPr>
        <w:t xml:space="preserve">to assess </w:t>
      </w:r>
      <w:r w:rsidR="0007555C">
        <w:rPr>
          <w:lang w:val="en-US"/>
        </w:rPr>
        <w:t>the</w:t>
      </w:r>
      <w:r w:rsidR="0007555C" w:rsidRPr="006102D7">
        <w:rPr>
          <w:lang w:val="en-US"/>
        </w:rPr>
        <w:t xml:space="preserve"> </w:t>
      </w:r>
      <w:r w:rsidRPr="006102D7">
        <w:rPr>
          <w:lang w:val="en-US"/>
        </w:rPr>
        <w:t>completeness and consistency</w:t>
      </w:r>
      <w:r w:rsidR="0007555C">
        <w:rPr>
          <w:lang w:val="en-US"/>
        </w:rPr>
        <w:t xml:space="preserve"> of the metering information; and</w:t>
      </w:r>
    </w:p>
    <w:p w14:paraId="506EAAEB" w14:textId="0C2F4A60" w:rsidR="00DE1CA3" w:rsidRPr="006102D7" w:rsidRDefault="0007555C" w:rsidP="0007555C">
      <w:pPr>
        <w:pStyle w:val="Heading5"/>
        <w:rPr>
          <w:lang w:val="en-US"/>
        </w:rPr>
      </w:pPr>
      <w:r>
        <w:rPr>
          <w:lang w:val="en-US"/>
        </w:rPr>
        <w:t xml:space="preserve">to </w:t>
      </w:r>
      <w:r w:rsidR="00DE1CA3" w:rsidRPr="006102D7">
        <w:rPr>
          <w:lang w:val="en-US"/>
        </w:rPr>
        <w:t xml:space="preserve">transfer </w:t>
      </w:r>
      <w:r>
        <w:rPr>
          <w:lang w:val="en-US"/>
        </w:rPr>
        <w:t>the metering information</w:t>
      </w:r>
      <w:r w:rsidRPr="006102D7">
        <w:rPr>
          <w:lang w:val="en-US"/>
        </w:rPr>
        <w:t xml:space="preserve"> </w:t>
      </w:r>
      <w:r w:rsidR="00DE1CA3" w:rsidRPr="006102D7">
        <w:rPr>
          <w:lang w:val="en-US"/>
        </w:rPr>
        <w:t>to the Market Operator</w:t>
      </w:r>
      <w:r w:rsidR="006102D7">
        <w:rPr>
          <w:lang w:val="en-US"/>
        </w:rPr>
        <w:t xml:space="preserve"> </w:t>
      </w:r>
      <w:r w:rsidR="00DE1CA3" w:rsidRPr="006102D7">
        <w:rPr>
          <w:lang w:val="en-US"/>
        </w:rPr>
        <w:t>through electronic means</w:t>
      </w:r>
      <w:r w:rsidR="006102D7">
        <w:rPr>
          <w:lang w:val="en-US"/>
        </w:rPr>
        <w:t xml:space="preserve">, </w:t>
      </w:r>
      <w:r>
        <w:rPr>
          <w:lang w:val="en-US"/>
        </w:rPr>
        <w:t xml:space="preserve">at such intervals as specified in the relevant </w:t>
      </w:r>
      <w:r w:rsidR="002A47E3">
        <w:rPr>
          <w:lang w:val="en-US"/>
        </w:rPr>
        <w:t>CCOP.</w:t>
      </w:r>
      <w:r w:rsidR="006102D7" w:rsidRPr="006102D7">
        <w:rPr>
          <w:lang w:val="en-US"/>
        </w:rPr>
        <w:t xml:space="preserve">  </w:t>
      </w:r>
      <w:r w:rsidR="00DE1CA3" w:rsidRPr="006102D7">
        <w:rPr>
          <w:lang w:val="en-US"/>
        </w:rPr>
        <w:t xml:space="preserve"> </w:t>
      </w:r>
    </w:p>
    <w:p w14:paraId="5225C3CC" w14:textId="0393E2E1" w:rsidR="00293F8F" w:rsidRDefault="00E33CCB" w:rsidP="00C173D0">
      <w:pPr>
        <w:pStyle w:val="Heading2"/>
      </w:pPr>
      <w:bookmarkStart w:id="67" w:name="_Toc64846655"/>
      <w:bookmarkStart w:id="68" w:name="_Toc69476952"/>
      <w:r>
        <w:t>P</w:t>
      </w:r>
      <w:r w:rsidR="001C4A85">
        <w:t>ower Procurement</w:t>
      </w:r>
      <w:bookmarkEnd w:id="67"/>
      <w:bookmarkEnd w:id="68"/>
      <w:r w:rsidR="0007555C">
        <w:t xml:space="preserve"> </w:t>
      </w:r>
    </w:p>
    <w:p w14:paraId="0DD557B5" w14:textId="2ADAF761" w:rsidR="00293F8F" w:rsidRDefault="00E33CCB" w:rsidP="00C173D0">
      <w:pPr>
        <w:pStyle w:val="Heading3"/>
      </w:pPr>
      <w:r>
        <w:t>The Independent Auction Administrator</w:t>
      </w:r>
    </w:p>
    <w:p w14:paraId="0C223FCA" w14:textId="30A4C2CA" w:rsidR="00E33CCB" w:rsidRDefault="008D0EBA" w:rsidP="005B295A">
      <w:pPr>
        <w:pStyle w:val="Heading4"/>
      </w:pPr>
      <w:r>
        <w:t xml:space="preserve">The Independent Auction Administrator (IAA) </w:t>
      </w:r>
      <w:r w:rsidR="0007555C">
        <w:t xml:space="preserve">shall be an entity </w:t>
      </w:r>
      <w:r w:rsidR="00E33CCB">
        <w:t xml:space="preserve">registered </w:t>
      </w:r>
      <w:r w:rsidR="0007555C">
        <w:t xml:space="preserve">with the Authority </w:t>
      </w:r>
      <w:r w:rsidR="00E33CCB">
        <w:t xml:space="preserve">which </w:t>
      </w:r>
      <w:r w:rsidR="0007555C">
        <w:t xml:space="preserve">shall perform the function of </w:t>
      </w:r>
      <w:r w:rsidR="00E33CCB">
        <w:t>facilitat</w:t>
      </w:r>
      <w:r w:rsidR="0007555C">
        <w:t>ing</w:t>
      </w:r>
      <w:r w:rsidR="00E33CCB">
        <w:t xml:space="preserve"> the </w:t>
      </w:r>
      <w:r w:rsidR="002A47E3">
        <w:t>EX-WAPDA DISCOs</w:t>
      </w:r>
      <w:r w:rsidR="00E33CCB">
        <w:t xml:space="preserve"> </w:t>
      </w:r>
      <w:r>
        <w:t xml:space="preserve">to comply with their </w:t>
      </w:r>
      <w:r w:rsidR="00E33CCB">
        <w:t>C</w:t>
      </w:r>
      <w:r>
        <w:t xml:space="preserve">apacity </w:t>
      </w:r>
      <w:r w:rsidR="00E33CCB">
        <w:t>O</w:t>
      </w:r>
      <w:r>
        <w:t>bligations</w:t>
      </w:r>
      <w:r w:rsidR="00E33CCB">
        <w:t xml:space="preserve">, as </w:t>
      </w:r>
      <w:r w:rsidR="0007555C">
        <w:t xml:space="preserve">stipulated </w:t>
      </w:r>
      <w:r w:rsidR="00E33CCB">
        <w:t xml:space="preserve">in </w:t>
      </w:r>
      <w:r w:rsidR="00E33CCB">
        <w:fldChar w:fldCharType="begin"/>
      </w:r>
      <w:r w:rsidR="00E33CCB">
        <w:instrText xml:space="preserve"> REF _Ref54809487 \r \h </w:instrText>
      </w:r>
      <w:r w:rsidR="00676FF4">
        <w:instrText xml:space="preserve"> \* MERGEFORMAT </w:instrText>
      </w:r>
      <w:r w:rsidR="00E33CCB">
        <w:fldChar w:fldCharType="separate"/>
      </w:r>
      <w:r w:rsidR="00251DBF">
        <w:t>Chapter 11</w:t>
      </w:r>
      <w:r w:rsidR="00E33CCB">
        <w:fldChar w:fldCharType="end"/>
      </w:r>
      <w:r w:rsidR="00E33CCB">
        <w:t xml:space="preserve">, </w:t>
      </w:r>
      <w:r>
        <w:t xml:space="preserve">through the procurement of new </w:t>
      </w:r>
      <w:r w:rsidR="00E33CCB">
        <w:t>C</w:t>
      </w:r>
      <w:r>
        <w:t>apacity and</w:t>
      </w:r>
      <w:r w:rsidR="002A3AA5">
        <w:t>/or</w:t>
      </w:r>
      <w:r>
        <w:t xml:space="preserve"> </w:t>
      </w:r>
      <w:r w:rsidR="00E33CCB">
        <w:t>E</w:t>
      </w:r>
      <w:r>
        <w:t xml:space="preserve">nergy. </w:t>
      </w:r>
    </w:p>
    <w:p w14:paraId="5CC86500" w14:textId="15E38B98" w:rsidR="008D0EBA" w:rsidRDefault="008D0EBA" w:rsidP="005B295A">
      <w:pPr>
        <w:pStyle w:val="Heading4"/>
      </w:pPr>
      <w:r>
        <w:lastRenderedPageBreak/>
        <w:t xml:space="preserve">The main </w:t>
      </w:r>
      <w:r w:rsidR="00710137">
        <w:t xml:space="preserve">responsibilities </w:t>
      </w:r>
      <w:r>
        <w:t xml:space="preserve">of IAA </w:t>
      </w:r>
      <w:r w:rsidR="0007555C">
        <w:t xml:space="preserve">may, </w:t>
      </w:r>
      <w:r w:rsidR="0007555C" w:rsidRPr="0007555C">
        <w:rPr>
          <w:i/>
          <w:iCs w:val="0"/>
        </w:rPr>
        <w:t>inter alia</w:t>
      </w:r>
      <w:r w:rsidR="0007555C">
        <w:t xml:space="preserve">, </w:t>
      </w:r>
      <w:r w:rsidR="00676FF4">
        <w:t>include</w:t>
      </w:r>
      <w:r>
        <w:t>:</w:t>
      </w:r>
    </w:p>
    <w:p w14:paraId="0ED78C31" w14:textId="27DD0877" w:rsidR="008D0EBA" w:rsidRDefault="00710137" w:rsidP="00B03234">
      <w:pPr>
        <w:pStyle w:val="Heading5"/>
      </w:pPr>
      <w:r>
        <w:t>c</w:t>
      </w:r>
      <w:r w:rsidR="008D0EBA">
        <w:t>onsolidat</w:t>
      </w:r>
      <w:r>
        <w:t>ing</w:t>
      </w:r>
      <w:r w:rsidR="008D0EBA">
        <w:t xml:space="preserve"> the </w:t>
      </w:r>
      <w:r>
        <w:t xml:space="preserve">Energy and Capacity requirements as </w:t>
      </w:r>
      <w:r w:rsidR="008D0EBA">
        <w:t xml:space="preserve">provided by each </w:t>
      </w:r>
      <w:r w:rsidR="002A47E3">
        <w:t>EX-WAPDA DISCO</w:t>
      </w:r>
      <w:r w:rsidR="00676FF4">
        <w:t xml:space="preserve">; </w:t>
      </w:r>
    </w:p>
    <w:p w14:paraId="35A683EA" w14:textId="7B3688EF" w:rsidR="00676FF4" w:rsidRDefault="00710137" w:rsidP="00B03234">
      <w:pPr>
        <w:pStyle w:val="Heading5"/>
      </w:pPr>
      <w:r>
        <w:t>d</w:t>
      </w:r>
      <w:r w:rsidR="00676FF4">
        <w:t>evelopment of</w:t>
      </w:r>
      <w:r w:rsidR="008D0EBA">
        <w:t xml:space="preserve"> the Procurement Plan</w:t>
      </w:r>
      <w:r w:rsidR="00676FF4">
        <w:t>,</w:t>
      </w:r>
      <w:r w:rsidR="002A47E3">
        <w:t xml:space="preserve"> </w:t>
      </w:r>
      <w:r w:rsidR="008D0EBA">
        <w:t>based on the consolidated requirements and taking into consideration the Indicative Generation Capacity Expansion Plan (IGCE</w:t>
      </w:r>
      <w:r w:rsidR="00676FF4">
        <w:t>P</w:t>
      </w:r>
      <w:r w:rsidR="008D0EBA">
        <w:t>)</w:t>
      </w:r>
      <w:r w:rsidR="00676FF4">
        <w:t>;</w:t>
      </w:r>
    </w:p>
    <w:p w14:paraId="28EDBCB7" w14:textId="313CBEE9" w:rsidR="008D0EBA" w:rsidRDefault="00710137" w:rsidP="00B03234">
      <w:pPr>
        <w:pStyle w:val="Heading5"/>
      </w:pPr>
      <w:r>
        <w:t>o</w:t>
      </w:r>
      <w:r w:rsidR="008D0EBA">
        <w:t>btain</w:t>
      </w:r>
      <w:r>
        <w:t>ing</w:t>
      </w:r>
      <w:r w:rsidR="008D0EBA">
        <w:t xml:space="preserve"> the required regulatory approvals for the Procurement Plan</w:t>
      </w:r>
      <w:r w:rsidR="00C17071">
        <w:t>;</w:t>
      </w:r>
    </w:p>
    <w:p w14:paraId="4949D8E8" w14:textId="0F48AB85" w:rsidR="00676FF4" w:rsidRDefault="00710137" w:rsidP="00B03234">
      <w:pPr>
        <w:pStyle w:val="Heading5"/>
      </w:pPr>
      <w:r>
        <w:t>preparing</w:t>
      </w:r>
      <w:r w:rsidR="008D0EBA">
        <w:t xml:space="preserve"> standard bidding documents and </w:t>
      </w:r>
      <w:r w:rsidR="00A0570C">
        <w:t>procurement Contracts</w:t>
      </w:r>
      <w:r w:rsidR="00C17071">
        <w:t>;</w:t>
      </w:r>
      <w:r w:rsidR="00676FF4">
        <w:t xml:space="preserve"> </w:t>
      </w:r>
    </w:p>
    <w:p w14:paraId="5F768041" w14:textId="71E8C0F0" w:rsidR="008D0EBA" w:rsidRDefault="00710137" w:rsidP="00B03234">
      <w:pPr>
        <w:pStyle w:val="Heading5"/>
      </w:pPr>
      <w:r>
        <w:t>c</w:t>
      </w:r>
      <w:r w:rsidR="008D0EBA">
        <w:t>onduct</w:t>
      </w:r>
      <w:r>
        <w:t>ing</w:t>
      </w:r>
      <w:r w:rsidR="008D0EBA">
        <w:t xml:space="preserve"> competitive auctions for the approved Procurement Plan; </w:t>
      </w:r>
      <w:r w:rsidR="00C17071">
        <w:t>and</w:t>
      </w:r>
    </w:p>
    <w:p w14:paraId="3C030300" w14:textId="0425FCE9" w:rsidR="00676FF4" w:rsidRDefault="00710137" w:rsidP="00B03234">
      <w:pPr>
        <w:pStyle w:val="Heading5"/>
      </w:pPr>
      <w:r>
        <w:t>a</w:t>
      </w:r>
      <w:r w:rsidR="008D0EBA">
        <w:t>ssist</w:t>
      </w:r>
      <w:r>
        <w:t>ing</w:t>
      </w:r>
      <w:r w:rsidR="008D0EBA">
        <w:t xml:space="preserve"> the </w:t>
      </w:r>
      <w:r w:rsidR="002A47E3">
        <w:t>EX-WAPDA DISCOs</w:t>
      </w:r>
      <w:r w:rsidR="00676FF4">
        <w:t xml:space="preserve"> </w:t>
      </w:r>
      <w:r w:rsidR="008D0EBA">
        <w:t xml:space="preserve">in finalizing the </w:t>
      </w:r>
      <w:r w:rsidR="001C333B">
        <w:t>Bilateral</w:t>
      </w:r>
      <w:r w:rsidR="008D0EBA">
        <w:t xml:space="preserve"> </w:t>
      </w:r>
      <w:r w:rsidR="00A0570C">
        <w:t>Contracts</w:t>
      </w:r>
      <w:r w:rsidR="008D0EBA">
        <w:t xml:space="preserve"> with </w:t>
      </w:r>
      <w:r w:rsidR="00676FF4">
        <w:t>the</w:t>
      </w:r>
      <w:r w:rsidR="008D0EBA">
        <w:t xml:space="preserve"> </w:t>
      </w:r>
      <w:r w:rsidR="00A0570C">
        <w:t xml:space="preserve">Generation </w:t>
      </w:r>
      <w:r>
        <w:t>C</w:t>
      </w:r>
      <w:r w:rsidR="00A0570C">
        <w:t xml:space="preserve">ompanies </w:t>
      </w:r>
      <w:r>
        <w:t>successful</w:t>
      </w:r>
      <w:r w:rsidR="008D0EBA">
        <w:t xml:space="preserve"> in the auction. </w:t>
      </w:r>
    </w:p>
    <w:p w14:paraId="3B4EC81B" w14:textId="77777777" w:rsidR="00596142" w:rsidRPr="0081721B" w:rsidRDefault="00596142" w:rsidP="00596142">
      <w:pPr>
        <w:pStyle w:val="Heading3"/>
      </w:pPr>
      <w:r>
        <w:t>The Special Purpose Trader (CPPA-G)</w:t>
      </w:r>
      <w:r w:rsidRPr="0081721B">
        <w:t xml:space="preserve"> </w:t>
      </w:r>
    </w:p>
    <w:p w14:paraId="585F76CB" w14:textId="77777777" w:rsidR="00596142" w:rsidRPr="002246AC" w:rsidRDefault="00596142" w:rsidP="00596142">
      <w:pPr>
        <w:pStyle w:val="Heading4"/>
      </w:pPr>
      <w:r w:rsidRPr="00B03C4A">
        <w:t xml:space="preserve">The CPPA-G is an entity which is registered by the Authority and performs the functions of the agent of Distribution Licensees (Ex-WAPDA DISCOs and KE) and administers the Legacy Contracts. </w:t>
      </w:r>
    </w:p>
    <w:p w14:paraId="5371441C" w14:textId="77777777" w:rsidR="00596142" w:rsidRPr="003018FA" w:rsidRDefault="00596142" w:rsidP="00B03C4A">
      <w:pPr>
        <w:pStyle w:val="BodyText"/>
      </w:pPr>
    </w:p>
    <w:p w14:paraId="387EF67D" w14:textId="77777777" w:rsidR="00293F8F" w:rsidRDefault="00293F8F">
      <w:pPr>
        <w:spacing w:line="240" w:lineRule="auto"/>
        <w:rPr>
          <w:rFonts w:eastAsiaTheme="majorEastAsia" w:cstheme="majorBidi"/>
          <w:b/>
          <w:bCs/>
          <w:smallCaps/>
          <w:color w:val="00153F" w:themeColor="accent1" w:themeShade="80"/>
          <w:sz w:val="34"/>
          <w:szCs w:val="32"/>
        </w:rPr>
      </w:pPr>
      <w:r>
        <w:br w:type="page"/>
      </w:r>
    </w:p>
    <w:p w14:paraId="59CA965B" w14:textId="5AED98BF" w:rsidR="00293F8F" w:rsidRPr="001868FE" w:rsidRDefault="00EF0BF2" w:rsidP="00A40A5D">
      <w:pPr>
        <w:pStyle w:val="Heading1"/>
      </w:pPr>
      <w:bookmarkStart w:id="69" w:name="_Ref60785495"/>
      <w:bookmarkStart w:id="70" w:name="_Toc64846656"/>
      <w:bookmarkStart w:id="71" w:name="_Toc69476953"/>
      <w:r>
        <w:lastRenderedPageBreak/>
        <w:t>Registration of Market Participants and Service Providers</w:t>
      </w:r>
      <w:r w:rsidRPr="001868FE">
        <w:t xml:space="preserve"> </w:t>
      </w:r>
      <w:bookmarkEnd w:id="69"/>
      <w:bookmarkEnd w:id="70"/>
      <w:bookmarkEnd w:id="71"/>
    </w:p>
    <w:p w14:paraId="4BF6F760" w14:textId="0681C851" w:rsidR="00293F8F" w:rsidRDefault="00480A77" w:rsidP="00C173D0">
      <w:pPr>
        <w:pStyle w:val="Heading2"/>
      </w:pPr>
      <w:bookmarkStart w:id="72" w:name="_Toc64846657"/>
      <w:bookmarkStart w:id="73" w:name="_Toc69476954"/>
      <w:r>
        <w:t>M</w:t>
      </w:r>
      <w:r w:rsidR="00293F8F">
        <w:t xml:space="preserve">arket </w:t>
      </w:r>
      <w:r>
        <w:t>P</w:t>
      </w:r>
      <w:r w:rsidR="00293F8F">
        <w:t>articipant E</w:t>
      </w:r>
      <w:r>
        <w:t>ligibility Requirements</w:t>
      </w:r>
      <w:bookmarkEnd w:id="72"/>
      <w:bookmarkEnd w:id="73"/>
      <w:r w:rsidR="00566393">
        <w:t xml:space="preserve"> for Registration</w:t>
      </w:r>
    </w:p>
    <w:p w14:paraId="1B8072FC" w14:textId="76D36CB7" w:rsidR="00EA2224" w:rsidRDefault="00EA2224" w:rsidP="005B295A">
      <w:pPr>
        <w:pStyle w:val="Heading4"/>
      </w:pPr>
      <w:r>
        <w:t>A</w:t>
      </w:r>
      <w:r w:rsidR="007A71E6">
        <w:t>ny</w:t>
      </w:r>
      <w:r>
        <w:t xml:space="preserve"> person who </w:t>
      </w:r>
      <w:r w:rsidR="003C3F5E">
        <w:t xml:space="preserve">intends </w:t>
      </w:r>
      <w:r>
        <w:t xml:space="preserve">to </w:t>
      </w:r>
      <w:r w:rsidR="00880902">
        <w:t xml:space="preserve">buy or sell electric power (Energy and/or Capacity), </w:t>
      </w:r>
      <w:r>
        <w:t xml:space="preserve">or </w:t>
      </w:r>
      <w:r w:rsidR="00880902">
        <w:t xml:space="preserve">to </w:t>
      </w:r>
      <w:r>
        <w:t xml:space="preserve">participate in the </w:t>
      </w:r>
      <w:r w:rsidR="00C73409">
        <w:t>CTBCM</w:t>
      </w:r>
      <w:r>
        <w:t xml:space="preserve">, </w:t>
      </w:r>
      <w:r w:rsidR="00880902">
        <w:t xml:space="preserve">unless exempted </w:t>
      </w:r>
      <w:r w:rsidR="007A71E6">
        <w:t>under</w:t>
      </w:r>
      <w:r w:rsidR="00880902">
        <w:t xml:space="preserve"> this Code, </w:t>
      </w:r>
      <w:r>
        <w:t xml:space="preserve">shall register as a </w:t>
      </w:r>
      <w:r w:rsidR="00136176">
        <w:t>Market Participant</w:t>
      </w:r>
      <w:r>
        <w:t xml:space="preserve"> with the Market Operator, in accordance with </w:t>
      </w:r>
      <w:r w:rsidR="007A71E6">
        <w:t xml:space="preserve">the provisions of </w:t>
      </w:r>
      <w:r>
        <w:t xml:space="preserve">this </w:t>
      </w:r>
      <w:r w:rsidR="00206E65">
        <w:t>Chapter</w:t>
      </w:r>
      <w:r>
        <w:t>.</w:t>
      </w:r>
    </w:p>
    <w:p w14:paraId="29C7EDE9" w14:textId="44482DCE" w:rsidR="00EA2224" w:rsidRPr="00B03C4A" w:rsidRDefault="00EA2224" w:rsidP="005B295A">
      <w:pPr>
        <w:pStyle w:val="Heading4"/>
      </w:pPr>
      <w:r w:rsidRPr="00B03C4A">
        <w:t xml:space="preserve">A </w:t>
      </w:r>
      <w:r w:rsidR="002246AC">
        <w:t xml:space="preserve">person desirous to register as a </w:t>
      </w:r>
      <w:r w:rsidR="00C73135" w:rsidRPr="00B03C4A">
        <w:t xml:space="preserve">Market </w:t>
      </w:r>
      <w:r w:rsidRPr="00B03C4A">
        <w:t xml:space="preserve">Participant to </w:t>
      </w:r>
      <w:r w:rsidR="003C3F5E" w:rsidRPr="00B03C4A">
        <w:t xml:space="preserve">participate </w:t>
      </w:r>
      <w:r w:rsidRPr="00B03C4A">
        <w:t xml:space="preserve">in the Market </w:t>
      </w:r>
      <w:r w:rsidR="002246AC">
        <w:t xml:space="preserve">shall </w:t>
      </w:r>
      <w:r w:rsidRPr="00B03C4A">
        <w:t>fulfil the following requirements:</w:t>
      </w:r>
    </w:p>
    <w:p w14:paraId="75FEDE9B" w14:textId="6F683516" w:rsidR="00EA2224" w:rsidRPr="00B03C4A" w:rsidRDefault="00A10EFB" w:rsidP="00B03234">
      <w:pPr>
        <w:pStyle w:val="Heading5"/>
      </w:pPr>
      <w:r>
        <w:t>t</w:t>
      </w:r>
      <w:r w:rsidR="00EA2224" w:rsidRPr="00B03C4A">
        <w:t>he person</w:t>
      </w:r>
      <w:r w:rsidR="00094AFF" w:rsidRPr="00B03C4A">
        <w:t>:</w:t>
      </w:r>
    </w:p>
    <w:p w14:paraId="4DAECDC7" w14:textId="6E7BBE86" w:rsidR="00EA2224" w:rsidRPr="00B03C4A" w:rsidRDefault="002246AC" w:rsidP="00B03C4A">
      <w:pPr>
        <w:pStyle w:val="ListParagraph"/>
        <w:widowControl w:val="0"/>
        <w:numPr>
          <w:ilvl w:val="1"/>
          <w:numId w:val="51"/>
        </w:numPr>
        <w:spacing w:before="0" w:after="160" w:line="259" w:lineRule="auto"/>
      </w:pPr>
      <w:r>
        <w:t>shall have a</w:t>
      </w:r>
      <w:r w:rsidR="00EA2224" w:rsidRPr="00B03C4A">
        <w:t xml:space="preserve"> </w:t>
      </w:r>
      <w:r w:rsidR="00480A77" w:rsidRPr="00B03C4A">
        <w:t xml:space="preserve">generation </w:t>
      </w:r>
      <w:r w:rsidR="00520202" w:rsidRPr="00B03C4A">
        <w:t>License</w:t>
      </w:r>
      <w:r w:rsidR="00EA2224" w:rsidRPr="00B03C4A">
        <w:t xml:space="preserve"> or is authorised </w:t>
      </w:r>
      <w:r>
        <w:t>to this effect</w:t>
      </w:r>
      <w:r w:rsidR="00EA2224" w:rsidRPr="00B03C4A">
        <w:t xml:space="preserve">; </w:t>
      </w:r>
    </w:p>
    <w:p w14:paraId="461933AB" w14:textId="3B76A367" w:rsidR="00EA2224" w:rsidRPr="00B03C4A" w:rsidRDefault="002246AC" w:rsidP="00B03C4A">
      <w:pPr>
        <w:pStyle w:val="ListParagraph"/>
        <w:widowControl w:val="0"/>
        <w:numPr>
          <w:ilvl w:val="1"/>
          <w:numId w:val="51"/>
        </w:numPr>
        <w:spacing w:before="0" w:after="160" w:line="259" w:lineRule="auto"/>
      </w:pPr>
      <w:r>
        <w:t>shall have</w:t>
      </w:r>
      <w:r w:rsidRPr="00B03C4A">
        <w:t xml:space="preserve"> </w:t>
      </w:r>
      <w:r w:rsidR="00480A77" w:rsidRPr="00B03C4A">
        <w:t>a</w:t>
      </w:r>
      <w:r w:rsidR="00596142" w:rsidRPr="00B03C4A">
        <w:t>n</w:t>
      </w:r>
      <w:r w:rsidR="00480A77" w:rsidRPr="00B03C4A">
        <w:t xml:space="preserve"> </w:t>
      </w:r>
      <w:r w:rsidR="003C3F5E" w:rsidRPr="00B03C4A">
        <w:t>Electric Power Supplier</w:t>
      </w:r>
      <w:r w:rsidR="003C3F5E" w:rsidRPr="00B03C4A" w:rsidDel="003C3F5E">
        <w:t xml:space="preserve"> </w:t>
      </w:r>
      <w:r w:rsidR="00520202" w:rsidRPr="00B03C4A">
        <w:t>License</w:t>
      </w:r>
      <w:r w:rsidR="00480A77" w:rsidRPr="00B03C4A">
        <w:t xml:space="preserve">; </w:t>
      </w:r>
    </w:p>
    <w:p w14:paraId="292482EC" w14:textId="52D666FB" w:rsidR="00480A77" w:rsidRPr="00B03C4A" w:rsidRDefault="002246AC" w:rsidP="00B03C4A">
      <w:pPr>
        <w:pStyle w:val="ListParagraph"/>
        <w:widowControl w:val="0"/>
        <w:numPr>
          <w:ilvl w:val="1"/>
          <w:numId w:val="51"/>
        </w:numPr>
        <w:spacing w:before="0" w:after="160" w:line="259" w:lineRule="auto"/>
      </w:pPr>
      <w:r>
        <w:t>shall have</w:t>
      </w:r>
      <w:r w:rsidRPr="00A73929">
        <w:t xml:space="preserve"> an Electric Power </w:t>
      </w:r>
      <w:r>
        <w:t>Trader</w:t>
      </w:r>
      <w:r w:rsidRPr="00A73929" w:rsidDel="003C3F5E">
        <w:t xml:space="preserve"> </w:t>
      </w:r>
      <w:r w:rsidRPr="00A73929">
        <w:t>License</w:t>
      </w:r>
      <w:r w:rsidRPr="002246AC" w:rsidDel="002246AC">
        <w:t xml:space="preserve"> </w:t>
      </w:r>
      <w:r w:rsidR="00480A77" w:rsidRPr="00B03C4A">
        <w:t xml:space="preserve">; </w:t>
      </w:r>
    </w:p>
    <w:p w14:paraId="4FE001EF" w14:textId="5493C505" w:rsidR="00EA2224" w:rsidRPr="00B03C4A" w:rsidRDefault="002246AC" w:rsidP="00B03C4A">
      <w:pPr>
        <w:pStyle w:val="ListParagraph"/>
        <w:widowControl w:val="0"/>
        <w:numPr>
          <w:ilvl w:val="1"/>
          <w:numId w:val="51"/>
        </w:numPr>
        <w:spacing w:before="0" w:after="160" w:line="259" w:lineRule="auto"/>
      </w:pPr>
      <w:r>
        <w:t>shall o</w:t>
      </w:r>
      <w:r w:rsidR="00EA2224" w:rsidRPr="00B03C4A">
        <w:t>wn</w:t>
      </w:r>
      <w:r w:rsidR="003C3F5E" w:rsidRPr="00B03C4A">
        <w:t xml:space="preserve"> and operates</w:t>
      </w:r>
      <w:r w:rsidR="00EA2224" w:rsidRPr="00B03C4A">
        <w:t xml:space="preserve"> </w:t>
      </w:r>
      <w:r w:rsidR="000D7D25" w:rsidRPr="00B03C4A">
        <w:t>Captive Generation</w:t>
      </w:r>
      <w:r w:rsidR="00EA2224" w:rsidRPr="00B03C4A">
        <w:t xml:space="preserve">; </w:t>
      </w:r>
    </w:p>
    <w:p w14:paraId="5FB70D5B" w14:textId="43FA43E8" w:rsidR="00EA2224" w:rsidRPr="00B03C4A" w:rsidRDefault="002246AC" w:rsidP="00B03C4A">
      <w:pPr>
        <w:pStyle w:val="ListParagraph"/>
        <w:widowControl w:val="0"/>
        <w:numPr>
          <w:ilvl w:val="1"/>
          <w:numId w:val="51"/>
        </w:numPr>
        <w:spacing w:before="0" w:after="160" w:line="259" w:lineRule="auto"/>
      </w:pPr>
      <w:r>
        <w:t>i</w:t>
      </w:r>
      <w:r w:rsidR="00EA2224" w:rsidRPr="00B03C4A">
        <w:t>s a</w:t>
      </w:r>
      <w:r w:rsidR="00480A77" w:rsidRPr="00B03C4A">
        <w:t xml:space="preserve"> BPC</w:t>
      </w:r>
      <w:r w:rsidR="00EA2224" w:rsidRPr="00B03C4A">
        <w:t>; or</w:t>
      </w:r>
    </w:p>
    <w:p w14:paraId="63EF830A" w14:textId="697BFCF2" w:rsidR="00EA2224" w:rsidRPr="00B03C4A" w:rsidRDefault="002246AC" w:rsidP="00B03C4A">
      <w:pPr>
        <w:pStyle w:val="ListParagraph"/>
        <w:widowControl w:val="0"/>
        <w:numPr>
          <w:ilvl w:val="1"/>
          <w:numId w:val="51"/>
        </w:numPr>
        <w:spacing w:before="0" w:after="160" w:line="259" w:lineRule="auto"/>
      </w:pPr>
      <w:r>
        <w:t>i</w:t>
      </w:r>
      <w:r w:rsidR="00EA2224" w:rsidRPr="00B03C4A">
        <w:t xml:space="preserve">s an authorised </w:t>
      </w:r>
      <w:r>
        <w:t>person</w:t>
      </w:r>
      <w:r w:rsidRPr="00B03C4A">
        <w:t xml:space="preserve"> </w:t>
      </w:r>
      <w:r w:rsidR="00EA2224" w:rsidRPr="00B03C4A">
        <w:t>from another country</w:t>
      </w:r>
      <w:r w:rsidR="00C91D17" w:rsidRPr="00B03C4A">
        <w:t xml:space="preserve"> or territory </w:t>
      </w:r>
      <w:r w:rsidR="003C3F5E" w:rsidRPr="00B03C4A">
        <w:t>in which</w:t>
      </w:r>
      <w:r w:rsidR="00C91D17" w:rsidRPr="00B03C4A">
        <w:t xml:space="preserve">  the NEPRA Act is not applicable,</w:t>
      </w:r>
      <w:r w:rsidR="00EA2224" w:rsidRPr="00B03C4A">
        <w:t xml:space="preserve"> </w:t>
      </w:r>
      <w:r w:rsidR="00C91D17" w:rsidRPr="00B03C4A">
        <w:t xml:space="preserve">which </w:t>
      </w:r>
      <w:r w:rsidR="00EA2224" w:rsidRPr="00B03C4A">
        <w:t xml:space="preserve">participates in Regional </w:t>
      </w:r>
      <w:r w:rsidR="001B01EC" w:rsidRPr="00B03C4A">
        <w:t xml:space="preserve">Market </w:t>
      </w:r>
      <w:r w:rsidR="00EA2224" w:rsidRPr="00B03C4A">
        <w:t xml:space="preserve">through a </w:t>
      </w:r>
      <w:r w:rsidR="003A578F" w:rsidRPr="00B03C4A">
        <w:t>Contract</w:t>
      </w:r>
      <w:r w:rsidR="00EA2224" w:rsidRPr="00B03C4A">
        <w:t xml:space="preserve"> with a </w:t>
      </w:r>
      <w:r w:rsidR="00136176" w:rsidRPr="00B03C4A">
        <w:t>Market Participant</w:t>
      </w:r>
      <w:r w:rsidR="00EA2224" w:rsidRPr="00B03C4A">
        <w:t xml:space="preserve"> located in </w:t>
      </w:r>
      <w:r w:rsidR="00A71208" w:rsidRPr="00B03C4A">
        <w:t>Pakistan</w:t>
      </w:r>
      <w:r w:rsidR="00EA2224" w:rsidRPr="00B03C4A">
        <w:t>; or</w:t>
      </w:r>
      <w:r w:rsidR="00A71208" w:rsidRPr="00B03C4A">
        <w:t xml:space="preserve"> </w:t>
      </w:r>
      <w:r w:rsidR="00EA2224" w:rsidRPr="00B03C4A">
        <w:t xml:space="preserve">once the </w:t>
      </w:r>
      <w:r w:rsidR="00A71208" w:rsidRPr="00B03C4A">
        <w:t xml:space="preserve">Pakistan </w:t>
      </w:r>
      <w:r w:rsidR="00EA2224" w:rsidRPr="00B03C4A">
        <w:t xml:space="preserve">Market becomes a member of a Regional Pool, is a member of the Regional Pool and it has been agreed that such members may participate in the national Market and has been authorised by </w:t>
      </w:r>
      <w:r w:rsidR="00A71208" w:rsidRPr="00B03C4A">
        <w:t>the</w:t>
      </w:r>
      <w:r w:rsidR="00294518" w:rsidRPr="00B03C4A">
        <w:t xml:space="preserve"> </w:t>
      </w:r>
      <w:r w:rsidR="00A71208" w:rsidRPr="00B03C4A">
        <w:t>Authority</w:t>
      </w:r>
      <w:r w:rsidR="00EA2224" w:rsidRPr="00B03C4A">
        <w:t>.</w:t>
      </w:r>
    </w:p>
    <w:p w14:paraId="1AD6E688" w14:textId="62004C78" w:rsidR="00EA2224" w:rsidRPr="00B03C4A" w:rsidRDefault="00A10EFB" w:rsidP="00B03234">
      <w:pPr>
        <w:pStyle w:val="Heading5"/>
      </w:pPr>
      <w:r>
        <w:t>i</w:t>
      </w:r>
      <w:r w:rsidR="00A27EE3" w:rsidRPr="00B03C4A">
        <w:t xml:space="preserve">n case of </w:t>
      </w:r>
      <w:r w:rsidR="002246AC">
        <w:t xml:space="preserve">registering as </w:t>
      </w:r>
      <w:r w:rsidR="00A27EE3" w:rsidRPr="00B03C4A">
        <w:t>a Generator</w:t>
      </w:r>
      <w:r w:rsidR="00596142" w:rsidRPr="00B03C4A">
        <w:t xml:space="preserve"> or a BPC</w:t>
      </w:r>
      <w:r w:rsidR="00A27EE3" w:rsidRPr="00B03C4A">
        <w:t>, t</w:t>
      </w:r>
      <w:r w:rsidR="00EA2224" w:rsidRPr="00B03C4A">
        <w:t xml:space="preserve">he </w:t>
      </w:r>
      <w:r w:rsidR="00C73135" w:rsidRPr="00B03C4A">
        <w:t xml:space="preserve">Market </w:t>
      </w:r>
      <w:r w:rsidR="00EA2224" w:rsidRPr="00B03C4A">
        <w:t xml:space="preserve">Participant has </w:t>
      </w:r>
      <w:r w:rsidR="002246AC">
        <w:t xml:space="preserve">installed </w:t>
      </w:r>
      <w:r w:rsidR="00EA2224" w:rsidRPr="00B03C4A">
        <w:t xml:space="preserve">a Commercial Metering System in each Connection Point, in accordance with </w:t>
      </w:r>
      <w:r w:rsidR="00A71208" w:rsidRPr="00B03C4A">
        <w:t xml:space="preserve">the </w:t>
      </w:r>
      <w:r w:rsidR="002246AC">
        <w:t>provisions</w:t>
      </w:r>
      <w:r w:rsidR="002246AC" w:rsidRPr="00B03C4A">
        <w:t xml:space="preserve"> </w:t>
      </w:r>
      <w:r w:rsidR="00C73135" w:rsidRPr="00B03C4A">
        <w:t xml:space="preserve">of the </w:t>
      </w:r>
      <w:r w:rsidR="00A71208" w:rsidRPr="00B03C4A">
        <w:t xml:space="preserve">Grid </w:t>
      </w:r>
      <w:r w:rsidR="00076567">
        <w:t xml:space="preserve">Code </w:t>
      </w:r>
      <w:r w:rsidR="00A71208" w:rsidRPr="00B03C4A">
        <w:t xml:space="preserve">or </w:t>
      </w:r>
      <w:r w:rsidR="00C73135" w:rsidRPr="00B03C4A">
        <w:t xml:space="preserve">the </w:t>
      </w:r>
      <w:r w:rsidR="00A71208" w:rsidRPr="00B03C4A">
        <w:t xml:space="preserve">Distribution Code, as </w:t>
      </w:r>
      <w:r w:rsidR="002246AC">
        <w:t>appliable</w:t>
      </w:r>
      <w:r w:rsidR="00A71208" w:rsidRPr="00B03C4A">
        <w:t xml:space="preserve">, and </w:t>
      </w:r>
      <w:r w:rsidR="00F05124" w:rsidRPr="00B03C4A">
        <w:t>this Code</w:t>
      </w:r>
      <w:r w:rsidR="007A430E" w:rsidRPr="00B03C4A">
        <w:t xml:space="preserve"> and has a valid Connection Agreement with the Transmission or Distribution Network Service Provider</w:t>
      </w:r>
      <w:r w:rsidR="00EA2224" w:rsidRPr="00B03C4A">
        <w:t>.</w:t>
      </w:r>
    </w:p>
    <w:p w14:paraId="4156C25A" w14:textId="5D8AA5AA" w:rsidR="00EA2224" w:rsidRPr="002246AC" w:rsidRDefault="00A10EFB" w:rsidP="00B03234">
      <w:pPr>
        <w:pStyle w:val="Heading5"/>
      </w:pPr>
      <w:r>
        <w:t>t</w:t>
      </w:r>
      <w:r w:rsidR="00C73135" w:rsidRPr="00B03C4A">
        <w:t xml:space="preserve">he </w:t>
      </w:r>
      <w:r w:rsidR="00076567">
        <w:t>person shall submit</w:t>
      </w:r>
      <w:r w:rsidR="00C73135" w:rsidRPr="00B03C4A">
        <w:t xml:space="preserve"> an Admission Application to the Market Operator</w:t>
      </w:r>
      <w:r w:rsidR="00076567">
        <w:t xml:space="preserve"> which shall be processed as per provisions of this Code.</w:t>
      </w:r>
      <w:r w:rsidR="00C73135" w:rsidRPr="002246AC">
        <w:t xml:space="preserve"> </w:t>
      </w:r>
      <w:r w:rsidR="00EA2224" w:rsidRPr="002246AC">
        <w:t xml:space="preserve"> </w:t>
      </w:r>
    </w:p>
    <w:p w14:paraId="66716E98" w14:textId="5EE54774" w:rsidR="00EA2224" w:rsidRPr="00EA2224" w:rsidRDefault="00EA2224" w:rsidP="005B295A">
      <w:pPr>
        <w:pStyle w:val="Heading4"/>
      </w:pPr>
      <w:r>
        <w:t>If at any time</w:t>
      </w:r>
      <w:r w:rsidR="001C0ECE">
        <w:t>,</w:t>
      </w:r>
      <w:r>
        <w:t xml:space="preserve"> a </w:t>
      </w:r>
      <w:r w:rsidR="00136176">
        <w:t>Market Participant</w:t>
      </w:r>
      <w:r>
        <w:t xml:space="preserve"> ceases to be eligible to be registered as a </w:t>
      </w:r>
      <w:r w:rsidR="00136176">
        <w:t>Market Participant</w:t>
      </w:r>
      <w:r>
        <w:t xml:space="preserve"> in accordance with </w:t>
      </w:r>
      <w:r w:rsidR="00F05124">
        <w:t>this Code</w:t>
      </w:r>
      <w:r>
        <w:t xml:space="preserve">, the </w:t>
      </w:r>
      <w:r w:rsidR="00136176">
        <w:t>Market Participant</w:t>
      </w:r>
      <w:r>
        <w:t xml:space="preserve"> shall</w:t>
      </w:r>
      <w:r w:rsidR="00076567">
        <w:t xml:space="preserve"> immediately</w:t>
      </w:r>
      <w:r>
        <w:t xml:space="preserve"> inform the Market Operator and, as soon as practicable, the Market Operator shall issue a </w:t>
      </w:r>
      <w:r w:rsidR="00311FA4">
        <w:t>S</w:t>
      </w:r>
      <w:r>
        <w:t xml:space="preserve">uspension </w:t>
      </w:r>
      <w:r w:rsidR="006C2D03">
        <w:t>Order</w:t>
      </w:r>
      <w:r>
        <w:t xml:space="preserve"> in accordance with </w:t>
      </w:r>
      <w:r w:rsidR="00F05124">
        <w:t>this Code</w:t>
      </w:r>
      <w:r>
        <w:t>.</w:t>
      </w:r>
    </w:p>
    <w:p w14:paraId="5C7D014E" w14:textId="172E9638" w:rsidR="00293F8F" w:rsidRDefault="00A71208" w:rsidP="00C173D0">
      <w:pPr>
        <w:pStyle w:val="Heading2"/>
      </w:pPr>
      <w:bookmarkStart w:id="74" w:name="_Toc64846658"/>
      <w:bookmarkStart w:id="75" w:name="_Toc69476955"/>
      <w:r>
        <w:t>R</w:t>
      </w:r>
      <w:r w:rsidR="00293F8F">
        <w:t xml:space="preserve">ights and </w:t>
      </w:r>
      <w:r>
        <w:t>Obligations of the Market Participants</w:t>
      </w:r>
      <w:bookmarkEnd w:id="74"/>
      <w:bookmarkEnd w:id="75"/>
    </w:p>
    <w:p w14:paraId="4E62510E" w14:textId="1CF31DFC" w:rsidR="00B14720" w:rsidRDefault="00B14720" w:rsidP="005B295A">
      <w:pPr>
        <w:pStyle w:val="Heading4"/>
      </w:pPr>
      <w:r>
        <w:t xml:space="preserve">A Market Participant </w:t>
      </w:r>
      <w:r w:rsidR="00434414">
        <w:t>generally</w:t>
      </w:r>
      <w:r w:rsidR="00127CB7">
        <w:t xml:space="preserve"> shall have,</w:t>
      </w:r>
      <w:r>
        <w:t xml:space="preserve"> </w:t>
      </w:r>
      <w:r w:rsidR="00127CB7" w:rsidRPr="00127CB7">
        <w:rPr>
          <w:i/>
          <w:iCs w:val="0"/>
        </w:rPr>
        <w:t>inter alia</w:t>
      </w:r>
      <w:r w:rsidR="00127CB7">
        <w:t xml:space="preserve">, </w:t>
      </w:r>
      <w:r>
        <w:t>the following obligations:</w:t>
      </w:r>
    </w:p>
    <w:p w14:paraId="3ABEF3C8" w14:textId="3384162D" w:rsidR="00B14720" w:rsidRDefault="00127CB7" w:rsidP="00B03234">
      <w:pPr>
        <w:pStyle w:val="Heading5"/>
      </w:pPr>
      <w:r>
        <w:t>o</w:t>
      </w:r>
      <w:r w:rsidR="00B14720">
        <w:t>bey instructions of the System Operator</w:t>
      </w:r>
      <w:r w:rsidR="00A27EE3">
        <w:t xml:space="preserve"> as per provisions of the Grid Code</w:t>
      </w:r>
      <w:r w:rsidR="00B14720">
        <w:t>;</w:t>
      </w:r>
    </w:p>
    <w:p w14:paraId="6A44A0A8" w14:textId="098CFB57" w:rsidR="007237B4" w:rsidRDefault="007237B4" w:rsidP="00B03234">
      <w:pPr>
        <w:pStyle w:val="Heading5"/>
      </w:pPr>
      <w:r>
        <w:t xml:space="preserve">If </w:t>
      </w:r>
      <w:r w:rsidR="00127CB7">
        <w:t>required</w:t>
      </w:r>
      <w:r>
        <w:t xml:space="preserve">, provide the Ancillary Services as </w:t>
      </w:r>
      <w:r w:rsidR="00127CB7">
        <w:t xml:space="preserve">provided </w:t>
      </w:r>
      <w:r>
        <w:t>in the Grid Code;</w:t>
      </w:r>
    </w:p>
    <w:p w14:paraId="4A9B23AF" w14:textId="479200A5" w:rsidR="00B14720" w:rsidRDefault="00127CB7" w:rsidP="00B03234">
      <w:pPr>
        <w:pStyle w:val="Heading5"/>
      </w:pPr>
      <w:r>
        <w:t>s</w:t>
      </w:r>
      <w:r w:rsidR="00B14720">
        <w:t>ubmit to the System Operator and the Market Operator</w:t>
      </w:r>
      <w:r>
        <w:t>,</w:t>
      </w:r>
      <w:r w:rsidR="00B14720">
        <w:t xml:space="preserve"> </w:t>
      </w:r>
      <w:r>
        <w:t>in a timely manner</w:t>
      </w:r>
      <w:r w:rsidR="00B14720">
        <w:t xml:space="preserve"> and to the best of its knowledge</w:t>
      </w:r>
      <w:r>
        <w:t>,</w:t>
      </w:r>
      <w:r w:rsidR="00B14720">
        <w:t xml:space="preserve"> the information </w:t>
      </w:r>
      <w:r>
        <w:t xml:space="preserve">stipulated </w:t>
      </w:r>
      <w:r w:rsidR="00B14720">
        <w:t xml:space="preserve">in the Grid Code and </w:t>
      </w:r>
      <w:r w:rsidR="00F05124">
        <w:t>this Code</w:t>
      </w:r>
      <w:r w:rsidR="005B5E8D">
        <w:t xml:space="preserve"> </w:t>
      </w:r>
      <w:r w:rsidR="00B14720">
        <w:t xml:space="preserve">or </w:t>
      </w:r>
      <w:r>
        <w:t xml:space="preserve">as </w:t>
      </w:r>
      <w:r w:rsidR="00B14720">
        <w:t>may</w:t>
      </w:r>
      <w:r>
        <w:t xml:space="preserve"> be</w:t>
      </w:r>
      <w:r w:rsidR="00B14720">
        <w:t xml:space="preserve"> </w:t>
      </w:r>
      <w:r>
        <w:t>required by the System Operator and the Market Operator</w:t>
      </w:r>
      <w:r w:rsidR="00B14720">
        <w:t xml:space="preserve">, and </w:t>
      </w:r>
      <w:r>
        <w:t xml:space="preserve">inform, </w:t>
      </w:r>
      <w:r w:rsidR="00B14720">
        <w:t>as soon as possible</w:t>
      </w:r>
      <w:r>
        <w:t>,</w:t>
      </w:r>
      <w:r w:rsidR="00B14720">
        <w:t xml:space="preserve"> any change in such information</w:t>
      </w:r>
      <w:r w:rsidR="00387CE8">
        <w:t>;</w:t>
      </w:r>
    </w:p>
    <w:p w14:paraId="3CB4DD39" w14:textId="013F2500" w:rsidR="00B14720" w:rsidRDefault="00127CB7" w:rsidP="00B03234">
      <w:pPr>
        <w:pStyle w:val="Heading5"/>
      </w:pPr>
      <w:r>
        <w:t>p</w:t>
      </w:r>
      <w:r w:rsidR="00B14720">
        <w:t xml:space="preserve">ay in time </w:t>
      </w:r>
      <w:r>
        <w:t xml:space="preserve">any </w:t>
      </w:r>
      <w:r w:rsidR="005E1410">
        <w:t>A</w:t>
      </w:r>
      <w:r>
        <w:t>mounts</w:t>
      </w:r>
      <w:r w:rsidR="00B14720">
        <w:t xml:space="preserve"> </w:t>
      </w:r>
      <w:r w:rsidR="005E1410">
        <w:t>Payable</w:t>
      </w:r>
      <w:r w:rsidR="00387CE8">
        <w:t>;</w:t>
      </w:r>
    </w:p>
    <w:p w14:paraId="019795B9" w14:textId="5E206C6D" w:rsidR="00B14720" w:rsidRDefault="00127CB7" w:rsidP="00B03234">
      <w:pPr>
        <w:pStyle w:val="Heading5"/>
      </w:pPr>
      <w:r>
        <w:t>m</w:t>
      </w:r>
      <w:r w:rsidR="00B14720">
        <w:t xml:space="preserve">aintain a </w:t>
      </w:r>
      <w:r w:rsidR="00A27EE3">
        <w:t xml:space="preserve">Security </w:t>
      </w:r>
      <w:r w:rsidR="00387CE8">
        <w:t>Cover</w:t>
      </w:r>
      <w:r w:rsidR="00076567">
        <w:t xml:space="preserve"> and Guarantee Amount</w:t>
      </w:r>
      <w:r w:rsidR="00B14720">
        <w:t xml:space="preserve"> </w:t>
      </w:r>
      <w:r>
        <w:t>as required</w:t>
      </w:r>
      <w:r w:rsidR="00B14720">
        <w:t xml:space="preserve"> by the Market Operator; </w:t>
      </w:r>
      <w:r w:rsidR="00B14720">
        <w:lastRenderedPageBreak/>
        <w:t>and</w:t>
      </w:r>
    </w:p>
    <w:p w14:paraId="2F578EA8" w14:textId="344FDFF5" w:rsidR="00B14720" w:rsidRDefault="00127CB7" w:rsidP="00B03234">
      <w:pPr>
        <w:pStyle w:val="Heading5"/>
      </w:pPr>
      <w:r>
        <w:t>m</w:t>
      </w:r>
      <w:r w:rsidR="00B14720">
        <w:t>aintain a bank account for the administration of the market payment system</w:t>
      </w:r>
      <w:r>
        <w:t>;</w:t>
      </w:r>
    </w:p>
    <w:p w14:paraId="2A9E741B" w14:textId="10677003" w:rsidR="00434414" w:rsidRDefault="00127CB7" w:rsidP="00434414">
      <w:pPr>
        <w:pStyle w:val="Heading5"/>
      </w:pPr>
      <w:r>
        <w:t>a</w:t>
      </w:r>
      <w:r w:rsidR="00434414">
        <w:t xml:space="preserve">ny other obligations as </w:t>
      </w:r>
      <w:r>
        <w:t>required</w:t>
      </w:r>
      <w:r w:rsidR="00434414">
        <w:t xml:space="preserve"> </w:t>
      </w:r>
      <w:r>
        <w:t>under</w:t>
      </w:r>
      <w:r w:rsidR="00434414">
        <w:t xml:space="preserve"> this Code.</w:t>
      </w:r>
    </w:p>
    <w:p w14:paraId="552A07F5" w14:textId="774F7F62" w:rsidR="00B14720" w:rsidRDefault="00B14720" w:rsidP="005B295A">
      <w:pPr>
        <w:pStyle w:val="Heading4"/>
      </w:pPr>
      <w:r>
        <w:t xml:space="preserve">Each </w:t>
      </w:r>
      <w:r w:rsidR="00136176">
        <w:t>Market Participant</w:t>
      </w:r>
      <w:r>
        <w:t xml:space="preserve"> </w:t>
      </w:r>
      <w:r w:rsidR="00127CB7">
        <w:t xml:space="preserve">shall have, </w:t>
      </w:r>
      <w:r w:rsidR="00127CB7" w:rsidRPr="00127CB7">
        <w:rPr>
          <w:i/>
          <w:iCs w:val="0"/>
        </w:rPr>
        <w:t>inter alia</w:t>
      </w:r>
      <w:r w:rsidR="00127CB7">
        <w:t xml:space="preserve">, </w:t>
      </w:r>
      <w:r>
        <w:t>the following rights:</w:t>
      </w:r>
    </w:p>
    <w:p w14:paraId="48801D0B" w14:textId="30872D65" w:rsidR="00B14720" w:rsidRDefault="00127CB7" w:rsidP="00B03234">
      <w:pPr>
        <w:pStyle w:val="Heading5"/>
      </w:pPr>
      <w:r>
        <w:t xml:space="preserve">non-discriminatory </w:t>
      </w:r>
      <w:r w:rsidR="00B14720">
        <w:t xml:space="preserve">Open </w:t>
      </w:r>
      <w:r w:rsidR="003C3F5E">
        <w:t>A</w:t>
      </w:r>
      <w:r w:rsidR="00B14720">
        <w:t xml:space="preserve">ccess to </w:t>
      </w:r>
      <w:r>
        <w:t xml:space="preserve">the </w:t>
      </w:r>
      <w:r w:rsidR="003C3F5E">
        <w:t>T</w:t>
      </w:r>
      <w:r w:rsidR="00B14720">
        <w:t xml:space="preserve">ransmission and </w:t>
      </w:r>
      <w:r w:rsidR="003C3F5E">
        <w:t>D</w:t>
      </w:r>
      <w:r w:rsidR="00B14720">
        <w:t>istribution services in accordance with the Grid Code and the Distribution Code</w:t>
      </w:r>
      <w:r w:rsidR="00387CE8">
        <w:t>;</w:t>
      </w:r>
    </w:p>
    <w:p w14:paraId="1ADB19AD" w14:textId="1088A833" w:rsidR="00387CE8" w:rsidRDefault="0070611E" w:rsidP="00B03234">
      <w:pPr>
        <w:pStyle w:val="Heading5"/>
      </w:pPr>
      <w:r>
        <w:t>participation</w:t>
      </w:r>
      <w:r w:rsidR="00387CE8">
        <w:t xml:space="preserve"> in the </w:t>
      </w:r>
      <w:r w:rsidR="00C12195">
        <w:t xml:space="preserve">Balancing Mechanisms for </w:t>
      </w:r>
      <w:r w:rsidR="009B46D6">
        <w:t xml:space="preserve">Energy </w:t>
      </w:r>
      <w:r w:rsidR="00387CE8">
        <w:t xml:space="preserve">and </w:t>
      </w:r>
      <w:r w:rsidR="009B46D6">
        <w:t>Capacity</w:t>
      </w:r>
      <w:r w:rsidR="00387CE8">
        <w:t>;</w:t>
      </w:r>
    </w:p>
    <w:p w14:paraId="75E6FD12" w14:textId="65A96AB7" w:rsidR="00B14720" w:rsidRDefault="0070611E" w:rsidP="00B03234">
      <w:pPr>
        <w:pStyle w:val="Heading5"/>
      </w:pPr>
      <w:r>
        <w:t>n</w:t>
      </w:r>
      <w:r w:rsidR="00B14720">
        <w:t>on-discriminatory system operation and market operation services</w:t>
      </w:r>
      <w:r w:rsidR="00387CE8">
        <w:t>;</w:t>
      </w:r>
    </w:p>
    <w:p w14:paraId="21BBF9DE" w14:textId="11B4645C" w:rsidR="009B46D6" w:rsidRDefault="0070611E" w:rsidP="00B03234">
      <w:pPr>
        <w:pStyle w:val="Heading5"/>
      </w:pPr>
      <w:r>
        <w:t>i</w:t>
      </w:r>
      <w:r w:rsidR="009B46D6">
        <w:t xml:space="preserve">f </w:t>
      </w:r>
      <w:r>
        <w:t>applicable</w:t>
      </w:r>
      <w:r w:rsidR="009B46D6">
        <w:t xml:space="preserve">, </w:t>
      </w:r>
      <w:r w:rsidR="00C12195">
        <w:t>eligible</w:t>
      </w:r>
      <w:r>
        <w:t xml:space="preserve"> for compensation</w:t>
      </w:r>
      <w:r w:rsidR="009B46D6">
        <w:t xml:space="preserve"> for providing Ancillary Services or Mut Run Generation, as </w:t>
      </w:r>
      <w:r>
        <w:t xml:space="preserve">provided </w:t>
      </w:r>
      <w:r w:rsidR="009B46D6">
        <w:t xml:space="preserve">in </w:t>
      </w:r>
      <w:r w:rsidR="00F05124">
        <w:t>this Code</w:t>
      </w:r>
      <w:r w:rsidR="009B46D6">
        <w:t xml:space="preserve">; </w:t>
      </w:r>
    </w:p>
    <w:p w14:paraId="39877FB8" w14:textId="0CCB480F" w:rsidR="00B14720" w:rsidRDefault="0070611E" w:rsidP="00B03234">
      <w:pPr>
        <w:pStyle w:val="Heading5"/>
      </w:pPr>
      <w:r>
        <w:t>a</w:t>
      </w:r>
      <w:r w:rsidR="00B14720">
        <w:t xml:space="preserve">ccess to the reports and </w:t>
      </w:r>
      <w:r>
        <w:t>N</w:t>
      </w:r>
      <w:r w:rsidR="00B14720">
        <w:t>on-</w:t>
      </w:r>
      <w:r>
        <w:t>C</w:t>
      </w:r>
      <w:r w:rsidR="00B14720">
        <w:t xml:space="preserve">onfidential </w:t>
      </w:r>
      <w:r>
        <w:t>I</w:t>
      </w:r>
      <w:r w:rsidR="00B14720">
        <w:t xml:space="preserve">nformation </w:t>
      </w:r>
      <w:r>
        <w:t xml:space="preserve">on </w:t>
      </w:r>
      <w:r w:rsidR="00B14720">
        <w:t xml:space="preserve">the website of the System Operator and the Market Operator, which are defined as </w:t>
      </w:r>
      <w:r w:rsidR="003C3F5E">
        <w:t>non-confidential</w:t>
      </w:r>
      <w:r w:rsidR="00B14720">
        <w:t xml:space="preserve"> in </w:t>
      </w:r>
      <w:r w:rsidR="00F05124">
        <w:t>this Code</w:t>
      </w:r>
      <w:r w:rsidR="00387CE8">
        <w:t>;</w:t>
      </w:r>
    </w:p>
    <w:p w14:paraId="543580B5" w14:textId="6AAEFA68" w:rsidR="006A5211" w:rsidRPr="006A5211" w:rsidRDefault="0070611E" w:rsidP="00AE1AD1">
      <w:pPr>
        <w:pStyle w:val="Heading5"/>
      </w:pPr>
      <w:r>
        <w:t>a</w:t>
      </w:r>
      <w:r w:rsidR="006A5211">
        <w:t xml:space="preserve">ccess to the secured </w:t>
      </w:r>
      <w:commentRangeStart w:id="76"/>
      <w:r w:rsidR="006A5211">
        <w:t xml:space="preserve">portion of the Market Operator and System Operator website </w:t>
      </w:r>
      <w:r>
        <w:t xml:space="preserve">which is </w:t>
      </w:r>
      <w:r w:rsidR="006A5211">
        <w:t>exclusive for Market Participants.</w:t>
      </w:r>
      <w:commentRangeEnd w:id="76"/>
      <w:r w:rsidR="005A3AE9">
        <w:rPr>
          <w:rStyle w:val="CommentReference"/>
          <w:rFonts w:eastAsiaTheme="minorHAnsi" w:cstheme="minorBidi"/>
          <w:color w:val="1C1C1C"/>
        </w:rPr>
        <w:commentReference w:id="76"/>
      </w:r>
    </w:p>
    <w:p w14:paraId="71459CEF" w14:textId="02F50005" w:rsidR="00B14720" w:rsidRPr="00B14720" w:rsidRDefault="0070611E" w:rsidP="00B03234">
      <w:pPr>
        <w:pStyle w:val="Heading5"/>
      </w:pPr>
      <w:r>
        <w:t>submission of</w:t>
      </w:r>
      <w:r w:rsidR="00B14720">
        <w:t xml:space="preserve"> </w:t>
      </w:r>
      <w:commentRangeStart w:id="77"/>
      <w:r w:rsidR="00B14720">
        <w:t xml:space="preserve">complaints to the System Operator </w:t>
      </w:r>
      <w:commentRangeEnd w:id="77"/>
      <w:r w:rsidR="005A3AE9">
        <w:rPr>
          <w:rStyle w:val="CommentReference"/>
          <w:rFonts w:eastAsiaTheme="minorHAnsi" w:cstheme="minorBidi"/>
          <w:color w:val="1C1C1C"/>
        </w:rPr>
        <w:commentReference w:id="77"/>
      </w:r>
      <w:r w:rsidR="00B14720">
        <w:t xml:space="preserve">or to the Market Operator </w:t>
      </w:r>
      <w:r>
        <w:t>in accordance with the procedures provided in this Code.</w:t>
      </w:r>
    </w:p>
    <w:p w14:paraId="42A7E899" w14:textId="583A1CE0" w:rsidR="00293F8F" w:rsidRDefault="00293F8F" w:rsidP="00C173D0">
      <w:pPr>
        <w:pStyle w:val="Heading2"/>
      </w:pPr>
      <w:bookmarkStart w:id="78" w:name="_Toc64846659"/>
      <w:bookmarkStart w:id="79" w:name="_Toc69476956"/>
      <w:r>
        <w:t>Procedures to become Ma</w:t>
      </w:r>
      <w:r w:rsidR="00516E5C">
        <w:t xml:space="preserve">rket </w:t>
      </w:r>
      <w:r>
        <w:t>Participant</w:t>
      </w:r>
      <w:bookmarkEnd w:id="78"/>
      <w:bookmarkEnd w:id="79"/>
    </w:p>
    <w:p w14:paraId="3E931890" w14:textId="438C6AA2" w:rsidR="00A63FBC" w:rsidRPr="005638BF" w:rsidRDefault="00293F8F" w:rsidP="00C173D0">
      <w:pPr>
        <w:pStyle w:val="Heading3"/>
      </w:pPr>
      <w:bookmarkStart w:id="80" w:name="_Ref54690039"/>
      <w:r w:rsidRPr="005638BF">
        <w:t xml:space="preserve">Application to become </w:t>
      </w:r>
      <w:r w:rsidR="007A71E6">
        <w:t xml:space="preserve">a </w:t>
      </w:r>
      <w:r w:rsidRPr="005638BF">
        <w:t>market</w:t>
      </w:r>
      <w:r w:rsidR="00387CE8">
        <w:t xml:space="preserve"> Participant</w:t>
      </w:r>
      <w:bookmarkEnd w:id="80"/>
      <w:r w:rsidRPr="005638BF">
        <w:t xml:space="preserve"> </w:t>
      </w:r>
    </w:p>
    <w:p w14:paraId="3B104FE7" w14:textId="6C288412" w:rsidR="00C73409" w:rsidRPr="00C73409" w:rsidRDefault="00C73409" w:rsidP="005B295A">
      <w:pPr>
        <w:pStyle w:val="Heading4"/>
      </w:pPr>
      <w:bookmarkStart w:id="81" w:name="_Ref54984327"/>
      <w:r w:rsidRPr="00C73409">
        <w:t>An</w:t>
      </w:r>
      <w:r w:rsidR="00B63362">
        <w:t>y person</w:t>
      </w:r>
      <w:r w:rsidRPr="00C73409">
        <w:t xml:space="preserve"> </w:t>
      </w:r>
      <w:r w:rsidR="004F4FDA" w:rsidRPr="00B03C4A">
        <w:t>interested</w:t>
      </w:r>
      <w:r w:rsidR="00E0624F" w:rsidRPr="00C73409">
        <w:t xml:space="preserve"> </w:t>
      </w:r>
      <w:r w:rsidRPr="00C73409">
        <w:t xml:space="preserve">to become a </w:t>
      </w:r>
      <w:r w:rsidR="00136176">
        <w:t>Market Participant</w:t>
      </w:r>
      <w:r w:rsidRPr="00C73409">
        <w:t xml:space="preserve"> shall submit to the Market Operator</w:t>
      </w:r>
      <w:r>
        <w:t>:</w:t>
      </w:r>
      <w:bookmarkEnd w:id="81"/>
    </w:p>
    <w:p w14:paraId="7BD61540" w14:textId="10EDBDF4" w:rsidR="00C73409" w:rsidRPr="00C73409" w:rsidRDefault="00C73409" w:rsidP="00B03234">
      <w:pPr>
        <w:pStyle w:val="Heading5"/>
      </w:pPr>
      <w:r w:rsidRPr="00C73409">
        <w:t>a comple</w:t>
      </w:r>
      <w:r w:rsidR="00B63362">
        <w:t>te</w:t>
      </w:r>
      <w:r w:rsidRPr="00C73409">
        <w:t xml:space="preserve"> Admission </w:t>
      </w:r>
      <w:r w:rsidR="006920CF" w:rsidRPr="00C73409">
        <w:t>Application.</w:t>
      </w:r>
    </w:p>
    <w:p w14:paraId="5EFA2B43" w14:textId="1E256694" w:rsidR="00C73409" w:rsidRPr="00C73409" w:rsidRDefault="00C73409" w:rsidP="00B03234">
      <w:pPr>
        <w:pStyle w:val="Heading5"/>
      </w:pPr>
      <w:r w:rsidRPr="00C73409">
        <w:t xml:space="preserve">the information </w:t>
      </w:r>
      <w:r w:rsidR="00B63362">
        <w:t>required</w:t>
      </w:r>
      <w:r w:rsidRPr="00C73409">
        <w:t xml:space="preserve"> </w:t>
      </w:r>
      <w:r w:rsidR="00294518">
        <w:t xml:space="preserve">in the </w:t>
      </w:r>
      <w:r w:rsidR="00DE29DA">
        <w:t>CCOP</w:t>
      </w:r>
      <w:r w:rsidR="00B63362">
        <w:t xml:space="preserve"> relevant to the admission process</w:t>
      </w:r>
      <w:r w:rsidRPr="00C73409">
        <w:t>;</w:t>
      </w:r>
    </w:p>
    <w:p w14:paraId="3E5AA2A6" w14:textId="632E07F8" w:rsidR="00C73409" w:rsidRPr="00C73409" w:rsidRDefault="00C73409" w:rsidP="00B03234">
      <w:pPr>
        <w:pStyle w:val="Heading5"/>
      </w:pPr>
      <w:r w:rsidRPr="00C73409">
        <w:t>a non-refundable application processing fee</w:t>
      </w:r>
      <w:r w:rsidR="00081F60">
        <w:t xml:space="preserve"> as determined by the Market Operator</w:t>
      </w:r>
      <w:r w:rsidR="00294518">
        <w:t>;</w:t>
      </w:r>
      <w:r w:rsidR="00B63362">
        <w:t xml:space="preserve"> </w:t>
      </w:r>
      <w:r w:rsidR="00294518">
        <w:t>and</w:t>
      </w:r>
    </w:p>
    <w:p w14:paraId="4E963C12" w14:textId="3A562642" w:rsidR="00C73409" w:rsidRPr="00C73409" w:rsidRDefault="00C73409" w:rsidP="00B03234">
      <w:pPr>
        <w:pStyle w:val="Heading5"/>
      </w:pPr>
      <w:r w:rsidRPr="00C73409">
        <w:t xml:space="preserve">where </w:t>
      </w:r>
      <w:r w:rsidR="00B63362">
        <w:t>applicable</w:t>
      </w:r>
      <w:r w:rsidRPr="00C73409">
        <w:t xml:space="preserve">, </w:t>
      </w:r>
      <w:r w:rsidR="00B63362">
        <w:t xml:space="preserve">if the relevant facility is already connected to the Grid System, the Connection Agreement and the details thereof, or in case the relevant facility is yet to be connected to the Grid System, the draft </w:t>
      </w:r>
      <w:r w:rsidR="00294518">
        <w:t>Transmission</w:t>
      </w:r>
      <w:r w:rsidRPr="00C73409">
        <w:t xml:space="preserve"> </w:t>
      </w:r>
      <w:r w:rsidR="00294518">
        <w:t xml:space="preserve">or Distribution </w:t>
      </w:r>
      <w:r w:rsidRPr="00C73409">
        <w:t>Connection Agreement</w:t>
      </w:r>
      <w:r w:rsidR="00294518">
        <w:t xml:space="preserve"> </w:t>
      </w:r>
      <w:r w:rsidRPr="00B03C4A">
        <w:t xml:space="preserve">or a declaration that the </w:t>
      </w:r>
      <w:r w:rsidR="004920C9" w:rsidRPr="00B03C4A">
        <w:t xml:space="preserve">involved </w:t>
      </w:r>
      <w:r w:rsidR="00DB4FD1" w:rsidRPr="00B03C4A">
        <w:t>f</w:t>
      </w:r>
      <w:r w:rsidRPr="00B03C4A">
        <w:t xml:space="preserve">acility of the </w:t>
      </w:r>
      <w:r w:rsidR="00136176" w:rsidRPr="00B03C4A">
        <w:t>Applicant</w:t>
      </w:r>
      <w:r w:rsidRPr="00B03C4A">
        <w:t xml:space="preserve"> </w:t>
      </w:r>
      <w:r w:rsidR="003C26DA">
        <w:t>shall</w:t>
      </w:r>
      <w:r w:rsidR="00081F60" w:rsidRPr="00B03C4A">
        <w:t xml:space="preserve"> be connected</w:t>
      </w:r>
      <w:r w:rsidRPr="00B03C4A">
        <w:t xml:space="preserve"> to the </w:t>
      </w:r>
      <w:r w:rsidR="00294518" w:rsidRPr="00B03C4A">
        <w:t xml:space="preserve">Transmission or Distribution </w:t>
      </w:r>
      <w:r w:rsidR="004920C9" w:rsidRPr="00B03C4A">
        <w:t>N</w:t>
      </w:r>
      <w:r w:rsidR="00294518" w:rsidRPr="00B03C4A">
        <w:t>etwork</w:t>
      </w:r>
      <w:r w:rsidRPr="00C73409">
        <w:t>.</w:t>
      </w:r>
    </w:p>
    <w:p w14:paraId="22568AE5" w14:textId="6C11366B" w:rsidR="00A63FBC" w:rsidRDefault="00A63FBC" w:rsidP="005B295A">
      <w:pPr>
        <w:pStyle w:val="Heading4"/>
      </w:pPr>
      <w:r>
        <w:t xml:space="preserve">The Market Operator shall make available </w:t>
      </w:r>
      <w:r w:rsidR="007E40BC">
        <w:t>on its website</w:t>
      </w:r>
      <w:r>
        <w:t xml:space="preserve"> the following</w:t>
      </w:r>
      <w:r w:rsidR="005E1410">
        <w:t xml:space="preserve"> documents</w:t>
      </w:r>
      <w:r>
        <w:t xml:space="preserve"> information</w:t>
      </w:r>
      <w:r w:rsidR="005E1410">
        <w:t xml:space="preserve"> in updated form</w:t>
      </w:r>
      <w:r w:rsidR="007E40BC">
        <w:t>:</w:t>
      </w:r>
    </w:p>
    <w:p w14:paraId="6D1B27DD" w14:textId="1B1443EF" w:rsidR="00A63FBC" w:rsidRDefault="007E40BC" w:rsidP="00B03234">
      <w:pPr>
        <w:pStyle w:val="Heading5"/>
      </w:pPr>
      <w:r>
        <w:t>t</w:t>
      </w:r>
      <w:r w:rsidR="00A63FBC">
        <w:t>he Admission Application</w:t>
      </w:r>
      <w:r>
        <w:t xml:space="preserve"> form</w:t>
      </w:r>
      <w:r w:rsidR="00A63FBC">
        <w:t>;</w:t>
      </w:r>
    </w:p>
    <w:p w14:paraId="45D53DB9" w14:textId="0CE904AF" w:rsidR="00A63FBC" w:rsidRDefault="007E40BC" w:rsidP="00B03234">
      <w:pPr>
        <w:pStyle w:val="Heading5"/>
      </w:pPr>
      <w:r>
        <w:t>t</w:t>
      </w:r>
      <w:r w:rsidR="00A63FBC">
        <w:t>h</w:t>
      </w:r>
      <w:r>
        <w:t>e</w:t>
      </w:r>
      <w:r w:rsidR="00A63FBC">
        <w:t xml:space="preserve"> </w:t>
      </w:r>
      <w:r w:rsidR="00F64A42">
        <w:t>Commercial Code</w:t>
      </w:r>
      <w:r w:rsidR="00A63FBC">
        <w:t xml:space="preserve"> and the Grid Code, along with </w:t>
      </w:r>
      <w:r>
        <w:t>CCOPs</w:t>
      </w:r>
      <w:r w:rsidR="00A63FBC">
        <w:t>;</w:t>
      </w:r>
    </w:p>
    <w:p w14:paraId="20ADC68A" w14:textId="62656325" w:rsidR="00A63FBC" w:rsidRDefault="007E40BC" w:rsidP="00B03234">
      <w:pPr>
        <w:pStyle w:val="Heading5"/>
      </w:pPr>
      <w:r>
        <w:t xml:space="preserve">draft </w:t>
      </w:r>
      <w:r w:rsidR="00A63FBC">
        <w:t>Standard Market Participation Agreement ; and</w:t>
      </w:r>
    </w:p>
    <w:p w14:paraId="45A657ED" w14:textId="70136F3F" w:rsidR="00A63FBC" w:rsidRDefault="007E40BC" w:rsidP="00B03234">
      <w:pPr>
        <w:pStyle w:val="Heading5"/>
      </w:pPr>
      <w:r>
        <w:t>t</w:t>
      </w:r>
      <w:r w:rsidR="00A63FBC">
        <w:t xml:space="preserve">he </w:t>
      </w:r>
      <w:r>
        <w:t xml:space="preserve">schedule of fees for </w:t>
      </w:r>
      <w:r w:rsidR="00A63FBC">
        <w:t>processing an Admission Application.</w:t>
      </w:r>
    </w:p>
    <w:p w14:paraId="026B7B99" w14:textId="4CD9E288" w:rsidR="00254C6E" w:rsidRDefault="00254C6E" w:rsidP="005B295A">
      <w:pPr>
        <w:pStyle w:val="Heading4"/>
      </w:pPr>
      <w:r>
        <w:t xml:space="preserve">An Applicant </w:t>
      </w:r>
      <w:r w:rsidR="007E40BC">
        <w:t xml:space="preserve">who wants </w:t>
      </w:r>
      <w:r>
        <w:t xml:space="preserve">to be </w:t>
      </w:r>
      <w:r w:rsidR="007E40BC">
        <w:t>r</w:t>
      </w:r>
      <w:r>
        <w:t xml:space="preserve">egistered in more than one of the Categories defined in Clause </w:t>
      </w:r>
      <w:r>
        <w:fldChar w:fldCharType="begin"/>
      </w:r>
      <w:r>
        <w:instrText xml:space="preserve"> REF _Ref64552873 \r \h </w:instrText>
      </w:r>
      <w:r>
        <w:fldChar w:fldCharType="separate"/>
      </w:r>
      <w:r w:rsidR="00251DBF">
        <w:t>2.2.1.2</w:t>
      </w:r>
      <w:r>
        <w:fldChar w:fldCharType="end"/>
      </w:r>
      <w:r>
        <w:t xml:space="preserve"> </w:t>
      </w:r>
      <w:r w:rsidR="00281563">
        <w:t>shall</w:t>
      </w:r>
      <w:r>
        <w:t xml:space="preserve"> submit </w:t>
      </w:r>
      <w:r w:rsidR="00281563">
        <w:t>separate application for each Category</w:t>
      </w:r>
      <w:r>
        <w:t xml:space="preserve">. </w:t>
      </w:r>
    </w:p>
    <w:p w14:paraId="35562FC9" w14:textId="0AE02BB2" w:rsidR="004D31EE" w:rsidRDefault="004D31EE" w:rsidP="005B295A">
      <w:pPr>
        <w:pStyle w:val="Heading4"/>
      </w:pPr>
      <w:r>
        <w:lastRenderedPageBreak/>
        <w:t>The Market Operator shall develop a</w:t>
      </w:r>
      <w:r w:rsidR="009076CA">
        <w:t xml:space="preserve"> </w:t>
      </w:r>
      <w:r w:rsidR="00E0624F">
        <w:t>CCOP</w:t>
      </w:r>
      <w:r>
        <w:t xml:space="preserve"> </w:t>
      </w:r>
      <w:r w:rsidR="00281563">
        <w:t xml:space="preserve">for requisite information and documents </w:t>
      </w:r>
      <w:r>
        <w:t xml:space="preserve">to be furnished </w:t>
      </w:r>
      <w:r w:rsidR="00281563">
        <w:t xml:space="preserve">by the Applicant </w:t>
      </w:r>
      <w:r>
        <w:t xml:space="preserve">for each </w:t>
      </w:r>
      <w:r w:rsidR="008A4B65">
        <w:t>Category</w:t>
      </w:r>
      <w:r>
        <w:t xml:space="preserve"> of Market Participant</w:t>
      </w:r>
      <w:r w:rsidR="005E1410">
        <w:t>s</w:t>
      </w:r>
      <w:r>
        <w:t xml:space="preserve">. </w:t>
      </w:r>
    </w:p>
    <w:p w14:paraId="65DB2B5B" w14:textId="3C1AE7D1" w:rsidR="00A63FBC" w:rsidRDefault="00A63FBC" w:rsidP="00C173D0">
      <w:pPr>
        <w:pStyle w:val="Heading3"/>
      </w:pPr>
      <w:bookmarkStart w:id="82" w:name="_Ref60780792"/>
      <w:r w:rsidRPr="005638BF">
        <w:t>Application Process</w:t>
      </w:r>
      <w:bookmarkEnd w:id="82"/>
    </w:p>
    <w:p w14:paraId="7DD550A8" w14:textId="3B1BB161" w:rsidR="00A63FBC" w:rsidRPr="00E1021A" w:rsidRDefault="00A63FBC" w:rsidP="005B295A">
      <w:pPr>
        <w:pStyle w:val="Heading4"/>
      </w:pPr>
      <w:r w:rsidRPr="00E1021A">
        <w:t xml:space="preserve">Within </w:t>
      </w:r>
      <w:r w:rsidR="00294518">
        <w:t>five [</w:t>
      </w:r>
      <w:r w:rsidR="00D77105">
        <w:t>5</w:t>
      </w:r>
      <w:r w:rsidR="00294518">
        <w:t>]</w:t>
      </w:r>
      <w:r w:rsidRPr="00E1021A">
        <w:t xml:space="preserve"> Business Days of </w:t>
      </w:r>
      <w:r w:rsidR="00281563">
        <w:t>receipt of</w:t>
      </w:r>
      <w:r w:rsidR="00281563" w:rsidRPr="00E1021A">
        <w:t xml:space="preserve"> </w:t>
      </w:r>
      <w:r w:rsidRPr="00E1021A">
        <w:t xml:space="preserve">an Admission Application </w:t>
      </w:r>
      <w:r w:rsidR="000F5861">
        <w:t>along with</w:t>
      </w:r>
      <w:r w:rsidR="000F5861" w:rsidRPr="00E1021A">
        <w:t xml:space="preserve"> </w:t>
      </w:r>
      <w:r w:rsidRPr="00E1021A">
        <w:t xml:space="preserve">the </w:t>
      </w:r>
      <w:r w:rsidR="00281563">
        <w:t>supporting</w:t>
      </w:r>
      <w:r w:rsidR="00281563" w:rsidRPr="00E1021A">
        <w:t xml:space="preserve"> </w:t>
      </w:r>
      <w:r w:rsidRPr="00E1021A">
        <w:t xml:space="preserve">information, </w:t>
      </w:r>
      <w:r w:rsidR="008E06CB">
        <w:t>t</w:t>
      </w:r>
      <w:r w:rsidRPr="00E1021A">
        <w:t xml:space="preserve">he Market Operator shall </w:t>
      </w:r>
      <w:r w:rsidR="00281563">
        <w:t>acknowledge the receipt</w:t>
      </w:r>
      <w:r w:rsidRPr="00E1021A">
        <w:t xml:space="preserve"> </w:t>
      </w:r>
      <w:r w:rsidR="005E1410">
        <w:t xml:space="preserve">of </w:t>
      </w:r>
      <w:r w:rsidRPr="00E1021A">
        <w:t xml:space="preserve">the </w:t>
      </w:r>
      <w:r w:rsidR="00136176">
        <w:t>Applicant</w:t>
      </w:r>
      <w:r w:rsidR="00281563">
        <w:t xml:space="preserve"> in writing</w:t>
      </w:r>
      <w:r w:rsidRPr="00E1021A">
        <w:t xml:space="preserve">: </w:t>
      </w:r>
    </w:p>
    <w:p w14:paraId="7B843E0E" w14:textId="307099D3" w:rsidR="00A63FBC" w:rsidRDefault="00A63FBC" w:rsidP="00B03234">
      <w:pPr>
        <w:pStyle w:val="Heading5"/>
      </w:pPr>
      <w:r>
        <w:t>that it has received the Admission Application, the other Agreements, if any, and the non-refundable processing fee; and</w:t>
      </w:r>
    </w:p>
    <w:p w14:paraId="1B4D9733" w14:textId="0EE33FC6" w:rsidR="00A63FBC" w:rsidRPr="000B701B" w:rsidRDefault="00281563" w:rsidP="00B03234">
      <w:pPr>
        <w:pStyle w:val="Heading5"/>
      </w:pPr>
      <w:bookmarkStart w:id="83" w:name="_Ref54689662"/>
      <w:r>
        <w:t>i</w:t>
      </w:r>
      <w:r w:rsidR="00FB6B01">
        <w:t>f applicable, n</w:t>
      </w:r>
      <w:r w:rsidR="00A63FBC">
        <w:t xml:space="preserve">otifying </w:t>
      </w:r>
      <w:r w:rsidR="00D77105">
        <w:t xml:space="preserve">the </w:t>
      </w:r>
      <w:r w:rsidR="00A63FBC">
        <w:t xml:space="preserve">amount of the </w:t>
      </w:r>
      <w:r w:rsidR="00A63FBC" w:rsidRPr="000B701B">
        <w:t xml:space="preserve">Security Cover </w:t>
      </w:r>
      <w:r w:rsidR="003C26DA">
        <w:t xml:space="preserve">and Guarantee Amount </w:t>
      </w:r>
      <w:r w:rsidR="00A63FBC" w:rsidRPr="000B701B">
        <w:t xml:space="preserve">pursuant </w:t>
      </w:r>
      <w:r w:rsidR="004F4FDA">
        <w:t xml:space="preserve">to </w:t>
      </w:r>
      <w:r w:rsidR="00A63FBC" w:rsidRPr="000B701B">
        <w:t>t</w:t>
      </w:r>
      <w:r w:rsidR="00D77105" w:rsidRPr="000B701B">
        <w:t xml:space="preserve">he provisions stated in </w:t>
      </w:r>
      <w:r w:rsidR="00D77105" w:rsidRPr="000B701B">
        <w:fldChar w:fldCharType="begin"/>
      </w:r>
      <w:r w:rsidR="00D77105" w:rsidRPr="000B701B">
        <w:instrText xml:space="preserve"> REF _Ref54689603 \w \h </w:instrText>
      </w:r>
      <w:r w:rsidR="005D4A20" w:rsidRPr="000B701B">
        <w:instrText xml:space="preserve"> \* MERGEFORMAT </w:instrText>
      </w:r>
      <w:r w:rsidR="00D77105" w:rsidRPr="000B701B">
        <w:fldChar w:fldCharType="separate"/>
      </w:r>
      <w:r w:rsidR="00251DBF">
        <w:t>Chapter 14</w:t>
      </w:r>
      <w:r w:rsidR="00D77105" w:rsidRPr="000B701B">
        <w:fldChar w:fldCharType="end"/>
      </w:r>
      <w:bookmarkEnd w:id="83"/>
      <w:r w:rsidR="000B701B" w:rsidRPr="000B701B">
        <w:t>.</w:t>
      </w:r>
    </w:p>
    <w:p w14:paraId="0AAE399A" w14:textId="53DB9349" w:rsidR="00A63FBC" w:rsidRDefault="00A63FBC" w:rsidP="005B295A">
      <w:pPr>
        <w:pStyle w:val="Heading4"/>
      </w:pPr>
      <w:bookmarkStart w:id="84" w:name="_Ref67428525"/>
      <w:r>
        <w:t>Within 5 Business Days of receipt of notification from the Market Operator pursuant to</w:t>
      </w:r>
      <w:r w:rsidR="00D77105">
        <w:t xml:space="preserve"> Clause </w:t>
      </w:r>
      <w:r w:rsidR="00287E9F">
        <w:fldChar w:fldCharType="begin"/>
      </w:r>
      <w:r w:rsidR="00287E9F">
        <w:instrText xml:space="preserve"> REF _Ref54689662 \w \h </w:instrText>
      </w:r>
      <w:r w:rsidR="00287E9F">
        <w:fldChar w:fldCharType="separate"/>
      </w:r>
      <w:r w:rsidR="00251DBF">
        <w:t>3.3.2.1.b)</w:t>
      </w:r>
      <w:r w:rsidR="00287E9F">
        <w:fldChar w:fldCharType="end"/>
      </w:r>
      <w:r>
        <w:t>, specifying the amount of Security Cover</w:t>
      </w:r>
      <w:r w:rsidR="003C26DA">
        <w:t xml:space="preserve"> and Guarantee Amount</w:t>
      </w:r>
      <w:r>
        <w:t xml:space="preserve"> required to be furnished by the </w:t>
      </w:r>
      <w:r w:rsidR="00136176">
        <w:t>Applicant</w:t>
      </w:r>
      <w:r>
        <w:t xml:space="preserve">, the </w:t>
      </w:r>
      <w:r w:rsidR="00136176">
        <w:t>Applicant</w:t>
      </w:r>
      <w:r>
        <w:t xml:space="preserve"> shall furnish to the Market Operator a proposal for a provision of the Security Cover</w:t>
      </w:r>
      <w:r w:rsidR="003C26DA">
        <w:t xml:space="preserve"> and the Guarantee Amount</w:t>
      </w:r>
      <w:r>
        <w:t>.</w:t>
      </w:r>
      <w:bookmarkEnd w:id="84"/>
      <w:r>
        <w:t xml:space="preserve"> </w:t>
      </w:r>
    </w:p>
    <w:p w14:paraId="4F35BC09" w14:textId="15358C54" w:rsidR="00A63FBC" w:rsidRPr="00E60C75" w:rsidRDefault="00A63FBC" w:rsidP="005B295A">
      <w:pPr>
        <w:pStyle w:val="Heading4"/>
      </w:pPr>
      <w:bookmarkStart w:id="85" w:name="_Ref54984842"/>
      <w:r w:rsidRPr="00E60C75">
        <w:t xml:space="preserve">Within </w:t>
      </w:r>
      <w:r w:rsidR="00294518" w:rsidRPr="00E60C75">
        <w:t>seven [7]</w:t>
      </w:r>
      <w:r w:rsidRPr="00E60C75">
        <w:t xml:space="preserve"> Business Days after receipt of the proposal of the </w:t>
      </w:r>
      <w:r w:rsidR="00136176">
        <w:t>Applicant</w:t>
      </w:r>
      <w:r w:rsidRPr="00E60C75">
        <w:t xml:space="preserve"> pursuant to </w:t>
      </w:r>
      <w:r w:rsidR="00287E9F" w:rsidRPr="00E60C75">
        <w:t>Clause</w:t>
      </w:r>
      <w:r w:rsidR="00E60C75" w:rsidRPr="00E60C75">
        <w:t xml:space="preserve"> </w:t>
      </w:r>
      <w:r w:rsidR="0097114D">
        <w:fldChar w:fldCharType="begin"/>
      </w:r>
      <w:r w:rsidR="0097114D">
        <w:instrText xml:space="preserve"> REF _Ref67428525 \n \h </w:instrText>
      </w:r>
      <w:r w:rsidR="0097114D">
        <w:fldChar w:fldCharType="separate"/>
      </w:r>
      <w:r w:rsidR="0097114D">
        <w:t>3.3.2.2</w:t>
      </w:r>
      <w:r w:rsidR="0097114D">
        <w:fldChar w:fldCharType="end"/>
      </w:r>
      <w:r w:rsidRPr="00E60C75">
        <w:t xml:space="preserve">, the Market Operator shall </w:t>
      </w:r>
      <w:r w:rsidR="0059312C">
        <w:t>inform</w:t>
      </w:r>
      <w:r w:rsidR="0059312C" w:rsidRPr="00E60C75">
        <w:t xml:space="preserve"> </w:t>
      </w:r>
      <w:r w:rsidRPr="00E60C75">
        <w:t xml:space="preserve">the </w:t>
      </w:r>
      <w:r w:rsidR="00136176">
        <w:t>Applicant</w:t>
      </w:r>
      <w:r w:rsidRPr="00E60C75">
        <w:t>:</w:t>
      </w:r>
      <w:bookmarkEnd w:id="85"/>
      <w:r w:rsidRPr="00E60C75">
        <w:t xml:space="preserve"> </w:t>
      </w:r>
    </w:p>
    <w:p w14:paraId="5B7B9476" w14:textId="2925A552" w:rsidR="00A63FBC" w:rsidRPr="00E60C75" w:rsidRDefault="00A63FBC" w:rsidP="00B03234">
      <w:pPr>
        <w:pStyle w:val="Heading5"/>
      </w:pPr>
      <w:r w:rsidRPr="00E60C75">
        <w:t xml:space="preserve">the  Admission Application is </w:t>
      </w:r>
      <w:r w:rsidR="00DD634F">
        <w:t>deficient,</w:t>
      </w:r>
      <w:r w:rsidR="0059312C">
        <w:t xml:space="preserve"> and the Applicant is required to provide certain information or documents</w:t>
      </w:r>
      <w:r w:rsidR="00497A59">
        <w:t xml:space="preserve"> and return the application</w:t>
      </w:r>
      <w:r w:rsidR="00E60C75" w:rsidRPr="00E60C75">
        <w:t>;</w:t>
      </w:r>
      <w:r w:rsidRPr="00E60C75">
        <w:t xml:space="preserve"> </w:t>
      </w:r>
      <w:r w:rsidR="008A03DD">
        <w:t>and/or</w:t>
      </w:r>
    </w:p>
    <w:p w14:paraId="314B97C3" w14:textId="4D00795B" w:rsidR="00E60C75" w:rsidRDefault="00497A59" w:rsidP="00B03234">
      <w:pPr>
        <w:pStyle w:val="Heading5"/>
      </w:pPr>
      <w:r>
        <w:t xml:space="preserve">that it </w:t>
      </w:r>
      <w:r w:rsidR="0059312C">
        <w:t xml:space="preserve">is required </w:t>
      </w:r>
      <w:r w:rsidR="00E60C75">
        <w:t xml:space="preserve">to </w:t>
      </w:r>
      <w:r w:rsidR="00E60C75" w:rsidRPr="00E60C75">
        <w:t xml:space="preserve">supply </w:t>
      </w:r>
      <w:r>
        <w:t xml:space="preserve">such </w:t>
      </w:r>
      <w:r w:rsidR="00E60C75" w:rsidRPr="00E60C75">
        <w:t>additional information or documents</w:t>
      </w:r>
      <w:r w:rsidR="00E60C75">
        <w:t>; and/or</w:t>
      </w:r>
      <w:r w:rsidR="00E60C75" w:rsidRPr="00E60C75">
        <w:t xml:space="preserve"> </w:t>
      </w:r>
    </w:p>
    <w:p w14:paraId="3D15B4B1" w14:textId="73F4076D" w:rsidR="008B1427" w:rsidRPr="00DE29DA" w:rsidRDefault="0097114D" w:rsidP="00B03234">
      <w:pPr>
        <w:pStyle w:val="Heading5"/>
      </w:pPr>
      <w:r>
        <w:t xml:space="preserve">if applicable, </w:t>
      </w:r>
      <w:r w:rsidR="008B1427">
        <w:t xml:space="preserve">the metering system installed by the Applicant </w:t>
      </w:r>
      <w:r w:rsidR="00497A59">
        <w:t xml:space="preserve">is </w:t>
      </w:r>
      <w:r w:rsidR="008B1427">
        <w:t xml:space="preserve">not in accordance with the provisions of this Code or the Grid Code, and if </w:t>
      </w:r>
      <w:r w:rsidR="00497A59">
        <w:t>required</w:t>
      </w:r>
      <w:r w:rsidR="008B1427">
        <w:t xml:space="preserve">, the Applicant has to install </w:t>
      </w:r>
      <w:r w:rsidR="008B1427" w:rsidRPr="00DE29DA">
        <w:t xml:space="preserve">additional Commercial Metering System at one or more </w:t>
      </w:r>
      <w:r w:rsidR="00497A59">
        <w:t xml:space="preserve">identified </w:t>
      </w:r>
      <w:r w:rsidR="008B1427" w:rsidRPr="00DE29DA">
        <w:t xml:space="preserve">points; and/or   </w:t>
      </w:r>
    </w:p>
    <w:p w14:paraId="5AEDE0EF" w14:textId="73CDE60B" w:rsidR="00A63FBC" w:rsidRPr="00DE29DA" w:rsidRDefault="00A10EFB" w:rsidP="00DE29DA">
      <w:pPr>
        <w:pStyle w:val="Heading5"/>
        <w:tabs>
          <w:tab w:val="left" w:pos="2552"/>
        </w:tabs>
      </w:pPr>
      <w:r>
        <w:t>t</w:t>
      </w:r>
      <w:r w:rsidR="00DE29DA" w:rsidRPr="00DE29DA">
        <w:t>he</w:t>
      </w:r>
      <w:r w:rsidR="00A63FBC" w:rsidRPr="00DE29DA">
        <w:t xml:space="preserve"> </w:t>
      </w:r>
      <w:r w:rsidR="00136176" w:rsidRPr="00DE29DA">
        <w:t>Applicant</w:t>
      </w:r>
      <w:r w:rsidR="00A63FBC" w:rsidRPr="00DE29DA">
        <w:t>’s proposal regarding Security Cover</w:t>
      </w:r>
      <w:r w:rsidR="003C26DA">
        <w:t xml:space="preserve"> and Guarantee Amount</w:t>
      </w:r>
      <w:r w:rsidR="00A63FBC" w:rsidRPr="00DE29DA">
        <w:t xml:space="preserve"> is not in accordance with </w:t>
      </w:r>
      <w:r w:rsidR="00E60C75" w:rsidRPr="00DE29DA">
        <w:t xml:space="preserve">Clause </w:t>
      </w:r>
      <w:r w:rsidR="00DE29DA" w:rsidRPr="00DE29DA">
        <w:fldChar w:fldCharType="begin"/>
      </w:r>
      <w:r w:rsidR="00DE29DA" w:rsidRPr="00DE29DA">
        <w:instrText xml:space="preserve"> REF _Ref69813878 \r \h </w:instrText>
      </w:r>
      <w:r w:rsidR="00DE29DA">
        <w:instrText xml:space="preserve"> \* MERGEFORMAT </w:instrText>
      </w:r>
      <w:r w:rsidR="00DE29DA" w:rsidRPr="00DE29DA">
        <w:fldChar w:fldCharType="separate"/>
      </w:r>
      <w:r w:rsidR="00DE29DA" w:rsidRPr="00DE29DA">
        <w:t>14.1.2.1</w:t>
      </w:r>
      <w:r w:rsidR="00DE29DA" w:rsidRPr="00DE29DA">
        <w:fldChar w:fldCharType="end"/>
      </w:r>
      <w:r w:rsidR="00DE29DA" w:rsidRPr="00DE29DA">
        <w:t>.</w:t>
      </w:r>
    </w:p>
    <w:p w14:paraId="401587E4" w14:textId="7A88EEFB" w:rsidR="00A63FBC" w:rsidRPr="001458C0" w:rsidRDefault="00A63FBC" w:rsidP="005B295A">
      <w:pPr>
        <w:pStyle w:val="Heading4"/>
      </w:pPr>
      <w:bookmarkStart w:id="86" w:name="_Ref54984944"/>
      <w:r w:rsidRPr="001458C0">
        <w:t xml:space="preserve">If the Market Operator requests additional information or documents pursuant to </w:t>
      </w:r>
      <w:r w:rsidR="00E60C75" w:rsidRPr="001458C0">
        <w:t xml:space="preserve">Clause  </w:t>
      </w:r>
      <w:r w:rsidR="00E60C75" w:rsidRPr="001458C0">
        <w:fldChar w:fldCharType="begin"/>
      </w:r>
      <w:r w:rsidR="00E60C75" w:rsidRPr="001458C0">
        <w:instrText xml:space="preserve"> REF _Ref54984842 \w \h </w:instrText>
      </w:r>
      <w:r w:rsidR="001458C0" w:rsidRPr="001458C0">
        <w:instrText xml:space="preserve"> \* MERGEFORMAT </w:instrText>
      </w:r>
      <w:r w:rsidR="00E60C75" w:rsidRPr="001458C0">
        <w:fldChar w:fldCharType="separate"/>
      </w:r>
      <w:r w:rsidR="00251DBF">
        <w:t>3.3.2.3</w:t>
      </w:r>
      <w:r w:rsidR="00E60C75" w:rsidRPr="001458C0">
        <w:fldChar w:fldCharType="end"/>
      </w:r>
      <w:r w:rsidR="00E60C75" w:rsidRPr="001458C0">
        <w:t xml:space="preserve"> </w:t>
      </w:r>
      <w:r w:rsidRPr="001458C0">
        <w:t xml:space="preserve">or </w:t>
      </w:r>
      <w:r w:rsidR="00497A59">
        <w:t>informs</w:t>
      </w:r>
      <w:r w:rsidR="00497A59" w:rsidRPr="001458C0">
        <w:t xml:space="preserve"> </w:t>
      </w:r>
      <w:r w:rsidRPr="001458C0">
        <w:t xml:space="preserve">the </w:t>
      </w:r>
      <w:r w:rsidR="00136176">
        <w:t>Applicant</w:t>
      </w:r>
      <w:r w:rsidRPr="001458C0">
        <w:t xml:space="preserve"> that it</w:t>
      </w:r>
      <w:r w:rsidR="008B1427">
        <w:t xml:space="preserve"> has to install additional Commercial Metering Systems </w:t>
      </w:r>
      <w:r w:rsidR="008B1427" w:rsidRPr="00B03C4A">
        <w:t xml:space="preserve">or that the </w:t>
      </w:r>
      <w:r w:rsidRPr="00B03C4A">
        <w:t xml:space="preserve">proposal for the Security Cover </w:t>
      </w:r>
      <w:r w:rsidR="003C26DA" w:rsidRPr="00B03C4A">
        <w:t xml:space="preserve"> and Guarantee Amount </w:t>
      </w:r>
      <w:r w:rsidRPr="00B03C4A">
        <w:t>is not acceptable</w:t>
      </w:r>
      <w:r w:rsidRPr="003C26DA">
        <w:t>,</w:t>
      </w:r>
      <w:r w:rsidRPr="001458C0">
        <w:t xml:space="preserve"> the </w:t>
      </w:r>
      <w:r w:rsidR="00136176">
        <w:t>Applicant</w:t>
      </w:r>
      <w:r w:rsidRPr="001458C0">
        <w:t xml:space="preserve"> shall provide such additional information, documents, </w:t>
      </w:r>
      <w:r w:rsidR="008B1427">
        <w:t xml:space="preserve">or install the additional Commercial Metering Systems </w:t>
      </w:r>
      <w:r w:rsidRPr="001458C0">
        <w:t xml:space="preserve">or </w:t>
      </w:r>
      <w:r w:rsidRPr="00B03C4A">
        <w:t xml:space="preserve">submit a revised proposal for </w:t>
      </w:r>
      <w:r w:rsidR="00EB357F" w:rsidRPr="00B03C4A">
        <w:t xml:space="preserve">the </w:t>
      </w:r>
      <w:r w:rsidRPr="00B03C4A">
        <w:t>Security Cover</w:t>
      </w:r>
      <w:r w:rsidR="003C26DA" w:rsidRPr="00033589">
        <w:t xml:space="preserve"> or Guarantee Amount</w:t>
      </w:r>
      <w:r w:rsidRPr="00033589">
        <w:t xml:space="preserve"> or re-submit </w:t>
      </w:r>
      <w:r w:rsidR="00497A59" w:rsidRPr="00033589">
        <w:t xml:space="preserve">the </w:t>
      </w:r>
      <w:r w:rsidRPr="00033589">
        <w:t>A</w:t>
      </w:r>
      <w:r w:rsidRPr="001458C0">
        <w:t>dmission Application</w:t>
      </w:r>
      <w:r w:rsidR="00497A59">
        <w:t xml:space="preserve"> after remedying the deficiencies</w:t>
      </w:r>
      <w:r w:rsidRPr="001458C0">
        <w:t xml:space="preserve">, as the case may be, </w:t>
      </w:r>
      <w:r w:rsidR="000F5861">
        <w:t>at the earliest possible date</w:t>
      </w:r>
      <w:r w:rsidRPr="001458C0">
        <w:t>.</w:t>
      </w:r>
      <w:bookmarkEnd w:id="86"/>
    </w:p>
    <w:p w14:paraId="64BE00C8" w14:textId="08857530" w:rsidR="00A63FBC" w:rsidRDefault="00EB357F" w:rsidP="005B295A">
      <w:pPr>
        <w:pStyle w:val="Heading4"/>
      </w:pPr>
      <w:bookmarkStart w:id="87" w:name="_Ref74405564"/>
      <w:r>
        <w:t xml:space="preserve">Where </w:t>
      </w:r>
      <w:r w:rsidR="00A63FBC" w:rsidRPr="001458C0">
        <w:t xml:space="preserve">an </w:t>
      </w:r>
      <w:r w:rsidR="00136176">
        <w:t>Applicant</w:t>
      </w:r>
      <w:r w:rsidR="00A63FBC" w:rsidRPr="001458C0">
        <w:t xml:space="preserve"> </w:t>
      </w:r>
      <w:r>
        <w:t xml:space="preserve">doesn’t comply with the request of the Market Operator as required in Clause </w:t>
      </w:r>
      <w:r w:rsidRPr="001458C0">
        <w:fldChar w:fldCharType="begin"/>
      </w:r>
      <w:r w:rsidRPr="001458C0">
        <w:instrText xml:space="preserve"> REF _Ref54984944 \w \h </w:instrText>
      </w:r>
      <w:r>
        <w:instrText xml:space="preserve"> \* MERGEFORMAT </w:instrText>
      </w:r>
      <w:r w:rsidRPr="001458C0">
        <w:fldChar w:fldCharType="separate"/>
      </w:r>
      <w:r>
        <w:t>3.3.2.4</w:t>
      </w:r>
      <w:r w:rsidRPr="001458C0">
        <w:fldChar w:fldCharType="end"/>
      </w:r>
      <w:r w:rsidRPr="001458C0">
        <w:t xml:space="preserve"> within 3 months</w:t>
      </w:r>
      <w:r>
        <w:t xml:space="preserve">,  </w:t>
      </w:r>
      <w:r w:rsidR="00A63FBC" w:rsidRPr="001458C0">
        <w:t xml:space="preserve">the  Admission Application </w:t>
      </w:r>
      <w:r>
        <w:t>shall</w:t>
      </w:r>
      <w:r w:rsidRPr="001458C0">
        <w:t xml:space="preserve"> </w:t>
      </w:r>
      <w:r w:rsidR="00A63FBC" w:rsidRPr="001458C0">
        <w:t xml:space="preserve">automatically lapse, </w:t>
      </w:r>
      <w:r>
        <w:t>however, the Applicant may reapply</w:t>
      </w:r>
      <w:r w:rsidRPr="001458C0">
        <w:t xml:space="preserve"> </w:t>
      </w:r>
      <w:r w:rsidR="00A63FBC" w:rsidRPr="001458C0">
        <w:t>to the Market Operator</w:t>
      </w:r>
      <w:r>
        <w:t xml:space="preserve"> after fulfilling all the requirements</w:t>
      </w:r>
      <w:bookmarkEnd w:id="87"/>
      <w:r w:rsidR="00033589" w:rsidRPr="00B03C4A">
        <w:t>.</w:t>
      </w:r>
    </w:p>
    <w:p w14:paraId="7EEC9082" w14:textId="4C04984C" w:rsidR="00885C06" w:rsidRPr="008A03DD" w:rsidRDefault="00885C06" w:rsidP="00C173D0">
      <w:pPr>
        <w:pStyle w:val="Heading3"/>
      </w:pPr>
      <w:r w:rsidRPr="008A03DD">
        <w:t>Procedures for approval / rejection</w:t>
      </w:r>
      <w:r w:rsidR="00EB357F">
        <w:t xml:space="preserve"> of an Admission application</w:t>
      </w:r>
    </w:p>
    <w:p w14:paraId="10613C02" w14:textId="77777777" w:rsidR="009F7A49" w:rsidRDefault="009F7A49" w:rsidP="009F7A49">
      <w:pPr>
        <w:pStyle w:val="Heading4"/>
      </w:pPr>
      <w:bookmarkStart w:id="88" w:name="_Ref62849102"/>
      <w:r w:rsidRPr="004F6FB0">
        <w:t xml:space="preserve">If the </w:t>
      </w:r>
      <w:r>
        <w:t>Applicant</w:t>
      </w:r>
      <w:r w:rsidRPr="004F6FB0">
        <w:t xml:space="preserve"> fulfils the requirement specified in </w:t>
      </w:r>
      <w:r>
        <w:t>this Code</w:t>
      </w:r>
      <w:r w:rsidRPr="004F6FB0">
        <w:t xml:space="preserve"> and the </w:t>
      </w:r>
      <w:r>
        <w:t>relevant CCOP</w:t>
      </w:r>
      <w:r w:rsidRPr="004F6FB0">
        <w:t xml:space="preserve">, the Market Operator shall accept the Admission Application and </w:t>
      </w:r>
      <w:r>
        <w:t>provide</w:t>
      </w:r>
      <w:r w:rsidRPr="004F6FB0">
        <w:t xml:space="preserve"> the </w:t>
      </w:r>
      <w:r>
        <w:t>Applicant</w:t>
      </w:r>
      <w:r w:rsidRPr="004F6FB0">
        <w:t xml:space="preserve"> </w:t>
      </w:r>
      <w:r>
        <w:t xml:space="preserve">the standardized </w:t>
      </w:r>
      <w:r w:rsidRPr="004F6FB0">
        <w:t>Market Participation Agreement</w:t>
      </w:r>
      <w:r>
        <w:t xml:space="preserve"> for execution</w:t>
      </w:r>
      <w:r w:rsidRPr="004F6FB0">
        <w:t xml:space="preserve">.  </w:t>
      </w:r>
    </w:p>
    <w:p w14:paraId="7D47C920" w14:textId="27C32D74" w:rsidR="009F7A49" w:rsidRPr="00033589" w:rsidRDefault="009F7A49" w:rsidP="009F7A49">
      <w:pPr>
        <w:pStyle w:val="Heading4"/>
      </w:pPr>
      <w:r w:rsidRPr="00B03C4A">
        <w:lastRenderedPageBreak/>
        <w:t xml:space="preserve">If applicable, the Market Operator shall also </w:t>
      </w:r>
      <w:r w:rsidR="00033589">
        <w:t>inform</w:t>
      </w:r>
      <w:r w:rsidRPr="00B03C4A">
        <w:t xml:space="preserve"> the approved form in which Security Cover</w:t>
      </w:r>
      <w:r w:rsidR="00033589" w:rsidRPr="00B03C4A">
        <w:t xml:space="preserve"> and Guarantee Amount </w:t>
      </w:r>
      <w:r w:rsidRPr="00B03C4A">
        <w:t>must be furnished by the Applicant and copies of such other Agreements, if any, submitted by the Applicant, as the Market Operator agrees to enter into, in final form for the Applicant to sign and return to the Market Operator</w:t>
      </w:r>
      <w:r w:rsidRPr="00033589">
        <w:t>.</w:t>
      </w:r>
    </w:p>
    <w:p w14:paraId="5470CA27" w14:textId="56C05CEA" w:rsidR="00885C06" w:rsidRPr="008A03DD" w:rsidRDefault="00885C06" w:rsidP="005B295A">
      <w:pPr>
        <w:pStyle w:val="Heading4"/>
      </w:pPr>
      <w:r w:rsidRPr="008A03DD">
        <w:t>The Market Operator may reject an Admission Application</w:t>
      </w:r>
      <w:r w:rsidR="00472AEF">
        <w:t xml:space="preserve"> </w:t>
      </w:r>
      <w:r w:rsidR="004C3D0C">
        <w:t>for one or more of the following reasons:</w:t>
      </w:r>
      <w:bookmarkEnd w:id="88"/>
    </w:p>
    <w:p w14:paraId="06082EFC" w14:textId="71ED487D" w:rsidR="00885C06" w:rsidRPr="008A03DD" w:rsidRDefault="00885C06" w:rsidP="00B03234">
      <w:pPr>
        <w:pStyle w:val="Heading5"/>
      </w:pPr>
      <w:r w:rsidRPr="008A03DD">
        <w:t xml:space="preserve">the </w:t>
      </w:r>
      <w:r w:rsidR="00136176">
        <w:t>Applicant</w:t>
      </w:r>
      <w:r w:rsidRPr="008A03DD">
        <w:t xml:space="preserve"> does not possess </w:t>
      </w:r>
      <w:r w:rsidR="00EB357F">
        <w:t>the requisite</w:t>
      </w:r>
      <w:r w:rsidR="00EB357F" w:rsidRPr="008A03DD">
        <w:t xml:space="preserve"> </w:t>
      </w:r>
      <w:r w:rsidRPr="008A03DD">
        <w:t>Licence;</w:t>
      </w:r>
    </w:p>
    <w:p w14:paraId="02FF33D8" w14:textId="3EF543C6" w:rsidR="00885C06" w:rsidRPr="008A03DD" w:rsidRDefault="00885C06" w:rsidP="00B03234">
      <w:pPr>
        <w:pStyle w:val="Heading5"/>
      </w:pPr>
      <w:r w:rsidRPr="008A03DD">
        <w:t xml:space="preserve">the </w:t>
      </w:r>
      <w:r w:rsidR="00136176">
        <w:t>Applicant</w:t>
      </w:r>
      <w:r w:rsidRPr="008A03DD">
        <w:t xml:space="preserve"> has not supplied </w:t>
      </w:r>
      <w:r w:rsidR="00EB357F">
        <w:t xml:space="preserve">the requisite </w:t>
      </w:r>
      <w:r w:rsidRPr="008A03DD">
        <w:t xml:space="preserve">information </w:t>
      </w:r>
      <w:r w:rsidR="008B1427">
        <w:t>or</w:t>
      </w:r>
      <w:r w:rsidR="00EB357F">
        <w:t xml:space="preserve"> has not</w:t>
      </w:r>
      <w:r w:rsidR="008B1427">
        <w:t xml:space="preserve"> installed the </w:t>
      </w:r>
      <w:r w:rsidR="00EB357F">
        <w:t xml:space="preserve">requisite </w:t>
      </w:r>
      <w:r w:rsidR="008B1427">
        <w:t>Commercial Metering System</w:t>
      </w:r>
      <w:r w:rsidRPr="008A03DD">
        <w:t>;</w:t>
      </w:r>
    </w:p>
    <w:p w14:paraId="7CEDF8A2" w14:textId="473A602A" w:rsidR="00885C06" w:rsidRPr="00033589" w:rsidRDefault="004C3D0C" w:rsidP="00B03234">
      <w:pPr>
        <w:pStyle w:val="Heading5"/>
      </w:pPr>
      <w:r w:rsidRPr="00B03C4A">
        <w:t xml:space="preserve">in the Market Operator’s sole discretion, </w:t>
      </w:r>
      <w:r w:rsidR="00885C06" w:rsidRPr="00B03C4A">
        <w:t xml:space="preserve">the revised proposal of the </w:t>
      </w:r>
      <w:r w:rsidR="00136176" w:rsidRPr="00B03C4A">
        <w:t>Applicant</w:t>
      </w:r>
      <w:r w:rsidR="00885C06" w:rsidRPr="00B03C4A">
        <w:t xml:space="preserve"> for the provision of the Security Cover</w:t>
      </w:r>
      <w:r w:rsidR="00033589" w:rsidRPr="00B03C4A">
        <w:t xml:space="preserve"> and Guarantee Amount</w:t>
      </w:r>
      <w:r w:rsidR="00885C06" w:rsidRPr="00B03C4A">
        <w:t xml:space="preserve"> is not</w:t>
      </w:r>
      <w:r w:rsidRPr="00B03C4A">
        <w:t xml:space="preserve"> in accordance with the provisions of </w:t>
      </w:r>
      <w:r w:rsidR="008C02F7">
        <w:t>Sub-Section</w:t>
      </w:r>
      <w:r w:rsidRPr="00B03C4A">
        <w:t xml:space="preserve"> </w:t>
      </w:r>
      <w:r w:rsidRPr="00B03C4A">
        <w:fldChar w:fldCharType="begin"/>
      </w:r>
      <w:r w:rsidRPr="00B03C4A">
        <w:instrText xml:space="preserve"> REF _Ref74405655 \n \h </w:instrText>
      </w:r>
      <w:r w:rsidR="00033589">
        <w:instrText xml:space="preserve"> \* MERGEFORMAT </w:instrText>
      </w:r>
      <w:r w:rsidRPr="00B03C4A">
        <w:fldChar w:fldCharType="separate"/>
      </w:r>
      <w:r w:rsidRPr="00B03C4A">
        <w:t>14.1.2</w:t>
      </w:r>
      <w:r w:rsidRPr="00B03C4A">
        <w:fldChar w:fldCharType="end"/>
      </w:r>
      <w:r w:rsidR="00885C06" w:rsidRPr="00033589">
        <w:t xml:space="preserve">; </w:t>
      </w:r>
    </w:p>
    <w:p w14:paraId="05DFC45D" w14:textId="5CDE5104" w:rsidR="008B6C89" w:rsidRDefault="004C3205" w:rsidP="00B03234">
      <w:pPr>
        <w:pStyle w:val="Heading5"/>
      </w:pPr>
      <w:r>
        <w:t xml:space="preserve">the </w:t>
      </w:r>
      <w:r w:rsidR="008B6C89">
        <w:t>A</w:t>
      </w:r>
      <w:r w:rsidR="008B6C89" w:rsidRPr="008B6C89">
        <w:t xml:space="preserve">pplicant previously </w:t>
      </w:r>
      <w:r w:rsidR="004C3D0C">
        <w:t xml:space="preserve">defaulted on its obligations as a </w:t>
      </w:r>
      <w:r w:rsidR="008B6C89">
        <w:t>M</w:t>
      </w:r>
      <w:r w:rsidR="008B6C89" w:rsidRPr="008B6C89">
        <w:t xml:space="preserve">arket </w:t>
      </w:r>
      <w:r w:rsidR="008B6C89">
        <w:t>P</w:t>
      </w:r>
      <w:r w:rsidR="008B6C89" w:rsidRPr="008B6C89">
        <w:t>articipant</w:t>
      </w:r>
      <w:r w:rsidR="004C3D0C">
        <w:t xml:space="preserve"> and its registration was terminated and has not yet remedied the cause of such default</w:t>
      </w:r>
      <w:r w:rsidR="0086058E">
        <w:t>;</w:t>
      </w:r>
    </w:p>
    <w:p w14:paraId="5024819F" w14:textId="21888A35" w:rsidR="00885C06" w:rsidRPr="008A03DD" w:rsidRDefault="00885C06" w:rsidP="00B03234">
      <w:pPr>
        <w:pStyle w:val="Heading5"/>
      </w:pPr>
      <w:r w:rsidRPr="008A03DD">
        <w:t xml:space="preserve">where </w:t>
      </w:r>
      <w:r w:rsidR="004C3D0C">
        <w:t>applicable</w:t>
      </w:r>
      <w:r w:rsidRPr="008A03DD">
        <w:t xml:space="preserve">, the </w:t>
      </w:r>
      <w:r w:rsidR="0086058E">
        <w:t xml:space="preserve">terms and </w:t>
      </w:r>
      <w:r w:rsidRPr="008A03DD">
        <w:t xml:space="preserve">conditions of the </w:t>
      </w:r>
      <w:r w:rsidRPr="00B03C4A">
        <w:t>Connection Agreement</w:t>
      </w:r>
      <w:r w:rsidRPr="008A03DD">
        <w:t xml:space="preserve"> are not acceptable to the Market Operator or the System Operator</w:t>
      </w:r>
      <w:r w:rsidR="0086058E">
        <w:t>.</w:t>
      </w:r>
    </w:p>
    <w:p w14:paraId="511D6D7D" w14:textId="4696CE2A" w:rsidR="004F6FB0" w:rsidRDefault="004F6FB0" w:rsidP="00C173D0">
      <w:pPr>
        <w:pStyle w:val="Heading3"/>
      </w:pPr>
      <w:r>
        <w:t xml:space="preserve">Final Steps to </w:t>
      </w:r>
      <w:r w:rsidR="00045304">
        <w:t>become a</w:t>
      </w:r>
      <w:r>
        <w:t xml:space="preserve"> </w:t>
      </w:r>
      <w:r w:rsidR="00136176">
        <w:t>Market Participant</w:t>
      </w:r>
      <w:r>
        <w:t xml:space="preserve"> </w:t>
      </w:r>
    </w:p>
    <w:p w14:paraId="6B101AF3" w14:textId="5244E06C" w:rsidR="00987006" w:rsidRDefault="004F6FB0" w:rsidP="005B295A">
      <w:pPr>
        <w:pStyle w:val="Heading4"/>
      </w:pPr>
      <w:bookmarkStart w:id="89" w:name="_Ref68565568"/>
      <w:r>
        <w:t xml:space="preserve">Upon receipt of </w:t>
      </w:r>
      <w:r w:rsidR="00F17E32">
        <w:t xml:space="preserve">the </w:t>
      </w:r>
      <w:r>
        <w:t>Market Participation Agreement</w:t>
      </w:r>
      <w:r w:rsidR="0097069A">
        <w:t xml:space="preserve"> and </w:t>
      </w:r>
      <w:r>
        <w:t>the approved form and amount of the Security Cover</w:t>
      </w:r>
      <w:r w:rsidR="00076567">
        <w:t xml:space="preserve"> and Guarantee Amount</w:t>
      </w:r>
      <w:r>
        <w:t xml:space="preserve">, forwarded by the Market Operator pursuant to </w:t>
      </w:r>
      <w:r w:rsidR="00987006">
        <w:t xml:space="preserve">Clause </w:t>
      </w:r>
      <w:r w:rsidR="00987006">
        <w:fldChar w:fldCharType="begin"/>
      </w:r>
      <w:r w:rsidR="00987006">
        <w:instrText xml:space="preserve"> REF _Ref54985521 \w \h </w:instrText>
      </w:r>
      <w:r w:rsidR="00987006">
        <w:fldChar w:fldCharType="separate"/>
      </w:r>
      <w:r w:rsidR="00251DBF">
        <w:t>3.3.3.2</w:t>
      </w:r>
      <w:r w:rsidR="00987006">
        <w:fldChar w:fldCharType="end"/>
      </w:r>
      <w:r>
        <w:t xml:space="preserve">, the </w:t>
      </w:r>
      <w:r w:rsidR="00136176">
        <w:t>Applicant</w:t>
      </w:r>
      <w:r>
        <w:t xml:space="preserve"> shall</w:t>
      </w:r>
      <w:r w:rsidR="00987006">
        <w:t>:</w:t>
      </w:r>
      <w:bookmarkEnd w:id="89"/>
      <w:r w:rsidR="00987006">
        <w:t xml:space="preserve"> </w:t>
      </w:r>
    </w:p>
    <w:p w14:paraId="78A49D78" w14:textId="211694B3" w:rsidR="00987006" w:rsidRPr="00C12195" w:rsidRDefault="00F17E32" w:rsidP="00B03234">
      <w:pPr>
        <w:pStyle w:val="Heading5"/>
      </w:pPr>
      <w:r>
        <w:t>e</w:t>
      </w:r>
      <w:r w:rsidR="004F6FB0">
        <w:t xml:space="preserve">xecute </w:t>
      </w:r>
      <w:r>
        <w:t xml:space="preserve">the </w:t>
      </w:r>
      <w:r w:rsidR="004F6FB0">
        <w:t>Market Participation Agreement</w:t>
      </w:r>
      <w:r w:rsidR="00560308">
        <w:t xml:space="preserve">, </w:t>
      </w:r>
      <w:r w:rsidR="004F6FB0" w:rsidRPr="00C12195">
        <w:t xml:space="preserve">and return </w:t>
      </w:r>
      <w:r w:rsidRPr="00C12195">
        <w:t xml:space="preserve">it </w:t>
      </w:r>
      <w:r w:rsidR="004F6FB0" w:rsidRPr="00C12195">
        <w:t xml:space="preserve">to the Market Operator; </w:t>
      </w:r>
    </w:p>
    <w:p w14:paraId="5131E97C" w14:textId="6C0D77FE" w:rsidR="00987006" w:rsidRPr="00C12195" w:rsidRDefault="00F17E32" w:rsidP="00B03234">
      <w:pPr>
        <w:pStyle w:val="Heading5"/>
      </w:pPr>
      <w:r w:rsidRPr="00C12195">
        <w:t>e</w:t>
      </w:r>
      <w:r w:rsidR="004F6FB0" w:rsidRPr="00C12195">
        <w:t xml:space="preserve">xecute </w:t>
      </w:r>
      <w:r w:rsidRPr="00C12195">
        <w:t xml:space="preserve">the </w:t>
      </w:r>
      <w:r w:rsidR="004F6FB0" w:rsidRPr="00C12195">
        <w:t xml:space="preserve">Connection Agreement, where </w:t>
      </w:r>
      <w:r w:rsidRPr="00C12195">
        <w:t>applicable</w:t>
      </w:r>
      <w:r w:rsidR="009076CA" w:rsidRPr="00C12195">
        <w:t xml:space="preserve">, </w:t>
      </w:r>
      <w:r w:rsidRPr="00C12195">
        <w:t xml:space="preserve">and submit </w:t>
      </w:r>
      <w:r w:rsidR="009076CA" w:rsidRPr="00C12195">
        <w:t>a copy to the Market Operator</w:t>
      </w:r>
      <w:r w:rsidR="004F6FB0" w:rsidRPr="00C12195">
        <w:t>; and</w:t>
      </w:r>
    </w:p>
    <w:p w14:paraId="497C938E" w14:textId="24CDE6F5" w:rsidR="00C12195" w:rsidRPr="003018FA" w:rsidRDefault="00C12195" w:rsidP="00B03C4A">
      <w:pPr>
        <w:pStyle w:val="Heading5"/>
      </w:pPr>
      <w:r w:rsidRPr="00B03C4A">
        <w:t xml:space="preserve">if applicable, </w:t>
      </w:r>
      <w:r w:rsidR="00F17E32" w:rsidRPr="00B03C4A">
        <w:t>f</w:t>
      </w:r>
      <w:r w:rsidR="004F6FB0" w:rsidRPr="00B03C4A">
        <w:t xml:space="preserve">urnish to the Market Operator </w:t>
      </w:r>
      <w:r w:rsidR="00987006" w:rsidRPr="00B03C4A">
        <w:t>the required</w:t>
      </w:r>
      <w:r w:rsidR="004F6FB0" w:rsidRPr="00B03C4A">
        <w:t xml:space="preserve"> Security Cover</w:t>
      </w:r>
      <w:r w:rsidR="00076567" w:rsidRPr="00B03C4A">
        <w:t xml:space="preserve"> and Guarantee Amount</w:t>
      </w:r>
      <w:r w:rsidR="00987006" w:rsidRPr="00B03C4A">
        <w:t>.</w:t>
      </w:r>
      <w:r w:rsidR="004F6FB0" w:rsidRPr="00B03C4A">
        <w:t xml:space="preserve"> </w:t>
      </w:r>
    </w:p>
    <w:p w14:paraId="64CDA190" w14:textId="49ADDFE5" w:rsidR="004F6FB0" w:rsidRPr="00B03C4A" w:rsidRDefault="00F17E32">
      <w:pPr>
        <w:pStyle w:val="Heading4"/>
      </w:pPr>
      <w:bookmarkStart w:id="90" w:name="_Ref54986027"/>
      <w:r w:rsidRPr="00C12195">
        <w:t xml:space="preserve">After </w:t>
      </w:r>
      <w:r w:rsidR="004F6FB0" w:rsidRPr="00C12195">
        <w:t xml:space="preserve">receipt of </w:t>
      </w:r>
      <w:r w:rsidRPr="00C12195">
        <w:t xml:space="preserve">the </w:t>
      </w:r>
      <w:r w:rsidR="004F6FB0" w:rsidRPr="00C12195">
        <w:t xml:space="preserve">Market Participation Agreement, duly executed by an authorised official of the </w:t>
      </w:r>
      <w:r w:rsidR="00136176" w:rsidRPr="00C12195">
        <w:t>Applicant</w:t>
      </w:r>
      <w:r w:rsidR="004F6FB0" w:rsidRPr="00C12195">
        <w:t xml:space="preserve">, </w:t>
      </w:r>
      <w:r w:rsidR="004F6FB0" w:rsidRPr="00B03C4A">
        <w:t xml:space="preserve">and the </w:t>
      </w:r>
      <w:r w:rsidRPr="00B03C4A">
        <w:t xml:space="preserve">requited </w:t>
      </w:r>
      <w:r w:rsidR="004F6FB0" w:rsidRPr="00B03C4A">
        <w:t>Security Cover</w:t>
      </w:r>
      <w:r w:rsidR="00076567" w:rsidRPr="00C12195">
        <w:t xml:space="preserve"> and Guarantee Amount</w:t>
      </w:r>
      <w:r w:rsidR="004F6FB0" w:rsidRPr="00C12195">
        <w:t>, the Market Operator</w:t>
      </w:r>
      <w:r w:rsidRPr="00C12195">
        <w:t xml:space="preserve"> shall register the Applicant as a Market Participant</w:t>
      </w:r>
      <w:r w:rsidR="0082602C" w:rsidRPr="00C12195">
        <w:t xml:space="preserve"> by giving it a unique identification number</w:t>
      </w:r>
      <w:r w:rsidRPr="00C12195">
        <w:t xml:space="preserve"> within </w:t>
      </w:r>
      <w:r w:rsidR="00987006" w:rsidRPr="00C12195">
        <w:t>five [5]</w:t>
      </w:r>
      <w:r w:rsidR="004F6FB0" w:rsidRPr="00C12195">
        <w:t xml:space="preserve"> Business Days </w:t>
      </w:r>
      <w:r w:rsidRPr="00C12195">
        <w:t xml:space="preserve">of the </w:t>
      </w:r>
      <w:r w:rsidR="004F6FB0" w:rsidRPr="00C12195">
        <w:t xml:space="preserve">receipt of </w:t>
      </w:r>
      <w:r w:rsidRPr="00C12195">
        <w:t xml:space="preserve">the aforesaid </w:t>
      </w:r>
      <w:r w:rsidR="004F6FB0" w:rsidRPr="00C12195">
        <w:t xml:space="preserve">documents, </w:t>
      </w:r>
      <w:r w:rsidRPr="00C12195">
        <w:t>and inform the Market Participant accordingly</w:t>
      </w:r>
      <w:r w:rsidR="0082602C" w:rsidRPr="00B03C4A">
        <w:t>.</w:t>
      </w:r>
      <w:bookmarkEnd w:id="90"/>
    </w:p>
    <w:p w14:paraId="2AB420C0" w14:textId="2D75416C" w:rsidR="004F6FB0" w:rsidRDefault="004F6FB0" w:rsidP="005B295A">
      <w:pPr>
        <w:pStyle w:val="Heading4"/>
      </w:pPr>
      <w:r>
        <w:t xml:space="preserve">The </w:t>
      </w:r>
      <w:r w:rsidR="00136176">
        <w:t>Applicant</w:t>
      </w:r>
      <w:r>
        <w:t xml:space="preserve"> shall be a </w:t>
      </w:r>
      <w:r w:rsidR="008A03DD">
        <w:t>Market Participant</w:t>
      </w:r>
      <w:r>
        <w:t xml:space="preserve"> with effect from the date of </w:t>
      </w:r>
      <w:r w:rsidR="00F17E32">
        <w:t xml:space="preserve">registration </w:t>
      </w:r>
      <w:r w:rsidR="0082602C">
        <w:t xml:space="preserve">and shall be provided access to the secured </w:t>
      </w:r>
      <w:r w:rsidR="008C02F7">
        <w:t>Section</w:t>
      </w:r>
      <w:r w:rsidR="0082602C">
        <w:t xml:space="preserve"> of the MO Website</w:t>
      </w:r>
      <w:r>
        <w:t>.</w:t>
      </w:r>
      <w:r w:rsidR="00987006">
        <w:t xml:space="preserve"> </w:t>
      </w:r>
    </w:p>
    <w:p w14:paraId="5B593399" w14:textId="5CDB174B" w:rsidR="004F6FB0" w:rsidRDefault="0082602C" w:rsidP="005B295A">
      <w:pPr>
        <w:pStyle w:val="Heading4"/>
      </w:pPr>
      <w:r>
        <w:t>T</w:t>
      </w:r>
      <w:r w:rsidR="004F6FB0">
        <w:t>he Market Operator shall</w:t>
      </w:r>
      <w:r w:rsidR="009C0E5F">
        <w:t xml:space="preserve">: </w:t>
      </w:r>
    </w:p>
    <w:p w14:paraId="081D6A39" w14:textId="59BE6AB2" w:rsidR="004F6FB0" w:rsidRDefault="0082602C" w:rsidP="00B03234">
      <w:pPr>
        <w:pStyle w:val="Heading5"/>
      </w:pPr>
      <w:r>
        <w:t xml:space="preserve">provide </w:t>
      </w:r>
      <w:r w:rsidR="009C0E5F">
        <w:t xml:space="preserve">to </w:t>
      </w:r>
      <w:r w:rsidR="004F6FB0">
        <w:t xml:space="preserve">the </w:t>
      </w:r>
      <w:r>
        <w:t xml:space="preserve">newly registered </w:t>
      </w:r>
      <w:r w:rsidR="008A03DD">
        <w:t>Market Participant</w:t>
      </w:r>
      <w:r w:rsidR="004F6FB0">
        <w:t xml:space="preserve"> the names of all other </w:t>
      </w:r>
      <w:r w:rsidR="008A03DD">
        <w:t>Market Participant</w:t>
      </w:r>
      <w:r w:rsidR="004F6FB0">
        <w:t xml:space="preserve">s and their </w:t>
      </w:r>
      <w:r>
        <w:t xml:space="preserve">requisite </w:t>
      </w:r>
      <w:r w:rsidR="004F6FB0">
        <w:t>details;</w:t>
      </w:r>
    </w:p>
    <w:p w14:paraId="6B80C6ED" w14:textId="06ADDB48" w:rsidR="004F6FB0" w:rsidRDefault="0082602C" w:rsidP="00B03234">
      <w:pPr>
        <w:pStyle w:val="Heading5"/>
      </w:pPr>
      <w:r>
        <w:t>inform</w:t>
      </w:r>
      <w:r w:rsidR="009C0E5F">
        <w:t xml:space="preserve"> </w:t>
      </w:r>
      <w:r w:rsidR="004F6FB0">
        <w:t xml:space="preserve">all other </w:t>
      </w:r>
      <w:r w:rsidR="008A03DD">
        <w:t>Market Participant</w:t>
      </w:r>
      <w:r w:rsidR="004F6FB0">
        <w:t>s</w:t>
      </w:r>
      <w:r>
        <w:t xml:space="preserve"> the details of newly registered Market Participant</w:t>
      </w:r>
      <w:r w:rsidR="004F6FB0">
        <w:t>.</w:t>
      </w:r>
    </w:p>
    <w:p w14:paraId="34D0DB55" w14:textId="0CC05475" w:rsidR="00293F8F" w:rsidRDefault="00293F8F" w:rsidP="00C173D0">
      <w:pPr>
        <w:pStyle w:val="Heading3"/>
      </w:pPr>
      <w:r>
        <w:t>Rights for Appeal and reconsideration</w:t>
      </w:r>
    </w:p>
    <w:p w14:paraId="6AE2D7E8" w14:textId="57EBD144" w:rsidR="004F6FB0" w:rsidRDefault="004F6FB0" w:rsidP="005B295A">
      <w:pPr>
        <w:pStyle w:val="Heading4"/>
      </w:pPr>
      <w:r>
        <w:t>A</w:t>
      </w:r>
      <w:r w:rsidR="0082602C">
        <w:t>ny</w:t>
      </w:r>
      <w:r>
        <w:t xml:space="preserve"> </w:t>
      </w:r>
      <w:r w:rsidR="0082602C">
        <w:t xml:space="preserve">person whose Admission Application has been rejected </w:t>
      </w:r>
      <w:r>
        <w:t>may challenge</w:t>
      </w:r>
      <w:r w:rsidR="0082602C">
        <w:t xml:space="preserve"> the decision of the Market Operat</w:t>
      </w:r>
      <w:r w:rsidR="009F7A49">
        <w:t>or</w:t>
      </w:r>
      <w:r w:rsidR="0082602C">
        <w:t xml:space="preserve"> in accordance with the </w:t>
      </w:r>
      <w:r w:rsidR="00D44369">
        <w:t>D</w:t>
      </w:r>
      <w:r>
        <w:t xml:space="preserve">ispute </w:t>
      </w:r>
      <w:r w:rsidR="00F97520">
        <w:t>r</w:t>
      </w:r>
      <w:r>
        <w:t xml:space="preserve">esolution procedure set out in </w:t>
      </w:r>
      <w:r w:rsidR="00D44369">
        <w:fldChar w:fldCharType="begin"/>
      </w:r>
      <w:r w:rsidR="00D44369">
        <w:instrText xml:space="preserve"> REF _Ref54986427 \w \h </w:instrText>
      </w:r>
      <w:r w:rsidR="00D44369">
        <w:fldChar w:fldCharType="separate"/>
      </w:r>
      <w:r w:rsidR="00251DBF">
        <w:t>Chapter 15</w:t>
      </w:r>
      <w:r w:rsidR="00D44369">
        <w:fldChar w:fldCharType="end"/>
      </w:r>
      <w:r>
        <w:t xml:space="preserve">.  </w:t>
      </w:r>
    </w:p>
    <w:p w14:paraId="4B7B2172" w14:textId="77E49E6D" w:rsidR="00293F8F" w:rsidRDefault="00293F8F" w:rsidP="00C173D0">
      <w:pPr>
        <w:pStyle w:val="Heading2"/>
      </w:pPr>
      <w:bookmarkStart w:id="91" w:name="_Toc64846660"/>
      <w:bookmarkStart w:id="92" w:name="_Toc69476957"/>
      <w:r>
        <w:lastRenderedPageBreak/>
        <w:t>M</w:t>
      </w:r>
      <w:r w:rsidR="00287E9F">
        <w:t xml:space="preserve">arket </w:t>
      </w:r>
      <w:r w:rsidR="00560308">
        <w:t xml:space="preserve">Participant </w:t>
      </w:r>
      <w:r w:rsidR="00287E9F">
        <w:t>Registration</w:t>
      </w:r>
      <w:bookmarkEnd w:id="91"/>
      <w:bookmarkEnd w:id="92"/>
    </w:p>
    <w:p w14:paraId="50CFC10C" w14:textId="189B4ECB" w:rsidR="003742B6" w:rsidRDefault="008A03DD" w:rsidP="00C173D0">
      <w:pPr>
        <w:pStyle w:val="Heading3"/>
      </w:pPr>
      <w:r>
        <w:t>Market Participant</w:t>
      </w:r>
      <w:r w:rsidR="003742B6">
        <w:t>s Register</w:t>
      </w:r>
    </w:p>
    <w:p w14:paraId="4D2DCEE3" w14:textId="7539536C" w:rsidR="003742B6" w:rsidRDefault="003742B6" w:rsidP="005B295A">
      <w:pPr>
        <w:pStyle w:val="Heading4"/>
      </w:pPr>
      <w:r>
        <w:t xml:space="preserve">The Market Operator shall organise, </w:t>
      </w:r>
      <w:r w:rsidR="00CF2473">
        <w:t>maintain,</w:t>
      </w:r>
      <w:r>
        <w:t xml:space="preserve"> and </w:t>
      </w:r>
      <w:r w:rsidR="00A82F6B">
        <w:t xml:space="preserve">place on </w:t>
      </w:r>
      <w:r>
        <w:t xml:space="preserve">its website a register of </w:t>
      </w:r>
      <w:r w:rsidR="008A03DD">
        <w:t>Market Participant</w:t>
      </w:r>
      <w:r>
        <w:t xml:space="preserve">s called the </w:t>
      </w:r>
      <w:r w:rsidR="00136176">
        <w:t>Market Participant</w:t>
      </w:r>
      <w:r>
        <w:t xml:space="preserve">s Register.  The </w:t>
      </w:r>
      <w:r w:rsidR="00136176">
        <w:t>Market Participant</w:t>
      </w:r>
      <w:r>
        <w:t xml:space="preserve">s Register shall identify </w:t>
      </w:r>
      <w:r w:rsidR="00045304">
        <w:t xml:space="preserve">the </w:t>
      </w:r>
      <w:r w:rsidR="00A82F6B">
        <w:t xml:space="preserve">status of each </w:t>
      </w:r>
      <w:r w:rsidR="00045304">
        <w:t>Market Participant</w:t>
      </w:r>
      <w:r w:rsidR="00A82F6B">
        <w:t xml:space="preserve">, namely: </w:t>
      </w:r>
      <w:r w:rsidR="00045304">
        <w:t>active, suspended</w:t>
      </w:r>
      <w:r w:rsidR="00A82F6B">
        <w:t xml:space="preserve">, </w:t>
      </w:r>
      <w:r w:rsidR="00A82F6B" w:rsidRPr="00B03C4A">
        <w:t>terminated</w:t>
      </w:r>
      <w:r w:rsidR="00A82F6B" w:rsidRPr="00CA5335">
        <w:t>,</w:t>
      </w:r>
      <w:r w:rsidR="00A82F6B">
        <w:t xml:space="preserve"> withdrawn </w:t>
      </w:r>
      <w:r w:rsidR="00045304">
        <w:t>or</w:t>
      </w:r>
      <w:r>
        <w:t xml:space="preserve"> </w:t>
      </w:r>
      <w:r w:rsidR="00045304">
        <w:t>notified for</w:t>
      </w:r>
      <w:r>
        <w:t xml:space="preserve"> withdrawal.</w:t>
      </w:r>
    </w:p>
    <w:p w14:paraId="33FCF9BA" w14:textId="7110A006" w:rsidR="00472AEF" w:rsidRDefault="003742B6" w:rsidP="005B295A">
      <w:pPr>
        <w:pStyle w:val="Heading4"/>
      </w:pPr>
      <w:r>
        <w:t xml:space="preserve">Upon </w:t>
      </w:r>
      <w:r w:rsidR="00A82F6B">
        <w:t xml:space="preserve">admission of </w:t>
      </w:r>
      <w:r>
        <w:t xml:space="preserve">a </w:t>
      </w:r>
      <w:r w:rsidR="008A03DD">
        <w:t>Market Participant</w:t>
      </w:r>
      <w:r w:rsidR="00472AEF">
        <w:t xml:space="preserve"> in one or more Categories </w:t>
      </w:r>
      <w:r w:rsidR="00A82F6B">
        <w:t>of Market Participants</w:t>
      </w:r>
      <w:r>
        <w:t xml:space="preserve">, the Market Operator shall record the </w:t>
      </w:r>
      <w:r w:rsidR="00A82F6B">
        <w:t>relevant</w:t>
      </w:r>
      <w:r>
        <w:t xml:space="preserve"> information</w:t>
      </w:r>
      <w:r w:rsidR="00E45BE8">
        <w:t xml:space="preserve"> </w:t>
      </w:r>
      <w:r>
        <w:t xml:space="preserve">in the </w:t>
      </w:r>
      <w:r w:rsidR="00136176">
        <w:t>Market Participant</w:t>
      </w:r>
      <w:r>
        <w:t xml:space="preserve">s Register.  </w:t>
      </w:r>
    </w:p>
    <w:p w14:paraId="4E452291" w14:textId="27690148" w:rsidR="00472AEF" w:rsidRPr="00B03C4A" w:rsidRDefault="00472AEF" w:rsidP="005B295A">
      <w:pPr>
        <w:pStyle w:val="Heading4"/>
      </w:pPr>
      <w:r w:rsidRPr="00B03C4A">
        <w:t xml:space="preserve">The Market Participants Register shall clearly indicate the Categories </w:t>
      </w:r>
      <w:r w:rsidR="00045304" w:rsidRPr="00B03C4A">
        <w:t xml:space="preserve">in </w:t>
      </w:r>
      <w:r w:rsidRPr="00B03C4A">
        <w:t>which a Market Participant is registered.</w:t>
      </w:r>
    </w:p>
    <w:p w14:paraId="66979BAB" w14:textId="69B0CB5E" w:rsidR="00A82F6B" w:rsidRDefault="003742B6" w:rsidP="005B295A">
      <w:pPr>
        <w:pStyle w:val="Heading4"/>
      </w:pPr>
      <w:r>
        <w:t xml:space="preserve">The Market Operator shall update the </w:t>
      </w:r>
      <w:r w:rsidR="00136176">
        <w:t>Market Participant</w:t>
      </w:r>
      <w:r>
        <w:t>s Register</w:t>
      </w:r>
      <w:r w:rsidR="00A82F6B">
        <w:t xml:space="preserve"> upon:</w:t>
      </w:r>
    </w:p>
    <w:p w14:paraId="4C03A374" w14:textId="1D50FAA6" w:rsidR="00A82F6B" w:rsidRDefault="003742B6" w:rsidP="00A82F6B">
      <w:pPr>
        <w:pStyle w:val="Heading5"/>
      </w:pPr>
      <w:r>
        <w:t xml:space="preserve"> </w:t>
      </w:r>
      <w:r w:rsidR="00A82F6B">
        <w:t xml:space="preserve">admission </w:t>
      </w:r>
      <w:r>
        <w:t xml:space="preserve">of a new </w:t>
      </w:r>
      <w:r w:rsidR="008A03DD">
        <w:t>Market Participant</w:t>
      </w:r>
      <w:r w:rsidR="00A82F6B">
        <w:t>;</w:t>
      </w:r>
      <w:r>
        <w:t xml:space="preserve"> </w:t>
      </w:r>
    </w:p>
    <w:p w14:paraId="21DD47D0" w14:textId="334256B9" w:rsidR="00A82F6B" w:rsidRDefault="00A82F6B" w:rsidP="00A82F6B">
      <w:pPr>
        <w:pStyle w:val="Heading5"/>
      </w:pPr>
      <w:r>
        <w:t>issuance of a</w:t>
      </w:r>
      <w:r w:rsidR="003742B6">
        <w:t xml:space="preserve"> </w:t>
      </w:r>
      <w:r w:rsidR="00311FA4">
        <w:t>S</w:t>
      </w:r>
      <w:r w:rsidR="003742B6">
        <w:t xml:space="preserve">uspension </w:t>
      </w:r>
      <w:r w:rsidR="006C2D03">
        <w:t>Order</w:t>
      </w:r>
      <w:r>
        <w:t>;</w:t>
      </w:r>
    </w:p>
    <w:p w14:paraId="3785C6CC" w14:textId="60BEE436" w:rsidR="00A82F6B" w:rsidRDefault="00A82F6B" w:rsidP="00A82F6B">
      <w:pPr>
        <w:pStyle w:val="Heading5"/>
      </w:pPr>
      <w:r>
        <w:t>termination or withdrawal;</w:t>
      </w:r>
    </w:p>
    <w:p w14:paraId="24A447AD" w14:textId="77777777" w:rsidR="0097069A" w:rsidRDefault="00A82F6B" w:rsidP="00A82F6B">
      <w:pPr>
        <w:pStyle w:val="Heading5"/>
      </w:pPr>
      <w:r>
        <w:t xml:space="preserve">receipt of new information as per Clause </w:t>
      </w:r>
      <w:r w:rsidR="003742B6">
        <w:t xml:space="preserve"> </w:t>
      </w:r>
      <w:r>
        <w:fldChar w:fldCharType="begin"/>
      </w:r>
      <w:r>
        <w:instrText xml:space="preserve"> REF _Ref54987497 \r \h </w:instrText>
      </w:r>
      <w:r>
        <w:fldChar w:fldCharType="separate"/>
      </w:r>
      <w:r>
        <w:t>3.4.2.1</w:t>
      </w:r>
      <w:r>
        <w:fldChar w:fldCharType="end"/>
      </w:r>
      <w:r>
        <w:t>.</w:t>
      </w:r>
    </w:p>
    <w:p w14:paraId="004DC925" w14:textId="10975293" w:rsidR="003742B6" w:rsidRDefault="008A03DD" w:rsidP="000E633F">
      <w:pPr>
        <w:pStyle w:val="Heading3"/>
      </w:pPr>
      <w:r>
        <w:t>Market Participant</w:t>
      </w:r>
      <w:r w:rsidR="003742B6">
        <w:t>’s Ongoing Reporting Obligations</w:t>
      </w:r>
    </w:p>
    <w:p w14:paraId="477C600B" w14:textId="7109FF71" w:rsidR="003742B6" w:rsidRDefault="003742B6" w:rsidP="005B295A">
      <w:pPr>
        <w:pStyle w:val="Heading4"/>
      </w:pPr>
      <w:bookmarkStart w:id="93" w:name="_Ref54987497"/>
      <w:r>
        <w:t xml:space="preserve">Each Market Participant </w:t>
      </w:r>
      <w:r w:rsidR="00A82F6B">
        <w:t xml:space="preserve">shall have </w:t>
      </w:r>
      <w:r>
        <w:t>an ongoing obligation to inform the Market Operator of any material change</w:t>
      </w:r>
      <w:r w:rsidR="00A82F6B">
        <w:t xml:space="preserve"> related to its business and to the information</w:t>
      </w:r>
      <w:r>
        <w:t xml:space="preserve"> </w:t>
      </w:r>
      <w:r w:rsidR="00A82F6B">
        <w:t xml:space="preserve">included </w:t>
      </w:r>
      <w:r>
        <w:t xml:space="preserve">in its Admission Application, </w:t>
      </w:r>
      <w:r w:rsidR="00A82F6B">
        <w:t xml:space="preserve">including </w:t>
      </w:r>
      <w:r>
        <w:t xml:space="preserve">any modification </w:t>
      </w:r>
      <w:r w:rsidR="00A82F6B">
        <w:t xml:space="preserve">in </w:t>
      </w:r>
      <w:r>
        <w:t xml:space="preserve">the technical </w:t>
      </w:r>
      <w:r w:rsidR="00885C06">
        <w:t>or</w:t>
      </w:r>
      <w:r>
        <w:t xml:space="preserve"> operational characteristics of the equipment it owns and is connected</w:t>
      </w:r>
      <w:r w:rsidR="00A82F6B">
        <w:t xml:space="preserve"> to the Grid System</w:t>
      </w:r>
      <w:r>
        <w:t>.</w:t>
      </w:r>
      <w:bookmarkEnd w:id="93"/>
      <w:r>
        <w:t xml:space="preserve"> </w:t>
      </w:r>
      <w:r w:rsidR="00263B9E">
        <w:t>The Market Operator shall develop a CCOP detailing the procedure for making changes in the registration information.</w:t>
      </w:r>
      <w:r>
        <w:t xml:space="preserve"> </w:t>
      </w:r>
    </w:p>
    <w:p w14:paraId="2BE90E5C" w14:textId="26BFD025" w:rsidR="003742B6" w:rsidRDefault="003742B6" w:rsidP="005B295A">
      <w:pPr>
        <w:pStyle w:val="Heading4"/>
      </w:pPr>
      <w:r>
        <w:t xml:space="preserve">If a </w:t>
      </w:r>
      <w:r w:rsidR="008A03DD">
        <w:t>Market Participant</w:t>
      </w:r>
      <w:r>
        <w:t xml:space="preserve"> fails to </w:t>
      </w:r>
      <w:r w:rsidR="00A82F6B">
        <w:t xml:space="preserve">comply with the requirements of Clause </w:t>
      </w:r>
      <w:r w:rsidR="00A82F6B">
        <w:fldChar w:fldCharType="begin"/>
      </w:r>
      <w:r w:rsidR="00A82F6B">
        <w:instrText xml:space="preserve"> REF _Ref54987497 \w \h </w:instrText>
      </w:r>
      <w:r w:rsidR="00A82F6B">
        <w:fldChar w:fldCharType="separate"/>
      </w:r>
      <w:r w:rsidR="00A82F6B">
        <w:t>3.4.2.1</w:t>
      </w:r>
      <w:r w:rsidR="00A82F6B">
        <w:fldChar w:fldCharType="end"/>
      </w:r>
      <w:r w:rsidR="00A82F6B">
        <w:t xml:space="preserve">, which </w:t>
      </w:r>
      <w:r>
        <w:t xml:space="preserve">may have a materially adverse effect on the </w:t>
      </w:r>
      <w:r w:rsidR="00EC1896">
        <w:t>buying and selling</w:t>
      </w:r>
      <w:r>
        <w:t xml:space="preserve"> obligations of other </w:t>
      </w:r>
      <w:r w:rsidR="008A03DD">
        <w:t>Market Participant</w:t>
      </w:r>
      <w:r>
        <w:t xml:space="preserve">s, the Market Operator, may suspend or terminate the </w:t>
      </w:r>
      <w:r w:rsidR="008A03DD">
        <w:t>Market Participant</w:t>
      </w:r>
      <w:r>
        <w:t xml:space="preserve">’s rights in accordance </w:t>
      </w:r>
      <w:r w:rsidR="00885C06">
        <w:t xml:space="preserve">with </w:t>
      </w:r>
      <w:r w:rsidR="00885C06">
        <w:fldChar w:fldCharType="begin"/>
      </w:r>
      <w:r w:rsidR="00885C06">
        <w:instrText xml:space="preserve"> REF _Ref54987623 \w \h </w:instrText>
      </w:r>
      <w:r w:rsidR="00885C06">
        <w:fldChar w:fldCharType="separate"/>
      </w:r>
      <w:r w:rsidR="00251DBF">
        <w:t>Chapter 17</w:t>
      </w:r>
      <w:r w:rsidR="00885C06">
        <w:fldChar w:fldCharType="end"/>
      </w:r>
      <w:r w:rsidR="00885C06">
        <w:t xml:space="preserve"> of  </w:t>
      </w:r>
      <w:r w:rsidR="00F05124">
        <w:t>this Code</w:t>
      </w:r>
      <w:r>
        <w:t>.</w:t>
      </w:r>
    </w:p>
    <w:p w14:paraId="4DBEFCE3" w14:textId="571585BA" w:rsidR="00293F8F" w:rsidRDefault="00E12CE1" w:rsidP="00C173D0">
      <w:pPr>
        <w:pStyle w:val="Heading2"/>
      </w:pPr>
      <w:bookmarkStart w:id="94" w:name="_Toc64846661"/>
      <w:bookmarkStart w:id="95" w:name="_Ref68601063"/>
      <w:bookmarkStart w:id="96" w:name="_Toc69476958"/>
      <w:r>
        <w:t>Withdrawal or Termination</w:t>
      </w:r>
      <w:r w:rsidR="00293F8F">
        <w:t xml:space="preserve"> Of</w:t>
      </w:r>
      <w:r w:rsidR="00996FD5">
        <w:t xml:space="preserve"> </w:t>
      </w:r>
      <w:r w:rsidR="00A82F6B">
        <w:t xml:space="preserve">Registration of a </w:t>
      </w:r>
      <w:r w:rsidR="00996FD5">
        <w:t>Market</w:t>
      </w:r>
      <w:r w:rsidR="00293F8F">
        <w:t xml:space="preserve"> </w:t>
      </w:r>
      <w:r w:rsidR="00A82F6B">
        <w:t>Participant</w:t>
      </w:r>
      <w:bookmarkEnd w:id="94"/>
      <w:bookmarkEnd w:id="95"/>
      <w:bookmarkEnd w:id="96"/>
    </w:p>
    <w:p w14:paraId="06E971F0" w14:textId="13CD2C09" w:rsidR="00885C06" w:rsidRDefault="00885C06" w:rsidP="00C173D0">
      <w:pPr>
        <w:pStyle w:val="Heading3"/>
      </w:pPr>
      <w:r>
        <w:t xml:space="preserve">Withdrawal by </w:t>
      </w:r>
      <w:r w:rsidR="00A82F6B">
        <w:t xml:space="preserve">a </w:t>
      </w:r>
      <w:r w:rsidR="008A03DD">
        <w:t>Market</w:t>
      </w:r>
      <w:r w:rsidR="00136176">
        <w:t xml:space="preserve"> Participant</w:t>
      </w:r>
    </w:p>
    <w:p w14:paraId="44C4BCD5" w14:textId="3BF7E5F9" w:rsidR="00885C06" w:rsidRDefault="00885C06" w:rsidP="005B295A">
      <w:pPr>
        <w:pStyle w:val="Heading4"/>
      </w:pPr>
      <w:bookmarkStart w:id="97" w:name="_Ref54992405"/>
      <w:r>
        <w:t xml:space="preserve">A </w:t>
      </w:r>
      <w:r w:rsidR="008A03DD">
        <w:t>Market Participant</w:t>
      </w:r>
      <w:r>
        <w:t xml:space="preserve"> may</w:t>
      </w:r>
      <w:r w:rsidR="00A82F6B">
        <w:t xml:space="preserve"> withdraw as a Market Participant at any time subject to fulfilment of the following conditions: </w:t>
      </w:r>
      <w:r>
        <w:t xml:space="preserve"> </w:t>
      </w:r>
      <w:bookmarkEnd w:id="97"/>
    </w:p>
    <w:p w14:paraId="4A8D1D81" w14:textId="64AE53DB" w:rsidR="00885C06" w:rsidRDefault="00A82F6B" w:rsidP="00B03234">
      <w:pPr>
        <w:pStyle w:val="Heading5"/>
      </w:pPr>
      <w:r>
        <w:t>by g</w:t>
      </w:r>
      <w:r w:rsidR="00885C06">
        <w:t>iving notice of not less than</w:t>
      </w:r>
      <w:r w:rsidR="005F2E3C">
        <w:t xml:space="preserve"> two</w:t>
      </w:r>
      <w:r w:rsidR="00885C06">
        <w:t xml:space="preserve"> [</w:t>
      </w:r>
      <w:r w:rsidR="005F2E3C">
        <w:t>2</w:t>
      </w:r>
      <w:r w:rsidR="00885C06">
        <w:t>] months in writing to the Market Operator;</w:t>
      </w:r>
    </w:p>
    <w:p w14:paraId="0E7D371D" w14:textId="008F4A26" w:rsidR="00A82F6B" w:rsidRDefault="00A82F6B" w:rsidP="00B03234">
      <w:pPr>
        <w:pStyle w:val="Heading5"/>
      </w:pPr>
      <w:r>
        <w:t xml:space="preserve">the Market Operator shall examine the withdrawal notice and verify compliance of the Market Participant with the requirement of Clause </w:t>
      </w:r>
      <w:r>
        <w:fldChar w:fldCharType="begin"/>
      </w:r>
      <w:r>
        <w:instrText xml:space="preserve"> REF _Ref54992105 \w \h </w:instrText>
      </w:r>
      <w:r>
        <w:fldChar w:fldCharType="separate"/>
      </w:r>
      <w:r>
        <w:t>3.5.1.2</w:t>
      </w:r>
      <w:r>
        <w:fldChar w:fldCharType="end"/>
      </w:r>
      <w:r>
        <w:t xml:space="preserve"> below</w:t>
      </w:r>
      <w:r w:rsidR="00732FD7">
        <w:t>;</w:t>
      </w:r>
    </w:p>
    <w:p w14:paraId="5C884653" w14:textId="63458EAD" w:rsidR="0036245B" w:rsidRDefault="00A82F6B" w:rsidP="00B03234">
      <w:pPr>
        <w:pStyle w:val="Heading5"/>
      </w:pPr>
      <w:r>
        <w:t>thereafter, de</w:t>
      </w:r>
      <w:r w:rsidR="00E238B5">
        <w:t xml:space="preserve">register </w:t>
      </w:r>
      <w:r w:rsidR="0036245B">
        <w:t xml:space="preserve">all its </w:t>
      </w:r>
      <w:r w:rsidR="001C333B">
        <w:t>B</w:t>
      </w:r>
      <w:r w:rsidR="0036245B">
        <w:t xml:space="preserve">ilateral </w:t>
      </w:r>
      <w:r w:rsidR="001C333B">
        <w:t xml:space="preserve">Contracts </w:t>
      </w:r>
      <w:r w:rsidR="0036245B">
        <w:t xml:space="preserve">with other Market Participants, as </w:t>
      </w:r>
      <w:r>
        <w:t xml:space="preserve">stipulated </w:t>
      </w:r>
      <w:r w:rsidR="0036245B">
        <w:t xml:space="preserve">in </w:t>
      </w:r>
      <w:r w:rsidR="008C02F7">
        <w:t>Sub-Section</w:t>
      </w:r>
      <w:r w:rsidR="000B701B">
        <w:t xml:space="preserve"> </w:t>
      </w:r>
      <w:r w:rsidR="000B701B">
        <w:fldChar w:fldCharType="begin"/>
      </w:r>
      <w:r w:rsidR="000B701B">
        <w:instrText xml:space="preserve"> REF _Ref67687566 \r \h </w:instrText>
      </w:r>
      <w:r w:rsidR="000B701B">
        <w:fldChar w:fldCharType="separate"/>
      </w:r>
      <w:r w:rsidR="00251DBF">
        <w:t>4.6</w:t>
      </w:r>
      <w:r w:rsidR="000B701B">
        <w:fldChar w:fldCharType="end"/>
      </w:r>
      <w:r w:rsidR="00732FD7">
        <w:t>;</w:t>
      </w:r>
      <w:r w:rsidR="00100D7F" w:rsidRPr="00F932E2" w:rsidDel="00100D7F">
        <w:rPr>
          <w:highlight w:val="yellow"/>
        </w:rPr>
        <w:t xml:space="preserve"> </w:t>
      </w:r>
    </w:p>
    <w:p w14:paraId="6E6DB2F2" w14:textId="12D848B9" w:rsidR="00885C06" w:rsidRPr="008705A3" w:rsidRDefault="00A10EFB" w:rsidP="00B03234">
      <w:pPr>
        <w:pStyle w:val="Heading5"/>
      </w:pPr>
      <w:r w:rsidRPr="00B03C4A">
        <w:t>o</w:t>
      </w:r>
      <w:r w:rsidR="00885C06" w:rsidRPr="00B03C4A">
        <w:t xml:space="preserve">btaining the prior written consent of the </w:t>
      </w:r>
      <w:r w:rsidR="005F2E3C" w:rsidRPr="00B03C4A">
        <w:t>Authority</w:t>
      </w:r>
      <w:r w:rsidR="00885C06" w:rsidRPr="00B03C4A">
        <w:t xml:space="preserve"> </w:t>
      </w:r>
      <w:r w:rsidR="00E135AA" w:rsidRPr="00B03C4A">
        <w:t xml:space="preserve">or from another competent forum </w:t>
      </w:r>
      <w:r w:rsidR="00885C06" w:rsidRPr="00B03C4A">
        <w:t xml:space="preserve">to its ceasing to be a </w:t>
      </w:r>
      <w:r w:rsidR="008A03DD" w:rsidRPr="00B03C4A">
        <w:t>Market Participant</w:t>
      </w:r>
      <w:r w:rsidR="005F2E3C" w:rsidRPr="00B03C4A">
        <w:t xml:space="preserve">, in cases this consent is required by the existing </w:t>
      </w:r>
      <w:r w:rsidR="008705A3">
        <w:lastRenderedPageBreak/>
        <w:t xml:space="preserve">policy or </w:t>
      </w:r>
      <w:r w:rsidR="005F2E3C" w:rsidRPr="00B03C4A">
        <w:t>regulation</w:t>
      </w:r>
      <w:r w:rsidR="00B91C82" w:rsidRPr="00B03C4A">
        <w:t xml:space="preserve"> or the conditions of its </w:t>
      </w:r>
      <w:r w:rsidR="008705A3">
        <w:t>L</w:t>
      </w:r>
      <w:r w:rsidR="00B91C82" w:rsidRPr="00B03C4A">
        <w:t>icense</w:t>
      </w:r>
      <w:r w:rsidR="005F2E3C" w:rsidRPr="00B03C4A">
        <w:t>.</w:t>
      </w:r>
      <w:r w:rsidR="00885C06" w:rsidRPr="00B03C4A">
        <w:t xml:space="preserve"> </w:t>
      </w:r>
      <w:r w:rsidR="005F2E3C" w:rsidRPr="00B03C4A">
        <w:t>I</w:t>
      </w:r>
      <w:r w:rsidR="00885C06" w:rsidRPr="00B03C4A">
        <w:t xml:space="preserve">ts withdrawal shall take effect only on such terms and conditions as the </w:t>
      </w:r>
      <w:r w:rsidR="005F2E3C" w:rsidRPr="00B03C4A">
        <w:t>Authority</w:t>
      </w:r>
      <w:r w:rsidR="00885C06" w:rsidRPr="00B03C4A">
        <w:t xml:space="preserve"> </w:t>
      </w:r>
      <w:r w:rsidR="005F2E3C" w:rsidRPr="00B03C4A">
        <w:t>may</w:t>
      </w:r>
      <w:r w:rsidR="00885C06" w:rsidRPr="00B03C4A">
        <w:t xml:space="preserve"> determine</w:t>
      </w:r>
      <w:r w:rsidR="00885C06" w:rsidRPr="008705A3">
        <w:t>.</w:t>
      </w:r>
    </w:p>
    <w:p w14:paraId="0176DDF0" w14:textId="1344EC25" w:rsidR="00885C06" w:rsidRDefault="00885C06" w:rsidP="005B295A">
      <w:pPr>
        <w:pStyle w:val="Heading4"/>
      </w:pPr>
      <w:bookmarkStart w:id="98" w:name="_Ref54992105"/>
      <w:r>
        <w:t xml:space="preserve">The requirements to be fulfilled by the </w:t>
      </w:r>
      <w:r w:rsidR="005F2E3C">
        <w:t xml:space="preserve">Market </w:t>
      </w:r>
      <w:r>
        <w:t>Participant prior to its withdrawal</w:t>
      </w:r>
      <w:r w:rsidR="005F2E3C">
        <w:t xml:space="preserve">, </w:t>
      </w:r>
      <w:r>
        <w:t xml:space="preserve">pursuant to </w:t>
      </w:r>
      <w:r w:rsidR="005F2E3C">
        <w:t xml:space="preserve">Clause </w:t>
      </w:r>
      <w:r w:rsidR="005F2E3C">
        <w:fldChar w:fldCharType="begin"/>
      </w:r>
      <w:r w:rsidR="005F2E3C">
        <w:instrText xml:space="preserve"> REF _Ref54992405 \w \h </w:instrText>
      </w:r>
      <w:r w:rsidR="005F2E3C">
        <w:fldChar w:fldCharType="separate"/>
      </w:r>
      <w:r w:rsidR="00251DBF">
        <w:t>3.5.1.1</w:t>
      </w:r>
      <w:r w:rsidR="005F2E3C">
        <w:fldChar w:fldCharType="end"/>
      </w:r>
      <w:r>
        <w:t xml:space="preserve"> above are:</w:t>
      </w:r>
      <w:bookmarkEnd w:id="98"/>
    </w:p>
    <w:p w14:paraId="482CE294" w14:textId="6B5697C2" w:rsidR="00885C06" w:rsidRDefault="00A82F6B" w:rsidP="00B03234">
      <w:pPr>
        <w:pStyle w:val="Heading5"/>
      </w:pPr>
      <w:r>
        <w:t>a</w:t>
      </w:r>
      <w:r w:rsidR="00885C06">
        <w:t xml:space="preserve">ll amounts due and payable by the </w:t>
      </w:r>
      <w:r w:rsidR="005F2E3C">
        <w:t xml:space="preserve">Market </w:t>
      </w:r>
      <w:r w:rsidR="00885C06">
        <w:t xml:space="preserve">Participant under or pursuant to </w:t>
      </w:r>
      <w:r w:rsidR="00F05124">
        <w:t>this Code</w:t>
      </w:r>
      <w:r w:rsidR="005F2E3C">
        <w:t xml:space="preserve"> </w:t>
      </w:r>
      <w:r w:rsidR="00885C06">
        <w:t>have been paid in full</w:t>
      </w:r>
      <w:r w:rsidR="008B4E8F">
        <w:t xml:space="preserve"> prior to the Termination Date</w:t>
      </w:r>
      <w:r w:rsidR="00885C06">
        <w:t>;</w:t>
      </w:r>
    </w:p>
    <w:p w14:paraId="7CFD2FEA" w14:textId="2D29747A" w:rsidR="00885C06" w:rsidRDefault="00A82F6B" w:rsidP="00B03234">
      <w:pPr>
        <w:pStyle w:val="Heading5"/>
      </w:pPr>
      <w:r>
        <w:t>t</w:t>
      </w:r>
      <w:r w:rsidR="00885C06">
        <w:t xml:space="preserve">he </w:t>
      </w:r>
      <w:r w:rsidR="008A03DD">
        <w:t>Market Participant</w:t>
      </w:r>
      <w:r w:rsidR="00885C06">
        <w:t xml:space="preserve"> </w:t>
      </w:r>
      <w:r>
        <w:t xml:space="preserve">is </w:t>
      </w:r>
      <w:r w:rsidR="00885C06">
        <w:t xml:space="preserve">not in breach of any </w:t>
      </w:r>
      <w:r w:rsidR="005F2E3C">
        <w:t>l</w:t>
      </w:r>
      <w:r w:rsidR="00885C06">
        <w:t>egal</w:t>
      </w:r>
      <w:r w:rsidR="008705A3">
        <w:t xml:space="preserve">, policy or regulatory </w:t>
      </w:r>
      <w:r w:rsidR="005F2E3C">
        <w:t>r</w:t>
      </w:r>
      <w:r w:rsidR="00885C06">
        <w:t>equirement</w:t>
      </w:r>
      <w:r w:rsidR="00E135AA">
        <w:t>,</w:t>
      </w:r>
      <w:r w:rsidR="00885C06">
        <w:t xml:space="preserve"> </w:t>
      </w:r>
      <w:r w:rsidR="00E135AA">
        <w:t xml:space="preserve">including any required consent from the Authority, </w:t>
      </w:r>
      <w:r w:rsidR="00885C06">
        <w:t xml:space="preserve">by ceasing to be a </w:t>
      </w:r>
      <w:r w:rsidR="008A03DD">
        <w:t>Market Participant</w:t>
      </w:r>
      <w:r w:rsidR="00885C06">
        <w:t>; and</w:t>
      </w:r>
    </w:p>
    <w:p w14:paraId="18241BBF" w14:textId="58945988" w:rsidR="00885C06" w:rsidRDefault="00A82F6B" w:rsidP="00B03234">
      <w:pPr>
        <w:pStyle w:val="Heading5"/>
      </w:pPr>
      <w:r>
        <w:t>the Market Participants has remedied any breach which is capable of remedy prior to the withdrawal notice.</w:t>
      </w:r>
    </w:p>
    <w:p w14:paraId="3C492C0E" w14:textId="3C9ED9A8" w:rsidR="00885C06" w:rsidRDefault="00885C06" w:rsidP="005B295A">
      <w:pPr>
        <w:pStyle w:val="Heading4"/>
      </w:pPr>
      <w:r>
        <w:t xml:space="preserve">Notwithstanding compliance with </w:t>
      </w:r>
      <w:r w:rsidR="005F2E3C">
        <w:t xml:space="preserve">Clause </w:t>
      </w:r>
      <w:r w:rsidR="005F2E3C">
        <w:fldChar w:fldCharType="begin"/>
      </w:r>
      <w:r w:rsidR="005F2E3C">
        <w:instrText xml:space="preserve"> REF _Ref54992105 \w \h </w:instrText>
      </w:r>
      <w:r w:rsidR="005F2E3C">
        <w:fldChar w:fldCharType="separate"/>
      </w:r>
      <w:r w:rsidR="00251DBF">
        <w:t>3.5.1.2</w:t>
      </w:r>
      <w:r w:rsidR="005F2E3C">
        <w:fldChar w:fldCharType="end"/>
      </w:r>
      <w:r>
        <w:t xml:space="preserve"> above, the </w:t>
      </w:r>
      <w:r w:rsidR="005F2E3C">
        <w:t xml:space="preserve">Market </w:t>
      </w:r>
      <w:r>
        <w:t xml:space="preserve">Participant shall remain liable for all obligations and liabilities which were incurred or arose prior to the </w:t>
      </w:r>
      <w:r w:rsidR="00A82F6B">
        <w:t xml:space="preserve">Termination </w:t>
      </w:r>
      <w:r>
        <w:t>Da</w:t>
      </w:r>
      <w:r w:rsidR="005F2E3C">
        <w:t>te</w:t>
      </w:r>
      <w:r>
        <w:t xml:space="preserve"> regardless the date on which </w:t>
      </w:r>
      <w:r w:rsidR="00A82F6B">
        <w:t xml:space="preserve">such </w:t>
      </w:r>
      <w:r>
        <w:t xml:space="preserve">claim relating thereto may be made. </w:t>
      </w:r>
    </w:p>
    <w:p w14:paraId="5E2BDB5E" w14:textId="4485F960" w:rsidR="00885C06" w:rsidRPr="00F53D4E" w:rsidRDefault="00A82F6B" w:rsidP="005B295A">
      <w:pPr>
        <w:pStyle w:val="Heading4"/>
      </w:pPr>
      <w:r>
        <w:t>The acceptance of the w</w:t>
      </w:r>
      <w:r w:rsidR="00885C06" w:rsidRPr="00F53D4E">
        <w:t xml:space="preserve">ithdrawal </w:t>
      </w:r>
      <w:r>
        <w:t xml:space="preserve">notice </w:t>
      </w:r>
      <w:r w:rsidR="00885C06" w:rsidRPr="00F53D4E">
        <w:t xml:space="preserve">by </w:t>
      </w:r>
      <w:r>
        <w:t>the Market Operator and subsequent de-registration of the Contracts</w:t>
      </w:r>
      <w:r w:rsidRPr="00F53D4E">
        <w:t xml:space="preserve"> </w:t>
      </w:r>
      <w:r>
        <w:t xml:space="preserve">shall result in the automatic termination of  the </w:t>
      </w:r>
      <w:r w:rsidRPr="00F53D4E">
        <w:t>Market Participation Agreement</w:t>
      </w:r>
      <w:r w:rsidR="00885C06" w:rsidRPr="00F53D4E">
        <w:t>.</w:t>
      </w:r>
    </w:p>
    <w:p w14:paraId="32F86E93" w14:textId="48C7F28A" w:rsidR="00293F8F" w:rsidRPr="00FA271A" w:rsidRDefault="00293F8F" w:rsidP="00C173D0">
      <w:pPr>
        <w:pStyle w:val="Heading3"/>
      </w:pPr>
      <w:r w:rsidRPr="00FA271A">
        <w:t xml:space="preserve">Termination decided by the </w:t>
      </w:r>
      <w:r w:rsidR="001A72AC">
        <w:t>M</w:t>
      </w:r>
      <w:r w:rsidR="001A72AC" w:rsidRPr="00FA271A">
        <w:t xml:space="preserve">arket </w:t>
      </w:r>
      <w:r w:rsidR="001A72AC">
        <w:t>O</w:t>
      </w:r>
      <w:r w:rsidR="001A72AC" w:rsidRPr="00FA271A">
        <w:t>perator</w:t>
      </w:r>
    </w:p>
    <w:p w14:paraId="571ABBA4" w14:textId="4F6F2447" w:rsidR="002F7493" w:rsidRDefault="00FA271A" w:rsidP="005B295A">
      <w:pPr>
        <w:pStyle w:val="Heading4"/>
      </w:pPr>
      <w:bookmarkStart w:id="99" w:name="_Toc526245592"/>
      <w:bookmarkStart w:id="100" w:name="_Toc526327502"/>
      <w:r w:rsidRPr="00F53D4E">
        <w:t xml:space="preserve">The Market Operator may decide to </w:t>
      </w:r>
      <w:r w:rsidR="00E12CE1">
        <w:t>de-register</w:t>
      </w:r>
      <w:r w:rsidRPr="00F53D4E">
        <w:t xml:space="preserve"> a Market Participant in </w:t>
      </w:r>
      <w:r w:rsidRPr="00582D8D">
        <w:t xml:space="preserve">accordance with the </w:t>
      </w:r>
      <w:r w:rsidR="00E12CE1">
        <w:t>provisions of</w:t>
      </w:r>
      <w:r w:rsidR="00E12CE1" w:rsidRPr="00582D8D">
        <w:t xml:space="preserve"> </w:t>
      </w:r>
      <w:r w:rsidRPr="00582D8D">
        <w:fldChar w:fldCharType="begin"/>
      </w:r>
      <w:r w:rsidRPr="00582D8D">
        <w:instrText xml:space="preserve"> REF _Ref55029444 \w \h  \* MERGEFORMAT </w:instrText>
      </w:r>
      <w:r w:rsidRPr="00582D8D">
        <w:fldChar w:fldCharType="separate"/>
      </w:r>
      <w:r w:rsidR="00251DBF" w:rsidRPr="00582D8D">
        <w:t>Chapter 17</w:t>
      </w:r>
      <w:r w:rsidRPr="00582D8D">
        <w:fldChar w:fldCharType="end"/>
      </w:r>
      <w:r w:rsidRPr="00582D8D">
        <w:t xml:space="preserve">. </w:t>
      </w:r>
      <w:bookmarkEnd w:id="99"/>
      <w:bookmarkEnd w:id="100"/>
    </w:p>
    <w:p w14:paraId="5CDFFF39" w14:textId="5D944D72" w:rsidR="00EF0BF2" w:rsidRDefault="00EF0BF2" w:rsidP="00EF0BF2">
      <w:pPr>
        <w:pStyle w:val="Heading2"/>
      </w:pPr>
      <w:r>
        <w:t>Registration of Service Providers</w:t>
      </w:r>
    </w:p>
    <w:p w14:paraId="56041230" w14:textId="66F74851" w:rsidR="00EF0BF2" w:rsidRDefault="00EF0BF2" w:rsidP="00EF0BF2">
      <w:pPr>
        <w:pStyle w:val="Heading4"/>
      </w:pPr>
      <w:r>
        <w:t xml:space="preserve">Any person </w:t>
      </w:r>
      <w:r w:rsidRPr="00EF0BF2">
        <w:t>holding a Transmission License</w:t>
      </w:r>
      <w:r>
        <w:t>,</w:t>
      </w:r>
      <w:r w:rsidRPr="00EF0BF2">
        <w:t xml:space="preserve"> Distribution License or being registered by the Authority as Metering Service Provider</w:t>
      </w:r>
      <w:r>
        <w:t>, shall register as a Service Provider with the Market Operator, in accordance with the provisions of this Chapter.</w:t>
      </w:r>
    </w:p>
    <w:p w14:paraId="2585FE22" w14:textId="3B4339F1" w:rsidR="00EF0BF2" w:rsidRPr="00EA2224" w:rsidRDefault="00EF0BF2" w:rsidP="00EF0BF2">
      <w:pPr>
        <w:pStyle w:val="Heading4"/>
      </w:pPr>
      <w:r>
        <w:t xml:space="preserve">If at any time, a </w:t>
      </w:r>
      <w:r w:rsidR="0087165C">
        <w:t>Service Provider</w:t>
      </w:r>
      <w:r>
        <w:t xml:space="preserve"> ceases to be eligible to be registered as a Service Provider in accordance with this Code, the Service Provider shall immediately inform the Market Operator and, as soon as practicable, the Market Operator shall </w:t>
      </w:r>
      <w:r w:rsidR="0087165C">
        <w:t>inform the Authority</w:t>
      </w:r>
      <w:r>
        <w:t>.</w:t>
      </w:r>
    </w:p>
    <w:p w14:paraId="20732E01" w14:textId="3DC70DF8" w:rsidR="00EF0BF2" w:rsidRDefault="00EF0BF2" w:rsidP="00EF0BF2">
      <w:pPr>
        <w:pStyle w:val="Heading2"/>
      </w:pPr>
      <w:r>
        <w:t xml:space="preserve">Rights and Obligations of the </w:t>
      </w:r>
      <w:r w:rsidR="0087165C">
        <w:t>Service Providers</w:t>
      </w:r>
    </w:p>
    <w:p w14:paraId="7DB8930F" w14:textId="281DECC2" w:rsidR="00EF0BF2" w:rsidRDefault="00EF0BF2" w:rsidP="00EF0BF2">
      <w:pPr>
        <w:pStyle w:val="Heading4"/>
      </w:pPr>
      <w:r>
        <w:t xml:space="preserve">A </w:t>
      </w:r>
      <w:r w:rsidR="00D9278B">
        <w:t>Service Provider</w:t>
      </w:r>
      <w:r>
        <w:t xml:space="preserve"> shall have, </w:t>
      </w:r>
      <w:r w:rsidRPr="00127CB7">
        <w:rPr>
          <w:i/>
          <w:iCs w:val="0"/>
        </w:rPr>
        <w:t>inter alia</w:t>
      </w:r>
      <w:r>
        <w:t>, the following obligations:</w:t>
      </w:r>
    </w:p>
    <w:p w14:paraId="2CEE9738" w14:textId="77777777" w:rsidR="00EF0BF2" w:rsidRDefault="00EF0BF2" w:rsidP="00EF0BF2">
      <w:pPr>
        <w:pStyle w:val="Heading5"/>
      </w:pPr>
      <w:r>
        <w:t>obey instructions of the System Operator as per provisions of the Grid Code;</w:t>
      </w:r>
    </w:p>
    <w:p w14:paraId="2B315B64" w14:textId="77777777" w:rsidR="00EF0BF2" w:rsidRDefault="00EF0BF2" w:rsidP="00EF0BF2">
      <w:pPr>
        <w:pStyle w:val="Heading5"/>
      </w:pPr>
      <w:r>
        <w:t>submit to the System Operator and the Market Operator, in a timely manner and to the best of its knowledge, the information stipulated in the Grid Code and this Code or as may be required by the System Operator and the Market Operator, and inform, as soon as possible, any change in such information;</w:t>
      </w:r>
    </w:p>
    <w:p w14:paraId="1F8BD4FC" w14:textId="77777777" w:rsidR="00EF0BF2" w:rsidRDefault="00EF0BF2" w:rsidP="00EF0BF2">
      <w:pPr>
        <w:pStyle w:val="Heading5"/>
      </w:pPr>
      <w:r>
        <w:t>pay in time any Amounts Payable;</w:t>
      </w:r>
    </w:p>
    <w:p w14:paraId="5276903A" w14:textId="79F5AC89" w:rsidR="00EF0BF2" w:rsidRDefault="00D9278B" w:rsidP="00EF0BF2">
      <w:pPr>
        <w:pStyle w:val="Heading5"/>
      </w:pPr>
      <w:r>
        <w:t xml:space="preserve">if required, </w:t>
      </w:r>
      <w:r w:rsidR="00EF0BF2">
        <w:t>maintain a Security Cover as required by the Market Operator; and</w:t>
      </w:r>
    </w:p>
    <w:p w14:paraId="2987E241" w14:textId="4ECF13A1" w:rsidR="00EF0BF2" w:rsidRDefault="00D9278B" w:rsidP="00EF0BF2">
      <w:pPr>
        <w:pStyle w:val="Heading5"/>
      </w:pPr>
      <w:r>
        <w:t xml:space="preserve">if applicable, </w:t>
      </w:r>
      <w:r w:rsidR="00EF0BF2">
        <w:t>maintain a bank account for the administration of the market payment system;</w:t>
      </w:r>
    </w:p>
    <w:p w14:paraId="5CFFA1A4" w14:textId="45332066" w:rsidR="00EF0BF2" w:rsidRDefault="00EF0BF2" w:rsidP="00EF0BF2">
      <w:pPr>
        <w:pStyle w:val="Heading5"/>
      </w:pPr>
      <w:r>
        <w:t>any other obligations as required under</w:t>
      </w:r>
      <w:r w:rsidR="00D9278B">
        <w:t xml:space="preserve"> their License,</w:t>
      </w:r>
      <w:r>
        <w:t xml:space="preserve"> this Code</w:t>
      </w:r>
      <w:r w:rsidR="00D9278B">
        <w:t xml:space="preserve"> or the Grid Code</w:t>
      </w:r>
      <w:r>
        <w:t>.</w:t>
      </w:r>
    </w:p>
    <w:p w14:paraId="55E8FC19" w14:textId="77777777" w:rsidR="00EF0BF2" w:rsidRDefault="00EF0BF2" w:rsidP="00EF0BF2">
      <w:pPr>
        <w:pStyle w:val="Heading4"/>
      </w:pPr>
      <w:r>
        <w:lastRenderedPageBreak/>
        <w:t xml:space="preserve">Each Market Participant shall have, </w:t>
      </w:r>
      <w:r w:rsidRPr="00127CB7">
        <w:rPr>
          <w:i/>
          <w:iCs w:val="0"/>
        </w:rPr>
        <w:t>inter alia</w:t>
      </w:r>
      <w:r>
        <w:t>, the following rights:</w:t>
      </w:r>
    </w:p>
    <w:p w14:paraId="661C3E05" w14:textId="763E6461" w:rsidR="00EF0BF2" w:rsidRDefault="00D9278B" w:rsidP="00EF0BF2">
      <w:pPr>
        <w:pStyle w:val="Heading5"/>
      </w:pPr>
      <w:r>
        <w:t>undertake its Licensed activities</w:t>
      </w:r>
      <w:r w:rsidR="00EF0BF2">
        <w:t>;</w:t>
      </w:r>
    </w:p>
    <w:p w14:paraId="30233BFC" w14:textId="77777777" w:rsidR="00EF0BF2" w:rsidRDefault="00EF0BF2" w:rsidP="00EF0BF2">
      <w:pPr>
        <w:pStyle w:val="Heading5"/>
      </w:pPr>
      <w:r>
        <w:t>access to the reports and Non-Confidential Information on the website of the System Operator and the Market Operator, which are defined as non-confidential in this Code;</w:t>
      </w:r>
    </w:p>
    <w:p w14:paraId="5155D709" w14:textId="77777777" w:rsidR="00EF0BF2" w:rsidRPr="00B14720" w:rsidRDefault="00EF0BF2" w:rsidP="00EF0BF2">
      <w:pPr>
        <w:pStyle w:val="Heading5"/>
      </w:pPr>
      <w:r>
        <w:t>submission of complaints to the System Operator or to the Market Operator in accordance with the procedures provided in this Code.</w:t>
      </w:r>
    </w:p>
    <w:p w14:paraId="65275201" w14:textId="03B03CA3" w:rsidR="00EF0BF2" w:rsidRDefault="00EF0BF2" w:rsidP="00EF0BF2">
      <w:pPr>
        <w:pStyle w:val="Heading2"/>
      </w:pPr>
      <w:r>
        <w:t xml:space="preserve">Procedure to </w:t>
      </w:r>
      <w:r w:rsidR="0087165C">
        <w:t>register as a Service Provider</w:t>
      </w:r>
    </w:p>
    <w:p w14:paraId="3081D31F" w14:textId="593516AC" w:rsidR="00EF0BF2" w:rsidRPr="005638BF" w:rsidRDefault="00EF0BF2" w:rsidP="00EF0BF2">
      <w:pPr>
        <w:pStyle w:val="Heading3"/>
      </w:pPr>
      <w:r w:rsidRPr="005638BF">
        <w:t xml:space="preserve">Application to </w:t>
      </w:r>
      <w:r w:rsidR="0087165C">
        <w:t>register as Service Provider</w:t>
      </w:r>
      <w:r w:rsidRPr="005638BF">
        <w:t xml:space="preserve"> </w:t>
      </w:r>
    </w:p>
    <w:p w14:paraId="7F8D0F2B" w14:textId="246D7AA4" w:rsidR="00EF0BF2" w:rsidRPr="00C73409" w:rsidRDefault="00EF0BF2" w:rsidP="00EF0BF2">
      <w:pPr>
        <w:pStyle w:val="Heading4"/>
      </w:pPr>
      <w:r w:rsidRPr="00C73409">
        <w:t>An</w:t>
      </w:r>
      <w:r>
        <w:t>y person</w:t>
      </w:r>
      <w:r w:rsidRPr="00C73409">
        <w:t xml:space="preserve"> </w:t>
      </w:r>
      <w:r w:rsidRPr="00660C19">
        <w:t>interested</w:t>
      </w:r>
      <w:r w:rsidRPr="00C73409">
        <w:t xml:space="preserve"> to become a </w:t>
      </w:r>
      <w:r w:rsidR="00D9278B">
        <w:t>Service Provider</w:t>
      </w:r>
      <w:r w:rsidRPr="00C73409">
        <w:t xml:space="preserve"> shall submit to the Market Operator</w:t>
      </w:r>
      <w:r>
        <w:t>:</w:t>
      </w:r>
    </w:p>
    <w:p w14:paraId="618BECB0" w14:textId="770D1302" w:rsidR="00EF0BF2" w:rsidRPr="00C73409" w:rsidRDefault="00EF0BF2" w:rsidP="00EF0BF2">
      <w:pPr>
        <w:pStyle w:val="Heading5"/>
      </w:pPr>
      <w:r w:rsidRPr="00C73409">
        <w:t>a comple</w:t>
      </w:r>
      <w:r>
        <w:t>te</w:t>
      </w:r>
      <w:r w:rsidRPr="00C73409">
        <w:t xml:space="preserve"> Admission Application</w:t>
      </w:r>
      <w:r w:rsidR="00D9278B">
        <w:t>;</w:t>
      </w:r>
    </w:p>
    <w:p w14:paraId="500416BF" w14:textId="77777777" w:rsidR="00EF0BF2" w:rsidRPr="00C73409" w:rsidRDefault="00EF0BF2" w:rsidP="00EF0BF2">
      <w:pPr>
        <w:pStyle w:val="Heading5"/>
      </w:pPr>
      <w:r w:rsidRPr="00C73409">
        <w:t xml:space="preserve">the information </w:t>
      </w:r>
      <w:r>
        <w:t>required</w:t>
      </w:r>
      <w:r w:rsidRPr="00C73409">
        <w:t xml:space="preserve"> </w:t>
      </w:r>
      <w:r>
        <w:t>in the CCOP relevant to the admission process</w:t>
      </w:r>
      <w:r w:rsidRPr="00C73409">
        <w:t>;</w:t>
      </w:r>
    </w:p>
    <w:p w14:paraId="47E96C10" w14:textId="77777777" w:rsidR="00EF0BF2" w:rsidRPr="00C73409" w:rsidRDefault="00EF0BF2" w:rsidP="00EF0BF2">
      <w:pPr>
        <w:pStyle w:val="Heading5"/>
      </w:pPr>
      <w:r w:rsidRPr="00C73409">
        <w:t>a non-refundable application processing fee</w:t>
      </w:r>
      <w:r>
        <w:t xml:space="preserve"> as determined by the Market Operator; and</w:t>
      </w:r>
    </w:p>
    <w:p w14:paraId="107359B5" w14:textId="77777777" w:rsidR="00EF0BF2" w:rsidRDefault="00EF0BF2" w:rsidP="00EF0BF2">
      <w:pPr>
        <w:pStyle w:val="Heading4"/>
      </w:pPr>
      <w:r>
        <w:t>The Market Operator shall make available on its website the following documents information in updated form:</w:t>
      </w:r>
    </w:p>
    <w:p w14:paraId="34453186" w14:textId="4E4475A0" w:rsidR="00EF0BF2" w:rsidRDefault="00EF0BF2" w:rsidP="00EF0BF2">
      <w:pPr>
        <w:pStyle w:val="Heading5"/>
      </w:pPr>
      <w:r>
        <w:t>the Admission Application form</w:t>
      </w:r>
      <w:r w:rsidR="00A54D93">
        <w:t xml:space="preserve"> for registration of Service Providers;</w:t>
      </w:r>
    </w:p>
    <w:p w14:paraId="03F4FCA5" w14:textId="5CBA1D6B" w:rsidR="00EF0BF2" w:rsidRDefault="00EF0BF2" w:rsidP="00EF0BF2">
      <w:pPr>
        <w:pStyle w:val="Heading5"/>
      </w:pPr>
      <w:r>
        <w:t xml:space="preserve">draft Standard </w:t>
      </w:r>
      <w:r w:rsidR="00A54D93">
        <w:t>Service Provider</w:t>
      </w:r>
      <w:r>
        <w:t xml:space="preserve"> Agreement ; and</w:t>
      </w:r>
    </w:p>
    <w:p w14:paraId="688CF5E5" w14:textId="77777777" w:rsidR="00EF0BF2" w:rsidRDefault="00EF0BF2" w:rsidP="00EF0BF2">
      <w:pPr>
        <w:pStyle w:val="Heading5"/>
      </w:pPr>
      <w:r>
        <w:t>the schedule of fees for processing an Admission Application.</w:t>
      </w:r>
    </w:p>
    <w:p w14:paraId="02C235A0" w14:textId="2D9D9D0F" w:rsidR="00EF0BF2" w:rsidRDefault="00EF0BF2" w:rsidP="00EF0BF2">
      <w:pPr>
        <w:pStyle w:val="Heading4"/>
      </w:pPr>
      <w:r>
        <w:t xml:space="preserve">An Applicant who wants to be registered </w:t>
      </w:r>
      <w:r w:rsidR="00A54D93">
        <w:t>for more than one type of services</w:t>
      </w:r>
      <w:r>
        <w:t xml:space="preserve"> shall submit separate application for each </w:t>
      </w:r>
      <w:r w:rsidR="00A54D93">
        <w:t>type of service</w:t>
      </w:r>
      <w:r>
        <w:t xml:space="preserve">. </w:t>
      </w:r>
    </w:p>
    <w:p w14:paraId="6F8FF006" w14:textId="3A30120A" w:rsidR="00EF0BF2" w:rsidRDefault="00EF0BF2" w:rsidP="00EF0BF2">
      <w:pPr>
        <w:pStyle w:val="Heading4"/>
      </w:pPr>
      <w:r>
        <w:t xml:space="preserve">The Market Operator shall develop a CCOP for requisite information and documents to be furnished by the Applicant for each </w:t>
      </w:r>
      <w:r w:rsidR="00A54D93">
        <w:t>type of service</w:t>
      </w:r>
      <w:r>
        <w:t xml:space="preserve">. </w:t>
      </w:r>
    </w:p>
    <w:p w14:paraId="7FF7F929" w14:textId="77777777" w:rsidR="00EF0BF2" w:rsidRDefault="00EF0BF2" w:rsidP="00EF0BF2">
      <w:pPr>
        <w:pStyle w:val="Heading3"/>
      </w:pPr>
      <w:r w:rsidRPr="005638BF">
        <w:t>Application Process</w:t>
      </w:r>
    </w:p>
    <w:p w14:paraId="2FA15D38" w14:textId="151B0C39" w:rsidR="00EF0BF2" w:rsidRDefault="00A54D93" w:rsidP="00EF0BF2">
      <w:pPr>
        <w:pStyle w:val="Heading4"/>
      </w:pPr>
      <w:r>
        <w:t xml:space="preserve">The process defined under Sub-section </w:t>
      </w:r>
      <w:r w:rsidR="009F49FD">
        <w:fldChar w:fldCharType="begin"/>
      </w:r>
      <w:r w:rsidR="009F49FD">
        <w:instrText xml:space="preserve"> REF _Ref60780792 \r \h </w:instrText>
      </w:r>
      <w:r w:rsidR="009F49FD">
        <w:fldChar w:fldCharType="separate"/>
      </w:r>
      <w:r w:rsidR="009F49FD">
        <w:t>3.3.2</w:t>
      </w:r>
      <w:r w:rsidR="009F49FD">
        <w:fldChar w:fldCharType="end"/>
      </w:r>
      <w:r w:rsidR="009F49FD">
        <w:t xml:space="preserve"> </w:t>
      </w:r>
      <w:r>
        <w:t>shall</w:t>
      </w:r>
      <w:r w:rsidR="009F49FD">
        <w:t>,</w:t>
      </w:r>
      <w:r>
        <w:t xml:space="preserve"> </w:t>
      </w:r>
      <w:r w:rsidRPr="00B03C4A">
        <w:rPr>
          <w:i/>
          <w:iCs w:val="0"/>
        </w:rPr>
        <w:t>mutatis mutandis</w:t>
      </w:r>
      <w:r w:rsidR="009F49FD">
        <w:rPr>
          <w:i/>
          <w:iCs w:val="0"/>
        </w:rPr>
        <w:t>,</w:t>
      </w:r>
      <w:r>
        <w:t xml:space="preserve"> apply to register a person as a Service Provider</w:t>
      </w:r>
      <w:r w:rsidR="00EF0BF2" w:rsidRPr="00660C19">
        <w:t>.</w:t>
      </w:r>
    </w:p>
    <w:p w14:paraId="5C81EB3C" w14:textId="49B0A87F" w:rsidR="00EF0BF2" w:rsidRPr="008A03DD" w:rsidRDefault="00EF0BF2" w:rsidP="00EF0BF2">
      <w:pPr>
        <w:pStyle w:val="Heading3"/>
      </w:pPr>
      <w:r w:rsidRPr="008A03DD">
        <w:t>Procedure for approval / rejection</w:t>
      </w:r>
      <w:r>
        <w:t xml:space="preserve"> of an Admission application</w:t>
      </w:r>
    </w:p>
    <w:p w14:paraId="7F2A37FB" w14:textId="6B24D1B1" w:rsidR="00EF0BF2" w:rsidRDefault="00EF0BF2" w:rsidP="00EF0BF2">
      <w:pPr>
        <w:pStyle w:val="Heading4"/>
      </w:pPr>
      <w:bookmarkStart w:id="101" w:name="_Ref79142864"/>
      <w:r w:rsidRPr="004F6FB0">
        <w:t xml:space="preserve">If the </w:t>
      </w:r>
      <w:r>
        <w:t>Applicant</w:t>
      </w:r>
      <w:r w:rsidRPr="004F6FB0">
        <w:t xml:space="preserve"> fulfils the requirement specified in </w:t>
      </w:r>
      <w:r>
        <w:t>this Code</w:t>
      </w:r>
      <w:r w:rsidRPr="004F6FB0">
        <w:t xml:space="preserve"> and the </w:t>
      </w:r>
      <w:r>
        <w:t>relevant CCOP</w:t>
      </w:r>
      <w:r w:rsidRPr="004F6FB0">
        <w:t xml:space="preserve">, the Market Operator shall accept the Admission Application and </w:t>
      </w:r>
      <w:r>
        <w:t>provide</w:t>
      </w:r>
      <w:r w:rsidRPr="004F6FB0">
        <w:t xml:space="preserve"> the </w:t>
      </w:r>
      <w:r>
        <w:t>Applicant</w:t>
      </w:r>
      <w:r w:rsidRPr="004F6FB0">
        <w:t xml:space="preserve"> </w:t>
      </w:r>
      <w:r>
        <w:t xml:space="preserve">the standardized </w:t>
      </w:r>
      <w:r w:rsidR="00A54D93">
        <w:t>Service Provider</w:t>
      </w:r>
      <w:r w:rsidRPr="004F6FB0">
        <w:t xml:space="preserve"> Agreement</w:t>
      </w:r>
      <w:r>
        <w:t xml:space="preserve"> for execution</w:t>
      </w:r>
      <w:r w:rsidRPr="004F6FB0">
        <w:t>.</w:t>
      </w:r>
      <w:bookmarkEnd w:id="101"/>
      <w:r w:rsidRPr="004F6FB0">
        <w:t xml:space="preserve">  </w:t>
      </w:r>
    </w:p>
    <w:p w14:paraId="0BE03BE4" w14:textId="65D51151" w:rsidR="00EF0BF2" w:rsidRPr="008A03DD" w:rsidRDefault="00EF0BF2" w:rsidP="00EF0BF2">
      <w:pPr>
        <w:pStyle w:val="Heading4"/>
      </w:pPr>
      <w:r w:rsidRPr="008A03DD">
        <w:t>The Market Operator may reject an Admission Application</w:t>
      </w:r>
      <w:r w:rsidR="009F49FD">
        <w:t xml:space="preserve"> for registration as a Service Provider</w:t>
      </w:r>
      <w:r>
        <w:t xml:space="preserve"> for one or more of the following reasons:</w:t>
      </w:r>
    </w:p>
    <w:p w14:paraId="3466486F" w14:textId="7FAF3C2F" w:rsidR="00EF0BF2" w:rsidRPr="008A03DD" w:rsidRDefault="00EF0BF2" w:rsidP="00EF0BF2">
      <w:pPr>
        <w:pStyle w:val="Heading5"/>
      </w:pPr>
      <w:r w:rsidRPr="008A03DD">
        <w:t xml:space="preserve">the </w:t>
      </w:r>
      <w:r>
        <w:t>Applicant</w:t>
      </w:r>
      <w:r w:rsidRPr="008A03DD">
        <w:t xml:space="preserve"> does not possess </w:t>
      </w:r>
      <w:r>
        <w:t>the requisite</w:t>
      </w:r>
      <w:r w:rsidRPr="008A03DD">
        <w:t xml:space="preserve"> Licence</w:t>
      </w:r>
      <w:r w:rsidR="00A54D93">
        <w:t xml:space="preserve"> or registration with the Authority</w:t>
      </w:r>
      <w:r w:rsidRPr="008A03DD">
        <w:t>;</w:t>
      </w:r>
    </w:p>
    <w:p w14:paraId="52F5A36A" w14:textId="3C90AE7E" w:rsidR="00EF0BF2" w:rsidRPr="008A03DD" w:rsidRDefault="00EF0BF2" w:rsidP="00EF0BF2">
      <w:pPr>
        <w:pStyle w:val="Heading5"/>
      </w:pPr>
      <w:r w:rsidRPr="008A03DD">
        <w:t xml:space="preserve">the </w:t>
      </w:r>
      <w:r>
        <w:t>Applicant</w:t>
      </w:r>
      <w:r w:rsidRPr="008A03DD">
        <w:t xml:space="preserve"> has not supplied </w:t>
      </w:r>
      <w:r>
        <w:t xml:space="preserve">the requisite </w:t>
      </w:r>
      <w:r w:rsidRPr="008A03DD">
        <w:t>information;</w:t>
      </w:r>
    </w:p>
    <w:p w14:paraId="77E3D14B" w14:textId="4A1E391B" w:rsidR="00EF0BF2" w:rsidRDefault="00EF0BF2" w:rsidP="00EF0BF2">
      <w:pPr>
        <w:pStyle w:val="Heading3"/>
      </w:pPr>
      <w:r>
        <w:lastRenderedPageBreak/>
        <w:t xml:space="preserve">Final Steps to </w:t>
      </w:r>
      <w:r w:rsidR="00DC7660">
        <w:t xml:space="preserve">register as </w:t>
      </w:r>
      <w:r>
        <w:t xml:space="preserve"> a </w:t>
      </w:r>
      <w:r w:rsidR="00DC7660">
        <w:t>Service Provider</w:t>
      </w:r>
      <w:r>
        <w:t xml:space="preserve"> </w:t>
      </w:r>
    </w:p>
    <w:p w14:paraId="4E34C5E1" w14:textId="02836263" w:rsidR="00EF0BF2" w:rsidRPr="00C12195" w:rsidRDefault="00EF0BF2" w:rsidP="00B03C4A">
      <w:pPr>
        <w:pStyle w:val="Heading4"/>
      </w:pPr>
      <w:r>
        <w:t xml:space="preserve">Upon receipt of the </w:t>
      </w:r>
      <w:r w:rsidR="00DC7660">
        <w:t>Service Provider</w:t>
      </w:r>
      <w:r>
        <w:t xml:space="preserve"> Agreement forwarded by the Market Operator pursuant to Clause </w:t>
      </w:r>
      <w:r w:rsidR="009F49FD">
        <w:rPr>
          <w:highlight w:val="yellow"/>
        </w:rPr>
        <w:fldChar w:fldCharType="begin"/>
      </w:r>
      <w:r w:rsidR="009F49FD">
        <w:instrText xml:space="preserve"> REF _Ref79142864 \r \h </w:instrText>
      </w:r>
      <w:r w:rsidR="009F49FD">
        <w:rPr>
          <w:highlight w:val="yellow"/>
        </w:rPr>
      </w:r>
      <w:r w:rsidR="009F49FD">
        <w:rPr>
          <w:highlight w:val="yellow"/>
        </w:rPr>
        <w:fldChar w:fldCharType="separate"/>
      </w:r>
      <w:r w:rsidR="009F49FD">
        <w:t>3.8.3.1</w:t>
      </w:r>
      <w:r w:rsidR="009F49FD">
        <w:rPr>
          <w:highlight w:val="yellow"/>
        </w:rPr>
        <w:fldChar w:fldCharType="end"/>
      </w:r>
      <w:r>
        <w:t>, the Applicant shall</w:t>
      </w:r>
      <w:r w:rsidR="00DC7660">
        <w:t xml:space="preserve"> </w:t>
      </w:r>
      <w:r>
        <w:t xml:space="preserve">execute the </w:t>
      </w:r>
      <w:r w:rsidR="00DC7660">
        <w:t>Service Provider</w:t>
      </w:r>
      <w:r>
        <w:t xml:space="preserve"> Agreement, </w:t>
      </w:r>
      <w:r w:rsidRPr="00C12195">
        <w:t>and return it to the Market Operator</w:t>
      </w:r>
      <w:r w:rsidR="00DC7660">
        <w:t>.</w:t>
      </w:r>
      <w:r w:rsidRPr="00C12195">
        <w:t xml:space="preserve"> </w:t>
      </w:r>
    </w:p>
    <w:p w14:paraId="105758C7" w14:textId="783E09EC" w:rsidR="00EF0BF2" w:rsidRPr="00660C19" w:rsidRDefault="00EF0BF2" w:rsidP="00EF0BF2">
      <w:pPr>
        <w:pStyle w:val="Heading4"/>
      </w:pPr>
      <w:r w:rsidRPr="00C12195">
        <w:t xml:space="preserve">After receipt of the </w:t>
      </w:r>
      <w:r w:rsidR="00DC7660">
        <w:t>Service Provider</w:t>
      </w:r>
      <w:r w:rsidRPr="00C12195">
        <w:t xml:space="preserve"> Agreement, duly executed by an authorised official of the Applicant, the Market Operator shall register the Applicant as a </w:t>
      </w:r>
      <w:r w:rsidR="00DC7660">
        <w:t>Service Provider</w:t>
      </w:r>
      <w:r w:rsidRPr="00C12195">
        <w:t xml:space="preserve"> by giving it a unique identification number within five [5] Business Days of the receipt of the aforesaid documents, and inform the </w:t>
      </w:r>
      <w:r w:rsidR="00DC7660">
        <w:t>Service Provider</w:t>
      </w:r>
      <w:r w:rsidRPr="00C12195">
        <w:t xml:space="preserve"> accordingly</w:t>
      </w:r>
      <w:r w:rsidRPr="00660C19">
        <w:t>.</w:t>
      </w:r>
    </w:p>
    <w:p w14:paraId="0333DF37" w14:textId="05621129" w:rsidR="00EF0BF2" w:rsidRDefault="00EF0BF2" w:rsidP="00B03C4A">
      <w:pPr>
        <w:pStyle w:val="Heading4"/>
      </w:pPr>
      <w:r>
        <w:t>The Market Operator shall</w:t>
      </w:r>
      <w:r w:rsidR="00DC7660">
        <w:t xml:space="preserve"> </w:t>
      </w:r>
      <w:r>
        <w:t>inform all Market Participants</w:t>
      </w:r>
      <w:r w:rsidR="00DC7660">
        <w:t xml:space="preserve"> and Service Provider</w:t>
      </w:r>
      <w:r w:rsidR="009F49FD">
        <w:t>s</w:t>
      </w:r>
      <w:r>
        <w:t xml:space="preserve"> the details of newly registered </w:t>
      </w:r>
      <w:r w:rsidR="00DC7660">
        <w:t>Service Provider</w:t>
      </w:r>
      <w:r>
        <w:t>.</w:t>
      </w:r>
    </w:p>
    <w:p w14:paraId="7806F427" w14:textId="1AE364E6" w:rsidR="00EF0BF2" w:rsidRDefault="00DC7660" w:rsidP="00EF0BF2">
      <w:pPr>
        <w:pStyle w:val="Heading3"/>
      </w:pPr>
      <w:r>
        <w:t>Dispute Resolution</w:t>
      </w:r>
    </w:p>
    <w:p w14:paraId="3DD17EB2" w14:textId="77777777" w:rsidR="00EF0BF2" w:rsidRDefault="00EF0BF2" w:rsidP="00EF0BF2">
      <w:pPr>
        <w:pStyle w:val="Heading4"/>
      </w:pPr>
      <w:r>
        <w:t xml:space="preserve">Any person whose Admission Application has been rejected may challenge the decision of the Market Operator in accordance with the Dispute resolution procedure set out in </w:t>
      </w:r>
      <w:r>
        <w:fldChar w:fldCharType="begin"/>
      </w:r>
      <w:r>
        <w:instrText xml:space="preserve"> REF _Ref54986427 \w \h </w:instrText>
      </w:r>
      <w:r>
        <w:fldChar w:fldCharType="separate"/>
      </w:r>
      <w:r>
        <w:t>Chapter 15</w:t>
      </w:r>
      <w:r>
        <w:fldChar w:fldCharType="end"/>
      </w:r>
      <w:r>
        <w:t xml:space="preserve">.  </w:t>
      </w:r>
    </w:p>
    <w:p w14:paraId="0BFE813F" w14:textId="77777777" w:rsidR="00EF0BF2" w:rsidRDefault="00EF0BF2" w:rsidP="00EF0BF2">
      <w:pPr>
        <w:pStyle w:val="Heading3"/>
      </w:pPr>
      <w:r>
        <w:t>Market Participants Register</w:t>
      </w:r>
    </w:p>
    <w:p w14:paraId="3DB0FE11" w14:textId="66F04C6C" w:rsidR="00EF0BF2" w:rsidRDefault="00EF0BF2" w:rsidP="00EF0BF2">
      <w:pPr>
        <w:pStyle w:val="Heading4"/>
      </w:pPr>
      <w:r>
        <w:t xml:space="preserve">The Market Operator shall organise, maintain, and place on its website a register of </w:t>
      </w:r>
      <w:r w:rsidR="00DC7660">
        <w:t>Service Providers</w:t>
      </w:r>
      <w:r>
        <w:t xml:space="preserve"> called the </w:t>
      </w:r>
      <w:r w:rsidR="00DC7660">
        <w:t>Service Providers</w:t>
      </w:r>
      <w:r>
        <w:t xml:space="preserve"> Register.  The </w:t>
      </w:r>
      <w:r w:rsidR="00DC7660">
        <w:t>Service Providers</w:t>
      </w:r>
      <w:r>
        <w:t xml:space="preserve"> Register shall identify the status of each Market Participant, namely: active, </w:t>
      </w:r>
      <w:r w:rsidRPr="00660C19">
        <w:t>terminated</w:t>
      </w:r>
      <w:r>
        <w:t>.</w:t>
      </w:r>
    </w:p>
    <w:p w14:paraId="4A0FA426" w14:textId="1B1A7BE8" w:rsidR="00EF0BF2" w:rsidRDefault="00EF0BF2" w:rsidP="00EF0BF2">
      <w:pPr>
        <w:pStyle w:val="Heading4"/>
      </w:pPr>
      <w:r>
        <w:t xml:space="preserve">Upon </w:t>
      </w:r>
      <w:r w:rsidR="00C12051">
        <w:t>registration</w:t>
      </w:r>
      <w:r>
        <w:t xml:space="preserve"> </w:t>
      </w:r>
      <w:r w:rsidR="00C12051">
        <w:t>as</w:t>
      </w:r>
      <w:r>
        <w:t xml:space="preserve"> a </w:t>
      </w:r>
      <w:r w:rsidR="00C12051">
        <w:t>Service Provider</w:t>
      </w:r>
      <w:r>
        <w:t xml:space="preserve"> </w:t>
      </w:r>
      <w:r w:rsidR="00C12051">
        <w:t>for one or more type of services</w:t>
      </w:r>
      <w:r>
        <w:t xml:space="preserve">, the Market Operator shall record the relevant information in the </w:t>
      </w:r>
      <w:r w:rsidR="00C12051">
        <w:t>Service Providers</w:t>
      </w:r>
      <w:r>
        <w:t xml:space="preserve"> Register.  </w:t>
      </w:r>
    </w:p>
    <w:p w14:paraId="551914B4" w14:textId="5A29186D" w:rsidR="00EF0BF2" w:rsidRPr="00660C19" w:rsidRDefault="00EF0BF2" w:rsidP="00EF0BF2">
      <w:pPr>
        <w:pStyle w:val="Heading4"/>
      </w:pPr>
      <w:r w:rsidRPr="00660C19">
        <w:t xml:space="preserve">The </w:t>
      </w:r>
      <w:r w:rsidR="00C12051">
        <w:t>Service Providers</w:t>
      </w:r>
      <w:r w:rsidRPr="00660C19">
        <w:t xml:space="preserve"> Register shall clearly indicate the </w:t>
      </w:r>
      <w:r w:rsidR="00C12051">
        <w:t xml:space="preserve">type of services for </w:t>
      </w:r>
      <w:r w:rsidRPr="00660C19">
        <w:t xml:space="preserve">which a </w:t>
      </w:r>
      <w:r w:rsidR="00C12051">
        <w:t>Service Provider</w:t>
      </w:r>
      <w:r w:rsidRPr="00660C19">
        <w:t xml:space="preserve"> is registered.</w:t>
      </w:r>
    </w:p>
    <w:p w14:paraId="3E3C217F" w14:textId="3C7997F1" w:rsidR="00EF0BF2" w:rsidRDefault="00EF0BF2" w:rsidP="00EF0BF2">
      <w:pPr>
        <w:pStyle w:val="Heading4"/>
      </w:pPr>
      <w:r>
        <w:t xml:space="preserve">The Market Operator shall update the </w:t>
      </w:r>
      <w:r w:rsidR="00C12051">
        <w:t>Service Providers</w:t>
      </w:r>
      <w:r>
        <w:t xml:space="preserve"> Register upon:</w:t>
      </w:r>
    </w:p>
    <w:p w14:paraId="23DDD264" w14:textId="44E89AB0" w:rsidR="00EF0BF2" w:rsidRDefault="00EF0BF2" w:rsidP="00EF0BF2">
      <w:pPr>
        <w:pStyle w:val="Heading5"/>
      </w:pPr>
      <w:r>
        <w:t xml:space="preserve"> </w:t>
      </w:r>
      <w:r w:rsidR="00C12051">
        <w:t>registration of</w:t>
      </w:r>
      <w:r>
        <w:t xml:space="preserve"> a new </w:t>
      </w:r>
      <w:r w:rsidR="00C12051">
        <w:t>Service Provider</w:t>
      </w:r>
      <w:r>
        <w:t xml:space="preserve">; </w:t>
      </w:r>
    </w:p>
    <w:p w14:paraId="2CF7B388" w14:textId="21EDCF12" w:rsidR="00EF0BF2" w:rsidRDefault="00EF0BF2" w:rsidP="00EF0BF2">
      <w:pPr>
        <w:pStyle w:val="Heading5"/>
      </w:pPr>
      <w:r>
        <w:t>termination or withdrawal</w:t>
      </w:r>
      <w:r w:rsidR="00C12051">
        <w:t xml:space="preserve"> of a Service Provider</w:t>
      </w:r>
      <w:r>
        <w:t>;</w:t>
      </w:r>
    </w:p>
    <w:p w14:paraId="35AF446B" w14:textId="496438E0" w:rsidR="00EF0BF2" w:rsidRDefault="00EF0BF2" w:rsidP="00EF0BF2">
      <w:pPr>
        <w:pStyle w:val="Heading5"/>
      </w:pPr>
      <w:r>
        <w:t xml:space="preserve">receipt of new information as per Clause  </w:t>
      </w:r>
      <w:r w:rsidR="00935F8F">
        <w:rPr>
          <w:highlight w:val="yellow"/>
        </w:rPr>
        <w:fldChar w:fldCharType="begin"/>
      </w:r>
      <w:r w:rsidR="00935F8F">
        <w:instrText xml:space="preserve"> REF _Ref79143071 \r \h </w:instrText>
      </w:r>
      <w:r w:rsidR="00935F8F">
        <w:rPr>
          <w:highlight w:val="yellow"/>
        </w:rPr>
      </w:r>
      <w:r w:rsidR="00935F8F">
        <w:rPr>
          <w:highlight w:val="yellow"/>
        </w:rPr>
        <w:fldChar w:fldCharType="separate"/>
      </w:r>
      <w:r w:rsidR="00935F8F">
        <w:t>3.8.7.1</w:t>
      </w:r>
      <w:r w:rsidR="00935F8F">
        <w:rPr>
          <w:highlight w:val="yellow"/>
        </w:rPr>
        <w:fldChar w:fldCharType="end"/>
      </w:r>
      <w:r>
        <w:t>.</w:t>
      </w:r>
    </w:p>
    <w:p w14:paraId="1FE098CF" w14:textId="62FADBDA" w:rsidR="00EF0BF2" w:rsidRDefault="009F49FD" w:rsidP="00B03C4A">
      <w:pPr>
        <w:pStyle w:val="Heading3"/>
      </w:pPr>
      <w:r>
        <w:t>Service Provider</w:t>
      </w:r>
      <w:r w:rsidR="00EF0BF2">
        <w:t>’s Ongoing Reporting Obligations</w:t>
      </w:r>
    </w:p>
    <w:p w14:paraId="0653122C" w14:textId="01FA234C" w:rsidR="00EF0BF2" w:rsidRDefault="00EF0BF2" w:rsidP="00EF0BF2">
      <w:pPr>
        <w:pStyle w:val="Heading4"/>
      </w:pPr>
      <w:bookmarkStart w:id="102" w:name="_Ref79143071"/>
      <w:r>
        <w:t xml:space="preserve">Each </w:t>
      </w:r>
      <w:r w:rsidR="00935F8F">
        <w:t>Service Provider</w:t>
      </w:r>
      <w:r>
        <w:t xml:space="preserve"> shall have an ongoing obligation to inform the Market Operator of any material change related to its business and to the information included in its Admission Application, including any modification in the technical or operational characteristics of the equipment it owns and is connected to the Grid System. The Market Operator shall develop a CCOP detailing the procedure for making changes in the registration information.</w:t>
      </w:r>
      <w:bookmarkEnd w:id="102"/>
      <w:r>
        <w:t xml:space="preserve"> </w:t>
      </w:r>
    </w:p>
    <w:p w14:paraId="3BECD4B6" w14:textId="3946C4EC" w:rsidR="00EF0BF2" w:rsidRDefault="00EF0BF2" w:rsidP="00EF0BF2">
      <w:pPr>
        <w:pStyle w:val="Heading4"/>
      </w:pPr>
      <w:r>
        <w:t xml:space="preserve">If a </w:t>
      </w:r>
      <w:r w:rsidR="00935F8F">
        <w:t>Service Provider</w:t>
      </w:r>
      <w:r>
        <w:t xml:space="preserve"> fails to comply with the requirements of Clause </w:t>
      </w:r>
      <w:r w:rsidR="00935F8F">
        <w:rPr>
          <w:highlight w:val="yellow"/>
        </w:rPr>
        <w:fldChar w:fldCharType="begin"/>
      </w:r>
      <w:r w:rsidR="00935F8F">
        <w:instrText xml:space="preserve"> REF _Ref79143071 \r \h </w:instrText>
      </w:r>
      <w:r w:rsidR="00935F8F">
        <w:rPr>
          <w:highlight w:val="yellow"/>
        </w:rPr>
      </w:r>
      <w:r w:rsidR="00935F8F">
        <w:rPr>
          <w:highlight w:val="yellow"/>
        </w:rPr>
        <w:fldChar w:fldCharType="separate"/>
      </w:r>
      <w:r w:rsidR="00935F8F">
        <w:t>3.8.7.1</w:t>
      </w:r>
      <w:r w:rsidR="00935F8F">
        <w:rPr>
          <w:highlight w:val="yellow"/>
        </w:rPr>
        <w:fldChar w:fldCharType="end"/>
      </w:r>
      <w:r>
        <w:t xml:space="preserve">, which may have a materially adverse effect on the </w:t>
      </w:r>
      <w:r w:rsidR="00935F8F">
        <w:t>Market</w:t>
      </w:r>
      <w:r>
        <w:t>, the Market Operator</w:t>
      </w:r>
      <w:r w:rsidR="00935F8F">
        <w:t xml:space="preserve"> may take an enforcement action</w:t>
      </w:r>
      <w:r>
        <w:t xml:space="preserve"> in accordance with </w:t>
      </w:r>
      <w:r>
        <w:fldChar w:fldCharType="begin"/>
      </w:r>
      <w:r>
        <w:instrText xml:space="preserve"> REF _Ref54987623 \w \h </w:instrText>
      </w:r>
      <w:r>
        <w:fldChar w:fldCharType="separate"/>
      </w:r>
      <w:r>
        <w:t>Chapter 17</w:t>
      </w:r>
      <w:r>
        <w:fldChar w:fldCharType="end"/>
      </w:r>
      <w:r>
        <w:t xml:space="preserve"> of  this Code.</w:t>
      </w:r>
    </w:p>
    <w:p w14:paraId="07A922D6" w14:textId="6168EF33" w:rsidR="00EF0BF2" w:rsidRDefault="00EF0BF2" w:rsidP="00EF0BF2">
      <w:pPr>
        <w:pStyle w:val="Heading2"/>
      </w:pPr>
      <w:r>
        <w:lastRenderedPageBreak/>
        <w:t xml:space="preserve">Withdrawal or Termination Of Registration </w:t>
      </w:r>
      <w:r w:rsidR="004730A0">
        <w:t>as a Service Provider</w:t>
      </w:r>
    </w:p>
    <w:p w14:paraId="7EAA219D" w14:textId="30AB3871" w:rsidR="00EF0BF2" w:rsidRDefault="00EF0BF2" w:rsidP="00EF0BF2">
      <w:pPr>
        <w:pStyle w:val="Heading3"/>
      </w:pPr>
      <w:r>
        <w:t xml:space="preserve">Withdrawal by a </w:t>
      </w:r>
      <w:r w:rsidR="004730A0">
        <w:t>Service Provider</w:t>
      </w:r>
    </w:p>
    <w:p w14:paraId="5FD874E0" w14:textId="622678A5" w:rsidR="00EF0BF2" w:rsidRDefault="00EF0BF2" w:rsidP="00EF0BF2">
      <w:pPr>
        <w:pStyle w:val="Heading4"/>
      </w:pPr>
      <w:bookmarkStart w:id="103" w:name="_Ref79143317"/>
      <w:r>
        <w:t xml:space="preserve">A </w:t>
      </w:r>
      <w:r w:rsidR="004730A0">
        <w:t>Service Provider</w:t>
      </w:r>
      <w:r>
        <w:t xml:space="preserve"> may withdraw </w:t>
      </w:r>
      <w:r w:rsidR="004730A0">
        <w:t>its registration with the Market Operator</w:t>
      </w:r>
      <w:r>
        <w:t xml:space="preserve"> at any time subject to fulfilment of the following conditions:</w:t>
      </w:r>
      <w:bookmarkEnd w:id="103"/>
      <w:r>
        <w:t xml:space="preserve">  </w:t>
      </w:r>
    </w:p>
    <w:p w14:paraId="0E08A47F" w14:textId="77777777" w:rsidR="00EF0BF2" w:rsidRDefault="00EF0BF2" w:rsidP="00EF0BF2">
      <w:pPr>
        <w:pStyle w:val="Heading5"/>
      </w:pPr>
      <w:r>
        <w:t>by giving notice of not less than two [2] months in writing to the Market Operator;</w:t>
      </w:r>
    </w:p>
    <w:p w14:paraId="7C9B5DEC" w14:textId="77777777" w:rsidR="00EF0BF2" w:rsidRDefault="00EF0BF2" w:rsidP="00EF0BF2">
      <w:pPr>
        <w:pStyle w:val="Heading5"/>
      </w:pPr>
      <w:r>
        <w:t xml:space="preserve">the Market Operator shall examine the withdrawal notice and verify compliance of the Market Participant with the requirement of Clause </w:t>
      </w:r>
      <w:r>
        <w:fldChar w:fldCharType="begin"/>
      </w:r>
      <w:r>
        <w:instrText xml:space="preserve"> REF _Ref54992105 \w \h </w:instrText>
      </w:r>
      <w:r>
        <w:fldChar w:fldCharType="separate"/>
      </w:r>
      <w:r>
        <w:t>3.5.1.2</w:t>
      </w:r>
      <w:r>
        <w:fldChar w:fldCharType="end"/>
      </w:r>
      <w:r>
        <w:t xml:space="preserve"> below;</w:t>
      </w:r>
    </w:p>
    <w:p w14:paraId="1338F957" w14:textId="1BCAB744" w:rsidR="00EF0BF2" w:rsidRPr="008705A3" w:rsidRDefault="00EF0BF2" w:rsidP="00EF0BF2">
      <w:pPr>
        <w:pStyle w:val="Heading5"/>
      </w:pPr>
      <w:r w:rsidRPr="00660C19">
        <w:t>obtaining the prior written consent of the Authority</w:t>
      </w:r>
      <w:r w:rsidRPr="008705A3">
        <w:t>.</w:t>
      </w:r>
    </w:p>
    <w:p w14:paraId="0BC22858" w14:textId="659D59C4" w:rsidR="00EF0BF2" w:rsidRDefault="00EF0BF2" w:rsidP="00EF0BF2">
      <w:pPr>
        <w:pStyle w:val="Heading4"/>
      </w:pPr>
      <w:bookmarkStart w:id="104" w:name="_Ref79143343"/>
      <w:r>
        <w:t xml:space="preserve">The requirements to be fulfilled by the </w:t>
      </w:r>
      <w:r w:rsidR="004730A0">
        <w:t>Service Provider</w:t>
      </w:r>
      <w:r>
        <w:t xml:space="preserve"> prior to its withdrawal, pursuant to Clause </w:t>
      </w:r>
      <w:r w:rsidR="00935F8F">
        <w:rPr>
          <w:highlight w:val="yellow"/>
        </w:rPr>
        <w:fldChar w:fldCharType="begin"/>
      </w:r>
      <w:r w:rsidR="00935F8F">
        <w:instrText xml:space="preserve"> REF _Ref79143317 \r \h </w:instrText>
      </w:r>
      <w:r w:rsidR="00935F8F">
        <w:rPr>
          <w:highlight w:val="yellow"/>
        </w:rPr>
      </w:r>
      <w:r w:rsidR="00935F8F">
        <w:rPr>
          <w:highlight w:val="yellow"/>
        </w:rPr>
        <w:fldChar w:fldCharType="separate"/>
      </w:r>
      <w:r w:rsidR="00935F8F">
        <w:t>3.9.1.1</w:t>
      </w:r>
      <w:r w:rsidR="00935F8F">
        <w:rPr>
          <w:highlight w:val="yellow"/>
        </w:rPr>
        <w:fldChar w:fldCharType="end"/>
      </w:r>
      <w:r>
        <w:t xml:space="preserve"> above are:</w:t>
      </w:r>
      <w:bookmarkEnd w:id="104"/>
    </w:p>
    <w:p w14:paraId="3292721D" w14:textId="0FB29DB2" w:rsidR="00EF0BF2" w:rsidRDefault="00EF0BF2" w:rsidP="00EF0BF2">
      <w:pPr>
        <w:pStyle w:val="Heading5"/>
      </w:pPr>
      <w:r>
        <w:t xml:space="preserve">all amounts due and payable by the </w:t>
      </w:r>
      <w:r w:rsidR="0087165C">
        <w:t>Service Provider</w:t>
      </w:r>
      <w:r>
        <w:t xml:space="preserve"> under or pursuant to this Code have been paid in full prior to the </w:t>
      </w:r>
      <w:r w:rsidR="0087165C">
        <w:t>withdrawal</w:t>
      </w:r>
      <w:r>
        <w:t>;</w:t>
      </w:r>
    </w:p>
    <w:p w14:paraId="37309A94" w14:textId="4501319D" w:rsidR="00EF0BF2" w:rsidRDefault="00EF0BF2" w:rsidP="00EF0BF2">
      <w:pPr>
        <w:pStyle w:val="Heading5"/>
      </w:pPr>
      <w:r>
        <w:t xml:space="preserve">the </w:t>
      </w:r>
      <w:r w:rsidR="0087165C">
        <w:t>Service Provider</w:t>
      </w:r>
      <w:r>
        <w:t xml:space="preserve"> is not in breach of any legal, policy or regulatory requirement, including any required consent from the Authority, by ceasing to be a Market Participant; and</w:t>
      </w:r>
    </w:p>
    <w:p w14:paraId="5EA6E3A6" w14:textId="25BEA420" w:rsidR="00EF0BF2" w:rsidRDefault="00EF0BF2" w:rsidP="00EF0BF2">
      <w:pPr>
        <w:pStyle w:val="Heading5"/>
      </w:pPr>
      <w:r>
        <w:t xml:space="preserve">the </w:t>
      </w:r>
      <w:r w:rsidR="0087165C">
        <w:t>Service Provider</w:t>
      </w:r>
      <w:r>
        <w:t xml:space="preserve"> has remedied any breach which is capable of remedy prior to the withdrawal notice.</w:t>
      </w:r>
    </w:p>
    <w:p w14:paraId="437846DF" w14:textId="77C6869B" w:rsidR="00EF0BF2" w:rsidRDefault="00EF0BF2" w:rsidP="00EF0BF2">
      <w:pPr>
        <w:pStyle w:val="Heading4"/>
      </w:pPr>
      <w:r>
        <w:t xml:space="preserve">Notwithstanding compliance with Clause </w:t>
      </w:r>
      <w:r w:rsidR="00935F8F">
        <w:fldChar w:fldCharType="begin"/>
      </w:r>
      <w:r w:rsidR="00935F8F">
        <w:instrText xml:space="preserve"> REF _Ref79143343 \r \h </w:instrText>
      </w:r>
      <w:r w:rsidR="00935F8F">
        <w:fldChar w:fldCharType="separate"/>
      </w:r>
      <w:r w:rsidR="00935F8F">
        <w:t>3.9.1.2</w:t>
      </w:r>
      <w:r w:rsidR="00935F8F">
        <w:fldChar w:fldCharType="end"/>
      </w:r>
      <w:r>
        <w:t xml:space="preserve"> above, the </w:t>
      </w:r>
      <w:r w:rsidR="0087165C">
        <w:t>Service Provider</w:t>
      </w:r>
      <w:r>
        <w:t xml:space="preserve"> shall remain liable for all obligations and liabilities which were incurred or arose prior to the </w:t>
      </w:r>
      <w:r w:rsidR="0087165C">
        <w:t>withdrawal</w:t>
      </w:r>
      <w:r>
        <w:t xml:space="preserve"> regardless the date on which such claim relating thereto may be made. </w:t>
      </w:r>
    </w:p>
    <w:p w14:paraId="7843C49B" w14:textId="49ACF1B5" w:rsidR="00EF0BF2" w:rsidRPr="00F53D4E" w:rsidRDefault="00EF0BF2" w:rsidP="00EF0BF2">
      <w:pPr>
        <w:pStyle w:val="Heading4"/>
      </w:pPr>
      <w:r>
        <w:t>The acceptance of the w</w:t>
      </w:r>
      <w:r w:rsidRPr="00F53D4E">
        <w:t xml:space="preserve">ithdrawal </w:t>
      </w:r>
      <w:r>
        <w:t xml:space="preserve">notice </w:t>
      </w:r>
      <w:r w:rsidRPr="00F53D4E">
        <w:t xml:space="preserve">by </w:t>
      </w:r>
      <w:r>
        <w:t xml:space="preserve">the Market Operator shall result in the automatic termination of the </w:t>
      </w:r>
      <w:r w:rsidR="0087165C">
        <w:t>Service Provider</w:t>
      </w:r>
      <w:r w:rsidRPr="00F53D4E">
        <w:t xml:space="preserve"> Agreement.</w:t>
      </w:r>
    </w:p>
    <w:p w14:paraId="5ADA6837" w14:textId="77777777" w:rsidR="00EF0BF2" w:rsidRPr="00FA271A" w:rsidRDefault="00EF0BF2" w:rsidP="00EF0BF2">
      <w:pPr>
        <w:pStyle w:val="Heading3"/>
      </w:pPr>
      <w:r w:rsidRPr="00FA271A">
        <w:t xml:space="preserve">Termination decided by the </w:t>
      </w:r>
      <w:r>
        <w:t>M</w:t>
      </w:r>
      <w:r w:rsidRPr="00FA271A">
        <w:t xml:space="preserve">arket </w:t>
      </w:r>
      <w:r>
        <w:t>O</w:t>
      </w:r>
      <w:r w:rsidRPr="00FA271A">
        <w:t>perator</w:t>
      </w:r>
    </w:p>
    <w:p w14:paraId="1D6C06E7" w14:textId="0BE7245F" w:rsidR="00EF0BF2" w:rsidRPr="000E633F" w:rsidRDefault="00EF0BF2" w:rsidP="00B03C4A">
      <w:pPr>
        <w:pStyle w:val="Heading4"/>
      </w:pPr>
      <w:r w:rsidRPr="00F53D4E">
        <w:t xml:space="preserve">The Market Operator may decide to </w:t>
      </w:r>
      <w:r>
        <w:t>de-register</w:t>
      </w:r>
      <w:r w:rsidRPr="00F53D4E">
        <w:t xml:space="preserve"> a </w:t>
      </w:r>
      <w:r w:rsidR="0087165C">
        <w:t>Service Provider</w:t>
      </w:r>
      <w:r w:rsidRPr="00F53D4E">
        <w:t xml:space="preserve"> in </w:t>
      </w:r>
      <w:r w:rsidRPr="00582D8D">
        <w:t xml:space="preserve">accordance with the </w:t>
      </w:r>
      <w:r>
        <w:t>provisions of</w:t>
      </w:r>
      <w:r w:rsidRPr="00582D8D">
        <w:t xml:space="preserve"> </w:t>
      </w:r>
      <w:r w:rsidRPr="00582D8D">
        <w:fldChar w:fldCharType="begin"/>
      </w:r>
      <w:r w:rsidRPr="00582D8D">
        <w:instrText xml:space="preserve"> REF _Ref55029444 \w \h  \* MERGEFORMAT </w:instrText>
      </w:r>
      <w:r w:rsidRPr="00582D8D">
        <w:fldChar w:fldCharType="separate"/>
      </w:r>
      <w:r w:rsidRPr="00582D8D">
        <w:t>Chapter 17</w:t>
      </w:r>
      <w:r w:rsidRPr="00582D8D">
        <w:fldChar w:fldCharType="end"/>
      </w:r>
      <w:r w:rsidRPr="00582D8D">
        <w:t>.</w:t>
      </w:r>
    </w:p>
    <w:p w14:paraId="48833070" w14:textId="77777777" w:rsidR="00EF0BF2" w:rsidRPr="000E633F" w:rsidRDefault="00EF0BF2" w:rsidP="00B03C4A">
      <w:pPr>
        <w:pStyle w:val="BodyText"/>
      </w:pPr>
    </w:p>
    <w:p w14:paraId="523BD826" w14:textId="77777777" w:rsidR="00EF0BF2" w:rsidRPr="000E633F" w:rsidRDefault="00EF0BF2" w:rsidP="00B03C4A">
      <w:pPr>
        <w:pStyle w:val="BodyText"/>
      </w:pPr>
    </w:p>
    <w:p w14:paraId="1584BD20" w14:textId="37D3A25B" w:rsidR="00582D8D" w:rsidRPr="00582D8D" w:rsidRDefault="00582D8D" w:rsidP="00582D8D">
      <w:pPr>
        <w:pStyle w:val="BodyText"/>
        <w:rPr>
          <w:highlight w:val="yellow"/>
        </w:rPr>
      </w:pPr>
      <w:r>
        <w:rPr>
          <w:highlight w:val="yellow"/>
        </w:rPr>
        <w:t xml:space="preserve">   </w:t>
      </w:r>
    </w:p>
    <w:p w14:paraId="19DF0D25" w14:textId="268DB38F" w:rsidR="00293F8F" w:rsidRPr="005D4A20" w:rsidRDefault="00293F8F" w:rsidP="005D4A20">
      <w:pPr>
        <w:pStyle w:val="Heading3"/>
        <w:rPr>
          <w:highlight w:val="yellow"/>
        </w:rPr>
      </w:pPr>
      <w:r w:rsidRPr="005D4A20">
        <w:rPr>
          <w:highlight w:val="yellow"/>
        </w:rPr>
        <w:br w:type="page"/>
      </w:r>
    </w:p>
    <w:p w14:paraId="4D323312" w14:textId="1E28AF70" w:rsidR="00293F8F" w:rsidRPr="001868FE" w:rsidRDefault="00293F8F" w:rsidP="00A40A5D">
      <w:pPr>
        <w:pStyle w:val="Heading1"/>
      </w:pPr>
      <w:bookmarkStart w:id="105" w:name="_Ref60653923"/>
      <w:bookmarkStart w:id="106" w:name="_Toc64846662"/>
      <w:bookmarkStart w:id="107" w:name="_Toc69476959"/>
      <w:r w:rsidRPr="001868FE">
        <w:lastRenderedPageBreak/>
        <w:t>CONTRACTS AND CONTRACT REGISTRATION</w:t>
      </w:r>
      <w:bookmarkEnd w:id="105"/>
      <w:bookmarkEnd w:id="106"/>
      <w:bookmarkEnd w:id="107"/>
    </w:p>
    <w:p w14:paraId="19DE2729" w14:textId="27CE37F1" w:rsidR="00293F8F" w:rsidRDefault="00293F8F" w:rsidP="00C173D0">
      <w:pPr>
        <w:pStyle w:val="Heading2"/>
      </w:pPr>
      <w:bookmarkStart w:id="108" w:name="_Toc64846663"/>
      <w:bookmarkStart w:id="109" w:name="_Toc69476960"/>
      <w:commentRangeStart w:id="110"/>
      <w:r>
        <w:t>C</w:t>
      </w:r>
      <w:r w:rsidR="0002770C">
        <w:t>ontract Market</w:t>
      </w:r>
      <w:bookmarkEnd w:id="108"/>
      <w:bookmarkEnd w:id="109"/>
      <w:commentRangeEnd w:id="110"/>
      <w:r w:rsidR="00566393">
        <w:rPr>
          <w:rStyle w:val="CommentReference"/>
          <w:rFonts w:eastAsiaTheme="minorHAnsi" w:cstheme="minorBidi"/>
          <w:b w:val="0"/>
          <w:bCs w:val="0"/>
          <w:smallCaps w:val="0"/>
          <w:color w:val="1C1C1C"/>
          <w:u w:val="none"/>
        </w:rPr>
        <w:commentReference w:id="110"/>
      </w:r>
    </w:p>
    <w:p w14:paraId="2D44D5B2" w14:textId="713D8D26" w:rsidR="00C42341" w:rsidRPr="00C42341" w:rsidRDefault="00C42341" w:rsidP="00C173D0">
      <w:pPr>
        <w:pStyle w:val="Heading3"/>
      </w:pPr>
      <w:r w:rsidRPr="00C42341">
        <w:t>Trading of Energy and Capacity</w:t>
      </w:r>
    </w:p>
    <w:p w14:paraId="705A53A8" w14:textId="5C5F40F1" w:rsidR="00CC1361" w:rsidRPr="00582D8D" w:rsidRDefault="00FF3667" w:rsidP="005B295A">
      <w:pPr>
        <w:pStyle w:val="Heading4"/>
      </w:pPr>
      <w:r w:rsidRPr="0032461A">
        <w:t xml:space="preserve">In the </w:t>
      </w:r>
      <w:r w:rsidRPr="00582D8D">
        <w:t xml:space="preserve">CTBCM, Energy and Capacity </w:t>
      </w:r>
      <w:r w:rsidR="00EC1896" w:rsidRPr="00582D8D">
        <w:t>buying and selling</w:t>
      </w:r>
      <w:r w:rsidRPr="00582D8D">
        <w:t xml:space="preserve"> among Market Participants shall be </w:t>
      </w:r>
      <w:r w:rsidR="00C426DF">
        <w:t>primarily carried out</w:t>
      </w:r>
      <w:r w:rsidR="00C426DF" w:rsidRPr="00582D8D">
        <w:t xml:space="preserve"> </w:t>
      </w:r>
      <w:r w:rsidRPr="00582D8D">
        <w:t>through Contracts which shall be registered with the Market Operator. The Contract Market shall include</w:t>
      </w:r>
      <w:r w:rsidR="00CC1361" w:rsidRPr="00582D8D">
        <w:t xml:space="preserve">: </w:t>
      </w:r>
    </w:p>
    <w:p w14:paraId="2F7B01E7" w14:textId="63EF16B1" w:rsidR="00CC1361" w:rsidRPr="00582D8D" w:rsidRDefault="00FF3667" w:rsidP="00B03234">
      <w:pPr>
        <w:pStyle w:val="Heading5"/>
      </w:pPr>
      <w:r w:rsidRPr="00582D8D">
        <w:t xml:space="preserve">bilateral </w:t>
      </w:r>
      <w:r w:rsidR="00EC1896" w:rsidRPr="00582D8D">
        <w:t>buying and selling</w:t>
      </w:r>
      <w:r w:rsidRPr="00582D8D">
        <w:t xml:space="preserve"> </w:t>
      </w:r>
      <w:r w:rsidR="00C426DF">
        <w:t>among</w:t>
      </w:r>
      <w:r w:rsidR="00C426DF" w:rsidRPr="00582D8D">
        <w:t xml:space="preserve"> </w:t>
      </w:r>
      <w:r w:rsidR="00136176" w:rsidRPr="00582D8D">
        <w:t>Market Participant</w:t>
      </w:r>
      <w:r w:rsidRPr="00582D8D">
        <w:t>s</w:t>
      </w:r>
      <w:r w:rsidR="00CC1361" w:rsidRPr="00582D8D">
        <w:t>; or</w:t>
      </w:r>
    </w:p>
    <w:p w14:paraId="1758CFDA" w14:textId="664662DC" w:rsidR="00CC1361" w:rsidRDefault="00C426DF" w:rsidP="00B03234">
      <w:pPr>
        <w:pStyle w:val="Heading5"/>
      </w:pPr>
      <w:r>
        <w:t>b</w:t>
      </w:r>
      <w:r w:rsidR="00CC1361" w:rsidRPr="00582D8D">
        <w:t xml:space="preserve">ilateral </w:t>
      </w:r>
      <w:r w:rsidR="00EC1896" w:rsidRPr="00582D8D">
        <w:t>buying and selling</w:t>
      </w:r>
      <w:r w:rsidR="0032461A">
        <w:t xml:space="preserve"> between a Market Participant and entities located in foreign countries</w:t>
      </w:r>
      <w:r w:rsidR="00CC1361">
        <w:t>; or</w:t>
      </w:r>
    </w:p>
    <w:p w14:paraId="65EFE4D3" w14:textId="2AC51A41" w:rsidR="0032461A" w:rsidRDefault="00A10EFB" w:rsidP="00B03234">
      <w:pPr>
        <w:pStyle w:val="Heading5"/>
      </w:pPr>
      <w:r>
        <w:t>b</w:t>
      </w:r>
      <w:r w:rsidR="00CC1361">
        <w:t xml:space="preserve">ilateral </w:t>
      </w:r>
      <w:r w:rsidR="00EC1896">
        <w:t>buying and selling</w:t>
      </w:r>
      <w:r w:rsidR="00CC1361">
        <w:t xml:space="preserve"> between a Market Participant and </w:t>
      </w:r>
      <w:r w:rsidR="00C426DF">
        <w:t xml:space="preserve">a person </w:t>
      </w:r>
      <w:r w:rsidR="00CC1361">
        <w:t xml:space="preserve">which operate </w:t>
      </w:r>
      <w:r w:rsidR="0032461A" w:rsidRPr="0032461A">
        <w:t>under a special regime in areas where the ap</w:t>
      </w:r>
      <w:r w:rsidR="00CC1361">
        <w:t>p</w:t>
      </w:r>
      <w:r w:rsidR="0032461A" w:rsidRPr="0032461A">
        <w:t>licability of Act is not extended</w:t>
      </w:r>
      <w:r w:rsidR="00CC1361">
        <w:t>; or</w:t>
      </w:r>
    </w:p>
    <w:p w14:paraId="46ADED50" w14:textId="351AE654" w:rsidR="00CC1361" w:rsidRPr="00CC1361" w:rsidRDefault="00C426DF" w:rsidP="00B03C4A">
      <w:pPr>
        <w:pStyle w:val="Heading5"/>
      </w:pPr>
      <w:r>
        <w:t>m</w:t>
      </w:r>
      <w:r w:rsidR="00CC1361">
        <w:t xml:space="preserve">ultilateral </w:t>
      </w:r>
      <w:r w:rsidR="00EC1896">
        <w:t>buying and selling</w:t>
      </w:r>
      <w:r w:rsidR="00CC1361">
        <w:t xml:space="preserve"> within a Regional Pool to which Pakistan </w:t>
      </w:r>
      <w:r>
        <w:t xml:space="preserve">is a </w:t>
      </w:r>
      <w:r w:rsidR="00CC1361">
        <w:t xml:space="preserve">part; </w:t>
      </w:r>
    </w:p>
    <w:p w14:paraId="5C82A0CA" w14:textId="424F9D8B" w:rsidR="003B14BC" w:rsidRDefault="00FF3667" w:rsidP="00AE1AD1">
      <w:pPr>
        <w:pStyle w:val="Heading4"/>
      </w:pPr>
      <w:r>
        <w:t xml:space="preserve">The Market Operator shall </w:t>
      </w:r>
      <w:r w:rsidR="003B14BC">
        <w:t xml:space="preserve">make </w:t>
      </w:r>
      <w:r w:rsidR="00CC0B41">
        <w:t>a CCOP</w:t>
      </w:r>
      <w:r>
        <w:t xml:space="preserve"> </w:t>
      </w:r>
      <w:r w:rsidR="003B14BC">
        <w:t>which may include:</w:t>
      </w:r>
    </w:p>
    <w:p w14:paraId="40D78E14" w14:textId="250DC607" w:rsidR="003B14BC" w:rsidRDefault="00FF3667" w:rsidP="003B14BC">
      <w:pPr>
        <w:pStyle w:val="Heading5"/>
      </w:pPr>
      <w:r>
        <w:t xml:space="preserve"> the timetable, format and mechanism to </w:t>
      </w:r>
      <w:r w:rsidR="003B14BC">
        <w:t xml:space="preserve">submit </w:t>
      </w:r>
      <w:r>
        <w:t>information</w:t>
      </w:r>
      <w:r w:rsidR="003B14BC">
        <w:t xml:space="preserve"> by the Market Participants</w:t>
      </w:r>
      <w:r>
        <w:t xml:space="preserve"> for </w:t>
      </w:r>
      <w:r w:rsidR="003B14BC">
        <w:t>registration of the Contracts;</w:t>
      </w:r>
    </w:p>
    <w:p w14:paraId="782CA0D3" w14:textId="7D05F85D" w:rsidR="00FF3667" w:rsidRDefault="00A41F77" w:rsidP="00B03C4A">
      <w:pPr>
        <w:pStyle w:val="Heading5"/>
      </w:pPr>
      <w:r>
        <w:t xml:space="preserve"> the </w:t>
      </w:r>
      <w:r w:rsidR="003B14BC" w:rsidRPr="00A10EFB">
        <w:t>mechanism</w:t>
      </w:r>
      <w:r w:rsidR="003B14BC">
        <w:t xml:space="preserve"> for </w:t>
      </w:r>
      <w:r>
        <w:t xml:space="preserve">verification and </w:t>
      </w:r>
      <w:r w:rsidR="0000373C">
        <w:t xml:space="preserve">compatibility checks </w:t>
      </w:r>
      <w:r>
        <w:t xml:space="preserve">that </w:t>
      </w:r>
      <w:r w:rsidR="003B14BC">
        <w:t xml:space="preserve">may </w:t>
      </w:r>
      <w:r>
        <w:t>be performed</w:t>
      </w:r>
      <w:r w:rsidR="003B14BC">
        <w:t xml:space="preserve"> by the Market Operator</w:t>
      </w:r>
      <w:r>
        <w:t xml:space="preserve"> to ensure the Contract is</w:t>
      </w:r>
      <w:r w:rsidR="00FF3667">
        <w:t xml:space="preserve"> in accordance with </w:t>
      </w:r>
      <w:r w:rsidR="00F05124">
        <w:t>this Code</w:t>
      </w:r>
      <w:r w:rsidR="00FF3667">
        <w:t>.</w:t>
      </w:r>
    </w:p>
    <w:p w14:paraId="640D1A79" w14:textId="31C547CB" w:rsidR="00A27B25" w:rsidRDefault="00A27B25" w:rsidP="00C173D0">
      <w:pPr>
        <w:pStyle w:val="Heading3"/>
      </w:pPr>
      <w:bookmarkStart w:id="111" w:name="_Toc81997880"/>
      <w:bookmarkStart w:id="112" w:name="_Toc82077624"/>
      <w:bookmarkStart w:id="113" w:name="_Ref54892531"/>
      <w:r>
        <w:t>Mandatory Clauses</w:t>
      </w:r>
      <w:bookmarkEnd w:id="111"/>
      <w:bookmarkEnd w:id="112"/>
      <w:bookmarkEnd w:id="113"/>
    </w:p>
    <w:p w14:paraId="0C1E356F" w14:textId="00C7AA3C" w:rsidR="00754D85" w:rsidRDefault="003B14BC" w:rsidP="003B14BC">
      <w:pPr>
        <w:pStyle w:val="Heading4"/>
      </w:pPr>
      <w:r>
        <w:t xml:space="preserve">All Market Participants shall ensure that the Contracts are designed in such a way that all Energy and Capacity is bought or sold through these Contracts or through the Balancing Mechanism for Energy and Capacity </w:t>
      </w:r>
      <w:r w:rsidR="00754D85">
        <w:t>provided</w:t>
      </w:r>
      <w:r>
        <w:t xml:space="preserve"> in this Code</w:t>
      </w:r>
      <w:r w:rsidR="00754D85">
        <w:t>.</w:t>
      </w:r>
      <w:r>
        <w:t xml:space="preserve"> </w:t>
      </w:r>
    </w:p>
    <w:p w14:paraId="65BD882B" w14:textId="08C53F54" w:rsidR="00A27B25" w:rsidRPr="00C27CE0" w:rsidRDefault="00A27B25" w:rsidP="005B295A">
      <w:pPr>
        <w:pStyle w:val="Heading4"/>
      </w:pPr>
      <w:bookmarkStart w:id="114" w:name="_Ref74406616"/>
      <w:r>
        <w:t xml:space="preserve">All </w:t>
      </w:r>
      <w:r w:rsidR="006373D7">
        <w:t>C</w:t>
      </w:r>
      <w:r>
        <w:t>ontracts</w:t>
      </w:r>
      <w:r w:rsidR="00204B70">
        <w:t>, to be registered with the Market Operator,</w:t>
      </w:r>
      <w:r>
        <w:t xml:space="preserve"> must include a clause</w:t>
      </w:r>
      <w:r w:rsidR="00E736BA">
        <w:t xml:space="preserve"> </w:t>
      </w:r>
      <w:r w:rsidR="00754D85">
        <w:t>whereby</w:t>
      </w:r>
      <w:r>
        <w:t xml:space="preserve"> both parties </w:t>
      </w:r>
      <w:r w:rsidR="00754D85">
        <w:t xml:space="preserve">agree </w:t>
      </w:r>
      <w:r>
        <w:t xml:space="preserve">to abide </w:t>
      </w:r>
      <w:r w:rsidR="00AD7136">
        <w:t>by</w:t>
      </w:r>
      <w:r w:rsidRPr="00C27CE0">
        <w:t xml:space="preserve"> </w:t>
      </w:r>
      <w:r w:rsidR="00F05124">
        <w:t>this Code</w:t>
      </w:r>
      <w:r w:rsidR="00926094" w:rsidRPr="00C27CE0">
        <w:t>,</w:t>
      </w:r>
      <w:r w:rsidRPr="00C27CE0">
        <w:t xml:space="preserve"> the Grid Code</w:t>
      </w:r>
      <w:r w:rsidR="00CC1361">
        <w:t xml:space="preserve"> and, if </w:t>
      </w:r>
      <w:r w:rsidR="00754D85">
        <w:t>applicable</w:t>
      </w:r>
      <w:r w:rsidR="00CC1361">
        <w:t>, the Distribution Code</w:t>
      </w:r>
      <w:r w:rsidRPr="00C27CE0">
        <w:t>.</w:t>
      </w:r>
      <w:bookmarkEnd w:id="114"/>
      <w:r w:rsidRPr="00C27CE0">
        <w:t xml:space="preserve"> </w:t>
      </w:r>
    </w:p>
    <w:p w14:paraId="331DCF42" w14:textId="00DDDEDB" w:rsidR="00A27B25" w:rsidRPr="00C27CE0" w:rsidRDefault="00A27B25" w:rsidP="005B295A">
      <w:pPr>
        <w:pStyle w:val="Heading4"/>
      </w:pPr>
      <w:r w:rsidRPr="00C27CE0">
        <w:t xml:space="preserve">All </w:t>
      </w:r>
      <w:r w:rsidR="006373D7" w:rsidRPr="00C27CE0">
        <w:t>C</w:t>
      </w:r>
      <w:r w:rsidRPr="00C27CE0">
        <w:t>ontracts</w:t>
      </w:r>
      <w:r w:rsidR="00E45BE8">
        <w:t>,</w:t>
      </w:r>
      <w:r w:rsidR="00340DCB">
        <w:t xml:space="preserve"> as </w:t>
      </w:r>
      <w:r w:rsidR="00754D85">
        <w:t>referred to</w:t>
      </w:r>
      <w:r w:rsidR="00340DCB">
        <w:t xml:space="preserve"> in Clause </w:t>
      </w:r>
      <w:r w:rsidR="00E45BE8">
        <w:fldChar w:fldCharType="begin"/>
      </w:r>
      <w:r w:rsidR="00E45BE8">
        <w:instrText xml:space="preserve"> REF _Ref74406616 \r \h </w:instrText>
      </w:r>
      <w:r w:rsidR="00E45BE8">
        <w:fldChar w:fldCharType="separate"/>
      </w:r>
      <w:r w:rsidR="00E45BE8">
        <w:t>4.1.2.2</w:t>
      </w:r>
      <w:r w:rsidR="00E45BE8">
        <w:fldChar w:fldCharType="end"/>
      </w:r>
      <w:r w:rsidR="00E45BE8">
        <w:t>,</w:t>
      </w:r>
      <w:r w:rsidRPr="00C27CE0">
        <w:t xml:space="preserve"> </w:t>
      </w:r>
      <w:r w:rsidR="00754D85">
        <w:t>where</w:t>
      </w:r>
      <w:r w:rsidR="006373D7" w:rsidRPr="00C27CE0">
        <w:t xml:space="preserve"> the seller is a Generator </w:t>
      </w:r>
      <w:r w:rsidR="00FA7D1D">
        <w:t xml:space="preserve">or </w:t>
      </w:r>
      <w:r w:rsidR="001B0755">
        <w:t>the seller is a</w:t>
      </w:r>
      <w:r w:rsidR="00BF564D">
        <w:t>n</w:t>
      </w:r>
      <w:r w:rsidR="001B0755">
        <w:t xml:space="preserve"> </w:t>
      </w:r>
      <w:r w:rsidR="00BF564D">
        <w:t>Electric Power Trader</w:t>
      </w:r>
      <w:r w:rsidR="00FA7D1D">
        <w:t xml:space="preserve"> which is representing Generators </w:t>
      </w:r>
      <w:r w:rsidR="006373D7" w:rsidRPr="00C27CE0">
        <w:t>shall</w:t>
      </w:r>
      <w:r w:rsidRPr="00C27CE0">
        <w:t xml:space="preserve"> include</w:t>
      </w:r>
      <w:r w:rsidR="002C33EF">
        <w:t xml:space="preserve"> or deemed to have included</w:t>
      </w:r>
      <w:r w:rsidRPr="00C27CE0">
        <w:t xml:space="preserve"> a clause </w:t>
      </w:r>
      <w:r w:rsidR="00754D85">
        <w:t>that</w:t>
      </w:r>
      <w:r w:rsidRPr="00C27CE0">
        <w:t xml:space="preserve"> the </w:t>
      </w:r>
      <w:r w:rsidR="00B74EEF">
        <w:t>seller</w:t>
      </w:r>
      <w:r w:rsidR="00AC478D">
        <w:t xml:space="preserve"> </w:t>
      </w:r>
      <w:r w:rsidRPr="00C27CE0">
        <w:t xml:space="preserve">in the </w:t>
      </w:r>
      <w:r w:rsidR="003A578F">
        <w:t>Contract</w:t>
      </w:r>
      <w:r w:rsidRPr="00C27CE0">
        <w:t xml:space="preserve"> </w:t>
      </w:r>
      <w:r w:rsidR="00754D85">
        <w:t>agrees</w:t>
      </w:r>
      <w:r w:rsidR="00754D85" w:rsidRPr="00C27CE0">
        <w:t xml:space="preserve"> </w:t>
      </w:r>
      <w:r w:rsidRPr="00C27CE0">
        <w:t>to provide all Ancillary Services</w:t>
      </w:r>
      <w:r w:rsidR="00754D85">
        <w:t xml:space="preserve"> as</w:t>
      </w:r>
      <w:r w:rsidRPr="00C27CE0">
        <w:t xml:space="preserve"> </w:t>
      </w:r>
      <w:r w:rsidR="00754D85">
        <w:t>stipulated</w:t>
      </w:r>
      <w:r w:rsidR="00754D85" w:rsidRPr="00C27CE0">
        <w:t xml:space="preserve"> </w:t>
      </w:r>
      <w:r w:rsidRPr="00C27CE0">
        <w:t>in the Grid Code, if the contracted generation has the technical capability and equipment to do so, without any additional payment</w:t>
      </w:r>
      <w:r w:rsidR="006373D7" w:rsidRPr="00C27CE0">
        <w:t xml:space="preserve"> other than those explicitly </w:t>
      </w:r>
      <w:r w:rsidR="002C33EF">
        <w:t>provided</w:t>
      </w:r>
      <w:r w:rsidR="002C33EF" w:rsidRPr="00C27CE0">
        <w:t xml:space="preserve"> </w:t>
      </w:r>
      <w:r w:rsidR="006373D7" w:rsidRPr="00C27CE0">
        <w:t xml:space="preserve">in </w:t>
      </w:r>
      <w:r w:rsidR="006373D7" w:rsidRPr="00C27CE0">
        <w:fldChar w:fldCharType="begin"/>
      </w:r>
      <w:r w:rsidR="006373D7" w:rsidRPr="00C27CE0">
        <w:instrText xml:space="preserve"> REF _Ref54870815 \r \h </w:instrText>
      </w:r>
      <w:r w:rsidR="00C27CE0">
        <w:instrText xml:space="preserve"> \* MERGEFORMAT </w:instrText>
      </w:r>
      <w:r w:rsidR="006373D7" w:rsidRPr="00C27CE0">
        <w:fldChar w:fldCharType="separate"/>
      </w:r>
      <w:r w:rsidR="00251DBF">
        <w:t>Chapter 7</w:t>
      </w:r>
      <w:r w:rsidR="006373D7" w:rsidRPr="00C27CE0">
        <w:fldChar w:fldCharType="end"/>
      </w:r>
      <w:r w:rsidRPr="00C27CE0">
        <w:t xml:space="preserve">.   </w:t>
      </w:r>
    </w:p>
    <w:p w14:paraId="19A4F790" w14:textId="04B5D350" w:rsidR="00A27B25" w:rsidRDefault="00A27B25" w:rsidP="005B295A">
      <w:pPr>
        <w:pStyle w:val="Heading4"/>
      </w:pPr>
      <w:r>
        <w:t xml:space="preserve">All </w:t>
      </w:r>
      <w:r w:rsidR="00CC0B41">
        <w:t>C</w:t>
      </w:r>
      <w:r>
        <w:t xml:space="preserve">ontracts must include a clause </w:t>
      </w:r>
      <w:r w:rsidR="002C33EF">
        <w:t>whereby</w:t>
      </w:r>
      <w:r>
        <w:t xml:space="preserve"> both parties </w:t>
      </w:r>
      <w:r w:rsidR="002C33EF">
        <w:t xml:space="preserve">agree </w:t>
      </w:r>
      <w:r>
        <w:t xml:space="preserve">to use the </w:t>
      </w:r>
      <w:r w:rsidRPr="00B03C4A">
        <w:t>quantities</w:t>
      </w:r>
      <w:r w:rsidR="002C33EF">
        <w:t>,</w:t>
      </w:r>
      <w:r>
        <w:t xml:space="preserve"> </w:t>
      </w:r>
      <w:r w:rsidR="002C33EF">
        <w:t xml:space="preserve"> for their bilateral settlement purposes, as included </w:t>
      </w:r>
      <w:r>
        <w:t>in the Settlement Statement</w:t>
      </w:r>
      <w:r w:rsidR="002C33EF">
        <w:t>s issued by</w:t>
      </w:r>
      <w:r>
        <w:t xml:space="preserve"> the Market Operator in accordance </w:t>
      </w:r>
      <w:r w:rsidR="002C33EF">
        <w:t xml:space="preserve">with </w:t>
      </w:r>
      <w:r w:rsidR="00F05124">
        <w:t>this Code</w:t>
      </w:r>
      <w:r>
        <w:t xml:space="preserve"> and the </w:t>
      </w:r>
      <w:r w:rsidR="002C33EF">
        <w:t>relevant</w:t>
      </w:r>
      <w:r>
        <w:t xml:space="preserve"> CCOP</w:t>
      </w:r>
      <w:r w:rsidR="00D75DA6">
        <w:t>s</w:t>
      </w:r>
      <w:r>
        <w:t xml:space="preserve">. The review of the </w:t>
      </w:r>
      <w:r w:rsidR="00122522">
        <w:t>quantities and S</w:t>
      </w:r>
      <w:r>
        <w:t xml:space="preserve">ettlement </w:t>
      </w:r>
      <w:r w:rsidR="00122522">
        <w:t xml:space="preserve">Statements </w:t>
      </w:r>
      <w:r>
        <w:t xml:space="preserve">or </w:t>
      </w:r>
      <w:r w:rsidR="00122522">
        <w:t xml:space="preserve">in case there is a dispute, </w:t>
      </w:r>
      <w:r>
        <w:t xml:space="preserve">shall be </w:t>
      </w:r>
      <w:r w:rsidR="00122522">
        <w:t xml:space="preserve">dealt with </w:t>
      </w:r>
      <w:r>
        <w:t xml:space="preserve">in accordance with </w:t>
      </w:r>
      <w:r w:rsidR="00F05124">
        <w:t>this Code</w:t>
      </w:r>
      <w:r>
        <w:t xml:space="preserve">. </w:t>
      </w:r>
    </w:p>
    <w:p w14:paraId="551D8B21" w14:textId="57FB9444" w:rsidR="00A27B25" w:rsidRDefault="00734922" w:rsidP="00C173D0">
      <w:pPr>
        <w:pStyle w:val="Heading2"/>
      </w:pPr>
      <w:bookmarkStart w:id="115" w:name="_Toc64846664"/>
      <w:bookmarkStart w:id="116" w:name="_Toc69476961"/>
      <w:r>
        <w:lastRenderedPageBreak/>
        <w:t xml:space="preserve">Contract </w:t>
      </w:r>
      <w:r w:rsidR="00204B70">
        <w:t>Formats</w:t>
      </w:r>
      <w:bookmarkEnd w:id="115"/>
      <w:bookmarkEnd w:id="116"/>
    </w:p>
    <w:p w14:paraId="16C4CB74" w14:textId="566D60DF" w:rsidR="00C11CDF" w:rsidRDefault="00F419D1" w:rsidP="00C173D0">
      <w:pPr>
        <w:pStyle w:val="Heading3"/>
      </w:pPr>
      <w:r>
        <w:t>General R</w:t>
      </w:r>
      <w:r w:rsidR="003A3188">
        <w:t>equirements</w:t>
      </w:r>
      <w:r>
        <w:t xml:space="preserve"> for</w:t>
      </w:r>
      <w:r w:rsidR="00C11CDF">
        <w:t xml:space="preserve"> Contracts</w:t>
      </w:r>
    </w:p>
    <w:p w14:paraId="2E8D6629" w14:textId="5BF5A6BC" w:rsidR="00F419D1" w:rsidRDefault="003317B4" w:rsidP="005B295A">
      <w:pPr>
        <w:pStyle w:val="Heading4"/>
      </w:pPr>
      <w:r>
        <w:t xml:space="preserve">A </w:t>
      </w:r>
      <w:r w:rsidR="00204B70">
        <w:t>Contract</w:t>
      </w:r>
      <w:r>
        <w:t xml:space="preserve"> in the CTBCM</w:t>
      </w:r>
      <w:r w:rsidR="00204B70">
        <w:t xml:space="preserve"> shall be bilaterally agreed betwe</w:t>
      </w:r>
      <w:r w:rsidR="00204B70" w:rsidRPr="00FE040E">
        <w:t xml:space="preserve">en </w:t>
      </w:r>
      <w:r>
        <w:t xml:space="preserve">a </w:t>
      </w:r>
      <w:r w:rsidR="00B74EEF" w:rsidRPr="00FE040E">
        <w:t>seller</w:t>
      </w:r>
      <w:r w:rsidR="00FE040E" w:rsidRPr="00FE040E">
        <w:t xml:space="preserve"> </w:t>
      </w:r>
      <w:r w:rsidR="00204B70" w:rsidRPr="00FE040E">
        <w:t xml:space="preserve">and </w:t>
      </w:r>
      <w:r>
        <w:t xml:space="preserve">a </w:t>
      </w:r>
      <w:r w:rsidR="00FE040E" w:rsidRPr="00FE040E">
        <w:t>buyer</w:t>
      </w:r>
      <w:r w:rsidR="00C11CDF" w:rsidRPr="00FE040E">
        <w:t xml:space="preserve"> </w:t>
      </w:r>
      <w:r w:rsidR="005F00B4" w:rsidRPr="00FE040E">
        <w:t xml:space="preserve">and </w:t>
      </w:r>
      <w:r>
        <w:t>it</w:t>
      </w:r>
      <w:r w:rsidRPr="00FE040E">
        <w:t xml:space="preserve"> </w:t>
      </w:r>
      <w:r w:rsidR="005F00B4" w:rsidRPr="00FE040E">
        <w:t xml:space="preserve">may </w:t>
      </w:r>
      <w:r>
        <w:t>include</w:t>
      </w:r>
      <w:r w:rsidRPr="00FE040E">
        <w:t xml:space="preserve"> </w:t>
      </w:r>
      <w:r w:rsidR="005F00B4" w:rsidRPr="00FE040E">
        <w:t>Energy, Capacity or both products simultaneously</w:t>
      </w:r>
      <w:r w:rsidR="005F00B4">
        <w:t>.</w:t>
      </w:r>
      <w:r w:rsidR="00744F8E">
        <w:t xml:space="preserve"> </w:t>
      </w:r>
      <w:r w:rsidR="00F419D1">
        <w:t xml:space="preserve">The transactions for each of these two products shall be </w:t>
      </w:r>
      <w:r>
        <w:t xml:space="preserve">explicitly </w:t>
      </w:r>
      <w:r w:rsidR="00F419D1">
        <w:t xml:space="preserve">specified </w:t>
      </w:r>
      <w:r w:rsidR="000C3621">
        <w:t xml:space="preserve">in the Contract </w:t>
      </w:r>
      <w:r w:rsidR="00F419D1">
        <w:t>for each Trading Period.</w:t>
      </w:r>
      <w:r w:rsidR="000C3621">
        <w:t xml:space="preserve"> The Contracts shall also specifically include provisions regarding allocation of charges related to Must Run Generation and Ancillary Service.</w:t>
      </w:r>
    </w:p>
    <w:p w14:paraId="5CF45B06" w14:textId="7A43BAAE" w:rsidR="00F419D1" w:rsidRDefault="005F00B4" w:rsidP="005B295A">
      <w:pPr>
        <w:pStyle w:val="Heading4"/>
      </w:pPr>
      <w:bookmarkStart w:id="117" w:name="_Ref73629305"/>
      <w:r>
        <w:t xml:space="preserve">For the application of </w:t>
      </w:r>
      <w:r w:rsidR="00F05124">
        <w:t>this Code</w:t>
      </w:r>
      <w:r w:rsidR="00F419D1">
        <w:t>:</w:t>
      </w:r>
      <w:bookmarkEnd w:id="117"/>
      <w:r>
        <w:t xml:space="preserve"> </w:t>
      </w:r>
    </w:p>
    <w:p w14:paraId="231B098E" w14:textId="7A0A61D8" w:rsidR="005F00B4" w:rsidRDefault="00C02CE1" w:rsidP="00B03234">
      <w:pPr>
        <w:pStyle w:val="Heading5"/>
      </w:pPr>
      <w:r>
        <w:t>t</w:t>
      </w:r>
      <w:r w:rsidR="005F00B4">
        <w:t>he Energy Trading Period is defined as one hour.</w:t>
      </w:r>
    </w:p>
    <w:p w14:paraId="7D0F66E5" w14:textId="1181256C" w:rsidR="005F00B4" w:rsidRDefault="00C02CE1" w:rsidP="00B03234">
      <w:pPr>
        <w:pStyle w:val="Heading5"/>
      </w:pPr>
      <w:r>
        <w:t>t</w:t>
      </w:r>
      <w:r w:rsidR="005F00B4">
        <w:t>he Capacity Trading Period is defined as one day, starting at 0:00 and ending at 23:59 of the same day.</w:t>
      </w:r>
    </w:p>
    <w:p w14:paraId="52FC2D85" w14:textId="08D664B3" w:rsidR="00340DCB" w:rsidRDefault="00340DCB" w:rsidP="00340DCB">
      <w:pPr>
        <w:pStyle w:val="Heading4"/>
      </w:pPr>
      <w:r>
        <w:t xml:space="preserve">The </w:t>
      </w:r>
      <w:r w:rsidR="00C02CE1">
        <w:t xml:space="preserve">contracted </w:t>
      </w:r>
      <w:r>
        <w:t xml:space="preserve">Energy </w:t>
      </w:r>
      <w:r w:rsidR="00C02CE1">
        <w:t>quantities as agreed in the registered Contracts</w:t>
      </w:r>
      <w:r>
        <w:t>, will be used for Settlement of the Imbalances of Energy.</w:t>
      </w:r>
    </w:p>
    <w:p w14:paraId="673CC798" w14:textId="342C1B61" w:rsidR="005F00B4" w:rsidRDefault="00F419D1" w:rsidP="005B295A">
      <w:pPr>
        <w:pStyle w:val="Heading4"/>
      </w:pPr>
      <w:r>
        <w:t xml:space="preserve">The </w:t>
      </w:r>
      <w:r w:rsidR="00C02CE1">
        <w:t xml:space="preserve">contracted </w:t>
      </w:r>
      <w:r w:rsidR="005F00B4">
        <w:t xml:space="preserve">Capacity </w:t>
      </w:r>
      <w:r w:rsidR="00C02CE1">
        <w:t xml:space="preserve">quantities as agreed in the registered Contracts </w:t>
      </w:r>
      <w:r w:rsidR="005F00B4">
        <w:t xml:space="preserve">will be used </w:t>
      </w:r>
      <w:r w:rsidR="00C02CE1">
        <w:t>for</w:t>
      </w:r>
      <w:r w:rsidR="005F00B4">
        <w:t>:</w:t>
      </w:r>
    </w:p>
    <w:p w14:paraId="21C2078F" w14:textId="1B233394" w:rsidR="005F00B4" w:rsidRPr="000345F6" w:rsidRDefault="00C02CE1" w:rsidP="00B03234">
      <w:pPr>
        <w:pStyle w:val="Heading5"/>
      </w:pPr>
      <w:r>
        <w:t>v</w:t>
      </w:r>
      <w:r w:rsidR="005F00B4" w:rsidRPr="000345F6">
        <w:t xml:space="preserve">erifying compliance with the </w:t>
      </w:r>
      <w:r w:rsidR="0055381D">
        <w:t xml:space="preserve">ex-ante </w:t>
      </w:r>
      <w:r w:rsidR="005F00B4" w:rsidRPr="000345F6">
        <w:t>Capacity Obligations of the Market Participants; and</w:t>
      </w:r>
    </w:p>
    <w:p w14:paraId="2BA8BDA9" w14:textId="7EDBE863" w:rsidR="005F00B4" w:rsidRPr="004D477B" w:rsidRDefault="00C02CE1" w:rsidP="00B03234">
      <w:pPr>
        <w:pStyle w:val="Heading5"/>
      </w:pPr>
      <w:r>
        <w:t>calculating</w:t>
      </w:r>
      <w:r w:rsidR="005F00B4" w:rsidRPr="004D477B">
        <w:t xml:space="preserve"> the Capacity Balances of the Market Participants in the Balancing Mechanism for Capacity</w:t>
      </w:r>
      <w:r w:rsidR="0055381D">
        <w:t xml:space="preserve"> and verification of ex-post Capacity Obligations.</w:t>
      </w:r>
    </w:p>
    <w:p w14:paraId="63B9B272" w14:textId="0B80F783" w:rsidR="00D833C1" w:rsidRDefault="00D833C1" w:rsidP="005B295A">
      <w:pPr>
        <w:pStyle w:val="Heading4"/>
      </w:pPr>
      <w:bookmarkStart w:id="118" w:name="_Ref67476620"/>
      <w:r>
        <w:t>Capacity transactions</w:t>
      </w:r>
      <w:r w:rsidR="00DC637A">
        <w:t xml:space="preserve"> in a registered Contract</w:t>
      </w:r>
      <w:r>
        <w:t xml:space="preserve"> </w:t>
      </w:r>
      <w:r w:rsidR="00C02CE1">
        <w:t xml:space="preserve">may </w:t>
      </w:r>
      <w:r>
        <w:t xml:space="preserve">be </w:t>
      </w:r>
      <w:r w:rsidR="00DC637A">
        <w:t>agreed as</w:t>
      </w:r>
      <w:r>
        <w:t xml:space="preserve"> following:</w:t>
      </w:r>
      <w:bookmarkEnd w:id="118"/>
      <w:r>
        <w:t xml:space="preserve"> </w:t>
      </w:r>
    </w:p>
    <w:p w14:paraId="65FFBCFE" w14:textId="7E9D4D46" w:rsidR="00D833C1" w:rsidRDefault="00D833C1" w:rsidP="00B03234">
      <w:pPr>
        <w:pStyle w:val="Heading5"/>
      </w:pPr>
      <w:r w:rsidRPr="001D5592">
        <w:rPr>
          <w:b/>
          <w:bCs/>
        </w:rPr>
        <w:t>Guaranteed Capacity:</w:t>
      </w:r>
      <w:r w:rsidR="00DC637A">
        <w:t xml:space="preserve"> Where</w:t>
      </w:r>
      <w:r>
        <w:t xml:space="preserve"> the seller assume</w:t>
      </w:r>
      <w:r w:rsidR="00DC637A">
        <w:t>s</w:t>
      </w:r>
      <w:r>
        <w:t xml:space="preserve"> </w:t>
      </w:r>
      <w:r w:rsidR="00DC637A">
        <w:t>complete responsibility</w:t>
      </w:r>
      <w:r>
        <w:t xml:space="preserve"> </w:t>
      </w:r>
      <w:r w:rsidR="00DC637A">
        <w:t xml:space="preserve">for the  </w:t>
      </w:r>
      <w:r w:rsidR="0046412E">
        <w:t>Capacity</w:t>
      </w:r>
      <w:r>
        <w:t xml:space="preserve"> </w:t>
      </w:r>
      <w:r w:rsidR="00D75DA6">
        <w:t>I</w:t>
      </w:r>
      <w:r w:rsidR="00987CCD">
        <w:t>mbalances</w:t>
      </w:r>
      <w:r w:rsidR="00DC637A">
        <w:t>,</w:t>
      </w:r>
      <w:r w:rsidR="00987CCD">
        <w:t xml:space="preserve"> </w:t>
      </w:r>
      <w:r w:rsidR="00DC637A">
        <w:t xml:space="preserve">which </w:t>
      </w:r>
      <w:r>
        <w:t xml:space="preserve">may </w:t>
      </w:r>
      <w:r w:rsidR="00DC637A">
        <w:t xml:space="preserve">arise </w:t>
      </w:r>
      <w:r>
        <w:t xml:space="preserve">in the Balancing Mechanism for Capacity, </w:t>
      </w:r>
      <w:r w:rsidR="00DC637A">
        <w:t>linked</w:t>
      </w:r>
      <w:r w:rsidRPr="001D5592">
        <w:t xml:space="preserve"> with</w:t>
      </w:r>
      <w:r>
        <w:t xml:space="preserve"> the value of Capacity sold</w:t>
      </w:r>
      <w:r w:rsidR="0062262B">
        <w:t xml:space="preserve"> by the seller</w:t>
      </w:r>
      <w:r>
        <w:t xml:space="preserve">, as </w:t>
      </w:r>
      <w:r w:rsidR="00DC637A">
        <w:t>provided</w:t>
      </w:r>
      <w:r>
        <w:t xml:space="preserve"> in </w:t>
      </w:r>
      <w:r>
        <w:fldChar w:fldCharType="begin"/>
      </w:r>
      <w:r>
        <w:instrText xml:space="preserve"> REF _Ref54809188 \r \h  \* MERGEFORMAT </w:instrText>
      </w:r>
      <w:r>
        <w:fldChar w:fldCharType="separate"/>
      </w:r>
      <w:r w:rsidR="00251DBF">
        <w:t>Chapter 10</w:t>
      </w:r>
      <w:r>
        <w:fldChar w:fldCharType="end"/>
      </w:r>
      <w:r>
        <w:t xml:space="preserve">.  </w:t>
      </w:r>
    </w:p>
    <w:p w14:paraId="1F024699" w14:textId="677FADC8" w:rsidR="00D833C1" w:rsidRDefault="00D833C1" w:rsidP="00B03234">
      <w:pPr>
        <w:pStyle w:val="Heading5"/>
      </w:pPr>
      <w:r w:rsidRPr="001D5592">
        <w:rPr>
          <w:b/>
          <w:bCs/>
        </w:rPr>
        <w:t>Non-guaranteed Capacity:</w:t>
      </w:r>
      <w:r w:rsidR="0062262B">
        <w:rPr>
          <w:b/>
          <w:bCs/>
        </w:rPr>
        <w:t xml:space="preserve"> </w:t>
      </w:r>
      <w:r w:rsidR="0062262B">
        <w:t>Where the buyer assumes complete responsibility for the  Capacity Imbalances, which may arise in the Balancing Mechanism for Capacity, linked</w:t>
      </w:r>
      <w:r w:rsidR="0062262B" w:rsidRPr="001D5592">
        <w:t xml:space="preserve"> with</w:t>
      </w:r>
      <w:r w:rsidR="0062262B">
        <w:t xml:space="preserve"> the value of Capacity bought by the buyer, as provided in </w:t>
      </w:r>
      <w:r w:rsidR="0062262B">
        <w:fldChar w:fldCharType="begin"/>
      </w:r>
      <w:r w:rsidR="0062262B">
        <w:instrText xml:space="preserve"> REF _Ref54809188 \r \h  \* MERGEFORMAT </w:instrText>
      </w:r>
      <w:r w:rsidR="0062262B">
        <w:fldChar w:fldCharType="separate"/>
      </w:r>
      <w:r w:rsidR="0062262B">
        <w:t>Chapter 10</w:t>
      </w:r>
      <w:r w:rsidR="0062262B">
        <w:fldChar w:fldCharType="end"/>
      </w:r>
      <w:r>
        <w:t xml:space="preserve">.  </w:t>
      </w:r>
    </w:p>
    <w:p w14:paraId="355B2BC2" w14:textId="0959571E" w:rsidR="00D833C1" w:rsidRPr="005D0D45" w:rsidRDefault="00D833C1" w:rsidP="00A22D29">
      <w:pPr>
        <w:pStyle w:val="BodyText"/>
      </w:pPr>
      <w:r w:rsidRPr="005D0D45">
        <w:t xml:space="preserve">For the avoidance of doubt, Capacity transactions, either Guaranteed </w:t>
      </w:r>
      <w:r w:rsidR="0062262B">
        <w:t>or</w:t>
      </w:r>
      <w:r w:rsidR="0062262B" w:rsidRPr="005D0D45">
        <w:t xml:space="preserve"> </w:t>
      </w:r>
      <w:r w:rsidRPr="005D0D45">
        <w:t xml:space="preserve">Non-guaranteed shall be credited to the buyer for compliance with the </w:t>
      </w:r>
      <w:r w:rsidR="0062262B">
        <w:t xml:space="preserve">ex-ante </w:t>
      </w:r>
      <w:r w:rsidRPr="005D0D45">
        <w:t xml:space="preserve">Capacity Obligations of the buyer, as specified in </w:t>
      </w:r>
      <w:r w:rsidRPr="005D0D45">
        <w:fldChar w:fldCharType="begin"/>
      </w:r>
      <w:r w:rsidRPr="005D0D45">
        <w:instrText xml:space="preserve"> REF _Ref54809487 \r \h </w:instrText>
      </w:r>
      <w:r w:rsidR="005D0D45">
        <w:instrText xml:space="preserve"> \* MERGEFORMAT </w:instrText>
      </w:r>
      <w:r w:rsidRPr="005D0D45">
        <w:fldChar w:fldCharType="separate"/>
      </w:r>
      <w:r w:rsidR="00251DBF">
        <w:t>Chapter 11</w:t>
      </w:r>
      <w:r w:rsidRPr="005D0D45">
        <w:fldChar w:fldCharType="end"/>
      </w:r>
      <w:r w:rsidRPr="005D0D45">
        <w:t xml:space="preserve">.  </w:t>
      </w:r>
    </w:p>
    <w:p w14:paraId="25C10D39" w14:textId="39CDAF82" w:rsidR="00D833C1" w:rsidRDefault="00D833C1" w:rsidP="00C173D0">
      <w:pPr>
        <w:pStyle w:val="Heading3"/>
      </w:pPr>
      <w:bookmarkStart w:id="119" w:name="_Ref64232482"/>
      <w:r>
        <w:t>Type</w:t>
      </w:r>
      <w:r w:rsidR="0062262B">
        <w:t>s</w:t>
      </w:r>
      <w:r>
        <w:t xml:space="preserve"> of Contracts</w:t>
      </w:r>
      <w:bookmarkEnd w:id="119"/>
    </w:p>
    <w:p w14:paraId="3917E213" w14:textId="1E5B7C0B" w:rsidR="00BE27DA" w:rsidRDefault="0062262B" w:rsidP="005B295A">
      <w:pPr>
        <w:pStyle w:val="Heading4"/>
      </w:pPr>
      <w:r>
        <w:t xml:space="preserve">A </w:t>
      </w:r>
      <w:r w:rsidR="00BE27DA">
        <w:t>C</w:t>
      </w:r>
      <w:r w:rsidR="00F419D1">
        <w:t>ontract</w:t>
      </w:r>
      <w:r w:rsidR="00BE27DA">
        <w:t xml:space="preserve"> agreed between </w:t>
      </w:r>
      <w:r>
        <w:t xml:space="preserve">a </w:t>
      </w:r>
      <w:r w:rsidR="00BE27DA">
        <w:t xml:space="preserve">seller and </w:t>
      </w:r>
      <w:r>
        <w:t xml:space="preserve">a </w:t>
      </w:r>
      <w:r w:rsidR="00BE27DA">
        <w:t xml:space="preserve">buyer </w:t>
      </w:r>
      <w:r>
        <w:t>may be classified as under</w:t>
      </w:r>
      <w:r w:rsidR="00BE27DA">
        <w:t xml:space="preserve">: </w:t>
      </w:r>
    </w:p>
    <w:p w14:paraId="5A7395E2" w14:textId="36B281A5" w:rsidR="00BE27DA" w:rsidRDefault="00BE27DA" w:rsidP="00B03234">
      <w:pPr>
        <w:pStyle w:val="Heading5"/>
      </w:pPr>
      <w:bookmarkStart w:id="120" w:name="_Hlk66200211"/>
      <w:r>
        <w:t>Standardized Contract</w:t>
      </w:r>
    </w:p>
    <w:p w14:paraId="6532152C" w14:textId="79247400" w:rsidR="00F419D1" w:rsidRDefault="008A179B" w:rsidP="00B03234">
      <w:pPr>
        <w:pStyle w:val="Heading5"/>
      </w:pPr>
      <w:r>
        <w:t xml:space="preserve">Customized </w:t>
      </w:r>
      <w:r w:rsidR="00BE27DA">
        <w:t>Contract</w:t>
      </w:r>
      <w:r w:rsidR="00F419D1">
        <w:t xml:space="preserve"> </w:t>
      </w:r>
    </w:p>
    <w:p w14:paraId="4DD82F9A" w14:textId="411594D3" w:rsidR="00382777" w:rsidRDefault="0062262B" w:rsidP="005B295A">
      <w:pPr>
        <w:pStyle w:val="Heading4"/>
      </w:pPr>
      <w:bookmarkStart w:id="121" w:name="_Ref66200498"/>
      <w:bookmarkEnd w:id="120"/>
      <w:r>
        <w:t xml:space="preserve">A </w:t>
      </w:r>
      <w:r w:rsidR="00BE27DA">
        <w:t xml:space="preserve">Standardized Contract </w:t>
      </w:r>
      <w:r>
        <w:t xml:space="preserve">is a </w:t>
      </w:r>
      <w:r w:rsidR="003A578F">
        <w:t>Contract</w:t>
      </w:r>
      <w:r w:rsidR="00BE27DA">
        <w:t xml:space="preserve"> in which the amount of Energy and Capacity </w:t>
      </w:r>
      <w:r>
        <w:t xml:space="preserve">is </w:t>
      </w:r>
      <w:r w:rsidR="00EC1896">
        <w:t>bought and sold</w:t>
      </w:r>
      <w:r w:rsidR="00BE27DA">
        <w:t xml:space="preserve"> </w:t>
      </w:r>
      <w:r>
        <w:t xml:space="preserve">according to the </w:t>
      </w:r>
      <w:r w:rsidR="00382777">
        <w:t xml:space="preserve">pre-defined </w:t>
      </w:r>
      <w:r>
        <w:t>terms and conditions</w:t>
      </w:r>
      <w:r w:rsidR="00382777">
        <w:t xml:space="preserve">. These types of Contracts are </w:t>
      </w:r>
      <w:r w:rsidR="00AE18F5">
        <w:t>further explained</w:t>
      </w:r>
      <w:r w:rsidR="00382777">
        <w:t xml:space="preserve"> in </w:t>
      </w:r>
      <w:r w:rsidR="008C02F7">
        <w:t>Section</w:t>
      </w:r>
      <w:r w:rsidR="00382777">
        <w:t xml:space="preserve"> </w:t>
      </w:r>
      <w:r w:rsidR="00382777">
        <w:fldChar w:fldCharType="begin"/>
      </w:r>
      <w:r w:rsidR="00382777">
        <w:instrText xml:space="preserve"> REF _Ref54896999 \r \h  \* MERGEFORMAT </w:instrText>
      </w:r>
      <w:r w:rsidR="00382777">
        <w:fldChar w:fldCharType="separate"/>
      </w:r>
      <w:r w:rsidR="00251DBF">
        <w:t>4.3</w:t>
      </w:r>
      <w:r w:rsidR="00382777">
        <w:fldChar w:fldCharType="end"/>
      </w:r>
      <w:r w:rsidR="00382777">
        <w:t>.</w:t>
      </w:r>
      <w:bookmarkEnd w:id="121"/>
      <w:r w:rsidR="00382777">
        <w:t xml:space="preserve"> </w:t>
      </w:r>
    </w:p>
    <w:p w14:paraId="557F0ED3" w14:textId="08737330" w:rsidR="00907C19" w:rsidRDefault="00382777" w:rsidP="005B295A">
      <w:pPr>
        <w:pStyle w:val="Heading4"/>
      </w:pPr>
      <w:r>
        <w:t xml:space="preserve">In case a Standardized Contract </w:t>
      </w:r>
      <w:r w:rsidR="00257CC2">
        <w:t>has been executed</w:t>
      </w:r>
      <w:r>
        <w:t xml:space="preserve">, and the parties formally declare this during the </w:t>
      </w:r>
      <w:r w:rsidR="00257CC2">
        <w:t xml:space="preserve">Contract </w:t>
      </w:r>
      <w:r>
        <w:t xml:space="preserve">registration process, </w:t>
      </w:r>
      <w:r w:rsidR="00907C19">
        <w:t xml:space="preserve">it will not be necessary to disclose the </w:t>
      </w:r>
      <w:r w:rsidR="0055381D">
        <w:t xml:space="preserve">signed </w:t>
      </w:r>
      <w:r w:rsidR="001C333B">
        <w:t>Bilateral</w:t>
      </w:r>
      <w:r w:rsidR="0055381D">
        <w:t xml:space="preserve"> </w:t>
      </w:r>
      <w:r w:rsidR="00907C19">
        <w:t xml:space="preserve">Contract to the Market Operator, </w:t>
      </w:r>
      <w:r w:rsidR="00257CC2">
        <w:t xml:space="preserve">and it would be sufficient to provide information </w:t>
      </w:r>
      <w:r w:rsidR="00AE18F5">
        <w:t xml:space="preserve">required </w:t>
      </w:r>
      <w:r w:rsidR="00907C19">
        <w:t xml:space="preserve">in this Code to proceed </w:t>
      </w:r>
      <w:r w:rsidR="00AE18F5">
        <w:t>with the</w:t>
      </w:r>
      <w:r w:rsidR="00907C19">
        <w:t xml:space="preserve"> registration</w:t>
      </w:r>
      <w:r w:rsidR="00AE18F5">
        <w:t xml:space="preserve"> of the Contract</w:t>
      </w:r>
      <w:r w:rsidR="00907C19">
        <w:t xml:space="preserve">. </w:t>
      </w:r>
    </w:p>
    <w:p w14:paraId="2D957E18" w14:textId="250FC045" w:rsidR="00907C19" w:rsidRDefault="00AE18F5" w:rsidP="005B295A">
      <w:pPr>
        <w:pStyle w:val="Heading4"/>
      </w:pPr>
      <w:bookmarkStart w:id="122" w:name="_Ref66200377"/>
      <w:r>
        <w:lastRenderedPageBreak/>
        <w:t xml:space="preserve">A </w:t>
      </w:r>
      <w:r w:rsidR="008A179B">
        <w:t>Customized</w:t>
      </w:r>
      <w:r w:rsidR="00907C19">
        <w:t xml:space="preserve"> Contracts </w:t>
      </w:r>
      <w:r>
        <w:t xml:space="preserve">is a </w:t>
      </w:r>
      <w:r w:rsidR="003A578F">
        <w:t>Contract</w:t>
      </w:r>
      <w:r w:rsidR="00907C19">
        <w:t xml:space="preserve"> that </w:t>
      </w:r>
      <w:r>
        <w:t>may not be classified as a</w:t>
      </w:r>
      <w:r w:rsidR="00907C19">
        <w:t xml:space="preserve"> Standardized Contract. In case</w:t>
      </w:r>
      <w:r w:rsidR="003E085D">
        <w:t xml:space="preserve"> </w:t>
      </w:r>
      <w:r>
        <w:t xml:space="preserve">a </w:t>
      </w:r>
      <w:r w:rsidR="008A179B">
        <w:t>Customized</w:t>
      </w:r>
      <w:r w:rsidR="00907C19">
        <w:t xml:space="preserve"> Contract </w:t>
      </w:r>
      <w:r>
        <w:t>has been executed</w:t>
      </w:r>
      <w:r w:rsidR="00907C19">
        <w:t xml:space="preserve">, the Market Operator </w:t>
      </w:r>
      <w:r>
        <w:t xml:space="preserve">may </w:t>
      </w:r>
      <w:r w:rsidR="00907C19">
        <w:t xml:space="preserve">require the parties to provide </w:t>
      </w:r>
      <w:r>
        <w:t xml:space="preserve">any </w:t>
      </w:r>
      <w:r w:rsidR="00907C19">
        <w:t>information it deems necessary to ensure</w:t>
      </w:r>
      <w:r>
        <w:t xml:space="preserve"> proper settlement of</w:t>
      </w:r>
      <w:r w:rsidR="00907C19">
        <w:t xml:space="preserve"> the </w:t>
      </w:r>
      <w:r>
        <w:t>contracted quantities in</w:t>
      </w:r>
      <w:r w:rsidR="00907C19">
        <w:t xml:space="preserve"> the Balancing Mechanism for Energy and Capacity.</w:t>
      </w:r>
      <w:bookmarkEnd w:id="122"/>
    </w:p>
    <w:p w14:paraId="349B7023" w14:textId="4F315E0C" w:rsidR="00907C19" w:rsidRPr="00B03C4A" w:rsidRDefault="00907C19" w:rsidP="00A22D29">
      <w:pPr>
        <w:pStyle w:val="BodyText"/>
        <w:rPr>
          <w:i/>
          <w:iCs/>
        </w:rPr>
      </w:pPr>
      <w:r w:rsidRPr="00B03C4A">
        <w:rPr>
          <w:i/>
          <w:iCs/>
        </w:rPr>
        <w:t>For the avoidance of doubt:</w:t>
      </w:r>
    </w:p>
    <w:p w14:paraId="33F1E29A" w14:textId="2E879E05" w:rsidR="00907C19" w:rsidRDefault="006C4479" w:rsidP="00B03234">
      <w:pPr>
        <w:pStyle w:val="Heading5"/>
      </w:pPr>
      <w:r>
        <w:t>t</w:t>
      </w:r>
      <w:r w:rsidR="00907C19">
        <w:t xml:space="preserve">he Market Operator, at its sole discretion, may review the original Contract </w:t>
      </w:r>
      <w:r w:rsidR="003E085D">
        <w:t xml:space="preserve">signed between the parties </w:t>
      </w:r>
      <w:r w:rsidR="00907C19">
        <w:t xml:space="preserve">in order to assess the implication of certain clauses or provisions in the settlement process; </w:t>
      </w:r>
    </w:p>
    <w:p w14:paraId="5F1BFBD4" w14:textId="3CAA9AF5" w:rsidR="00907C19" w:rsidRDefault="006C4479" w:rsidP="00B03234">
      <w:pPr>
        <w:pStyle w:val="Heading5"/>
      </w:pPr>
      <w:r>
        <w:t>t</w:t>
      </w:r>
      <w:r w:rsidR="00907C19">
        <w:t xml:space="preserve">he Market Operator </w:t>
      </w:r>
      <w:r>
        <w:t xml:space="preserve">shall </w:t>
      </w:r>
      <w:r w:rsidR="00907C19">
        <w:t xml:space="preserve">not review </w:t>
      </w:r>
      <w:r w:rsidR="00F34B59">
        <w:t>the</w:t>
      </w:r>
      <w:r w:rsidR="00F34B59" w:rsidRPr="00F34B59">
        <w:t xml:space="preserve"> </w:t>
      </w:r>
      <w:r w:rsidR="00F34B59">
        <w:t>prices or other commercially sensitive information agreed between the parties</w:t>
      </w:r>
      <w:r w:rsidR="006251C5">
        <w:t xml:space="preserve"> to the extent</w:t>
      </w:r>
      <w:r>
        <w:t xml:space="preserve"> that</w:t>
      </w:r>
      <w:r w:rsidR="006251C5">
        <w:t xml:space="preserve"> </w:t>
      </w:r>
      <w:r>
        <w:t xml:space="preserve">such </w:t>
      </w:r>
      <w:r w:rsidR="006251C5">
        <w:t xml:space="preserve">information is </w:t>
      </w:r>
      <w:r w:rsidR="003E085D">
        <w:t xml:space="preserve">not </w:t>
      </w:r>
      <w:r w:rsidR="006251C5">
        <w:t>necessary to take a decision</w:t>
      </w:r>
      <w:r w:rsidR="00100E02">
        <w:t>, provided that it will be decided</w:t>
      </w:r>
      <w:r>
        <w:t xml:space="preserve"> solely</w:t>
      </w:r>
      <w:r w:rsidR="00100E02">
        <w:t xml:space="preserve"> by</w:t>
      </w:r>
      <w:r>
        <w:t xml:space="preserve"> </w:t>
      </w:r>
      <w:r w:rsidR="00100E02">
        <w:t xml:space="preserve">the Market Operator whether </w:t>
      </w:r>
      <w:r>
        <w:t>certain</w:t>
      </w:r>
      <w:r w:rsidR="00100E02">
        <w:t xml:space="preserve"> information, </w:t>
      </w:r>
      <w:r>
        <w:t>excluding the</w:t>
      </w:r>
      <w:r w:rsidR="00100E02">
        <w:t xml:space="preserve"> prices, is commercially sensitive or not</w:t>
      </w:r>
      <w:r w:rsidR="006251C5">
        <w:t>; and</w:t>
      </w:r>
    </w:p>
    <w:p w14:paraId="0CC15804" w14:textId="0E05AD2C" w:rsidR="00F34B59" w:rsidRDefault="006C4479" w:rsidP="00B03234">
      <w:pPr>
        <w:pStyle w:val="Heading5"/>
      </w:pPr>
      <w:r>
        <w:t>a</w:t>
      </w:r>
      <w:r w:rsidR="00F34B59">
        <w:t xml:space="preserve">ll the information received by the Market Operator, other than the information to be incorporated into the Contract Register shall be considered confidential and </w:t>
      </w:r>
      <w:r>
        <w:t xml:space="preserve">shall </w:t>
      </w:r>
      <w:r w:rsidR="00F34B59">
        <w:t xml:space="preserve">not be disclosed to any third party. </w:t>
      </w:r>
    </w:p>
    <w:p w14:paraId="52B708C3" w14:textId="702B604C" w:rsidR="00F34B59" w:rsidRDefault="00F34B59" w:rsidP="005B295A">
      <w:pPr>
        <w:pStyle w:val="Heading4"/>
      </w:pPr>
      <w:r>
        <w:t xml:space="preserve">Following types of Contracts </w:t>
      </w:r>
      <w:r w:rsidR="006C4479">
        <w:t xml:space="preserve">shall be </w:t>
      </w:r>
      <w:r>
        <w:t>consider</w:t>
      </w:r>
      <w:r w:rsidR="006C4479">
        <w:t>ed</w:t>
      </w:r>
      <w:r>
        <w:t xml:space="preserve"> Standardized Contracts</w:t>
      </w:r>
      <w:r w:rsidR="006C4479">
        <w:t>:</w:t>
      </w:r>
      <w:r>
        <w:t xml:space="preserve"> </w:t>
      </w:r>
    </w:p>
    <w:p w14:paraId="4EF07E6D" w14:textId="0E789823" w:rsidR="00F34B59" w:rsidRDefault="00F34B59" w:rsidP="00B03234">
      <w:pPr>
        <w:pStyle w:val="Heading5"/>
      </w:pPr>
      <w:r w:rsidRPr="00D833C1">
        <w:t>Generation Following Supply Contract</w:t>
      </w:r>
    </w:p>
    <w:p w14:paraId="5770B5FD" w14:textId="4B1A483B" w:rsidR="00F34B59" w:rsidRDefault="00F34B59" w:rsidP="00B03234">
      <w:pPr>
        <w:pStyle w:val="Heading5"/>
      </w:pPr>
      <w:r w:rsidRPr="00D833C1">
        <w:t xml:space="preserve">Capacity </w:t>
      </w:r>
      <w:r>
        <w:t>a</w:t>
      </w:r>
      <w:r w:rsidRPr="00D833C1">
        <w:t>nd Associated Energy Supply Contract</w:t>
      </w:r>
    </w:p>
    <w:p w14:paraId="7B2F0205" w14:textId="4A51ECC1" w:rsidR="00F34B59" w:rsidRDefault="00F34B59" w:rsidP="00B03234">
      <w:pPr>
        <w:pStyle w:val="Heading5"/>
      </w:pPr>
      <w:r w:rsidRPr="00D833C1">
        <w:t>Load Following Supply Contract</w:t>
      </w:r>
    </w:p>
    <w:p w14:paraId="65AC6F97" w14:textId="75D226B1" w:rsidR="00F34B59" w:rsidRDefault="00F34B59" w:rsidP="00B03234">
      <w:pPr>
        <w:pStyle w:val="Heading5"/>
      </w:pPr>
      <w:r w:rsidRPr="00D833C1">
        <w:t xml:space="preserve">Financial Supply Contract </w:t>
      </w:r>
      <w:r>
        <w:t>w</w:t>
      </w:r>
      <w:r w:rsidRPr="00D833C1">
        <w:t>ith Fixed Quantities</w:t>
      </w:r>
    </w:p>
    <w:p w14:paraId="0F83C56C" w14:textId="47AE4EF3" w:rsidR="00D833C1" w:rsidRDefault="00F34B59" w:rsidP="00C173D0">
      <w:pPr>
        <w:pStyle w:val="Heading2"/>
      </w:pPr>
      <w:bookmarkStart w:id="123" w:name="_Toc63893966"/>
      <w:bookmarkStart w:id="124" w:name="_Toc64115730"/>
      <w:bookmarkStart w:id="125" w:name="_Toc64116083"/>
      <w:bookmarkStart w:id="126" w:name="_Ref54896999"/>
      <w:bookmarkStart w:id="127" w:name="_Toc64846665"/>
      <w:bookmarkStart w:id="128" w:name="_Toc69476962"/>
      <w:bookmarkEnd w:id="123"/>
      <w:bookmarkEnd w:id="124"/>
      <w:bookmarkEnd w:id="125"/>
      <w:r>
        <w:t xml:space="preserve">Characteristics of </w:t>
      </w:r>
      <w:r w:rsidR="00D833C1">
        <w:t>Standardized Contracts</w:t>
      </w:r>
      <w:bookmarkEnd w:id="126"/>
      <w:bookmarkEnd w:id="127"/>
      <w:bookmarkEnd w:id="128"/>
    </w:p>
    <w:p w14:paraId="5944C7AA" w14:textId="79A0397E" w:rsidR="00C05033" w:rsidRDefault="00F34B59" w:rsidP="00C173D0">
      <w:pPr>
        <w:pStyle w:val="Heading3"/>
      </w:pPr>
      <w:bookmarkStart w:id="129" w:name="_Ref54980926"/>
      <w:r w:rsidRPr="00D833C1">
        <w:t>Generation Following Supply Contract</w:t>
      </w:r>
      <w:bookmarkEnd w:id="129"/>
    </w:p>
    <w:p w14:paraId="4E8F1BD0" w14:textId="43F4827A" w:rsidR="00A06F25" w:rsidRPr="003E085D" w:rsidRDefault="00A06F25" w:rsidP="005B295A">
      <w:pPr>
        <w:pStyle w:val="Heading4"/>
      </w:pPr>
      <w:r w:rsidRPr="00A06F25">
        <w:t xml:space="preserve">In a </w:t>
      </w:r>
      <w:r w:rsidR="003E085D" w:rsidRPr="003E085D">
        <w:t xml:space="preserve">Standardized </w:t>
      </w:r>
      <w:r w:rsidRPr="003E085D">
        <w:t xml:space="preserve">Generation Following Supply Contract, the </w:t>
      </w:r>
      <w:r w:rsidR="00B74EEF">
        <w:t>seller</w:t>
      </w:r>
      <w:r w:rsidR="00FE040E">
        <w:t xml:space="preserve"> </w:t>
      </w:r>
      <w:r w:rsidR="00A3249C">
        <w:t xml:space="preserve">may </w:t>
      </w:r>
      <w:r w:rsidRPr="003E085D">
        <w:t xml:space="preserve">sell: </w:t>
      </w:r>
    </w:p>
    <w:p w14:paraId="2C888759" w14:textId="52AC96C9" w:rsidR="00A06F25" w:rsidRPr="003E085D" w:rsidRDefault="00A3249C" w:rsidP="00B03234">
      <w:pPr>
        <w:pStyle w:val="Heading5"/>
      </w:pPr>
      <w:r>
        <w:t>a</w:t>
      </w:r>
      <w:r w:rsidR="00A06F25" w:rsidRPr="003E085D">
        <w:t xml:space="preserve"> defined percentage of the Capacity </w:t>
      </w:r>
      <w:r>
        <w:t>associated with</w:t>
      </w:r>
      <w:r w:rsidRPr="003E085D">
        <w:t xml:space="preserve"> </w:t>
      </w:r>
      <w:r w:rsidR="00A06F25" w:rsidRPr="003E085D">
        <w:t xml:space="preserve">the </w:t>
      </w:r>
      <w:r w:rsidR="00E678E5" w:rsidRPr="003E085D">
        <w:t>Physical Asset</w:t>
      </w:r>
      <w:r w:rsidR="00A06F25" w:rsidRPr="003E085D">
        <w:t xml:space="preserve"> or assets; and</w:t>
      </w:r>
    </w:p>
    <w:p w14:paraId="48F33D4C" w14:textId="37E5A40C" w:rsidR="00A06F25" w:rsidRPr="00A06F25" w:rsidRDefault="00A3249C" w:rsidP="00B03234">
      <w:pPr>
        <w:pStyle w:val="Heading5"/>
      </w:pPr>
      <w:r>
        <w:t>a</w:t>
      </w:r>
      <w:r w:rsidR="00A06F25" w:rsidRPr="003E085D">
        <w:t xml:space="preserve"> defined percentage of the </w:t>
      </w:r>
      <w:r w:rsidR="003E085D" w:rsidRPr="003E085D">
        <w:t>E</w:t>
      </w:r>
      <w:r w:rsidR="00A06F25" w:rsidRPr="003E085D">
        <w:t xml:space="preserve">nergy </w:t>
      </w:r>
      <w:r w:rsidR="00A06F25" w:rsidRPr="00A06F25">
        <w:t xml:space="preserve">injected </w:t>
      </w:r>
      <w:r w:rsidR="003E085D">
        <w:t>in</w:t>
      </w:r>
      <w:r w:rsidR="00A06F25" w:rsidRPr="00A06F25">
        <w:t xml:space="preserve">to the </w:t>
      </w:r>
      <w:r w:rsidR="00B64708">
        <w:t>Grid System</w:t>
      </w:r>
      <w:r>
        <w:t>.</w:t>
      </w:r>
    </w:p>
    <w:p w14:paraId="510A0589" w14:textId="63757ED4" w:rsidR="00F34B59" w:rsidRDefault="00F34B59" w:rsidP="005B295A">
      <w:pPr>
        <w:pStyle w:val="Heading4"/>
      </w:pPr>
      <w:r>
        <w:t xml:space="preserve">This </w:t>
      </w:r>
      <w:r w:rsidR="003A578F">
        <w:t>Contract</w:t>
      </w:r>
      <w:r>
        <w:t xml:space="preserve"> </w:t>
      </w:r>
      <w:r w:rsidR="00A3249C">
        <w:t xml:space="preserve">shall </w:t>
      </w:r>
      <w:r w:rsidR="00A3249C" w:rsidRPr="001744B4">
        <w:t xml:space="preserve">have, </w:t>
      </w:r>
      <w:r w:rsidR="00A3249C" w:rsidRPr="00B03C4A">
        <w:rPr>
          <w:i/>
          <w:iCs w:val="0"/>
        </w:rPr>
        <w:t>inter alia</w:t>
      </w:r>
      <w:r w:rsidR="00A3249C" w:rsidRPr="001744B4">
        <w:t xml:space="preserve">, </w:t>
      </w:r>
      <w:r w:rsidRPr="001744B4">
        <w:t>the</w:t>
      </w:r>
      <w:r>
        <w:t xml:space="preserve"> following characteristics:</w:t>
      </w:r>
    </w:p>
    <w:p w14:paraId="23969570" w14:textId="30AF27D8" w:rsidR="000C4174" w:rsidRDefault="00A3249C" w:rsidP="00B03234">
      <w:pPr>
        <w:pStyle w:val="Heading5"/>
      </w:pPr>
      <w:r>
        <w:t>t</w:t>
      </w:r>
      <w:r w:rsidR="000C4174">
        <w:t xml:space="preserve">he seller </w:t>
      </w:r>
      <w:r>
        <w:t xml:space="preserve">either may be </w:t>
      </w:r>
      <w:r w:rsidR="000C4174">
        <w:t xml:space="preserve">a Generator </w:t>
      </w:r>
      <w:r w:rsidR="003E085D">
        <w:t>or a</w:t>
      </w:r>
      <w:r w:rsidR="00BF564D">
        <w:t>n</w:t>
      </w:r>
      <w:r w:rsidR="003E085D">
        <w:t xml:space="preserve"> </w:t>
      </w:r>
      <w:r w:rsidR="00BF564D">
        <w:t>Electric Power Trader</w:t>
      </w:r>
      <w:r w:rsidR="003E085D">
        <w:t xml:space="preserve"> </w:t>
      </w:r>
      <w:r w:rsidR="000C4174">
        <w:t>and the buyer</w:t>
      </w:r>
      <w:r>
        <w:t xml:space="preserve"> </w:t>
      </w:r>
      <w:r w:rsidR="00126F9D">
        <w:t>either</w:t>
      </w:r>
      <w:r w:rsidR="000C4174">
        <w:t xml:space="preserve"> </w:t>
      </w:r>
      <w:r>
        <w:t xml:space="preserve">may be </w:t>
      </w:r>
      <w:r w:rsidR="000C4174">
        <w:t>a</w:t>
      </w:r>
      <w:r w:rsidR="00BF564D">
        <w:t>n</w:t>
      </w:r>
      <w:r w:rsidR="000C4174">
        <w:t xml:space="preserve"> </w:t>
      </w:r>
      <w:r w:rsidR="00BF564D">
        <w:t>Electric Power Supplier</w:t>
      </w:r>
      <w:r w:rsidR="006251C5">
        <w:t xml:space="preserve"> or a</w:t>
      </w:r>
      <w:r w:rsidR="00BF564D">
        <w:t>n</w:t>
      </w:r>
      <w:r w:rsidR="006251C5">
        <w:t xml:space="preserve"> </w:t>
      </w:r>
      <w:r w:rsidR="00BF564D">
        <w:t>Electric Power Trader</w:t>
      </w:r>
      <w:r w:rsidR="00A36C50">
        <w:t>;</w:t>
      </w:r>
    </w:p>
    <w:p w14:paraId="0A8CEF76" w14:textId="1B1D24A1" w:rsidR="000C4174" w:rsidRDefault="00A10EFB" w:rsidP="00B03234">
      <w:pPr>
        <w:pStyle w:val="Heading5"/>
      </w:pPr>
      <w:r>
        <w:t>t</w:t>
      </w:r>
      <w:r w:rsidR="000C4174">
        <w:t xml:space="preserve">he Contract </w:t>
      </w:r>
      <w:r w:rsidR="00A3249C">
        <w:t xml:space="preserve">shall be </w:t>
      </w:r>
      <w:r w:rsidR="000C4174">
        <w:t xml:space="preserve">associated </w:t>
      </w:r>
      <w:r w:rsidR="00A3249C">
        <w:t xml:space="preserve">with </w:t>
      </w:r>
      <w:r w:rsidR="000C4174">
        <w:t xml:space="preserve">a </w:t>
      </w:r>
      <w:r w:rsidR="00E678E5">
        <w:t>Physical Asset</w:t>
      </w:r>
      <w:r w:rsidR="000C4174">
        <w:t xml:space="preserve"> or group of </w:t>
      </w:r>
      <w:r w:rsidR="00A3249C">
        <w:t>P</w:t>
      </w:r>
      <w:r w:rsidR="000C4174">
        <w:t xml:space="preserve">hysical </w:t>
      </w:r>
      <w:r w:rsidR="00A3249C">
        <w:t>A</w:t>
      </w:r>
      <w:r w:rsidR="000C4174">
        <w:t xml:space="preserve">ssets, </w:t>
      </w:r>
      <w:r w:rsidR="00A3249C">
        <w:t xml:space="preserve">clearly </w:t>
      </w:r>
      <w:r w:rsidR="000C4174">
        <w:t>identified</w:t>
      </w:r>
      <w:r w:rsidR="00A36C50">
        <w:t>;</w:t>
      </w:r>
    </w:p>
    <w:p w14:paraId="64188755" w14:textId="451B0C1D" w:rsidR="00A36C50" w:rsidRPr="00A36C50" w:rsidRDefault="00A3249C" w:rsidP="00B03234">
      <w:pPr>
        <w:pStyle w:val="Heading5"/>
      </w:pPr>
      <w:r>
        <w:t>t</w:t>
      </w:r>
      <w:r w:rsidR="00A36C50">
        <w:t xml:space="preserve">he Generator </w:t>
      </w:r>
      <w:r>
        <w:t xml:space="preserve">shall be </w:t>
      </w:r>
      <w:r w:rsidR="00A36C50">
        <w:t xml:space="preserve">subject to </w:t>
      </w:r>
      <w:bookmarkStart w:id="130" w:name="_Hlk66201596"/>
      <w:r w:rsidR="00A36C50">
        <w:t>Centralized Dispatch</w:t>
      </w:r>
      <w:bookmarkEnd w:id="130"/>
      <w:r w:rsidR="00A36C50">
        <w:t xml:space="preserve">, </w:t>
      </w:r>
      <w:r>
        <w:t>according to</w:t>
      </w:r>
      <w:r w:rsidR="002D4EDB">
        <w:t xml:space="preserve"> </w:t>
      </w:r>
      <w:r w:rsidR="00A36C50">
        <w:t xml:space="preserve">the </w:t>
      </w:r>
      <w:r>
        <w:t>provisions of</w:t>
      </w:r>
      <w:r w:rsidR="00A36C50">
        <w:t xml:space="preserve"> the Grid Code and </w:t>
      </w:r>
      <w:r w:rsidR="00F05124">
        <w:t>this Code</w:t>
      </w:r>
      <w:r w:rsidR="00A36C50">
        <w:t>.</w:t>
      </w:r>
    </w:p>
    <w:p w14:paraId="27F1CEEA" w14:textId="47BB35B9" w:rsidR="000C4174" w:rsidRDefault="00A3249C" w:rsidP="00B03234">
      <w:pPr>
        <w:pStyle w:val="Heading5"/>
      </w:pPr>
      <w:r>
        <w:t>t</w:t>
      </w:r>
      <w:r w:rsidR="000C4174">
        <w:t xml:space="preserve">he amount of Energy </w:t>
      </w:r>
      <w:r w:rsidR="002D4EDB">
        <w:t xml:space="preserve">bought and sold </w:t>
      </w:r>
      <w:r>
        <w:t xml:space="preserve">shall be </w:t>
      </w:r>
      <w:r w:rsidR="000C4174">
        <w:t xml:space="preserve">a defined percentage of all the </w:t>
      </w:r>
      <w:r w:rsidR="002D4EDB">
        <w:t>E</w:t>
      </w:r>
      <w:r w:rsidR="000C4174">
        <w:t xml:space="preserve">nergy </w:t>
      </w:r>
      <w:r w:rsidR="002D4EDB">
        <w:t xml:space="preserve">injected into the </w:t>
      </w:r>
      <w:r w:rsidR="00B64708">
        <w:t>Grid System</w:t>
      </w:r>
      <w:r w:rsidR="002D4EDB">
        <w:t xml:space="preserve"> </w:t>
      </w:r>
      <w:r w:rsidR="000C4174">
        <w:t>by the</w:t>
      </w:r>
      <w:r w:rsidR="002D4EDB">
        <w:t xml:space="preserve"> associated</w:t>
      </w:r>
      <w:r w:rsidR="000C4174">
        <w:t xml:space="preserve"> Generat</w:t>
      </w:r>
      <w:r w:rsidR="002D4EDB">
        <w:t>ion Plant</w:t>
      </w:r>
      <w:r w:rsidR="000C4174">
        <w:t xml:space="preserve"> at each Trading Period</w:t>
      </w:r>
      <w:r w:rsidR="00A36C50">
        <w:t>;</w:t>
      </w:r>
      <w:r w:rsidR="000C4174">
        <w:t xml:space="preserve"> </w:t>
      </w:r>
    </w:p>
    <w:p w14:paraId="201498AC" w14:textId="2D4EBC57" w:rsidR="000C4174" w:rsidRDefault="00CD3D38" w:rsidP="00B03234">
      <w:pPr>
        <w:pStyle w:val="Heading5"/>
      </w:pPr>
      <w:r>
        <w:t>t</w:t>
      </w:r>
      <w:r w:rsidR="000C4174">
        <w:t xml:space="preserve">he amount of Capacity </w:t>
      </w:r>
      <w:r w:rsidR="00EC1896">
        <w:t>bought and sold</w:t>
      </w:r>
      <w:r w:rsidR="000C4174">
        <w:t xml:space="preserve"> </w:t>
      </w:r>
      <w:r>
        <w:t xml:space="preserve">shall be </w:t>
      </w:r>
      <w:r w:rsidR="000C4174">
        <w:t xml:space="preserve">a defined percentage of the Firm Capacity Certificates issued by the Market Operator, associated </w:t>
      </w:r>
      <w:r>
        <w:t xml:space="preserve">with </w:t>
      </w:r>
      <w:r w:rsidR="000C4174">
        <w:t xml:space="preserve">the </w:t>
      </w:r>
      <w:r w:rsidR="00E678E5">
        <w:t>Physical Asset</w:t>
      </w:r>
      <w:r w:rsidR="00A36C50">
        <w:t>;</w:t>
      </w:r>
    </w:p>
    <w:p w14:paraId="67788866" w14:textId="0407775F" w:rsidR="00A06F25" w:rsidRDefault="00CD3D38" w:rsidP="00B03234">
      <w:pPr>
        <w:pStyle w:val="Heading5"/>
      </w:pPr>
      <w:r>
        <w:t>t</w:t>
      </w:r>
      <w:r w:rsidR="00A06F25">
        <w:t xml:space="preserve">he percentages used for the Capacity and the Energy </w:t>
      </w:r>
      <w:r>
        <w:t xml:space="preserve">may </w:t>
      </w:r>
      <w:r w:rsidR="00A06F25">
        <w:t>be different</w:t>
      </w:r>
      <w:r>
        <w:t xml:space="preserve"> ranging</w:t>
      </w:r>
      <w:r w:rsidR="00A06F25">
        <w:t xml:space="preserve"> </w:t>
      </w:r>
      <w:r>
        <w:t>from</w:t>
      </w:r>
      <w:r w:rsidR="00A06F25">
        <w:t xml:space="preserve"> </w:t>
      </w:r>
      <w:r w:rsidR="00A06F25">
        <w:lastRenderedPageBreak/>
        <w:t xml:space="preserve">zero [0%] </w:t>
      </w:r>
      <w:r>
        <w:t xml:space="preserve">to </w:t>
      </w:r>
      <w:r w:rsidR="00A06F25">
        <w:t>one hundred [100%];</w:t>
      </w:r>
    </w:p>
    <w:p w14:paraId="50C52717" w14:textId="6AF04947" w:rsidR="000C4174" w:rsidRPr="00EF46B0" w:rsidRDefault="00CD3D38" w:rsidP="00B03234">
      <w:pPr>
        <w:pStyle w:val="Heading5"/>
      </w:pPr>
      <w:r>
        <w:t>t</w:t>
      </w:r>
      <w:r w:rsidR="000C4174" w:rsidRPr="00EF46B0">
        <w:t xml:space="preserve">he Capacity </w:t>
      </w:r>
      <w:r w:rsidR="00EC1896">
        <w:t>bought and sold</w:t>
      </w:r>
      <w:r w:rsidR="000C4174" w:rsidRPr="00EF46B0">
        <w:t xml:space="preserve"> is Non-Guaranteed</w:t>
      </w:r>
      <w:r w:rsidR="00A36C50" w:rsidRPr="00EF46B0">
        <w:t xml:space="preserve">; </w:t>
      </w:r>
    </w:p>
    <w:p w14:paraId="23CB6D72" w14:textId="22BAEDF9" w:rsidR="00E74EEE" w:rsidRDefault="00CD3D38" w:rsidP="00B03234">
      <w:pPr>
        <w:pStyle w:val="Heading5"/>
      </w:pPr>
      <w:r>
        <w:t xml:space="preserve">the </w:t>
      </w:r>
      <w:r w:rsidR="000C4174">
        <w:t xml:space="preserve">revenues that </w:t>
      </w:r>
      <w:r>
        <w:t xml:space="preserve">a </w:t>
      </w:r>
      <w:r w:rsidR="000C4174">
        <w:t xml:space="preserve">Generator </w:t>
      </w:r>
      <w:r>
        <w:t xml:space="preserve">may be </w:t>
      </w:r>
      <w:r w:rsidR="00A25AC5">
        <w:t xml:space="preserve">eligible </w:t>
      </w:r>
      <w:r w:rsidR="000C4174">
        <w:t>to receive for the provision of Ancillary Services</w:t>
      </w:r>
      <w:r>
        <w:t xml:space="preserve"> and Must Run Generation</w:t>
      </w:r>
      <w:r w:rsidR="000C4174">
        <w:t xml:space="preserve"> </w:t>
      </w:r>
      <w:r w:rsidR="00A36C50">
        <w:t>shall be assigned to the buyer</w:t>
      </w:r>
      <w:r w:rsidR="00E74EEE">
        <w:t>; and</w:t>
      </w:r>
    </w:p>
    <w:p w14:paraId="749ED003" w14:textId="2EBF8DB1" w:rsidR="000C4174" w:rsidRDefault="00CD3D38" w:rsidP="00B03234">
      <w:pPr>
        <w:pStyle w:val="Heading5"/>
      </w:pPr>
      <w:r>
        <w:t>t</w:t>
      </w:r>
      <w:r w:rsidR="00C43F82" w:rsidRPr="00C43F82">
        <w:t xml:space="preserve">he duration of the Contract </w:t>
      </w:r>
      <w:r>
        <w:t xml:space="preserve">shall be </w:t>
      </w:r>
      <w:r w:rsidR="00C43F82" w:rsidRPr="00C43F82">
        <w:t xml:space="preserve">at </w:t>
      </w:r>
      <w:r w:rsidR="00C43F82" w:rsidRPr="00D236C0">
        <w:t xml:space="preserve">least, </w:t>
      </w:r>
      <w:r w:rsidR="00C43F82" w:rsidRPr="00B03C4A">
        <w:t>two (2) years</w:t>
      </w:r>
      <w:r w:rsidR="00C43F82" w:rsidRPr="00D236C0">
        <w:t xml:space="preserve"> starting</w:t>
      </w:r>
      <w:r w:rsidR="00C43F82" w:rsidRPr="00C43F82">
        <w:t xml:space="preserve"> from the </w:t>
      </w:r>
      <w:r>
        <w:t>effective</w:t>
      </w:r>
      <w:r w:rsidRPr="00C43F82">
        <w:t xml:space="preserve"> </w:t>
      </w:r>
      <w:r w:rsidR="00C43F82" w:rsidRPr="00C43F82">
        <w:t xml:space="preserve">date of the </w:t>
      </w:r>
      <w:r w:rsidR="00C43F82">
        <w:t>C</w:t>
      </w:r>
      <w:r w:rsidR="00C43F82" w:rsidRPr="00C43F82">
        <w:t>ontract</w:t>
      </w:r>
      <w:r w:rsidR="00A36C50">
        <w:t>.</w:t>
      </w:r>
    </w:p>
    <w:p w14:paraId="1578DB65" w14:textId="2AD8BD24" w:rsidR="00F34B59" w:rsidRDefault="00F34B59" w:rsidP="005B295A">
      <w:pPr>
        <w:pStyle w:val="Heading4"/>
      </w:pPr>
      <w:r>
        <w:t xml:space="preserve">Following information shall be provided by the parties during the </w:t>
      </w:r>
      <w:r w:rsidR="00506E07">
        <w:t xml:space="preserve">Contract </w:t>
      </w:r>
      <w:r>
        <w:t xml:space="preserve">registration process: </w:t>
      </w:r>
    </w:p>
    <w:p w14:paraId="0D93D707" w14:textId="62961704" w:rsidR="00A25769" w:rsidRDefault="00CD3D38" w:rsidP="00A25769">
      <w:pPr>
        <w:pStyle w:val="Heading5"/>
      </w:pPr>
      <w:r>
        <w:t>i</w:t>
      </w:r>
      <w:r w:rsidR="00A25769" w:rsidRPr="0042506C">
        <w:t>d</w:t>
      </w:r>
      <w:r w:rsidR="00A25769" w:rsidRPr="00926094">
        <w:t>entification of the buyer and seller;</w:t>
      </w:r>
    </w:p>
    <w:p w14:paraId="65FEF507" w14:textId="26CD3EBF" w:rsidR="00A36C50" w:rsidRPr="00412F3D" w:rsidRDefault="00CD3D38" w:rsidP="00B03234">
      <w:pPr>
        <w:pStyle w:val="Heading5"/>
      </w:pPr>
      <w:r>
        <w:t>i</w:t>
      </w:r>
      <w:r w:rsidR="00A36C50">
        <w:t xml:space="preserve">dentification of the </w:t>
      </w:r>
      <w:r w:rsidR="00E678E5">
        <w:t>Physical Asset</w:t>
      </w:r>
      <w:r w:rsidR="00A36C50">
        <w:t xml:space="preserve"> or assets</w:t>
      </w:r>
      <w:r w:rsidR="002D4EDB">
        <w:t xml:space="preserve"> and the corresponding Trading Points</w:t>
      </w:r>
      <w:r w:rsidR="00A36C50">
        <w:t xml:space="preserve"> </w:t>
      </w:r>
      <w:r>
        <w:t>for</w:t>
      </w:r>
      <w:r w:rsidR="00A36C50">
        <w:t xml:space="preserve"> </w:t>
      </w:r>
      <w:r w:rsidR="00A36C50" w:rsidRPr="00412F3D">
        <w:t xml:space="preserve">the </w:t>
      </w:r>
      <w:r w:rsidR="001D182E">
        <w:t xml:space="preserve">commercial </w:t>
      </w:r>
      <w:r w:rsidR="00A36C50" w:rsidRPr="00412F3D">
        <w:t>transaction</w:t>
      </w:r>
      <w:r w:rsidRPr="00412F3D">
        <w:t>s</w:t>
      </w:r>
      <w:r w:rsidR="00A36C50" w:rsidRPr="00412F3D">
        <w:t>;</w:t>
      </w:r>
    </w:p>
    <w:p w14:paraId="5391E972" w14:textId="267D61AD" w:rsidR="00F34B59" w:rsidRPr="00412F3D" w:rsidRDefault="00412F3D" w:rsidP="00B03234">
      <w:pPr>
        <w:pStyle w:val="Heading5"/>
      </w:pPr>
      <w:r w:rsidRPr="00412F3D">
        <w:t>a defined</w:t>
      </w:r>
      <w:r w:rsidR="00506E07" w:rsidRPr="00412F3D">
        <w:t xml:space="preserve"> </w:t>
      </w:r>
      <w:r w:rsidR="00CD3D38" w:rsidRPr="00412F3D">
        <w:t>p</w:t>
      </w:r>
      <w:r w:rsidR="00F34B59" w:rsidRPr="00412F3D">
        <w:t>ercentage</w:t>
      </w:r>
      <w:r w:rsidR="00506E07" w:rsidRPr="00412F3D">
        <w:t xml:space="preserve"> </w:t>
      </w:r>
      <w:r w:rsidRPr="00412F3D">
        <w:t xml:space="preserve">of </w:t>
      </w:r>
      <w:r w:rsidR="00506E07" w:rsidRPr="00412F3D">
        <w:t xml:space="preserve">the </w:t>
      </w:r>
      <w:r w:rsidR="00F34B59" w:rsidRPr="00412F3D">
        <w:t xml:space="preserve">total </w:t>
      </w:r>
      <w:r w:rsidR="002D4EDB" w:rsidRPr="00412F3D">
        <w:t>E</w:t>
      </w:r>
      <w:r w:rsidR="00F34B59" w:rsidRPr="00412F3D">
        <w:t xml:space="preserve">nergy </w:t>
      </w:r>
      <w:r w:rsidR="002D4EDB" w:rsidRPr="00412F3D">
        <w:t xml:space="preserve">injected into the </w:t>
      </w:r>
      <w:r w:rsidR="00B64708" w:rsidRPr="00412F3D">
        <w:t>Grid System</w:t>
      </w:r>
      <w:r w:rsidR="002D4EDB" w:rsidRPr="00412F3D">
        <w:t xml:space="preserve"> </w:t>
      </w:r>
      <w:r w:rsidR="00CD3D38" w:rsidRPr="00412F3D">
        <w:t>by the seller</w:t>
      </w:r>
      <w:r w:rsidRPr="00412F3D">
        <w:t xml:space="preserve"> which shall be considered to calculate the contracted quantities</w:t>
      </w:r>
      <w:r w:rsidR="00A36C50" w:rsidRPr="00412F3D">
        <w:t>;</w:t>
      </w:r>
    </w:p>
    <w:p w14:paraId="7DB0704B" w14:textId="3A792725" w:rsidR="00A06F25" w:rsidRDefault="00506E07" w:rsidP="00B03234">
      <w:pPr>
        <w:pStyle w:val="Heading5"/>
      </w:pPr>
      <w:r>
        <w:t>number</w:t>
      </w:r>
      <w:r w:rsidR="00A36C50">
        <w:t xml:space="preserve"> of Firm Capacity Certificates, associated </w:t>
      </w:r>
      <w:r>
        <w:t xml:space="preserve">with the </w:t>
      </w:r>
      <w:r w:rsidR="00E678E5">
        <w:t>Physical Asset</w:t>
      </w:r>
      <w:r w:rsidR="00A06F25">
        <w:t xml:space="preserve"> involved in the transaction; </w:t>
      </w:r>
    </w:p>
    <w:p w14:paraId="513831A1" w14:textId="54DF86FD" w:rsidR="00E74EEE" w:rsidRDefault="00126F9D" w:rsidP="00B03234">
      <w:pPr>
        <w:pStyle w:val="Heading5"/>
      </w:pPr>
      <w:r>
        <w:t>declaration of p</w:t>
      </w:r>
      <w:r w:rsidR="00A06F25">
        <w:t>ercentage of the total Capacity, backed by Firm Capacity Certificates, that the Generator is selling to the buyer</w:t>
      </w:r>
      <w:r w:rsidR="00E74EEE">
        <w:t>; and</w:t>
      </w:r>
    </w:p>
    <w:p w14:paraId="74D0E2A8" w14:textId="1E4A7BDE" w:rsidR="00A06F25" w:rsidRDefault="00A10EFB" w:rsidP="00B03234">
      <w:pPr>
        <w:pStyle w:val="Heading5"/>
      </w:pPr>
      <w:r>
        <w:t>t</w:t>
      </w:r>
      <w:r w:rsidR="00F8490F">
        <w:t xml:space="preserve">he </w:t>
      </w:r>
      <w:r w:rsidR="00126F9D">
        <w:t>effective</w:t>
      </w:r>
      <w:r w:rsidR="0076600D">
        <w:t xml:space="preserve"> dat</w:t>
      </w:r>
      <w:r w:rsidR="00126F9D">
        <w:t>e</w:t>
      </w:r>
      <w:r w:rsidR="0076600D">
        <w:t xml:space="preserve"> and </w:t>
      </w:r>
      <w:r w:rsidR="00F8490F">
        <w:t>duration of the Contract</w:t>
      </w:r>
    </w:p>
    <w:p w14:paraId="5BE6041E" w14:textId="77777777" w:rsidR="00A06F25" w:rsidRDefault="00A36C50" w:rsidP="00C173D0">
      <w:pPr>
        <w:pStyle w:val="Heading3"/>
      </w:pPr>
      <w:r>
        <w:t xml:space="preserve"> </w:t>
      </w:r>
      <w:bookmarkStart w:id="131" w:name="_Ref54980937"/>
      <w:r w:rsidR="00A06F25" w:rsidRPr="00D833C1">
        <w:t xml:space="preserve">Capacity </w:t>
      </w:r>
      <w:r w:rsidR="00A06F25">
        <w:t>a</w:t>
      </w:r>
      <w:r w:rsidR="00A06F25" w:rsidRPr="00D833C1">
        <w:t>nd Associated Energy Supply Contracts</w:t>
      </w:r>
      <w:bookmarkEnd w:id="131"/>
    </w:p>
    <w:p w14:paraId="2501B451" w14:textId="14FDBFBA" w:rsidR="00552F3F" w:rsidRPr="00713FEA" w:rsidRDefault="00552F3F" w:rsidP="00AE1AD1">
      <w:pPr>
        <w:pStyle w:val="Heading4"/>
      </w:pPr>
      <w:r w:rsidRPr="00126F9D">
        <w:t>The</w:t>
      </w:r>
      <w:r w:rsidR="00713FEA" w:rsidRPr="00126F9D">
        <w:t xml:space="preserve"> Standardized</w:t>
      </w:r>
      <w:r w:rsidRPr="00126F9D">
        <w:t xml:space="preserve"> Capacity and Associated Energy Supply Contract is </w:t>
      </w:r>
      <w:r w:rsidR="00713FEA" w:rsidRPr="00126F9D">
        <w:t xml:space="preserve">relatively </w:t>
      </w:r>
      <w:r w:rsidRPr="00126F9D">
        <w:t xml:space="preserve">similar to the Generation Following Supply Contracts, but it </w:t>
      </w:r>
      <w:r w:rsidR="00A25AC5">
        <w:t xml:space="preserve">may </w:t>
      </w:r>
      <w:r w:rsidR="00A25AC5" w:rsidRPr="00126F9D">
        <w:t xml:space="preserve">also </w:t>
      </w:r>
      <w:r w:rsidRPr="00126F9D">
        <w:t xml:space="preserve">be used </w:t>
      </w:r>
      <w:r w:rsidR="00713FEA" w:rsidRPr="00126F9D">
        <w:t xml:space="preserve">by </w:t>
      </w:r>
      <w:r w:rsidRPr="00126F9D">
        <w:t>BPCs.</w:t>
      </w:r>
      <w:r w:rsidR="00126F9D">
        <w:t xml:space="preserve"> </w:t>
      </w:r>
      <w:r w:rsidRPr="00713FEA">
        <w:t xml:space="preserve"> </w:t>
      </w:r>
      <w:r w:rsidR="00126F9D" w:rsidRPr="00126F9D">
        <w:t xml:space="preserve">In a Standardized </w:t>
      </w:r>
      <w:r w:rsidR="00A25AC5" w:rsidRPr="00A25AC5">
        <w:t xml:space="preserve">Capacity </w:t>
      </w:r>
      <w:r w:rsidR="00A25AC5">
        <w:t>a</w:t>
      </w:r>
      <w:r w:rsidR="00A25AC5" w:rsidRPr="00A25AC5">
        <w:t xml:space="preserve">nd Associated Energy </w:t>
      </w:r>
      <w:r w:rsidR="00126F9D" w:rsidRPr="00126F9D">
        <w:t xml:space="preserve">Supply Contract, the seller may sell: </w:t>
      </w:r>
      <w:r w:rsidRPr="00713FEA">
        <w:t xml:space="preserve">  </w:t>
      </w:r>
    </w:p>
    <w:p w14:paraId="4D6F3CC6" w14:textId="523D8C20" w:rsidR="00552F3F" w:rsidRPr="00713FEA" w:rsidRDefault="00412F3D" w:rsidP="00B03234">
      <w:pPr>
        <w:pStyle w:val="Heading5"/>
      </w:pPr>
      <w:r>
        <w:t>a</w:t>
      </w:r>
      <w:r w:rsidR="00552F3F" w:rsidRPr="00713FEA">
        <w:t xml:space="preserve"> defined percentage of the Capacity of the </w:t>
      </w:r>
      <w:r w:rsidR="00E678E5" w:rsidRPr="00713FEA">
        <w:t>Physical Asset</w:t>
      </w:r>
      <w:r w:rsidR="00552F3F" w:rsidRPr="00713FEA">
        <w:t xml:space="preserve"> or assets; and</w:t>
      </w:r>
    </w:p>
    <w:p w14:paraId="3F7B5E5B" w14:textId="6F937CE1" w:rsidR="00552F3F" w:rsidRPr="00713FEA" w:rsidRDefault="00412F3D" w:rsidP="00B03234">
      <w:pPr>
        <w:pStyle w:val="Heading5"/>
      </w:pPr>
      <w:r>
        <w:t>a</w:t>
      </w:r>
      <w:r w:rsidR="00552F3F" w:rsidRPr="00713FEA">
        <w:t xml:space="preserve"> defined percentage of the </w:t>
      </w:r>
      <w:r w:rsidR="00713FEA" w:rsidRPr="00713FEA">
        <w:t>E</w:t>
      </w:r>
      <w:r w:rsidR="00552F3F" w:rsidRPr="00713FEA">
        <w:t xml:space="preserve">nergy injected </w:t>
      </w:r>
      <w:r w:rsidR="00713FEA" w:rsidRPr="00713FEA">
        <w:t>in</w:t>
      </w:r>
      <w:r w:rsidR="00552F3F" w:rsidRPr="00713FEA">
        <w:t xml:space="preserve">to the </w:t>
      </w:r>
      <w:r w:rsidR="00B64708">
        <w:t>Grid System</w:t>
      </w:r>
    </w:p>
    <w:p w14:paraId="7ADFAE82" w14:textId="6939227D" w:rsidR="00552F3F" w:rsidRDefault="00552F3F" w:rsidP="005B295A">
      <w:pPr>
        <w:pStyle w:val="Heading4"/>
      </w:pPr>
      <w:r>
        <w:t xml:space="preserve">This </w:t>
      </w:r>
      <w:r w:rsidR="003A578F">
        <w:t>Contract</w:t>
      </w:r>
      <w:r>
        <w:t xml:space="preserve"> </w:t>
      </w:r>
      <w:r w:rsidR="00126F9D">
        <w:t xml:space="preserve">shall </w:t>
      </w:r>
      <w:r w:rsidR="00126F9D" w:rsidRPr="001744B4">
        <w:t>have</w:t>
      </w:r>
      <w:r w:rsidR="00A25AC5" w:rsidRPr="001744B4">
        <w:t xml:space="preserve">, </w:t>
      </w:r>
      <w:r w:rsidR="00A25AC5" w:rsidRPr="00B03C4A">
        <w:rPr>
          <w:i/>
          <w:iCs w:val="0"/>
        </w:rPr>
        <w:t>inter alia</w:t>
      </w:r>
      <w:r w:rsidR="00A25AC5" w:rsidRPr="001744B4">
        <w:t>,</w:t>
      </w:r>
      <w:r w:rsidR="00126F9D">
        <w:t xml:space="preserve"> </w:t>
      </w:r>
      <w:r>
        <w:t>the following characteristics:</w:t>
      </w:r>
    </w:p>
    <w:p w14:paraId="7236AF2E" w14:textId="35064457" w:rsidR="00552F3F" w:rsidRPr="0067396F" w:rsidRDefault="00A25AC5" w:rsidP="00B03234">
      <w:pPr>
        <w:pStyle w:val="Heading5"/>
      </w:pPr>
      <w:r>
        <w:t>the seller either may be a Generator or an Electric Power Trader and the buyer either may be an Electric Power Supplier, an Electric Power Trader</w:t>
      </w:r>
      <w:r w:rsidRPr="0067396F" w:rsidDel="00126F9D">
        <w:t xml:space="preserve"> </w:t>
      </w:r>
      <w:r w:rsidR="00552F3F" w:rsidRPr="0067396F">
        <w:t>or a BPC;</w:t>
      </w:r>
    </w:p>
    <w:p w14:paraId="36EB5E97" w14:textId="3BC7A953" w:rsidR="00552F3F" w:rsidRDefault="00126F9D" w:rsidP="00B03234">
      <w:pPr>
        <w:pStyle w:val="Heading5"/>
      </w:pPr>
      <w:r>
        <w:t>t</w:t>
      </w:r>
      <w:r w:rsidR="00552F3F">
        <w:t xml:space="preserve">he Contract </w:t>
      </w:r>
      <w:r w:rsidR="00A25AC5">
        <w:t xml:space="preserve">shall be </w:t>
      </w:r>
      <w:r w:rsidR="00552F3F">
        <w:t xml:space="preserve">associated </w:t>
      </w:r>
      <w:r w:rsidR="00412F3D">
        <w:t xml:space="preserve">with </w:t>
      </w:r>
      <w:r w:rsidR="00552F3F">
        <w:t xml:space="preserve">a </w:t>
      </w:r>
      <w:r w:rsidR="00E678E5">
        <w:t>Physical Asset</w:t>
      </w:r>
      <w:r w:rsidR="00552F3F">
        <w:t xml:space="preserve"> or group of </w:t>
      </w:r>
      <w:r w:rsidR="0067396F">
        <w:t>P</w:t>
      </w:r>
      <w:r w:rsidR="00552F3F">
        <w:t xml:space="preserve">hysical  </w:t>
      </w:r>
      <w:r w:rsidR="0067396F">
        <w:t>A</w:t>
      </w:r>
      <w:r w:rsidR="00552F3F">
        <w:t xml:space="preserve">ssets, </w:t>
      </w:r>
      <w:r w:rsidR="00412F3D">
        <w:t xml:space="preserve">clearly </w:t>
      </w:r>
      <w:r w:rsidR="00552F3F">
        <w:t>identified;</w:t>
      </w:r>
    </w:p>
    <w:p w14:paraId="7E988977" w14:textId="765C694E" w:rsidR="00552F3F" w:rsidRPr="00A36C50" w:rsidRDefault="00412F3D" w:rsidP="00B03234">
      <w:pPr>
        <w:pStyle w:val="Heading5"/>
      </w:pPr>
      <w:r>
        <w:t>t</w:t>
      </w:r>
      <w:r w:rsidR="00552F3F">
        <w:t xml:space="preserve">he Generator </w:t>
      </w:r>
      <w:r>
        <w:t xml:space="preserve">shall be </w:t>
      </w:r>
      <w:r w:rsidR="00552F3F">
        <w:t xml:space="preserve">subject to Centralized Dispatch, </w:t>
      </w:r>
      <w:r>
        <w:t xml:space="preserve">according to </w:t>
      </w:r>
      <w:r w:rsidR="00701183">
        <w:t xml:space="preserve"> </w:t>
      </w:r>
      <w:r w:rsidR="00552F3F">
        <w:t xml:space="preserve">the </w:t>
      </w:r>
      <w:r>
        <w:t xml:space="preserve">provisions of </w:t>
      </w:r>
      <w:r w:rsidR="00552F3F">
        <w:t xml:space="preserve"> the Grid Code and </w:t>
      </w:r>
      <w:r w:rsidR="00F05124">
        <w:t>this Code</w:t>
      </w:r>
      <w:r w:rsidR="00552F3F">
        <w:t>.</w:t>
      </w:r>
    </w:p>
    <w:p w14:paraId="146A9E41" w14:textId="77777777" w:rsidR="00412F3D" w:rsidRDefault="00412F3D" w:rsidP="00412F3D">
      <w:pPr>
        <w:pStyle w:val="Heading5"/>
      </w:pPr>
      <w:r>
        <w:t xml:space="preserve">the amount of Energy bought and sold shall be a defined percentage of all the Energy injected into the Grid System by the associated Generation Plant at each Trading Period; </w:t>
      </w:r>
    </w:p>
    <w:p w14:paraId="5945E89F" w14:textId="77777777" w:rsidR="00412F3D" w:rsidRDefault="00412F3D" w:rsidP="00412F3D">
      <w:pPr>
        <w:pStyle w:val="Heading5"/>
      </w:pPr>
      <w:r>
        <w:t>the amount of Capacity bought and sold shall be a defined percentage of the Firm Capacity Certificates issued by the Market Operator, associated with the Physical Asset;</w:t>
      </w:r>
    </w:p>
    <w:p w14:paraId="59005038" w14:textId="20348D45" w:rsidR="00552F3F" w:rsidRDefault="00412F3D" w:rsidP="00B03234">
      <w:pPr>
        <w:pStyle w:val="Heading5"/>
      </w:pPr>
      <w:r>
        <w:t>the percentages used for the Capacity and the Energy may be different ranging from zero [0%] to one hundred [100%];</w:t>
      </w:r>
    </w:p>
    <w:p w14:paraId="7C1251A0" w14:textId="1B1C47BE" w:rsidR="00552F3F" w:rsidRDefault="00412F3D" w:rsidP="00B03234">
      <w:pPr>
        <w:pStyle w:val="Heading5"/>
      </w:pPr>
      <w:r>
        <w:t>t</w:t>
      </w:r>
      <w:r w:rsidR="00552F3F">
        <w:t xml:space="preserve">he Capacity </w:t>
      </w:r>
      <w:r w:rsidR="00EC1896">
        <w:t>bought and sold</w:t>
      </w:r>
      <w:r w:rsidR="00552F3F">
        <w:t xml:space="preserve"> can be Guaranteed or Non-Guaranteed, as agreed by the parties; </w:t>
      </w:r>
    </w:p>
    <w:p w14:paraId="1127D1C0" w14:textId="0D53922C" w:rsidR="00E74EEE" w:rsidRDefault="00412F3D" w:rsidP="00B03234">
      <w:pPr>
        <w:pStyle w:val="Heading5"/>
      </w:pPr>
      <w:r>
        <w:lastRenderedPageBreak/>
        <w:t xml:space="preserve">the </w:t>
      </w:r>
      <w:r w:rsidR="00552F3F">
        <w:t xml:space="preserve">revenues that the Generator </w:t>
      </w:r>
      <w:r>
        <w:t xml:space="preserve">may be </w:t>
      </w:r>
      <w:r w:rsidR="00A25AC5">
        <w:t xml:space="preserve">eligible </w:t>
      </w:r>
      <w:r w:rsidR="00552F3F">
        <w:t>to receive for the provision of Ancillary Services</w:t>
      </w:r>
      <w:r>
        <w:t xml:space="preserve"> and Must Run Generation</w:t>
      </w:r>
      <w:r w:rsidR="00552F3F">
        <w:t xml:space="preserve"> may be assigned to the buyer</w:t>
      </w:r>
      <w:r w:rsidR="00713FEA">
        <w:t xml:space="preserve"> or the seller</w:t>
      </w:r>
      <w:r w:rsidR="00552F3F">
        <w:t xml:space="preserve">, </w:t>
      </w:r>
      <w:r w:rsidR="008B2066">
        <w:t>as per information provided by the parties to</w:t>
      </w:r>
      <w:r w:rsidR="00EF46B0">
        <w:t xml:space="preserve"> the Market Operator</w:t>
      </w:r>
      <w:r w:rsidR="008B2066">
        <w:t xml:space="preserve"> during Contract registration process</w:t>
      </w:r>
      <w:r w:rsidR="00E74EEE">
        <w:t>; and</w:t>
      </w:r>
    </w:p>
    <w:p w14:paraId="65D26CCC" w14:textId="61BD00F8" w:rsidR="00552F3F" w:rsidRDefault="00A10EFB" w:rsidP="00B03234">
      <w:pPr>
        <w:pStyle w:val="Heading5"/>
      </w:pPr>
      <w:r>
        <w:t>t</w:t>
      </w:r>
      <w:r w:rsidR="00E74EEE">
        <w:t xml:space="preserve">he duration of the Contract </w:t>
      </w:r>
      <w:r w:rsidR="008B2066">
        <w:t>shall be</w:t>
      </w:r>
      <w:r w:rsidR="00E74EEE">
        <w:t xml:space="preserve">, </w:t>
      </w:r>
      <w:r w:rsidR="00E74EEE" w:rsidRPr="00D236C0">
        <w:t xml:space="preserve">at least, </w:t>
      </w:r>
      <w:r w:rsidR="00EF46B0" w:rsidRPr="00B03C4A">
        <w:t>two (2)</w:t>
      </w:r>
      <w:r w:rsidR="00EF46B0" w:rsidRPr="00D236C0">
        <w:t xml:space="preserve"> </w:t>
      </w:r>
      <w:r w:rsidR="00E74EEE" w:rsidRPr="00D236C0">
        <w:t>year</w:t>
      </w:r>
      <w:r w:rsidR="00EF46B0" w:rsidRPr="00D236C0">
        <w:t xml:space="preserve">s starting from the </w:t>
      </w:r>
      <w:r w:rsidR="008B2066" w:rsidRPr="00D236C0">
        <w:t xml:space="preserve">effective </w:t>
      </w:r>
      <w:r w:rsidR="00EF46B0" w:rsidRPr="00D236C0">
        <w:t xml:space="preserve">date of the </w:t>
      </w:r>
      <w:r w:rsidR="00B74EEF" w:rsidRPr="00D236C0">
        <w:t>C</w:t>
      </w:r>
      <w:r w:rsidR="00EF46B0" w:rsidRPr="00D236C0">
        <w:t>ontract</w:t>
      </w:r>
      <w:r w:rsidR="00552F3F" w:rsidRPr="00D236C0">
        <w:t>.</w:t>
      </w:r>
    </w:p>
    <w:p w14:paraId="54A4A9BF" w14:textId="62EDF3AB" w:rsidR="00552F3F" w:rsidRDefault="00552F3F" w:rsidP="005B295A">
      <w:pPr>
        <w:pStyle w:val="Heading4"/>
      </w:pPr>
      <w:r>
        <w:t xml:space="preserve">Following information shall be provided by the parties during the </w:t>
      </w:r>
      <w:r w:rsidR="00A25AC5">
        <w:t xml:space="preserve">Contract </w:t>
      </w:r>
      <w:r>
        <w:t xml:space="preserve">registration process: </w:t>
      </w:r>
    </w:p>
    <w:p w14:paraId="1E021D66" w14:textId="77777777" w:rsidR="008B2066" w:rsidRDefault="008B2066" w:rsidP="008B2066">
      <w:pPr>
        <w:pStyle w:val="Heading5"/>
      </w:pPr>
      <w:r>
        <w:t>i</w:t>
      </w:r>
      <w:r w:rsidRPr="0042506C">
        <w:t>d</w:t>
      </w:r>
      <w:r w:rsidRPr="00926094">
        <w:t>entification of the buyer and seller;</w:t>
      </w:r>
    </w:p>
    <w:p w14:paraId="522E98B6" w14:textId="0E538851" w:rsidR="008B2066" w:rsidRPr="00412F3D" w:rsidRDefault="008B2066" w:rsidP="008B2066">
      <w:pPr>
        <w:pStyle w:val="Heading5"/>
      </w:pPr>
      <w:r>
        <w:t xml:space="preserve">identification of the Physical Asset or assets and the corresponding Trading Points for </w:t>
      </w:r>
      <w:r w:rsidRPr="00412F3D">
        <w:t xml:space="preserve">the </w:t>
      </w:r>
      <w:r w:rsidR="00A25AC5">
        <w:t xml:space="preserve">commercial </w:t>
      </w:r>
      <w:r w:rsidRPr="00412F3D">
        <w:t>transactions;</w:t>
      </w:r>
    </w:p>
    <w:p w14:paraId="60A562F8" w14:textId="77777777" w:rsidR="008B2066" w:rsidRPr="00412F3D" w:rsidRDefault="008B2066" w:rsidP="008B2066">
      <w:pPr>
        <w:pStyle w:val="Heading5"/>
      </w:pPr>
      <w:r w:rsidRPr="00412F3D">
        <w:t>a defined percentage of the total Energy injected into the Grid System by the seller which shall be considered to calculate the contracted quantities;</w:t>
      </w:r>
    </w:p>
    <w:p w14:paraId="43D2B0AA" w14:textId="7E3F62B8" w:rsidR="008B2066" w:rsidRDefault="008B2066" w:rsidP="008B2066">
      <w:pPr>
        <w:pStyle w:val="Heading5"/>
      </w:pPr>
      <w:r>
        <w:t xml:space="preserve">number of Firm Capacity Certificates, associated with the Physical Asset involved in the commercial transaction; </w:t>
      </w:r>
    </w:p>
    <w:p w14:paraId="04D04B2B" w14:textId="77777777" w:rsidR="008B2066" w:rsidRDefault="008B2066" w:rsidP="008B2066">
      <w:pPr>
        <w:pStyle w:val="Heading5"/>
      </w:pPr>
      <w:r>
        <w:t>declaration of percentage of the total Capacity, backed by Firm Capacity Certificates, that the Generator is selling to the buyer; and</w:t>
      </w:r>
    </w:p>
    <w:p w14:paraId="4F5AED3B" w14:textId="155EC23A" w:rsidR="00AC4F0C" w:rsidRDefault="008B2066" w:rsidP="00AE1AD1">
      <w:pPr>
        <w:pStyle w:val="Heading5"/>
      </w:pPr>
      <w:r>
        <w:t>declaration w</w:t>
      </w:r>
      <w:r w:rsidR="00340DCB">
        <w:t>hether t</w:t>
      </w:r>
      <w:r w:rsidR="00EF46B0">
        <w:t>he Capacity</w:t>
      </w:r>
      <w:r w:rsidR="00AC4F0C">
        <w:t xml:space="preserve"> </w:t>
      </w:r>
      <w:r w:rsidR="00EF46B0">
        <w:t xml:space="preserve">sold and bought </w:t>
      </w:r>
      <w:r w:rsidR="00AC4F0C">
        <w:t xml:space="preserve">shall be </w:t>
      </w:r>
      <w:r w:rsidR="00340DCB">
        <w:t xml:space="preserve">considered as </w:t>
      </w:r>
      <w:r w:rsidR="00AC4F0C">
        <w:t>Guaranteed</w:t>
      </w:r>
      <w:r w:rsidR="00340DCB">
        <w:t xml:space="preserve"> or Non-Guaranteed</w:t>
      </w:r>
      <w:r w:rsidR="00AC4F0C">
        <w:t xml:space="preserve">; </w:t>
      </w:r>
    </w:p>
    <w:p w14:paraId="20C417FC" w14:textId="1DA00C00" w:rsidR="004F3D35" w:rsidRDefault="008B2066" w:rsidP="004F3D35">
      <w:pPr>
        <w:pStyle w:val="Heading5"/>
      </w:pPr>
      <w:r>
        <w:t xml:space="preserve">declaration regarding assigning the </w:t>
      </w:r>
      <w:r w:rsidR="004F3D35">
        <w:t xml:space="preserve">revenues that the Generator </w:t>
      </w:r>
      <w:r w:rsidR="008A621F">
        <w:t xml:space="preserve">may be </w:t>
      </w:r>
      <w:r w:rsidR="00A25AC5">
        <w:t xml:space="preserve">eligible </w:t>
      </w:r>
      <w:r w:rsidR="004F3D35">
        <w:t>to receive for the provision of Ancillary Services</w:t>
      </w:r>
      <w:r>
        <w:t xml:space="preserve"> and Must Run Generation</w:t>
      </w:r>
      <w:r w:rsidR="004F3D35">
        <w:t xml:space="preserve"> to the buyer or the seller; and</w:t>
      </w:r>
    </w:p>
    <w:p w14:paraId="67E30B2A" w14:textId="3559F8E0" w:rsidR="00EF46B0" w:rsidRPr="00EF46B0" w:rsidRDefault="00A10EFB" w:rsidP="005B5C64">
      <w:pPr>
        <w:pStyle w:val="Heading5"/>
      </w:pPr>
      <w:r>
        <w:t>t</w:t>
      </w:r>
      <w:r w:rsidR="00EF46B0">
        <w:t xml:space="preserve">he </w:t>
      </w:r>
      <w:r w:rsidR="008B2066">
        <w:t xml:space="preserve">effective </w:t>
      </w:r>
      <w:r w:rsidR="00EF46B0">
        <w:t xml:space="preserve">date and duration of the Contract. </w:t>
      </w:r>
    </w:p>
    <w:p w14:paraId="3EACB1A1" w14:textId="3753034A" w:rsidR="00C05033" w:rsidRDefault="00F34B59" w:rsidP="00C173D0">
      <w:pPr>
        <w:pStyle w:val="Heading3"/>
      </w:pPr>
      <w:bookmarkStart w:id="132" w:name="_Ref54980947"/>
      <w:r w:rsidRPr="00D833C1">
        <w:t>Load Following Supply Contracts</w:t>
      </w:r>
      <w:bookmarkEnd w:id="132"/>
    </w:p>
    <w:p w14:paraId="748C10A5" w14:textId="61AE83BF" w:rsidR="0085412A" w:rsidRPr="006851C5" w:rsidRDefault="00E74EEE" w:rsidP="005B295A">
      <w:pPr>
        <w:pStyle w:val="Heading4"/>
      </w:pPr>
      <w:r>
        <w:t xml:space="preserve">In </w:t>
      </w:r>
      <w:r w:rsidR="002923BC">
        <w:t>a</w:t>
      </w:r>
      <w:r w:rsidR="002923BC" w:rsidRPr="006851C5">
        <w:t xml:space="preserve"> </w:t>
      </w:r>
      <w:r w:rsidR="004F3D35" w:rsidRPr="00D439C0">
        <w:t xml:space="preserve">Standardized </w:t>
      </w:r>
      <w:r w:rsidR="0085412A" w:rsidRPr="00D439C0">
        <w:t>Load Following</w:t>
      </w:r>
      <w:r w:rsidR="00001323" w:rsidRPr="00D439C0">
        <w:t xml:space="preserve"> Supply Contract</w:t>
      </w:r>
      <w:r w:rsidR="002923BC">
        <w:t>,</w:t>
      </w:r>
      <w:r w:rsidR="00001323" w:rsidRPr="00D439C0">
        <w:t xml:space="preserve"> </w:t>
      </w:r>
      <w:r w:rsidR="0085412A" w:rsidRPr="00D439C0">
        <w:t>the</w:t>
      </w:r>
      <w:r w:rsidR="0085412A" w:rsidRPr="006851C5">
        <w:t xml:space="preserve"> seller </w:t>
      </w:r>
      <w:r w:rsidR="002923BC">
        <w:t xml:space="preserve">may </w:t>
      </w:r>
      <w:r w:rsidR="0085412A" w:rsidRPr="006851C5">
        <w:t xml:space="preserve">sell all the </w:t>
      </w:r>
      <w:r w:rsidR="004F3D35">
        <w:t>E</w:t>
      </w:r>
      <w:r w:rsidR="0085412A" w:rsidRPr="006851C5">
        <w:t xml:space="preserve">nergy and </w:t>
      </w:r>
      <w:r w:rsidR="004F3D35">
        <w:t>C</w:t>
      </w:r>
      <w:r w:rsidR="0085412A" w:rsidRPr="006851C5">
        <w:t xml:space="preserve">apacity </w:t>
      </w:r>
      <w:r w:rsidR="002923BC">
        <w:t>which may be withdrawn</w:t>
      </w:r>
      <w:r w:rsidR="002923BC" w:rsidRPr="006851C5">
        <w:t xml:space="preserve"> </w:t>
      </w:r>
      <w:r w:rsidR="0085412A" w:rsidRPr="006851C5">
        <w:t xml:space="preserve">by the buyer at a set of pre-defined </w:t>
      </w:r>
      <w:r w:rsidR="00FA0AAE">
        <w:t>Trading Point</w:t>
      </w:r>
      <w:r w:rsidR="0085412A" w:rsidRPr="006851C5">
        <w:t xml:space="preserve">s. The seller </w:t>
      </w:r>
      <w:r w:rsidR="0075496F">
        <w:t xml:space="preserve">shall </w:t>
      </w:r>
      <w:r w:rsidR="0085412A" w:rsidRPr="006851C5">
        <w:t xml:space="preserve">assume </w:t>
      </w:r>
      <w:r w:rsidR="0075496F">
        <w:t>complete responsibility for the obligations of the</w:t>
      </w:r>
      <w:r w:rsidR="0085412A" w:rsidRPr="006851C5">
        <w:t xml:space="preserve"> buyer in the </w:t>
      </w:r>
      <w:r w:rsidR="004F3D35" w:rsidRPr="006851C5">
        <w:t xml:space="preserve">Balancing Mechanisms </w:t>
      </w:r>
      <w:r w:rsidR="004F3D35">
        <w:t xml:space="preserve">for </w:t>
      </w:r>
      <w:r w:rsidR="0085412A" w:rsidRPr="006851C5">
        <w:t xml:space="preserve">Energy and Capacity, </w:t>
      </w:r>
      <w:r w:rsidR="0075496F">
        <w:t xml:space="preserve">as well as for </w:t>
      </w:r>
      <w:r w:rsidR="0085412A" w:rsidRPr="006851C5">
        <w:t>the Capacity Obligations</w:t>
      </w:r>
      <w:r w:rsidR="004F3D35">
        <w:t xml:space="preserve"> imposed on the buyer</w:t>
      </w:r>
      <w:r w:rsidR="0085412A" w:rsidRPr="006851C5">
        <w:t>.</w:t>
      </w:r>
    </w:p>
    <w:p w14:paraId="085FA619" w14:textId="6B3F200B" w:rsidR="00001323" w:rsidRDefault="00001323" w:rsidP="005B295A">
      <w:pPr>
        <w:pStyle w:val="Heading4"/>
      </w:pPr>
      <w:r>
        <w:t xml:space="preserve">This </w:t>
      </w:r>
      <w:r w:rsidR="003A578F">
        <w:t>Contract</w:t>
      </w:r>
      <w:r>
        <w:t xml:space="preserve"> </w:t>
      </w:r>
      <w:r w:rsidR="0075496F" w:rsidRPr="001744B4">
        <w:t xml:space="preserve">shall have, </w:t>
      </w:r>
      <w:r w:rsidR="0075496F" w:rsidRPr="00B03C4A">
        <w:rPr>
          <w:i/>
          <w:iCs w:val="0"/>
        </w:rPr>
        <w:t>inter alia,</w:t>
      </w:r>
      <w:r w:rsidR="0075496F" w:rsidRPr="001744B4">
        <w:t xml:space="preserve"> </w:t>
      </w:r>
      <w:r w:rsidRPr="001744B4">
        <w:t>the fo</w:t>
      </w:r>
      <w:r>
        <w:t>llowing characteristics:</w:t>
      </w:r>
    </w:p>
    <w:p w14:paraId="00322F3D" w14:textId="0AC2DF69" w:rsidR="0085412A" w:rsidRPr="006851C5" w:rsidRDefault="0075496F" w:rsidP="00B03234">
      <w:pPr>
        <w:pStyle w:val="Heading5"/>
      </w:pPr>
      <w:r>
        <w:t>t</w:t>
      </w:r>
      <w:r w:rsidR="00001323" w:rsidRPr="006851C5">
        <w:t xml:space="preserve">he seller </w:t>
      </w:r>
      <w:r>
        <w:t>may be</w:t>
      </w:r>
      <w:r w:rsidRPr="006851C5">
        <w:t xml:space="preserve"> </w:t>
      </w:r>
      <w:r w:rsidR="00001323" w:rsidRPr="006851C5">
        <w:t xml:space="preserve">a Generator, </w:t>
      </w:r>
      <w:r>
        <w:t>a</w:t>
      </w:r>
      <w:r w:rsidR="00001323" w:rsidRPr="006851C5">
        <w:t xml:space="preserve"> Base</w:t>
      </w:r>
      <w:r>
        <w:t xml:space="preserve"> Supplier,</w:t>
      </w:r>
      <w:r w:rsidR="00001323" w:rsidRPr="006851C5">
        <w:t xml:space="preserve"> </w:t>
      </w:r>
      <w:r>
        <w:t>a</w:t>
      </w:r>
      <w:r w:rsidRPr="006851C5">
        <w:t xml:space="preserve"> </w:t>
      </w:r>
      <w:r w:rsidR="00001323" w:rsidRPr="006851C5">
        <w:t xml:space="preserve">Competitive </w:t>
      </w:r>
      <w:r w:rsidR="00BF564D">
        <w:t>Electric Power Supplier</w:t>
      </w:r>
      <w:r w:rsidR="00001323" w:rsidRPr="006851C5">
        <w:t xml:space="preserve"> or a</w:t>
      </w:r>
      <w:r w:rsidR="00BF564D">
        <w:t>n</w:t>
      </w:r>
      <w:r w:rsidR="00001323" w:rsidRPr="006851C5">
        <w:t xml:space="preserve"> </w:t>
      </w:r>
      <w:r w:rsidR="00BF564D">
        <w:t>Electric Power Trader</w:t>
      </w:r>
    </w:p>
    <w:p w14:paraId="5873B192" w14:textId="6064FADA" w:rsidR="00001323" w:rsidRPr="006851C5" w:rsidRDefault="0075496F" w:rsidP="00B03234">
      <w:pPr>
        <w:pStyle w:val="Heading5"/>
      </w:pPr>
      <w:r>
        <w:t>t</w:t>
      </w:r>
      <w:r w:rsidR="0085412A" w:rsidRPr="006851C5">
        <w:t>he buyer</w:t>
      </w:r>
      <w:r w:rsidR="00001323" w:rsidRPr="006851C5">
        <w:t xml:space="preserve"> </w:t>
      </w:r>
      <w:r>
        <w:t>may be</w:t>
      </w:r>
      <w:r w:rsidRPr="006851C5">
        <w:t xml:space="preserve"> </w:t>
      </w:r>
      <w:r w:rsidR="00001323" w:rsidRPr="006851C5">
        <w:t xml:space="preserve">a Competitive </w:t>
      </w:r>
      <w:r w:rsidR="00BF564D">
        <w:t>Electric Power Supplier</w:t>
      </w:r>
      <w:r w:rsidR="00001323" w:rsidRPr="006851C5">
        <w:t>, a</w:t>
      </w:r>
      <w:r w:rsidR="00BF564D">
        <w:t>n</w:t>
      </w:r>
      <w:r w:rsidR="00001323" w:rsidRPr="006851C5">
        <w:t xml:space="preserve"> </w:t>
      </w:r>
      <w:r w:rsidR="00BF564D">
        <w:t>Electric Power Trader</w:t>
      </w:r>
      <w:r w:rsidR="00001323" w:rsidRPr="006851C5">
        <w:t xml:space="preserve"> or a BPC</w:t>
      </w:r>
      <w:r w:rsidR="0085412A" w:rsidRPr="006851C5">
        <w:t xml:space="preserve">, and the </w:t>
      </w:r>
      <w:r w:rsidR="00FA0AAE">
        <w:t>Trading Point</w:t>
      </w:r>
      <w:r w:rsidR="0085412A" w:rsidRPr="006851C5">
        <w:t xml:space="preserve">s </w:t>
      </w:r>
      <w:r>
        <w:t>in such a Contract</w:t>
      </w:r>
      <w:r w:rsidRPr="006851C5">
        <w:t xml:space="preserve"> </w:t>
      </w:r>
      <w:r>
        <w:t>shall be</w:t>
      </w:r>
      <w:r w:rsidR="0085412A" w:rsidRPr="006851C5">
        <w:t xml:space="preserve"> </w:t>
      </w:r>
      <w:r w:rsidR="00400322" w:rsidRPr="006851C5">
        <w:t>demand points</w:t>
      </w:r>
      <w:r>
        <w:t xml:space="preserve"> where the</w:t>
      </w:r>
      <w:r w:rsidR="00400322" w:rsidRPr="006851C5">
        <w:t xml:space="preserve"> </w:t>
      </w:r>
      <w:r w:rsidR="0046412E">
        <w:t>Energy</w:t>
      </w:r>
      <w:r w:rsidR="00400322" w:rsidRPr="006851C5">
        <w:t xml:space="preserve"> always flow from the seller side to the buyer side</w:t>
      </w:r>
      <w:r w:rsidR="00001323" w:rsidRPr="006851C5">
        <w:t>;</w:t>
      </w:r>
    </w:p>
    <w:p w14:paraId="6970197C" w14:textId="181FE679" w:rsidR="00001323" w:rsidRPr="006851C5" w:rsidRDefault="006851C5" w:rsidP="00B03234">
      <w:pPr>
        <w:pStyle w:val="Heading5"/>
      </w:pPr>
      <w:r>
        <w:t xml:space="preserve">The </w:t>
      </w:r>
      <w:r w:rsidR="003A578F">
        <w:t>Contract</w:t>
      </w:r>
      <w:r>
        <w:t xml:space="preserve"> </w:t>
      </w:r>
      <w:r w:rsidR="0075496F">
        <w:t xml:space="preserve">shall be </w:t>
      </w:r>
      <w:r>
        <w:t xml:space="preserve">associated </w:t>
      </w:r>
      <w:r w:rsidR="0075496F">
        <w:t xml:space="preserve">with </w:t>
      </w:r>
      <w:r>
        <w:t xml:space="preserve">a set of </w:t>
      </w:r>
      <w:r w:rsidR="0075496F">
        <w:t xml:space="preserve">clearly identified </w:t>
      </w:r>
      <w:r w:rsidR="00FA0AAE">
        <w:t>Trading Point</w:t>
      </w:r>
      <w:r>
        <w:t>s</w:t>
      </w:r>
      <w:r w:rsidR="00E74EEE">
        <w:t xml:space="preserve">. </w:t>
      </w:r>
      <w:r w:rsidR="0075496F">
        <w:t>This type of</w:t>
      </w:r>
      <w:r w:rsidR="0075496F" w:rsidRPr="006851C5">
        <w:t xml:space="preserve"> </w:t>
      </w:r>
      <w:r w:rsidR="00001323" w:rsidRPr="006851C5">
        <w:t xml:space="preserve">Contract </w:t>
      </w:r>
      <w:r w:rsidR="0075496F">
        <w:t>shall</w:t>
      </w:r>
      <w:r w:rsidR="0075496F" w:rsidRPr="006851C5">
        <w:t xml:space="preserve"> </w:t>
      </w:r>
      <w:r w:rsidR="00001323" w:rsidRPr="006851C5">
        <w:t>not necessarily</w:t>
      </w:r>
      <w:r w:rsidR="0075496F">
        <w:t xml:space="preserve"> be</w:t>
      </w:r>
      <w:r w:rsidR="00001323" w:rsidRPr="006851C5">
        <w:t xml:space="preserve"> associated </w:t>
      </w:r>
      <w:r w:rsidR="002F76EA">
        <w:t>with</w:t>
      </w:r>
      <w:r w:rsidR="002F76EA" w:rsidRPr="006851C5">
        <w:t xml:space="preserve"> </w:t>
      </w:r>
      <w:r w:rsidR="00001323" w:rsidRPr="006851C5">
        <w:t xml:space="preserve">a </w:t>
      </w:r>
      <w:r w:rsidR="00E678E5">
        <w:t>Physical Asset</w:t>
      </w:r>
      <w:r w:rsidR="00001323" w:rsidRPr="006851C5">
        <w:t xml:space="preserve"> or group of </w:t>
      </w:r>
      <w:r w:rsidR="0067396F">
        <w:t>P</w:t>
      </w:r>
      <w:r w:rsidR="00001323" w:rsidRPr="006851C5">
        <w:t xml:space="preserve">hysical </w:t>
      </w:r>
      <w:r w:rsidR="0067396F">
        <w:t>A</w:t>
      </w:r>
      <w:r w:rsidR="00001323" w:rsidRPr="006851C5">
        <w:t>ssets;</w:t>
      </w:r>
    </w:p>
    <w:p w14:paraId="551E0DD7" w14:textId="1AD979B0" w:rsidR="00001323" w:rsidRPr="006851C5" w:rsidRDefault="002F76EA" w:rsidP="00B03234">
      <w:pPr>
        <w:pStyle w:val="Heading5"/>
      </w:pPr>
      <w:r>
        <w:t>t</w:t>
      </w:r>
      <w:r w:rsidR="00001323" w:rsidRPr="006851C5">
        <w:t xml:space="preserve">he amount </w:t>
      </w:r>
      <w:r w:rsidR="00001323" w:rsidRPr="00ED0FB0">
        <w:t xml:space="preserve">of Energy </w:t>
      </w:r>
      <w:r w:rsidR="00EC1896" w:rsidRPr="00ED0FB0">
        <w:t>bought and sold</w:t>
      </w:r>
      <w:r w:rsidR="00001323" w:rsidRPr="00ED0FB0">
        <w:t xml:space="preserve"> is the</w:t>
      </w:r>
      <w:r w:rsidR="00001323" w:rsidRPr="006851C5">
        <w:t xml:space="preserve"> total </w:t>
      </w:r>
      <w:r w:rsidR="004F3D35">
        <w:t>E</w:t>
      </w:r>
      <w:r w:rsidR="00001323" w:rsidRPr="006851C5">
        <w:t xml:space="preserve">nergy </w:t>
      </w:r>
      <w:r w:rsidR="004F3D35">
        <w:t>taken</w:t>
      </w:r>
      <w:r w:rsidR="004F3D35" w:rsidRPr="006851C5">
        <w:t xml:space="preserve"> </w:t>
      </w:r>
      <w:r w:rsidR="00001323" w:rsidRPr="006851C5">
        <w:t>by the buyer</w:t>
      </w:r>
      <w:r w:rsidR="00E74EEE">
        <w:t>, at each Energy Trading Period,</w:t>
      </w:r>
      <w:r w:rsidR="00001323" w:rsidRPr="006851C5">
        <w:t xml:space="preserve"> at </w:t>
      </w:r>
      <w:r w:rsidR="004F3D35">
        <w:t xml:space="preserve">all </w:t>
      </w:r>
      <w:r w:rsidR="006851C5">
        <w:t xml:space="preserve">the identified </w:t>
      </w:r>
      <w:r w:rsidR="00FA0AAE">
        <w:t>Trading Point</w:t>
      </w:r>
      <w:r w:rsidR="00AD06E6" w:rsidRPr="006851C5">
        <w:t xml:space="preserve">s; </w:t>
      </w:r>
    </w:p>
    <w:p w14:paraId="2BEFD27E" w14:textId="241E2497" w:rsidR="00AD06E6" w:rsidRDefault="002F76EA" w:rsidP="00B03234">
      <w:pPr>
        <w:pStyle w:val="Heading5"/>
      </w:pPr>
      <w:r>
        <w:t>t</w:t>
      </w:r>
      <w:r w:rsidR="00001323">
        <w:t xml:space="preserve">he amount of Capacity </w:t>
      </w:r>
      <w:r w:rsidR="00EC1896">
        <w:t>bought and sold</w:t>
      </w:r>
      <w:r w:rsidR="00001323">
        <w:t xml:space="preserve"> is </w:t>
      </w:r>
      <w:r w:rsidR="00AD06E6">
        <w:t xml:space="preserve">the </w:t>
      </w:r>
      <w:r w:rsidR="004F3D35">
        <w:t>total C</w:t>
      </w:r>
      <w:r w:rsidR="00AD06E6">
        <w:t xml:space="preserve">apacity used by the </w:t>
      </w:r>
      <w:r w:rsidR="004F3D35">
        <w:t>b</w:t>
      </w:r>
      <w:r w:rsidR="00AD06E6">
        <w:t>uyer</w:t>
      </w:r>
      <w:r w:rsidR="00E74EEE">
        <w:t>,</w:t>
      </w:r>
      <w:r w:rsidR="00AD06E6">
        <w:t xml:space="preserve"> at any Capacity Trading Period</w:t>
      </w:r>
      <w:r w:rsidR="00E74EEE">
        <w:t xml:space="preserve">, </w:t>
      </w:r>
      <w:r w:rsidR="004F3D35">
        <w:t xml:space="preserve">aggregated over all </w:t>
      </w:r>
      <w:r w:rsidR="00E74EEE">
        <w:t xml:space="preserve">the identified </w:t>
      </w:r>
      <w:r w:rsidR="00FA0AAE">
        <w:t>Trading Point</w:t>
      </w:r>
      <w:r w:rsidR="00E74EEE">
        <w:t>s;</w:t>
      </w:r>
    </w:p>
    <w:p w14:paraId="31A9E778" w14:textId="336E6B8E" w:rsidR="00001323" w:rsidRDefault="002F76EA" w:rsidP="00B03234">
      <w:pPr>
        <w:pStyle w:val="Heading5"/>
      </w:pPr>
      <w:r>
        <w:t>th</w:t>
      </w:r>
      <w:r w:rsidR="00001323">
        <w:t xml:space="preserve">e Capacity </w:t>
      </w:r>
      <w:r w:rsidR="00EC1896">
        <w:t>bought and sold</w:t>
      </w:r>
      <w:r w:rsidR="00001323">
        <w:t xml:space="preserve"> </w:t>
      </w:r>
      <w:r w:rsidR="00AD06E6">
        <w:t>is</w:t>
      </w:r>
      <w:r w:rsidR="00001323">
        <w:t xml:space="preserve"> Guaranteed</w:t>
      </w:r>
      <w:r w:rsidR="00236FF5">
        <w:t xml:space="preserve"> Capacity</w:t>
      </w:r>
      <w:r w:rsidR="00001323">
        <w:t>;</w:t>
      </w:r>
    </w:p>
    <w:p w14:paraId="2B99C509" w14:textId="107ED44A" w:rsidR="00E74EEE" w:rsidRDefault="002F76EA" w:rsidP="00B03234">
      <w:pPr>
        <w:pStyle w:val="Heading5"/>
      </w:pPr>
      <w:r>
        <w:lastRenderedPageBreak/>
        <w:t xml:space="preserve">the </w:t>
      </w:r>
      <w:r w:rsidR="00001323">
        <w:t xml:space="preserve">revenues that the </w:t>
      </w:r>
      <w:r w:rsidR="00AD06E6">
        <w:t xml:space="preserve">seller </w:t>
      </w:r>
      <w:r>
        <w:t xml:space="preserve">may be </w:t>
      </w:r>
      <w:r w:rsidR="00A25AC5">
        <w:t xml:space="preserve">eligible </w:t>
      </w:r>
      <w:r w:rsidR="00001323">
        <w:t>to receive for the provision of Ancillary Services</w:t>
      </w:r>
      <w:r>
        <w:t xml:space="preserve"> and Must Run Generation</w:t>
      </w:r>
      <w:r w:rsidR="00001323">
        <w:t xml:space="preserve">, </w:t>
      </w:r>
      <w:r>
        <w:t>shall be</w:t>
      </w:r>
      <w:r w:rsidR="00AD06E6">
        <w:t xml:space="preserve"> retained by the seller</w:t>
      </w:r>
      <w:r w:rsidR="00E74EEE">
        <w:t>; and</w:t>
      </w:r>
    </w:p>
    <w:p w14:paraId="620E6813" w14:textId="3EA3AC35" w:rsidR="004F3D35" w:rsidRDefault="00A10EFB" w:rsidP="004F3D35">
      <w:pPr>
        <w:pStyle w:val="Heading5"/>
      </w:pPr>
      <w:r>
        <w:t>t</w:t>
      </w:r>
      <w:r w:rsidR="004F3D35">
        <w:t xml:space="preserve">he duration of the Contract is, at </w:t>
      </w:r>
      <w:r w:rsidR="004F3D35" w:rsidRPr="00D236C0">
        <w:t xml:space="preserve">least, </w:t>
      </w:r>
      <w:r w:rsidR="004F3D35" w:rsidRPr="00B03C4A">
        <w:t>two (2)</w:t>
      </w:r>
      <w:r w:rsidR="004F3D35" w:rsidRPr="00D236C0">
        <w:t xml:space="preserve"> years</w:t>
      </w:r>
      <w:r w:rsidR="004F3D35">
        <w:t xml:space="preserve"> starting from the </w:t>
      </w:r>
      <w:r w:rsidR="002F76EA">
        <w:t xml:space="preserve">effective </w:t>
      </w:r>
      <w:r w:rsidR="004F3D35">
        <w:t xml:space="preserve">date of the </w:t>
      </w:r>
      <w:r w:rsidR="00B74EEF">
        <w:t>C</w:t>
      </w:r>
      <w:r w:rsidR="004F3D35">
        <w:t>ontract.</w:t>
      </w:r>
    </w:p>
    <w:p w14:paraId="4FFFD293" w14:textId="6C677E02" w:rsidR="00001323" w:rsidRDefault="00001323" w:rsidP="005B295A">
      <w:pPr>
        <w:pStyle w:val="Heading4"/>
      </w:pPr>
      <w:r>
        <w:t xml:space="preserve">Following information shall be provided by the parties during the </w:t>
      </w:r>
      <w:r w:rsidR="002F76EA">
        <w:t xml:space="preserve">Contract </w:t>
      </w:r>
      <w:r>
        <w:t xml:space="preserve">registration process: </w:t>
      </w:r>
    </w:p>
    <w:p w14:paraId="44AA1413" w14:textId="74DD7D80" w:rsidR="00A25769" w:rsidRDefault="002F76EA" w:rsidP="00A25769">
      <w:pPr>
        <w:pStyle w:val="Heading5"/>
      </w:pPr>
      <w:r>
        <w:t>i</w:t>
      </w:r>
      <w:r w:rsidR="00A25769" w:rsidRPr="0042506C">
        <w:t>d</w:t>
      </w:r>
      <w:r w:rsidR="00A25769" w:rsidRPr="00926094">
        <w:t>entification of the buyer and seller;</w:t>
      </w:r>
    </w:p>
    <w:p w14:paraId="18D54737" w14:textId="610D2C14" w:rsidR="00F8490F" w:rsidRDefault="002F76EA" w:rsidP="00B03234">
      <w:pPr>
        <w:pStyle w:val="Heading5"/>
      </w:pPr>
      <w:r>
        <w:t>t</w:t>
      </w:r>
      <w:r w:rsidR="00F8490F">
        <w:t xml:space="preserve">he </w:t>
      </w:r>
      <w:r>
        <w:t xml:space="preserve">effective </w:t>
      </w:r>
      <w:r w:rsidR="004F3D35">
        <w:t xml:space="preserve">date and </w:t>
      </w:r>
      <w:r w:rsidR="00F8490F">
        <w:t xml:space="preserve">duration of the Contract; </w:t>
      </w:r>
    </w:p>
    <w:p w14:paraId="243E23D3" w14:textId="5160DED8" w:rsidR="00001323" w:rsidRDefault="002F76EA" w:rsidP="00B03234">
      <w:pPr>
        <w:pStyle w:val="Heading5"/>
      </w:pPr>
      <w:r>
        <w:t>i</w:t>
      </w:r>
      <w:r w:rsidR="00001323">
        <w:t xml:space="preserve">dentification of the </w:t>
      </w:r>
      <w:r w:rsidR="00FA0AAE">
        <w:t>Trading Point</w:t>
      </w:r>
      <w:r w:rsidR="00AD06E6">
        <w:t>s</w:t>
      </w:r>
      <w:r w:rsidR="00001323">
        <w:t xml:space="preserve"> involved in the transaction</w:t>
      </w:r>
      <w:r w:rsidR="00F45EDF">
        <w:t>s</w:t>
      </w:r>
      <w:r w:rsidR="00001323">
        <w:t>;</w:t>
      </w:r>
    </w:p>
    <w:p w14:paraId="04985362" w14:textId="7C42BC7F" w:rsidR="00001323" w:rsidRPr="00FC73E2" w:rsidRDefault="00A10EFB" w:rsidP="00B03234">
      <w:pPr>
        <w:pStyle w:val="Heading5"/>
      </w:pPr>
      <w:bookmarkStart w:id="133" w:name="_Ref55044370"/>
      <w:r>
        <w:t>n</w:t>
      </w:r>
      <w:r w:rsidR="00F45EDF">
        <w:t xml:space="preserve">umber </w:t>
      </w:r>
      <w:r w:rsidR="00001323">
        <w:t>of Firm Capacity Certificates</w:t>
      </w:r>
      <w:r w:rsidR="00AD06E6">
        <w:t xml:space="preserve"> that the </w:t>
      </w:r>
      <w:r w:rsidR="00B74EEF">
        <w:t xml:space="preserve">seller </w:t>
      </w:r>
      <w:r w:rsidR="00F45EDF">
        <w:t xml:space="preserve">may assign </w:t>
      </w:r>
      <w:r w:rsidR="00AD06E6">
        <w:t xml:space="preserve">to the buyer to back the </w:t>
      </w:r>
      <w:r w:rsidR="00F45EDF">
        <w:t>contracted quantities</w:t>
      </w:r>
      <w:r w:rsidR="00001323">
        <w:t xml:space="preserve">, </w:t>
      </w:r>
      <w:r w:rsidR="00AD06E6">
        <w:t xml:space="preserve">which shall </w:t>
      </w:r>
      <w:r w:rsidR="005F02B7">
        <w:t xml:space="preserve">not be lower than the value indicated in </w:t>
      </w:r>
      <w:r w:rsidR="005F02B7">
        <w:fldChar w:fldCharType="begin"/>
      </w:r>
      <w:r w:rsidR="005F02B7">
        <w:instrText xml:space="preserve"> REF _Ref54950080 \w \h </w:instrText>
      </w:r>
      <w:r w:rsidR="005F02B7">
        <w:fldChar w:fldCharType="separate"/>
      </w:r>
      <w:r w:rsidR="00F45EDF">
        <w:t>4.3.3.3.e)</w:t>
      </w:r>
      <w:r w:rsidR="005F02B7">
        <w:fldChar w:fldCharType="end"/>
      </w:r>
      <w:r w:rsidR="00AD06E6">
        <w:t xml:space="preserve">. </w:t>
      </w:r>
      <w:r w:rsidR="00C02BE8">
        <w:t>The</w:t>
      </w:r>
      <w:r w:rsidR="00F707EE">
        <w:t xml:space="preserve"> Status of the</w:t>
      </w:r>
      <w:r w:rsidR="00C02BE8">
        <w:t xml:space="preserve">se Firm Capacity Certificates will be </w:t>
      </w:r>
      <w:r w:rsidR="00F707EE">
        <w:t>changed to “B</w:t>
      </w:r>
      <w:r w:rsidR="00C02BE8">
        <w:t>locked</w:t>
      </w:r>
      <w:r w:rsidR="00F707EE">
        <w:t>”</w:t>
      </w:r>
      <w:r w:rsidR="00C02BE8">
        <w:t xml:space="preserve"> and they cannot be used for by the </w:t>
      </w:r>
      <w:r w:rsidR="00FE040E">
        <w:t>seller</w:t>
      </w:r>
      <w:r w:rsidR="00C02BE8">
        <w:t xml:space="preserve"> to back any other Capacity </w:t>
      </w:r>
      <w:r w:rsidR="00DF34AB">
        <w:t>t</w:t>
      </w:r>
      <w:r w:rsidR="00C02BE8">
        <w:t>ransaction</w:t>
      </w:r>
      <w:r w:rsidR="00F707EE">
        <w:t xml:space="preserve"> until </w:t>
      </w:r>
      <w:r w:rsidR="00DF34AB">
        <w:t xml:space="preserve">such certificates are </w:t>
      </w:r>
      <w:r w:rsidR="00F707EE">
        <w:t xml:space="preserve">unblocked </w:t>
      </w:r>
      <w:r w:rsidR="00DF34AB">
        <w:t xml:space="preserve">in </w:t>
      </w:r>
      <w:r w:rsidR="00F707EE">
        <w:t>accord</w:t>
      </w:r>
      <w:r w:rsidR="00DF34AB">
        <w:t>ance</w:t>
      </w:r>
      <w:r w:rsidR="00F707EE">
        <w:t xml:space="preserve"> with </w:t>
      </w:r>
      <w:r w:rsidR="00F707EE" w:rsidRPr="00FC73E2">
        <w:t xml:space="preserve">the </w:t>
      </w:r>
      <w:r w:rsidR="00DF34AB">
        <w:t>provisions</w:t>
      </w:r>
      <w:r w:rsidR="00DF34AB" w:rsidRPr="00FC73E2">
        <w:t xml:space="preserve"> </w:t>
      </w:r>
      <w:r w:rsidR="00F707EE" w:rsidRPr="00FC73E2">
        <w:t xml:space="preserve">of </w:t>
      </w:r>
      <w:r w:rsidR="00F05124">
        <w:t>this Code</w:t>
      </w:r>
      <w:r w:rsidR="00F707EE" w:rsidRPr="00FC73E2">
        <w:t>.</w:t>
      </w:r>
      <w:bookmarkEnd w:id="133"/>
    </w:p>
    <w:p w14:paraId="0E99E05D" w14:textId="4D0AC2C9" w:rsidR="00400322" w:rsidRPr="005F02B7" w:rsidRDefault="007804F3" w:rsidP="00B03234">
      <w:pPr>
        <w:pStyle w:val="Heading5"/>
      </w:pPr>
      <w:bookmarkStart w:id="134" w:name="_Ref54950080"/>
      <w:r>
        <w:t>m</w:t>
      </w:r>
      <w:r w:rsidR="00400322" w:rsidRPr="005F02B7">
        <w:t xml:space="preserve">aximum value of the demand aggregated over all  the </w:t>
      </w:r>
      <w:r w:rsidR="00FA0AAE">
        <w:t>Trading Point</w:t>
      </w:r>
      <w:r w:rsidR="00400322" w:rsidRPr="005F02B7">
        <w:t>s</w:t>
      </w:r>
      <w:r w:rsidR="00A25769">
        <w:t xml:space="preserve"> of the buyer</w:t>
      </w:r>
      <w:r w:rsidR="00400322" w:rsidRPr="005F02B7">
        <w:t xml:space="preserve"> in the </w:t>
      </w:r>
      <w:r w:rsidR="004F3D35">
        <w:t>System Peak Hours of the last year</w:t>
      </w:r>
      <w:r w:rsidR="00400322" w:rsidRPr="005F02B7">
        <w:t>. This value sh</w:t>
      </w:r>
      <w:r w:rsidR="005F02B7">
        <w:t>all</w:t>
      </w:r>
      <w:r w:rsidR="00400322" w:rsidRPr="005F02B7">
        <w:t xml:space="preserve"> be:</w:t>
      </w:r>
      <w:bookmarkEnd w:id="134"/>
      <w:r w:rsidR="00400322" w:rsidRPr="005F02B7">
        <w:t xml:space="preserve"> </w:t>
      </w:r>
    </w:p>
    <w:p w14:paraId="5A231C07" w14:textId="0ABE6BA3" w:rsidR="00400322" w:rsidRPr="006851C5" w:rsidRDefault="007804F3" w:rsidP="00CF7164">
      <w:pPr>
        <w:pStyle w:val="Heading6"/>
      </w:pPr>
      <w:r>
        <w:t>c</w:t>
      </w:r>
      <w:r w:rsidR="00400322" w:rsidRPr="006851C5">
        <w:t>ertified by the Metering Service provider; or</w:t>
      </w:r>
    </w:p>
    <w:p w14:paraId="05975F72" w14:textId="4633F7D3" w:rsidR="00400322" w:rsidRPr="006851C5" w:rsidRDefault="007804F3" w:rsidP="00CF7164">
      <w:pPr>
        <w:pStyle w:val="Heading6"/>
      </w:pPr>
      <w:r>
        <w:t>c</w:t>
      </w:r>
      <w:r w:rsidR="00400322" w:rsidRPr="006851C5">
        <w:t xml:space="preserve">ertified by the Distribution Licensee, in case the Metering Service Provider does not have historical values at one or more </w:t>
      </w:r>
      <w:r w:rsidR="00FA0AAE">
        <w:t>Trading Point</w:t>
      </w:r>
      <w:r w:rsidR="00400322" w:rsidRPr="006851C5">
        <w:t>s; or</w:t>
      </w:r>
    </w:p>
    <w:p w14:paraId="46C316A5" w14:textId="14A236B2" w:rsidR="00400322" w:rsidRPr="006851C5" w:rsidRDefault="007804F3" w:rsidP="00CF7164">
      <w:pPr>
        <w:pStyle w:val="Heading6"/>
      </w:pPr>
      <w:r>
        <w:t>a</w:t>
      </w:r>
      <w:r w:rsidR="00400322" w:rsidRPr="006851C5">
        <w:t xml:space="preserve"> formal declaration of the buyer, stating its best </w:t>
      </w:r>
      <w:r>
        <w:t>estimate</w:t>
      </w:r>
      <w:r w:rsidRPr="006851C5">
        <w:t xml:space="preserve"> </w:t>
      </w:r>
      <w:r w:rsidR="00400322" w:rsidRPr="006851C5">
        <w:t>of the maximum value of the aggregated demand</w:t>
      </w:r>
      <w:r w:rsidR="005F02B7" w:rsidRPr="006851C5">
        <w:t xml:space="preserve">, in case neither the Metering Service Provider nor the Distribution Licensee are able to certify such value. </w:t>
      </w:r>
      <w:r w:rsidR="00400322" w:rsidRPr="006851C5">
        <w:t xml:space="preserve"> </w:t>
      </w:r>
    </w:p>
    <w:p w14:paraId="3778183B" w14:textId="3D979874" w:rsidR="00C05033" w:rsidRDefault="00F34B59" w:rsidP="00C173D0">
      <w:pPr>
        <w:pStyle w:val="Heading3"/>
      </w:pPr>
      <w:bookmarkStart w:id="135" w:name="_Ref54980961"/>
      <w:r w:rsidRPr="00D833C1">
        <w:t xml:space="preserve">Financial Supply Contract </w:t>
      </w:r>
      <w:r>
        <w:t>w</w:t>
      </w:r>
      <w:r w:rsidRPr="00D833C1">
        <w:t>ith Fixed Quantities</w:t>
      </w:r>
      <w:bookmarkEnd w:id="135"/>
    </w:p>
    <w:p w14:paraId="1DBBBD90" w14:textId="47B4ABCA" w:rsidR="00E74EEE" w:rsidRPr="00957DA5" w:rsidRDefault="00E74EEE" w:rsidP="005B295A">
      <w:pPr>
        <w:pStyle w:val="Heading4"/>
      </w:pPr>
      <w:r w:rsidRPr="00957DA5">
        <w:t xml:space="preserve">In </w:t>
      </w:r>
      <w:r w:rsidR="000F44DB">
        <w:t xml:space="preserve">a </w:t>
      </w:r>
      <w:r w:rsidR="004F3D35" w:rsidRPr="00957DA5">
        <w:t>Standardized</w:t>
      </w:r>
      <w:r w:rsidRPr="00957DA5">
        <w:t xml:space="preserve"> Financial Supply</w:t>
      </w:r>
      <w:r w:rsidR="000F44DB">
        <w:t xml:space="preserve"> </w:t>
      </w:r>
      <w:r w:rsidR="000F44DB" w:rsidRPr="00957DA5">
        <w:t>Contract</w:t>
      </w:r>
      <w:r w:rsidRPr="00957DA5">
        <w:t xml:space="preserve"> with Fixed Quantities</w:t>
      </w:r>
      <w:r w:rsidR="000F44DB">
        <w:t>,</w:t>
      </w:r>
      <w:r w:rsidRPr="00957DA5">
        <w:t xml:space="preserve"> the seller </w:t>
      </w:r>
      <w:r w:rsidR="000F44DB">
        <w:t xml:space="preserve">may sell </w:t>
      </w:r>
      <w:r w:rsidR="00F8490F" w:rsidRPr="00957DA5">
        <w:t>defined quantitie</w:t>
      </w:r>
      <w:r w:rsidR="00F8490F" w:rsidRPr="00ED0FB0">
        <w:t xml:space="preserve">s of </w:t>
      </w:r>
      <w:r w:rsidR="00801260" w:rsidRPr="00ED0FB0">
        <w:t>E</w:t>
      </w:r>
      <w:r w:rsidR="00F8490F" w:rsidRPr="00ED0FB0">
        <w:t>nergy and</w:t>
      </w:r>
      <w:r w:rsidR="00801260" w:rsidRPr="00ED0FB0">
        <w:t>/or</w:t>
      </w:r>
      <w:r w:rsidR="00F8490F" w:rsidRPr="00ED0FB0">
        <w:t xml:space="preserve"> </w:t>
      </w:r>
      <w:r w:rsidR="004F3D35" w:rsidRPr="00ED0FB0">
        <w:t>C</w:t>
      </w:r>
      <w:r w:rsidR="00F8490F" w:rsidRPr="00ED0FB0">
        <w:t>apacity at</w:t>
      </w:r>
      <w:r w:rsidR="00F8490F" w:rsidRPr="00957DA5">
        <w:t xml:space="preserve"> each Energy and/or Capacity Trading Period. </w:t>
      </w:r>
    </w:p>
    <w:p w14:paraId="4663EF97" w14:textId="24CEDE3E" w:rsidR="00E74EEE" w:rsidRPr="00F8490F" w:rsidRDefault="00E74EEE" w:rsidP="005B295A">
      <w:pPr>
        <w:pStyle w:val="Heading4"/>
      </w:pPr>
      <w:r w:rsidRPr="00F8490F">
        <w:t xml:space="preserve">This </w:t>
      </w:r>
      <w:r w:rsidR="003A578F">
        <w:t>Contract</w:t>
      </w:r>
      <w:r w:rsidRPr="00F8490F">
        <w:t xml:space="preserve"> </w:t>
      </w:r>
      <w:r w:rsidR="000F44DB">
        <w:t xml:space="preserve">shall </w:t>
      </w:r>
      <w:r w:rsidR="000F44DB" w:rsidRPr="001744B4">
        <w:t xml:space="preserve">have, </w:t>
      </w:r>
      <w:r w:rsidR="000F44DB" w:rsidRPr="001744B4">
        <w:rPr>
          <w:i/>
          <w:iCs w:val="0"/>
        </w:rPr>
        <w:t>inter alia</w:t>
      </w:r>
      <w:r w:rsidR="000F44DB" w:rsidRPr="001744B4">
        <w:t xml:space="preserve">, </w:t>
      </w:r>
      <w:r w:rsidRPr="001744B4">
        <w:t>the following</w:t>
      </w:r>
      <w:r w:rsidRPr="00F8490F">
        <w:t xml:space="preserve"> characteristics:</w:t>
      </w:r>
    </w:p>
    <w:p w14:paraId="6DB3C5FC" w14:textId="2F30B948" w:rsidR="009F76BB" w:rsidRDefault="000F44DB" w:rsidP="00B03234">
      <w:pPr>
        <w:pStyle w:val="Heading5"/>
      </w:pPr>
      <w:r>
        <w:t>the s</w:t>
      </w:r>
      <w:r w:rsidR="00F8490F" w:rsidRPr="00F8490F">
        <w:t>eller and buyer shall be registered as Market Participants</w:t>
      </w:r>
      <w:r w:rsidR="009F76BB">
        <w:t>;</w:t>
      </w:r>
    </w:p>
    <w:p w14:paraId="7B827B65" w14:textId="7D8F4C31" w:rsidR="009F76BB" w:rsidRPr="009F76BB" w:rsidRDefault="00FA777E" w:rsidP="00B03234">
      <w:pPr>
        <w:pStyle w:val="Heading5"/>
      </w:pPr>
      <w:r>
        <w:t>a</w:t>
      </w:r>
      <w:r w:rsidR="00DB3224">
        <w:t xml:space="preserve">ll or a </w:t>
      </w:r>
      <w:r w:rsidR="00007ED3">
        <w:t xml:space="preserve">specific </w:t>
      </w:r>
      <w:r w:rsidR="00DB3224">
        <w:t xml:space="preserve">group of </w:t>
      </w:r>
      <w:r w:rsidR="00FA0AAE">
        <w:t>Trading Point</w:t>
      </w:r>
      <w:r w:rsidR="007103C9" w:rsidRPr="007103C9">
        <w:t xml:space="preserve">s of each Market Participant are involved in the </w:t>
      </w:r>
      <w:r w:rsidR="00007ED3">
        <w:t xml:space="preserve">commercial </w:t>
      </w:r>
      <w:r w:rsidR="007103C9" w:rsidRPr="007103C9">
        <w:t>transaction</w:t>
      </w:r>
      <w:r w:rsidR="00F8490F" w:rsidRPr="00F8490F">
        <w:t xml:space="preserve">; </w:t>
      </w:r>
    </w:p>
    <w:p w14:paraId="0D99D9E3" w14:textId="2175FF53" w:rsidR="007103C9" w:rsidRDefault="00FA777E" w:rsidP="00B03234">
      <w:pPr>
        <w:pStyle w:val="Heading5"/>
      </w:pPr>
      <w:r>
        <w:t>t</w:t>
      </w:r>
      <w:r w:rsidR="009F76BB" w:rsidRPr="007103C9">
        <w:t xml:space="preserve">he amount of Energy </w:t>
      </w:r>
      <w:r w:rsidR="00EC1896">
        <w:t>bought and sold</w:t>
      </w:r>
      <w:r w:rsidR="009F76BB" w:rsidRPr="007103C9">
        <w:t xml:space="preserve"> at each Energy Trading Period shall be</w:t>
      </w:r>
      <w:r w:rsidR="00007ED3">
        <w:t xml:space="preserve"> a</w:t>
      </w:r>
      <w:r w:rsidR="009F76BB" w:rsidRPr="007103C9">
        <w:t xml:space="preserve"> </w:t>
      </w:r>
      <w:r w:rsidR="00007ED3">
        <w:t>fixed</w:t>
      </w:r>
      <w:r w:rsidR="007103C9" w:rsidRPr="007103C9">
        <w:t xml:space="preserve"> value, </w:t>
      </w:r>
      <w:r w:rsidR="009F76BB" w:rsidRPr="007103C9">
        <w:t>expressed in MWh</w:t>
      </w:r>
      <w:r w:rsidR="008C6DFB">
        <w:t xml:space="preserve">. The </w:t>
      </w:r>
      <w:r w:rsidR="00007ED3">
        <w:t xml:space="preserve">fixed values </w:t>
      </w:r>
      <w:r w:rsidR="008C6DFB">
        <w:t xml:space="preserve">for the Energy </w:t>
      </w:r>
      <w:r w:rsidR="00EC1896">
        <w:t>bought and sold</w:t>
      </w:r>
      <w:r w:rsidR="008C6DFB">
        <w:t xml:space="preserve"> may be modified during the duration of the Contract, </w:t>
      </w:r>
      <w:r w:rsidR="00007ED3">
        <w:t xml:space="preserve">according to the </w:t>
      </w:r>
      <w:r w:rsidR="008C6DFB">
        <w:t xml:space="preserve">procedure </w:t>
      </w:r>
      <w:r>
        <w:t xml:space="preserve">specified </w:t>
      </w:r>
      <w:r w:rsidR="008C6DFB">
        <w:t xml:space="preserve">in </w:t>
      </w:r>
      <w:r w:rsidR="008C02F7">
        <w:t>Section</w:t>
      </w:r>
      <w:r w:rsidR="00050052">
        <w:t xml:space="preserve"> </w:t>
      </w:r>
      <w:r w:rsidR="00050052">
        <w:fldChar w:fldCharType="begin"/>
      </w:r>
      <w:r w:rsidR="00050052">
        <w:instrText xml:space="preserve"> REF _Ref55045175 \w \h </w:instrText>
      </w:r>
      <w:r w:rsidR="00050052">
        <w:fldChar w:fldCharType="separate"/>
      </w:r>
      <w:r w:rsidR="00251DBF">
        <w:t>4.5.6</w:t>
      </w:r>
      <w:r w:rsidR="00050052">
        <w:fldChar w:fldCharType="end"/>
      </w:r>
      <w:r w:rsidR="008C6DFB">
        <w:t xml:space="preserve">.  </w:t>
      </w:r>
    </w:p>
    <w:p w14:paraId="60DB5F38" w14:textId="2221916C" w:rsidR="00DF537A" w:rsidRDefault="00FA777E" w:rsidP="00B03234">
      <w:pPr>
        <w:pStyle w:val="Heading5"/>
      </w:pPr>
      <w:r>
        <w:t>f</w:t>
      </w:r>
      <w:r w:rsidR="00DF537A">
        <w:t xml:space="preserve">or </w:t>
      </w:r>
      <w:r w:rsidR="00DF34AB">
        <w:t>S</w:t>
      </w:r>
      <w:r w:rsidR="00DF537A">
        <w:t xml:space="preserve">ettlement of </w:t>
      </w:r>
      <w:r w:rsidR="00844AEE">
        <w:t>Imbalances</w:t>
      </w:r>
      <w:r w:rsidR="00DF537A">
        <w:t xml:space="preserve"> in the</w:t>
      </w:r>
      <w:r w:rsidR="008C6DFB">
        <w:t xml:space="preserve"> </w:t>
      </w:r>
      <w:r w:rsidR="00DF537A">
        <w:t xml:space="preserve">Balancing Mechanism for Energy, the </w:t>
      </w:r>
      <w:r w:rsidR="0046412E">
        <w:t>Energy</w:t>
      </w:r>
      <w:r w:rsidR="00DF537A">
        <w:t xml:space="preserve"> </w:t>
      </w:r>
      <w:r w:rsidR="00EC1896">
        <w:t>bought and sold</w:t>
      </w:r>
      <w:r w:rsidR="00DF537A">
        <w:t xml:space="preserve"> at each Energy Trading Period shall be:</w:t>
      </w:r>
    </w:p>
    <w:p w14:paraId="244940F8" w14:textId="7CD49A46" w:rsidR="00DF537A" w:rsidRPr="00FF27A8" w:rsidRDefault="00FA777E" w:rsidP="00CF7164">
      <w:pPr>
        <w:pStyle w:val="Heading6"/>
      </w:pPr>
      <w:r>
        <w:t>c</w:t>
      </w:r>
      <w:r w:rsidR="00DF537A" w:rsidRPr="00FF27A8">
        <w:t xml:space="preserve">onsidered to be sold by the seller, regardless it has been produced by the seller or not; </w:t>
      </w:r>
    </w:p>
    <w:p w14:paraId="66B50E96" w14:textId="032F588F" w:rsidR="009F76BB" w:rsidRPr="007103C9" w:rsidRDefault="00A10EFB" w:rsidP="00CF7164">
      <w:pPr>
        <w:pStyle w:val="Heading6"/>
      </w:pPr>
      <w:r>
        <w:t>c</w:t>
      </w:r>
      <w:r w:rsidR="00DF537A">
        <w:t xml:space="preserve">onsidered to be bought by the buyer, regardless it has been used (consumed) by the buyer or not; </w:t>
      </w:r>
    </w:p>
    <w:p w14:paraId="52A697CD" w14:textId="0BD35992" w:rsidR="00DF537A" w:rsidRPr="00236FF5" w:rsidRDefault="00A10EFB" w:rsidP="00B03234">
      <w:pPr>
        <w:pStyle w:val="Heading5"/>
      </w:pPr>
      <w:r>
        <w:t>t</w:t>
      </w:r>
      <w:r w:rsidR="00DF537A" w:rsidRPr="00236FF5">
        <w:t xml:space="preserve">he amount of </w:t>
      </w:r>
      <w:r w:rsidR="00236FF5" w:rsidRPr="00236FF5">
        <w:t>Capacity</w:t>
      </w:r>
      <w:r w:rsidR="00DF537A" w:rsidRPr="00236FF5">
        <w:t xml:space="preserve"> </w:t>
      </w:r>
      <w:r w:rsidR="00EC1896">
        <w:t>bought and sold</w:t>
      </w:r>
      <w:r w:rsidR="00DF537A" w:rsidRPr="00236FF5">
        <w:t xml:space="preserve"> at each </w:t>
      </w:r>
      <w:r w:rsidR="00236FF5" w:rsidRPr="00236FF5">
        <w:t>Capacity</w:t>
      </w:r>
      <w:r w:rsidR="00DF537A" w:rsidRPr="00236FF5">
        <w:t xml:space="preserve"> Trading Period shall be a </w:t>
      </w:r>
      <w:r w:rsidR="00FA777E">
        <w:t>fixed</w:t>
      </w:r>
      <w:r w:rsidR="00DF537A" w:rsidRPr="00236FF5">
        <w:t xml:space="preserve"> value, expressed in MW</w:t>
      </w:r>
      <w:r w:rsidR="00801260">
        <w:t>, backed by Firm Capacity Certificates</w:t>
      </w:r>
      <w:r w:rsidR="00A54FBD">
        <w:t xml:space="preserve">. The </w:t>
      </w:r>
      <w:r w:rsidR="00FA777E">
        <w:t>fixed</w:t>
      </w:r>
      <w:r w:rsidR="00A54FBD">
        <w:t xml:space="preserve"> values </w:t>
      </w:r>
      <w:r w:rsidR="00A54FBD">
        <w:lastRenderedPageBreak/>
        <w:t xml:space="preserve">for the Capacity </w:t>
      </w:r>
      <w:r w:rsidR="00EC1896">
        <w:t>bought and sold</w:t>
      </w:r>
      <w:r w:rsidR="00A54FBD">
        <w:t xml:space="preserve"> </w:t>
      </w:r>
      <w:r w:rsidR="00FA777E">
        <w:t xml:space="preserve">shall </w:t>
      </w:r>
      <w:r w:rsidR="00A54FBD">
        <w:t>not be modified during the duration of the Contract</w:t>
      </w:r>
      <w:r w:rsidR="00DB3224">
        <w:t xml:space="preserve"> except </w:t>
      </w:r>
      <w:r w:rsidR="00FA777E">
        <w:t xml:space="preserve">where </w:t>
      </w:r>
      <w:r w:rsidR="00DB3224">
        <w:t xml:space="preserve">the number of Firm Capacity Certificates of the seller are reduced after </w:t>
      </w:r>
      <w:r w:rsidR="00D574AB">
        <w:t>review or renewal of the Firm Capacity Certificate</w:t>
      </w:r>
      <w:r w:rsidR="00236FF5" w:rsidRPr="00236FF5">
        <w:t>;</w:t>
      </w:r>
    </w:p>
    <w:p w14:paraId="23E8B76A" w14:textId="73DC1D6D" w:rsidR="00236FF5" w:rsidRPr="00236FF5" w:rsidRDefault="00D574AB" w:rsidP="00B03234">
      <w:pPr>
        <w:pStyle w:val="Heading5"/>
      </w:pPr>
      <w:r>
        <w:t>t</w:t>
      </w:r>
      <w:r w:rsidR="00236FF5" w:rsidRPr="00236FF5">
        <w:t xml:space="preserve">he Capacity </w:t>
      </w:r>
      <w:r w:rsidR="00EC1896">
        <w:t>bought and sold</w:t>
      </w:r>
      <w:r w:rsidR="00236FF5" w:rsidRPr="00236FF5">
        <w:t xml:space="preserve"> </w:t>
      </w:r>
      <w:r>
        <w:t>may</w:t>
      </w:r>
      <w:r w:rsidRPr="00236FF5">
        <w:t xml:space="preserve"> </w:t>
      </w:r>
      <w:r w:rsidR="00236FF5" w:rsidRPr="00236FF5">
        <w:t xml:space="preserve">be </w:t>
      </w:r>
      <w:r w:rsidR="008C6DFB">
        <w:t>“</w:t>
      </w:r>
      <w:r w:rsidR="00236FF5" w:rsidRPr="00236FF5">
        <w:t>Guaranteed Capacity</w:t>
      </w:r>
      <w:r w:rsidR="008C6DFB">
        <w:t>”</w:t>
      </w:r>
      <w:r w:rsidR="00236FF5" w:rsidRPr="00236FF5">
        <w:t xml:space="preserve"> or </w:t>
      </w:r>
      <w:r w:rsidR="008C6DFB">
        <w:t>“</w:t>
      </w:r>
      <w:r w:rsidR="00236FF5" w:rsidRPr="00236FF5">
        <w:t>Non-guaranteed Capacity</w:t>
      </w:r>
      <w:r w:rsidR="008C6DFB">
        <w:t>”</w:t>
      </w:r>
      <w:r w:rsidR="00236FF5" w:rsidRPr="00236FF5">
        <w:t xml:space="preserve">, as </w:t>
      </w:r>
      <w:r>
        <w:t>may be</w:t>
      </w:r>
      <w:r w:rsidR="00236FF5" w:rsidRPr="00236FF5">
        <w:t xml:space="preserve"> agreed </w:t>
      </w:r>
      <w:r>
        <w:t>between</w:t>
      </w:r>
      <w:r w:rsidRPr="00236FF5">
        <w:t xml:space="preserve"> </w:t>
      </w:r>
      <w:r w:rsidR="00236FF5" w:rsidRPr="00236FF5">
        <w:t xml:space="preserve">the parties;  </w:t>
      </w:r>
    </w:p>
    <w:p w14:paraId="5C1A62AC" w14:textId="680F99DC" w:rsidR="00DF537A" w:rsidRPr="008C6DFB" w:rsidRDefault="00A10EFB" w:rsidP="00B03234">
      <w:pPr>
        <w:pStyle w:val="Heading5"/>
      </w:pPr>
      <w:r>
        <w:t>f</w:t>
      </w:r>
      <w:r w:rsidR="00DF537A" w:rsidRPr="008C6DFB">
        <w:t xml:space="preserve">or settlement of </w:t>
      </w:r>
      <w:r w:rsidR="00844AEE">
        <w:t>Imbalances</w:t>
      </w:r>
      <w:r w:rsidR="00DF537A" w:rsidRPr="008C6DFB">
        <w:t xml:space="preserve"> in the Balancing Mechanism for </w:t>
      </w:r>
      <w:r w:rsidR="00236FF5" w:rsidRPr="008C6DFB">
        <w:t>Capacity</w:t>
      </w:r>
      <w:r w:rsidR="00DF537A" w:rsidRPr="008C6DFB">
        <w:t xml:space="preserve">, the </w:t>
      </w:r>
      <w:r w:rsidR="00236FF5" w:rsidRPr="008C6DFB">
        <w:t>Capacity</w:t>
      </w:r>
      <w:r w:rsidR="00DF537A" w:rsidRPr="008C6DFB">
        <w:t xml:space="preserve"> </w:t>
      </w:r>
      <w:r w:rsidR="00EC1896">
        <w:t>bought and sold</w:t>
      </w:r>
      <w:r w:rsidR="00DF537A" w:rsidRPr="008C6DFB">
        <w:t xml:space="preserve"> at each </w:t>
      </w:r>
      <w:r w:rsidR="00C465B7" w:rsidRPr="008C6DFB">
        <w:t>Capacity</w:t>
      </w:r>
      <w:r w:rsidR="00DF537A" w:rsidRPr="008C6DFB">
        <w:t xml:space="preserve"> Trading Period shall be:</w:t>
      </w:r>
    </w:p>
    <w:p w14:paraId="7B483A18" w14:textId="7B3F2322" w:rsidR="00DF537A" w:rsidRPr="008C6DFB" w:rsidRDefault="00DF537A" w:rsidP="00CF7164">
      <w:pPr>
        <w:pStyle w:val="Heading6"/>
      </w:pPr>
      <w:r w:rsidRPr="008C6DFB">
        <w:t>Considered to be sold by the seller</w:t>
      </w:r>
      <w:r w:rsidR="00C465B7" w:rsidRPr="008C6DFB">
        <w:t xml:space="preserve"> and procured by the buyer</w:t>
      </w:r>
      <w:r w:rsidR="00F9661B" w:rsidRPr="008C6DFB">
        <w:t xml:space="preserve"> in full</w:t>
      </w:r>
      <w:r w:rsidRPr="008C6DFB">
        <w:t xml:space="preserve">, regardless </w:t>
      </w:r>
      <w:r w:rsidR="00F9661B" w:rsidRPr="008C6DFB">
        <w:t xml:space="preserve">the actual availability of the </w:t>
      </w:r>
      <w:r w:rsidR="00E678E5">
        <w:t>Physical Asset</w:t>
      </w:r>
      <w:r w:rsidR="00F9661B" w:rsidRPr="008C6DFB">
        <w:t>s involved in the Firm Capacity Certification if the transaction has been informed as “Guaranteed Capacity”</w:t>
      </w:r>
      <w:r w:rsidRPr="008C6DFB">
        <w:t xml:space="preserve">; </w:t>
      </w:r>
      <w:r w:rsidR="00F9661B" w:rsidRPr="008C6DFB">
        <w:t>or</w:t>
      </w:r>
    </w:p>
    <w:p w14:paraId="3913FA4E" w14:textId="4033C18B" w:rsidR="00F9661B" w:rsidRDefault="00F9661B" w:rsidP="00CF7164">
      <w:pPr>
        <w:pStyle w:val="Heading6"/>
      </w:pPr>
      <w:r w:rsidRPr="008C6DFB">
        <w:t>Considered to be sold by the seller and procured by the buyer</w:t>
      </w:r>
      <w:r w:rsidR="008C6DFB">
        <w:t>,</w:t>
      </w:r>
      <w:r w:rsidRPr="008C6DFB">
        <w:t xml:space="preserve"> conditional to the actual availability of the </w:t>
      </w:r>
      <w:r w:rsidR="00E678E5">
        <w:t>Physical Asset</w:t>
      </w:r>
      <w:r w:rsidRPr="008C6DFB">
        <w:t>s involved in the Firm Capacity Certification</w:t>
      </w:r>
      <w:r w:rsidR="008C6DFB">
        <w:t>,</w:t>
      </w:r>
      <w:r w:rsidRPr="008C6DFB">
        <w:t xml:space="preserve"> if the transaction has been informed as “Non-guaranteed Capacity”</w:t>
      </w:r>
      <w:r w:rsidR="008C6DFB">
        <w:t>.</w:t>
      </w:r>
      <w:r w:rsidRPr="008C6DFB">
        <w:t xml:space="preserve"> </w:t>
      </w:r>
      <w:r w:rsidRPr="00236FF5">
        <w:t xml:space="preserve"> </w:t>
      </w:r>
    </w:p>
    <w:p w14:paraId="79FAA374" w14:textId="2FA96B5C" w:rsidR="00E74EEE" w:rsidRPr="00236FF5" w:rsidRDefault="00D574AB" w:rsidP="00B03234">
      <w:pPr>
        <w:pStyle w:val="Heading5"/>
      </w:pPr>
      <w:r>
        <w:t xml:space="preserve">the </w:t>
      </w:r>
      <w:r w:rsidRPr="00236FF5">
        <w:t xml:space="preserve"> </w:t>
      </w:r>
      <w:r w:rsidR="00E74EEE" w:rsidRPr="00236FF5">
        <w:t xml:space="preserve">revenues that the seller </w:t>
      </w:r>
      <w:r>
        <w:t>may be</w:t>
      </w:r>
      <w:r w:rsidRPr="00236FF5">
        <w:t xml:space="preserve"> </w:t>
      </w:r>
      <w:r w:rsidR="00A25AC5">
        <w:t>eligible</w:t>
      </w:r>
      <w:r w:rsidR="00A25AC5" w:rsidRPr="00236FF5">
        <w:t xml:space="preserve"> </w:t>
      </w:r>
      <w:r w:rsidR="00E74EEE" w:rsidRPr="00236FF5">
        <w:t>to receive for the provision of Ancillary Services</w:t>
      </w:r>
      <w:r>
        <w:t xml:space="preserve"> and Must Run Generation</w:t>
      </w:r>
      <w:r w:rsidR="00E74EEE" w:rsidRPr="00236FF5">
        <w:t xml:space="preserve">, </w:t>
      </w:r>
      <w:r>
        <w:t>shall be</w:t>
      </w:r>
      <w:r w:rsidR="00E74EEE" w:rsidRPr="00236FF5">
        <w:t xml:space="preserve"> retained by the seller</w:t>
      </w:r>
      <w:r w:rsidR="00236FF5" w:rsidRPr="00236FF5">
        <w:t>; and</w:t>
      </w:r>
    </w:p>
    <w:p w14:paraId="212FE3C9" w14:textId="06EE09DD" w:rsidR="00236FF5" w:rsidRDefault="00A10EFB" w:rsidP="009E24C4">
      <w:pPr>
        <w:pStyle w:val="Heading5"/>
      </w:pPr>
      <w:r>
        <w:t>t</w:t>
      </w:r>
      <w:r w:rsidR="00B74EEF" w:rsidRPr="00B74EEF">
        <w:t xml:space="preserve">he duration of the Contract </w:t>
      </w:r>
      <w:r w:rsidR="00D574AB">
        <w:t>shall be</w:t>
      </w:r>
      <w:r w:rsidR="00B74EEF" w:rsidRPr="00B74EEF">
        <w:t xml:space="preserve"> at least</w:t>
      </w:r>
      <w:r w:rsidR="00B74EEF" w:rsidRPr="00D236C0">
        <w:t xml:space="preserve">, </w:t>
      </w:r>
      <w:r w:rsidR="00B74EEF" w:rsidRPr="00B03C4A">
        <w:t>two (2) years</w:t>
      </w:r>
      <w:r w:rsidR="00B74EEF" w:rsidRPr="00B74EEF">
        <w:t xml:space="preserve"> starting from the </w:t>
      </w:r>
      <w:r w:rsidR="00D574AB">
        <w:t>effective</w:t>
      </w:r>
      <w:r w:rsidR="00D574AB" w:rsidRPr="00B74EEF">
        <w:t xml:space="preserve"> </w:t>
      </w:r>
      <w:r w:rsidR="00B74EEF" w:rsidRPr="00B74EEF">
        <w:t>date of the Contract.</w:t>
      </w:r>
    </w:p>
    <w:p w14:paraId="01C2A771" w14:textId="73639523" w:rsidR="0042506C" w:rsidRPr="00D574AB" w:rsidRDefault="0042506C" w:rsidP="00A22D29">
      <w:pPr>
        <w:pStyle w:val="BodyText"/>
        <w:rPr>
          <w:strike/>
        </w:rPr>
      </w:pPr>
      <w:r w:rsidRPr="00D574AB">
        <w:rPr>
          <w:strike/>
        </w:rPr>
        <w:t xml:space="preserve">For the avoidance of doubt, in the case the seller is a Generator, the </w:t>
      </w:r>
      <w:commentRangeStart w:id="136"/>
      <w:r w:rsidRPr="00D574AB">
        <w:rPr>
          <w:strike/>
        </w:rPr>
        <w:t xml:space="preserve">registration of a </w:t>
      </w:r>
      <w:commentRangeEnd w:id="136"/>
      <w:r w:rsidR="00DF34AB">
        <w:rPr>
          <w:rStyle w:val="CommentReference"/>
        </w:rPr>
        <w:commentReference w:id="136"/>
      </w:r>
      <w:r w:rsidRPr="00D574AB">
        <w:rPr>
          <w:strike/>
        </w:rPr>
        <w:t xml:space="preserve">Financial Supply with Fixed Quantities Standardized Contract with the Market Operator does not grant any </w:t>
      </w:r>
      <w:r w:rsidR="00801260" w:rsidRPr="00D574AB">
        <w:rPr>
          <w:strike/>
        </w:rPr>
        <w:t>S</w:t>
      </w:r>
      <w:r w:rsidRPr="00D574AB">
        <w:rPr>
          <w:strike/>
        </w:rPr>
        <w:t xml:space="preserve">elf-dispatch prerogative to the involved Generator. </w:t>
      </w:r>
    </w:p>
    <w:p w14:paraId="1F5D8CFB" w14:textId="63ACC0BD" w:rsidR="00E74EEE" w:rsidRPr="00C465B7" w:rsidRDefault="00E74EEE" w:rsidP="005B295A">
      <w:pPr>
        <w:pStyle w:val="Heading4"/>
      </w:pPr>
      <w:r w:rsidRPr="00C465B7">
        <w:t xml:space="preserve">Following information shall be provided by the parties during the </w:t>
      </w:r>
      <w:r w:rsidR="00D574AB">
        <w:t xml:space="preserve">Contract </w:t>
      </w:r>
      <w:r w:rsidRPr="00C465B7">
        <w:t xml:space="preserve">registration process: </w:t>
      </w:r>
    </w:p>
    <w:p w14:paraId="676D8A4E" w14:textId="74FD0A52" w:rsidR="00926094" w:rsidRDefault="00D574AB" w:rsidP="00B03234">
      <w:pPr>
        <w:pStyle w:val="Heading5"/>
      </w:pPr>
      <w:r>
        <w:t>i</w:t>
      </w:r>
      <w:r w:rsidR="00E74EEE" w:rsidRPr="0042506C">
        <w:t>d</w:t>
      </w:r>
      <w:r w:rsidR="00E74EEE" w:rsidRPr="00926094">
        <w:t xml:space="preserve">entification of the </w:t>
      </w:r>
      <w:r w:rsidR="0042506C" w:rsidRPr="00926094">
        <w:t>buyer and seller</w:t>
      </w:r>
      <w:r w:rsidR="00E74EEE" w:rsidRPr="00926094">
        <w:t>;</w:t>
      </w:r>
    </w:p>
    <w:p w14:paraId="62F64C21" w14:textId="2A81DDFB" w:rsidR="00E74EEE" w:rsidRPr="00926094" w:rsidRDefault="00D574AB" w:rsidP="00B03234">
      <w:pPr>
        <w:pStyle w:val="Heading5"/>
      </w:pPr>
      <w:r>
        <w:t>effective</w:t>
      </w:r>
      <w:r w:rsidR="00A25769">
        <w:t xml:space="preserve"> date and </w:t>
      </w:r>
      <w:r>
        <w:t xml:space="preserve">total </w:t>
      </w:r>
      <w:r w:rsidR="00926094">
        <w:t xml:space="preserve">duration of the Contract </w:t>
      </w:r>
    </w:p>
    <w:p w14:paraId="3CDDE925" w14:textId="1C2403C1" w:rsidR="0042506C" w:rsidRPr="00926094" w:rsidRDefault="00D574AB" w:rsidP="00B03234">
      <w:pPr>
        <w:pStyle w:val="Heading5"/>
      </w:pPr>
      <w:bookmarkStart w:id="137" w:name="_Ref54981215"/>
      <w:r>
        <w:t>a</w:t>
      </w:r>
      <w:r w:rsidR="00E74EEE" w:rsidRPr="00926094">
        <w:t xml:space="preserve">mount of </w:t>
      </w:r>
      <w:r w:rsidR="0042506C" w:rsidRPr="00926094">
        <w:t xml:space="preserve">the Energy </w:t>
      </w:r>
      <w:r w:rsidR="00452113" w:rsidRPr="00926094">
        <w:t>sold and bought by the parties,</w:t>
      </w:r>
      <w:r w:rsidR="0042506C" w:rsidRPr="00926094">
        <w:t xml:space="preserve"> at each Energy Trading Period</w:t>
      </w:r>
      <w:r w:rsidR="00452113" w:rsidRPr="00926094">
        <w:t>,</w:t>
      </w:r>
      <w:r w:rsidR="0042506C" w:rsidRPr="00926094">
        <w:t xml:space="preserve"> </w:t>
      </w:r>
      <w:r>
        <w:t>for</w:t>
      </w:r>
      <w:r w:rsidRPr="00926094">
        <w:t xml:space="preserve"> </w:t>
      </w:r>
      <w:r w:rsidR="0042506C" w:rsidRPr="00926094">
        <w:t>the complete duration of the Contract;</w:t>
      </w:r>
      <w:bookmarkEnd w:id="137"/>
      <w:r w:rsidR="0042506C" w:rsidRPr="00926094">
        <w:t xml:space="preserve"> </w:t>
      </w:r>
    </w:p>
    <w:p w14:paraId="6D7F18FF" w14:textId="119BD911" w:rsidR="00452113" w:rsidRPr="00926094" w:rsidRDefault="00D574AB" w:rsidP="00B03234">
      <w:pPr>
        <w:pStyle w:val="Heading5"/>
      </w:pPr>
      <w:r>
        <w:t>a</w:t>
      </w:r>
      <w:r w:rsidR="00452113" w:rsidRPr="00926094">
        <w:t xml:space="preserve">mount of the Capacity sold and bought by the parties, at each Capacity Trading Period, </w:t>
      </w:r>
      <w:r>
        <w:t>for</w:t>
      </w:r>
      <w:r w:rsidRPr="00926094">
        <w:t xml:space="preserve"> </w:t>
      </w:r>
      <w:r w:rsidR="00452113" w:rsidRPr="00926094">
        <w:t xml:space="preserve">the complete duration of the Contract; </w:t>
      </w:r>
    </w:p>
    <w:p w14:paraId="0436F270" w14:textId="22E317A7" w:rsidR="00452113" w:rsidRPr="00926094" w:rsidRDefault="00D574AB" w:rsidP="00B03234">
      <w:pPr>
        <w:pStyle w:val="Heading5"/>
      </w:pPr>
      <w:r>
        <w:t>i</w:t>
      </w:r>
      <w:r w:rsidR="00452113" w:rsidRPr="00926094">
        <w:t xml:space="preserve">dentification of the </w:t>
      </w:r>
      <w:r w:rsidR="00E74EEE" w:rsidRPr="00926094">
        <w:t xml:space="preserve">Firm Capacity Certificates that the </w:t>
      </w:r>
      <w:r w:rsidR="00FE040E">
        <w:t>seller</w:t>
      </w:r>
      <w:r w:rsidR="00E74EEE" w:rsidRPr="00926094">
        <w:t xml:space="preserve"> </w:t>
      </w:r>
      <w:r w:rsidR="00452113" w:rsidRPr="00926094">
        <w:t xml:space="preserve">sells </w:t>
      </w:r>
      <w:r w:rsidR="00E74EEE" w:rsidRPr="00926094">
        <w:t xml:space="preserve">to the </w:t>
      </w:r>
      <w:r w:rsidR="00FE040E">
        <w:t>buyer</w:t>
      </w:r>
      <w:r w:rsidR="00E74EEE" w:rsidRPr="00926094">
        <w:t xml:space="preserve"> to back the </w:t>
      </w:r>
      <w:r w:rsidR="00452113" w:rsidRPr="00926094">
        <w:t xml:space="preserve">Capacity </w:t>
      </w:r>
      <w:r w:rsidR="00E74EEE" w:rsidRPr="00926094">
        <w:t>transaction</w:t>
      </w:r>
      <w:r w:rsidR="00452113" w:rsidRPr="00926094">
        <w:t>, at each Capacity Trading Period.</w:t>
      </w:r>
    </w:p>
    <w:p w14:paraId="102B1FA6" w14:textId="7D0F172A" w:rsidR="00475034" w:rsidRDefault="00D574AB" w:rsidP="00B03234">
      <w:pPr>
        <w:pStyle w:val="Heading5"/>
      </w:pPr>
      <w:r>
        <w:t>e</w:t>
      </w:r>
      <w:r w:rsidR="00452113">
        <w:t xml:space="preserve">xplicit indication that the </w:t>
      </w:r>
      <w:r w:rsidR="00EC1896">
        <w:t>bought and sold</w:t>
      </w:r>
      <w:r w:rsidR="00452113">
        <w:t xml:space="preserve"> Capacity shall be considered Guaranteed or Non-Guaranteed; </w:t>
      </w:r>
      <w:r w:rsidR="00475034">
        <w:t>and</w:t>
      </w:r>
    </w:p>
    <w:p w14:paraId="327FC7EF" w14:textId="1D844467" w:rsidR="00452113" w:rsidRDefault="00D574AB" w:rsidP="00B03234">
      <w:pPr>
        <w:pStyle w:val="Heading5"/>
      </w:pPr>
      <w:r>
        <w:t>a</w:t>
      </w:r>
      <w:r w:rsidR="00475034">
        <w:t xml:space="preserve"> </w:t>
      </w:r>
      <w:r w:rsidR="00EF18D8">
        <w:t>declaration whether</w:t>
      </w:r>
      <w:r w:rsidR="00475034">
        <w:t xml:space="preserve"> the amounts of Energy </w:t>
      </w:r>
      <w:r w:rsidR="00EC1896">
        <w:t>bought and sold</w:t>
      </w:r>
      <w:r w:rsidR="00475034">
        <w:t xml:space="preserve">, as per clause </w:t>
      </w:r>
      <w:r w:rsidR="00475034">
        <w:fldChar w:fldCharType="begin"/>
      </w:r>
      <w:r w:rsidR="00475034">
        <w:instrText xml:space="preserve"> REF _Ref54981215 \w \h </w:instrText>
      </w:r>
      <w:r w:rsidR="00475034">
        <w:fldChar w:fldCharType="separate"/>
      </w:r>
      <w:r w:rsidR="00251DBF">
        <w:t>4.3.4.3.c)</w:t>
      </w:r>
      <w:r w:rsidR="00475034">
        <w:fldChar w:fldCharType="end"/>
      </w:r>
      <w:r w:rsidR="00475034">
        <w:t xml:space="preserve"> shall be considered for the whole duration of the Contract or they can be periodically adjusted </w:t>
      </w:r>
      <w:r w:rsidR="00EF18D8">
        <w:t>according to the</w:t>
      </w:r>
      <w:r w:rsidR="00475034">
        <w:t xml:space="preserve"> provisions </w:t>
      </w:r>
      <w:r w:rsidR="00EF18D8">
        <w:t>of</w:t>
      </w:r>
      <w:r w:rsidR="00475034">
        <w:t xml:space="preserve"> </w:t>
      </w:r>
      <w:r w:rsidR="00FF27A8">
        <w:t>S</w:t>
      </w:r>
      <w:r w:rsidR="00475034">
        <w:t>ection</w:t>
      </w:r>
      <w:r w:rsidR="006275CC">
        <w:t xml:space="preserve"> </w:t>
      </w:r>
      <w:r w:rsidR="00FF27A8">
        <w:fldChar w:fldCharType="begin"/>
      </w:r>
      <w:r w:rsidR="00FF27A8">
        <w:instrText xml:space="preserve"> REF _Ref55040668 \w \h </w:instrText>
      </w:r>
      <w:r w:rsidR="00FF27A8">
        <w:fldChar w:fldCharType="separate"/>
      </w:r>
      <w:r w:rsidR="00251DBF">
        <w:t>4.5.6</w:t>
      </w:r>
      <w:r w:rsidR="00FF27A8">
        <w:fldChar w:fldCharType="end"/>
      </w:r>
      <w:r w:rsidR="00475034">
        <w:t xml:space="preserve">. </w:t>
      </w:r>
    </w:p>
    <w:p w14:paraId="16EC4C27" w14:textId="033758D3" w:rsidR="00D833C1" w:rsidRDefault="008A179B" w:rsidP="00C173D0">
      <w:pPr>
        <w:pStyle w:val="Heading2"/>
      </w:pPr>
      <w:bookmarkStart w:id="138" w:name="_Toc64846666"/>
      <w:bookmarkStart w:id="139" w:name="_Toc69476963"/>
      <w:r>
        <w:t>Customized</w:t>
      </w:r>
      <w:r w:rsidR="00D833C1">
        <w:t xml:space="preserve"> Contracts</w:t>
      </w:r>
      <w:bookmarkEnd w:id="138"/>
      <w:bookmarkEnd w:id="139"/>
    </w:p>
    <w:p w14:paraId="5A40252B" w14:textId="345417CA" w:rsidR="00C05033" w:rsidRPr="004F4FDA" w:rsidRDefault="002B07DB" w:rsidP="005B295A">
      <w:pPr>
        <w:pStyle w:val="Heading4"/>
      </w:pPr>
      <w:r>
        <w:t xml:space="preserve">A </w:t>
      </w:r>
      <w:r w:rsidR="008A179B">
        <w:t>Customized</w:t>
      </w:r>
      <w:r w:rsidR="00C05033">
        <w:t xml:space="preserve"> </w:t>
      </w:r>
      <w:r w:rsidR="00926094">
        <w:t>C</w:t>
      </w:r>
      <w:r w:rsidR="00C05033">
        <w:t xml:space="preserve">ontract </w:t>
      </w:r>
      <w:r>
        <w:t xml:space="preserve">may be </w:t>
      </w:r>
      <w:r w:rsidR="00C05033">
        <w:t xml:space="preserve">bilaterally agreed between </w:t>
      </w:r>
      <w:r>
        <w:t xml:space="preserve">a </w:t>
      </w:r>
      <w:r w:rsidR="00C05033">
        <w:t xml:space="preserve">buyer and </w:t>
      </w:r>
      <w:r>
        <w:t xml:space="preserve">a </w:t>
      </w:r>
      <w:r w:rsidR="00C05033">
        <w:t>seller</w:t>
      </w:r>
      <w:r>
        <w:t xml:space="preserve"> for</w:t>
      </w:r>
      <w:r w:rsidR="00C05033">
        <w:t xml:space="preserve"> </w:t>
      </w:r>
      <w:r w:rsidR="00EC1896" w:rsidRPr="00ED0FB0">
        <w:t>buying and selling</w:t>
      </w:r>
      <w:r w:rsidR="00C05033" w:rsidRPr="00ED0FB0">
        <w:t xml:space="preserve"> of Energy</w:t>
      </w:r>
      <w:r>
        <w:t xml:space="preserve"> and/or</w:t>
      </w:r>
      <w:r w:rsidR="00C05033">
        <w:t xml:space="preserve"> Capacity</w:t>
      </w:r>
      <w:r>
        <w:t xml:space="preserve"> as per terms and conditions agreed between the </w:t>
      </w:r>
      <w:r w:rsidRPr="004F4FDA">
        <w:t>parties</w:t>
      </w:r>
      <w:r w:rsidR="00C05033" w:rsidRPr="004F4FDA">
        <w:t>.</w:t>
      </w:r>
    </w:p>
    <w:p w14:paraId="7EE3A7B1" w14:textId="77196BD5" w:rsidR="00C05033" w:rsidRPr="004F4FDA" w:rsidRDefault="002B07DB" w:rsidP="005B295A">
      <w:pPr>
        <w:pStyle w:val="Heading4"/>
      </w:pPr>
      <w:r w:rsidRPr="004F4FDA">
        <w:t>For registration of a Customized Contract with the Market</w:t>
      </w:r>
      <w:r w:rsidR="007B666D" w:rsidRPr="004F4FDA">
        <w:t xml:space="preserve"> Operator</w:t>
      </w:r>
      <w:r w:rsidR="00844AEE" w:rsidRPr="004F4FDA">
        <w:t>,</w:t>
      </w:r>
      <w:r w:rsidR="00906B1C" w:rsidRPr="004F4FDA">
        <w:t xml:space="preserve"> </w:t>
      </w:r>
      <w:r w:rsidRPr="004F4FDA">
        <w:t xml:space="preserve">the </w:t>
      </w:r>
      <w:r w:rsidR="00906B1C" w:rsidRPr="004F4FDA">
        <w:t>following requirements</w:t>
      </w:r>
      <w:r w:rsidRPr="004F4FDA">
        <w:t xml:space="preserve"> shall be fulfilled</w:t>
      </w:r>
      <w:r w:rsidR="007B666D" w:rsidRPr="004F4FDA">
        <w:t>:</w:t>
      </w:r>
      <w:r w:rsidR="00C05033" w:rsidRPr="004F4FDA">
        <w:t xml:space="preserve"> </w:t>
      </w:r>
    </w:p>
    <w:p w14:paraId="0430AA49" w14:textId="42D1764A" w:rsidR="005B5C64" w:rsidRDefault="002B07DB" w:rsidP="005B5C64">
      <w:pPr>
        <w:pStyle w:val="Heading5"/>
      </w:pPr>
      <w:r w:rsidRPr="004F4FDA">
        <w:lastRenderedPageBreak/>
        <w:t>t</w:t>
      </w:r>
      <w:r w:rsidR="005B5C64" w:rsidRPr="004F4FDA">
        <w:t>he duration of the Contract is, at least, two (2) years</w:t>
      </w:r>
      <w:r w:rsidR="005B5C64">
        <w:t xml:space="preserve"> starting from the </w:t>
      </w:r>
      <w:r>
        <w:t xml:space="preserve">effective </w:t>
      </w:r>
      <w:r w:rsidR="005B5C64">
        <w:t xml:space="preserve">date of the </w:t>
      </w:r>
      <w:r w:rsidR="00B74EEF">
        <w:t>C</w:t>
      </w:r>
      <w:r w:rsidR="005B5C64">
        <w:t>ontract.</w:t>
      </w:r>
    </w:p>
    <w:p w14:paraId="63B03D2A" w14:textId="03CBB488" w:rsidR="007B666D" w:rsidRDefault="002B07DB" w:rsidP="00B03234">
      <w:pPr>
        <w:pStyle w:val="Heading5"/>
      </w:pPr>
      <w:r>
        <w:t xml:space="preserve">the Contract </w:t>
      </w:r>
      <w:r w:rsidR="007B666D">
        <w:t>incorporate</w:t>
      </w:r>
      <w:r w:rsidR="00906B1C">
        <w:t>s</w:t>
      </w:r>
      <w:r w:rsidR="007B666D">
        <w:t xml:space="preserve"> the mandatory</w:t>
      </w:r>
      <w:r w:rsidR="00C05033">
        <w:t xml:space="preserve"> clauses</w:t>
      </w:r>
      <w:r w:rsidR="007B666D">
        <w:t xml:space="preserve"> </w:t>
      </w:r>
      <w:r>
        <w:t xml:space="preserve">as provided </w:t>
      </w:r>
      <w:r w:rsidR="007B666D">
        <w:t xml:space="preserve">in </w:t>
      </w:r>
      <w:r w:rsidR="008C02F7">
        <w:t>Sub-Section</w:t>
      </w:r>
      <w:r w:rsidR="007B666D">
        <w:t xml:space="preserve"> </w:t>
      </w:r>
      <w:r w:rsidR="007B666D">
        <w:fldChar w:fldCharType="begin"/>
      </w:r>
      <w:r w:rsidR="007B666D">
        <w:instrText xml:space="preserve"> REF _Ref54892531 \r \h </w:instrText>
      </w:r>
      <w:r w:rsidR="005F00B4">
        <w:instrText xml:space="preserve"> \* MERGEFORMAT </w:instrText>
      </w:r>
      <w:r w:rsidR="007B666D">
        <w:fldChar w:fldCharType="separate"/>
      </w:r>
      <w:r w:rsidR="00251DBF">
        <w:t>4.1.2</w:t>
      </w:r>
      <w:r w:rsidR="007B666D">
        <w:fldChar w:fldCharType="end"/>
      </w:r>
      <w:r>
        <w:t xml:space="preserve"> </w:t>
      </w:r>
      <w:r w:rsidR="007B666D" w:rsidRPr="00B03C4A">
        <w:t xml:space="preserve">or, alternatively, </w:t>
      </w:r>
      <w:r w:rsidRPr="00B03C4A">
        <w:t xml:space="preserve">a signed declaration is provided by </w:t>
      </w:r>
      <w:r w:rsidR="007B666D" w:rsidRPr="00B03C4A">
        <w:t>both parties to the Market Operator stating that such clauses have been incorporated into the</w:t>
      </w:r>
      <w:r w:rsidR="008E7865" w:rsidRPr="00B03C4A">
        <w:t xml:space="preserve"> </w:t>
      </w:r>
      <w:r w:rsidR="007B666D" w:rsidRPr="00B03C4A">
        <w:t>Contract</w:t>
      </w:r>
      <w:r w:rsidR="007B666D">
        <w:t>;</w:t>
      </w:r>
    </w:p>
    <w:p w14:paraId="473D798D" w14:textId="2CB05B22" w:rsidR="007B666D" w:rsidRDefault="002B07DB" w:rsidP="00B03234">
      <w:pPr>
        <w:pStyle w:val="Heading5"/>
      </w:pPr>
      <w:r>
        <w:t>t</w:t>
      </w:r>
      <w:r w:rsidR="007B666D">
        <w:t xml:space="preserve">he </w:t>
      </w:r>
      <w:r w:rsidR="0046412E">
        <w:t>Energy</w:t>
      </w:r>
      <w:r w:rsidR="007B666D">
        <w:t xml:space="preserve"> </w:t>
      </w:r>
      <w:r w:rsidR="00EC1896">
        <w:t>bought and sold</w:t>
      </w:r>
      <w:r w:rsidR="007B666D">
        <w:t xml:space="preserve"> between the parties is in accordance with the requirements </w:t>
      </w:r>
      <w:r w:rsidR="00B45456">
        <w:t>of</w:t>
      </w:r>
      <w:r w:rsidR="007B666D">
        <w:t xml:space="preserve"> </w:t>
      </w:r>
      <w:r w:rsidR="008C02F7">
        <w:t>Sub-Section</w:t>
      </w:r>
      <w:r w:rsidR="007B666D">
        <w:t xml:space="preserve"> </w:t>
      </w:r>
      <w:r w:rsidR="007B666D">
        <w:fldChar w:fldCharType="begin"/>
      </w:r>
      <w:r w:rsidR="007B666D">
        <w:instrText xml:space="preserve"> REF _Ref54892733 \r \h </w:instrText>
      </w:r>
      <w:r w:rsidR="005F00B4">
        <w:instrText xml:space="preserve"> \* MERGEFORMAT </w:instrText>
      </w:r>
      <w:r w:rsidR="007B666D">
        <w:fldChar w:fldCharType="separate"/>
      </w:r>
      <w:r w:rsidR="00251DBF">
        <w:t>4.4.2</w:t>
      </w:r>
      <w:r w:rsidR="007B666D">
        <w:fldChar w:fldCharType="end"/>
      </w:r>
      <w:r w:rsidR="007B666D">
        <w:t xml:space="preserve">; </w:t>
      </w:r>
    </w:p>
    <w:p w14:paraId="55AF5799" w14:textId="4DA7ACB3" w:rsidR="007B666D" w:rsidRDefault="002B07DB" w:rsidP="00B03234">
      <w:pPr>
        <w:pStyle w:val="Heading5"/>
      </w:pPr>
      <w:r>
        <w:t>t</w:t>
      </w:r>
      <w:r w:rsidR="007B666D">
        <w:t xml:space="preserve">he Capacity </w:t>
      </w:r>
      <w:r w:rsidR="00EC1896">
        <w:t>bought and sold</w:t>
      </w:r>
      <w:r w:rsidR="007B666D">
        <w:t xml:space="preserve"> between the parties is in accordance with the requirements </w:t>
      </w:r>
      <w:r w:rsidR="00B45456">
        <w:t>of</w:t>
      </w:r>
      <w:r w:rsidR="007B666D">
        <w:t xml:space="preserve"> </w:t>
      </w:r>
      <w:r w:rsidR="008C02F7">
        <w:t>Sub-Section</w:t>
      </w:r>
      <w:r w:rsidR="007B666D">
        <w:t xml:space="preserve"> </w:t>
      </w:r>
      <w:r w:rsidR="007B666D">
        <w:fldChar w:fldCharType="begin"/>
      </w:r>
      <w:r w:rsidR="007B666D">
        <w:instrText xml:space="preserve"> REF _Ref54892801 \r \h </w:instrText>
      </w:r>
      <w:r w:rsidR="005F00B4">
        <w:instrText xml:space="preserve"> \* MERGEFORMAT </w:instrText>
      </w:r>
      <w:r w:rsidR="007B666D">
        <w:fldChar w:fldCharType="separate"/>
      </w:r>
      <w:r w:rsidR="00251DBF">
        <w:t>4.4.3</w:t>
      </w:r>
      <w:r w:rsidR="007B666D">
        <w:fldChar w:fldCharType="end"/>
      </w:r>
      <w:r w:rsidR="007B666D">
        <w:t>; and</w:t>
      </w:r>
    </w:p>
    <w:p w14:paraId="79CE2AD2" w14:textId="43E414CE" w:rsidR="00C05033" w:rsidRDefault="002B07DB" w:rsidP="00B03234">
      <w:pPr>
        <w:pStyle w:val="Heading5"/>
      </w:pPr>
      <w:r>
        <w:t>t</w:t>
      </w:r>
      <w:r w:rsidR="007B666D">
        <w:t xml:space="preserve">he parties </w:t>
      </w:r>
      <w:r w:rsidR="00B45456">
        <w:t xml:space="preserve">shall </w:t>
      </w:r>
      <w:r w:rsidR="007B666D">
        <w:t xml:space="preserve">provide all the information required by the Market Operator </w:t>
      </w:r>
      <w:r w:rsidR="005F00B4">
        <w:t xml:space="preserve">to ensure </w:t>
      </w:r>
      <w:r w:rsidR="00B45456">
        <w:t xml:space="preserve">that </w:t>
      </w:r>
      <w:r w:rsidR="005F00B4">
        <w:t xml:space="preserve">the </w:t>
      </w:r>
      <w:r>
        <w:t xml:space="preserve">contracted quantities </w:t>
      </w:r>
      <w:r w:rsidR="005F00B4">
        <w:t xml:space="preserve">can be properly settled in both the Energy and Capacity Balancing Mechanisms. </w:t>
      </w:r>
      <w:r w:rsidR="00C05033">
        <w:t xml:space="preserve"> </w:t>
      </w:r>
    </w:p>
    <w:p w14:paraId="69F0F3BA" w14:textId="1BAAF0FA" w:rsidR="005B4D1A" w:rsidRPr="005B4D1A" w:rsidRDefault="004D477B" w:rsidP="00C173D0">
      <w:pPr>
        <w:pStyle w:val="Heading3"/>
      </w:pPr>
      <w:bookmarkStart w:id="140" w:name="_Ref54892733"/>
      <w:r>
        <w:t>Contract</w:t>
      </w:r>
      <w:r w:rsidR="00D833C1">
        <w:t>s Involving</w:t>
      </w:r>
      <w:r>
        <w:t xml:space="preserve"> </w:t>
      </w:r>
      <w:r w:rsidR="005B4D1A">
        <w:t>Energy Transactions</w:t>
      </w:r>
      <w:bookmarkEnd w:id="140"/>
    </w:p>
    <w:p w14:paraId="30504D3B" w14:textId="39B768AA" w:rsidR="005B4D1A" w:rsidRDefault="00A73EDD" w:rsidP="005B295A">
      <w:pPr>
        <w:pStyle w:val="Heading4"/>
      </w:pPr>
      <w:r>
        <w:t xml:space="preserve">The contracted quantities of </w:t>
      </w:r>
      <w:r w:rsidR="005B4D1A">
        <w:t xml:space="preserve">Energy </w:t>
      </w:r>
      <w:r>
        <w:t xml:space="preserve">agreed </w:t>
      </w:r>
      <w:r w:rsidR="00B45456">
        <w:t>between</w:t>
      </w:r>
      <w:r>
        <w:t xml:space="preserve"> the</w:t>
      </w:r>
      <w:r w:rsidR="00B45456">
        <w:t xml:space="preserve"> </w:t>
      </w:r>
      <w:r w:rsidR="005B4D1A">
        <w:t>Market Participants</w:t>
      </w:r>
      <w:r w:rsidR="00B45456">
        <w:t xml:space="preserve"> through a Customized Contract</w:t>
      </w:r>
      <w:r w:rsidR="005B4D1A">
        <w:t xml:space="preserve"> shall be clear</w:t>
      </w:r>
      <w:r>
        <w:t>ly</w:t>
      </w:r>
      <w:r w:rsidR="005B4D1A">
        <w:t xml:space="preserve"> specified for each Energy Trading Period. </w:t>
      </w:r>
    </w:p>
    <w:p w14:paraId="0F99740F" w14:textId="4C3705CB" w:rsidR="005B4D1A" w:rsidRDefault="005B4D1A" w:rsidP="005B295A">
      <w:pPr>
        <w:pStyle w:val="Heading4"/>
      </w:pPr>
      <w:r>
        <w:t xml:space="preserve">The </w:t>
      </w:r>
      <w:r w:rsidR="00A73EDD">
        <w:t xml:space="preserve">contracted quantities of </w:t>
      </w:r>
      <w:r w:rsidR="0046412E">
        <w:t>Energy</w:t>
      </w:r>
      <w:r>
        <w:t xml:space="preserve"> shall be specified as: </w:t>
      </w:r>
    </w:p>
    <w:p w14:paraId="0D062F81" w14:textId="44203DA5" w:rsidR="005B4D1A" w:rsidRDefault="005B4D1A" w:rsidP="00B03234">
      <w:pPr>
        <w:pStyle w:val="Heading5"/>
      </w:pPr>
      <w:r>
        <w:t xml:space="preserve"> </w:t>
      </w:r>
      <w:r w:rsidR="00443E13">
        <w:t>a</w:t>
      </w:r>
      <w:r>
        <w:t xml:space="preserve"> fixed quantity, expressed </w:t>
      </w:r>
      <w:r w:rsidR="00A73EDD">
        <w:t>MWh</w:t>
      </w:r>
      <w:r>
        <w:t xml:space="preserve">, for each Energy Trading Period; or </w:t>
      </w:r>
    </w:p>
    <w:p w14:paraId="4159295A" w14:textId="5A60864A" w:rsidR="005B4D1A" w:rsidRDefault="00443E13" w:rsidP="00B03234">
      <w:pPr>
        <w:pStyle w:val="Heading5"/>
      </w:pPr>
      <w:r>
        <w:t>a</w:t>
      </w:r>
      <w:r w:rsidR="005B4D1A">
        <w:t xml:space="preserve"> percentage of </w:t>
      </w:r>
      <w:r w:rsidR="005B5C64">
        <w:t>E</w:t>
      </w:r>
      <w:r w:rsidR="005A163D">
        <w:t xml:space="preserve">nergy, </w:t>
      </w:r>
      <w:r>
        <w:t>injected or withdrawn</w:t>
      </w:r>
      <w:r w:rsidR="00A73EDD">
        <w:t xml:space="preserve"> </w:t>
      </w:r>
      <w:r w:rsidR="005A163D">
        <w:t xml:space="preserve">at a registered </w:t>
      </w:r>
      <w:r w:rsidR="00FA0AAE">
        <w:t>Trading Point</w:t>
      </w:r>
      <w:r w:rsidR="005A163D">
        <w:t xml:space="preserve"> (either purchased or sold), for each Energy Trading Period</w:t>
      </w:r>
      <w:r w:rsidR="005B4D1A">
        <w:t>; or</w:t>
      </w:r>
    </w:p>
    <w:p w14:paraId="145298BD" w14:textId="3E6A40CA" w:rsidR="005B4D1A" w:rsidRDefault="00443E13" w:rsidP="00B03234">
      <w:pPr>
        <w:pStyle w:val="Heading5"/>
      </w:pPr>
      <w:r>
        <w:t>o</w:t>
      </w:r>
      <w:r w:rsidR="005B4D1A">
        <w:t xml:space="preserve">ther formula that clearly </w:t>
      </w:r>
      <w:r>
        <w:t xml:space="preserve">specifies </w:t>
      </w:r>
      <w:r w:rsidR="005B4D1A">
        <w:t xml:space="preserve">the calculation </w:t>
      </w:r>
      <w:r>
        <w:t xml:space="preserve">of the contracted quantities </w:t>
      </w:r>
      <w:r w:rsidR="005B4D1A">
        <w:t xml:space="preserve">and the Market Operator </w:t>
      </w:r>
      <w:r>
        <w:t>is provided</w:t>
      </w:r>
      <w:r w:rsidR="00C36373">
        <w:t xml:space="preserve"> with</w:t>
      </w:r>
      <w:r w:rsidR="005A163D">
        <w:t>,</w:t>
      </w:r>
      <w:r w:rsidR="005B4D1A">
        <w:t xml:space="preserve"> before the </w:t>
      </w:r>
      <w:r>
        <w:t>S</w:t>
      </w:r>
      <w:r w:rsidR="005B4D1A">
        <w:t>ettlement</w:t>
      </w:r>
      <w:r w:rsidR="005A163D">
        <w:t>,</w:t>
      </w:r>
      <w:r w:rsidR="005B4D1A">
        <w:t xml:space="preserve"> all the necessary data for </w:t>
      </w:r>
      <w:r>
        <w:t>the calculation of the contracted quantities</w:t>
      </w:r>
      <w:r w:rsidR="005B4D1A">
        <w:t>.</w:t>
      </w:r>
    </w:p>
    <w:p w14:paraId="40641270" w14:textId="2F002BBF" w:rsidR="005A163D" w:rsidRDefault="005A163D" w:rsidP="005B295A">
      <w:pPr>
        <w:pStyle w:val="Heading4"/>
      </w:pPr>
      <w:r>
        <w:t xml:space="preserve">The </w:t>
      </w:r>
      <w:r w:rsidR="00443E13">
        <w:t xml:space="preserve">contracted quantities of </w:t>
      </w:r>
      <w:r w:rsidR="0046412E">
        <w:t>Energy</w:t>
      </w:r>
      <w:r>
        <w:t xml:space="preserve"> shall not be conditional </w:t>
      </w:r>
      <w:r w:rsidR="00443E13">
        <w:t xml:space="preserve">upon </w:t>
      </w:r>
      <w:r>
        <w:t xml:space="preserve">any event or </w:t>
      </w:r>
      <w:r w:rsidR="00395B0F">
        <w:t xml:space="preserve">parameters </w:t>
      </w:r>
      <w:r>
        <w:t xml:space="preserve">which are not explicitly </w:t>
      </w:r>
      <w:r w:rsidR="00395B0F">
        <w:t xml:space="preserve">provided for </w:t>
      </w:r>
      <w:r>
        <w:t xml:space="preserve">in </w:t>
      </w:r>
      <w:r w:rsidR="00F05124">
        <w:t>this Code</w:t>
      </w:r>
      <w:r>
        <w:t xml:space="preserve">. </w:t>
      </w:r>
    </w:p>
    <w:p w14:paraId="1CADB270" w14:textId="75B9B31C" w:rsidR="005A163D" w:rsidRPr="00395B0F" w:rsidRDefault="005A163D" w:rsidP="005B295A">
      <w:pPr>
        <w:pStyle w:val="Heading4"/>
        <w:rPr>
          <w:strike/>
        </w:rPr>
      </w:pPr>
      <w:commentRangeStart w:id="141"/>
      <w:commentRangeStart w:id="142"/>
      <w:r w:rsidRPr="00395B0F">
        <w:rPr>
          <w:strike/>
        </w:rPr>
        <w:t xml:space="preserve">For the avoidance of doubt, </w:t>
      </w:r>
      <w:r w:rsidR="005B5C64" w:rsidRPr="00395B0F">
        <w:rPr>
          <w:strike/>
        </w:rPr>
        <w:t>E</w:t>
      </w:r>
      <w:r w:rsidRPr="00395B0F">
        <w:rPr>
          <w:strike/>
        </w:rPr>
        <w:t xml:space="preserve">nergy transactions which involves </w:t>
      </w:r>
      <w:r w:rsidR="005B5C64" w:rsidRPr="00395B0F">
        <w:rPr>
          <w:strike/>
        </w:rPr>
        <w:t xml:space="preserve">a </w:t>
      </w:r>
      <w:r w:rsidRPr="00395B0F">
        <w:rPr>
          <w:strike/>
        </w:rPr>
        <w:t xml:space="preserve">fixed quantity </w:t>
      </w:r>
      <w:r w:rsidR="005B5C64" w:rsidRPr="00395B0F">
        <w:rPr>
          <w:strike/>
        </w:rPr>
        <w:t xml:space="preserve">of Energy which should be produced by </w:t>
      </w:r>
      <w:r w:rsidR="00226E3D" w:rsidRPr="00395B0F">
        <w:rPr>
          <w:strike/>
        </w:rPr>
        <w:t>a pre-defined Physical Asset</w:t>
      </w:r>
      <w:r w:rsidRPr="00395B0F">
        <w:rPr>
          <w:strike/>
        </w:rPr>
        <w:t xml:space="preserve"> </w:t>
      </w:r>
      <w:r w:rsidR="00226E3D" w:rsidRPr="00395B0F">
        <w:rPr>
          <w:strike/>
        </w:rPr>
        <w:t>or group of Physical Assets</w:t>
      </w:r>
      <w:r w:rsidR="005B5C64" w:rsidRPr="00395B0F">
        <w:rPr>
          <w:strike/>
        </w:rPr>
        <w:t xml:space="preserve"> (Self-dispatch)</w:t>
      </w:r>
      <w:r w:rsidR="00226E3D" w:rsidRPr="00395B0F">
        <w:rPr>
          <w:strike/>
        </w:rPr>
        <w:t xml:space="preserve">, </w:t>
      </w:r>
      <w:r w:rsidRPr="00395B0F">
        <w:rPr>
          <w:strike/>
        </w:rPr>
        <w:t>are not allowed in the CTBCM</w:t>
      </w:r>
      <w:r w:rsidR="00226E3D" w:rsidRPr="00395B0F">
        <w:rPr>
          <w:strike/>
        </w:rPr>
        <w:t xml:space="preserve">, unless explicitly permitted in </w:t>
      </w:r>
      <w:r w:rsidR="00F05124" w:rsidRPr="00395B0F">
        <w:rPr>
          <w:strike/>
        </w:rPr>
        <w:t>this Code</w:t>
      </w:r>
      <w:r w:rsidRPr="00395B0F">
        <w:rPr>
          <w:strike/>
        </w:rPr>
        <w:t>.</w:t>
      </w:r>
      <w:commentRangeEnd w:id="141"/>
      <w:r w:rsidR="007D140A" w:rsidRPr="00395B0F">
        <w:rPr>
          <w:rStyle w:val="CommentReference"/>
          <w:rFonts w:eastAsiaTheme="minorHAnsi" w:cstheme="minorBidi"/>
          <w:bCs w:val="0"/>
          <w:iCs w:val="0"/>
          <w:strike/>
          <w:color w:val="1C1C1C"/>
        </w:rPr>
        <w:commentReference w:id="141"/>
      </w:r>
      <w:commentRangeEnd w:id="142"/>
      <w:r w:rsidR="009D7C04" w:rsidRPr="00395B0F">
        <w:rPr>
          <w:rStyle w:val="CommentReference"/>
          <w:rFonts w:eastAsiaTheme="minorHAnsi" w:cstheme="minorBidi"/>
          <w:bCs w:val="0"/>
          <w:iCs w:val="0"/>
          <w:strike/>
          <w:color w:val="1C1C1C"/>
        </w:rPr>
        <w:commentReference w:id="142"/>
      </w:r>
    </w:p>
    <w:p w14:paraId="39B49CFA" w14:textId="2ED2C636" w:rsidR="00B24EA9" w:rsidRPr="005B4D1A" w:rsidRDefault="00D833C1" w:rsidP="00C173D0">
      <w:pPr>
        <w:pStyle w:val="Heading3"/>
      </w:pPr>
      <w:bookmarkStart w:id="143" w:name="_Ref54892801"/>
      <w:r>
        <w:t xml:space="preserve">Contracts Involving </w:t>
      </w:r>
      <w:r w:rsidR="00B24EA9">
        <w:t>Capacity Transactions</w:t>
      </w:r>
      <w:bookmarkEnd w:id="143"/>
    </w:p>
    <w:p w14:paraId="0A9FAD88" w14:textId="4FD822C6" w:rsidR="00E72C2E" w:rsidRDefault="00395B0F" w:rsidP="005B295A">
      <w:pPr>
        <w:pStyle w:val="Heading4"/>
      </w:pPr>
      <w:r>
        <w:t>The contracted quantities of Capacity agreed between the Market Participants through a Customized Contract shall be clearly specified for each Capacity Trading Period</w:t>
      </w:r>
      <w:r w:rsidR="00E72C2E">
        <w:t xml:space="preserve">. </w:t>
      </w:r>
    </w:p>
    <w:p w14:paraId="754803EF" w14:textId="4B7D5D74" w:rsidR="00265097" w:rsidRDefault="00265097" w:rsidP="005B295A">
      <w:pPr>
        <w:pStyle w:val="Heading4"/>
      </w:pPr>
      <w:r>
        <w:t xml:space="preserve">All </w:t>
      </w:r>
      <w:r w:rsidR="00DB0E9B">
        <w:t>C</w:t>
      </w:r>
      <w:r>
        <w:t xml:space="preserve">apacity transactions </w:t>
      </w:r>
      <w:r w:rsidR="00FF4EC0">
        <w:t xml:space="preserve">in the CTBCM </w:t>
      </w:r>
      <w:r>
        <w:t>shall be backed by Firm Capacity Certificates issued by the Market Operator.</w:t>
      </w:r>
    </w:p>
    <w:p w14:paraId="200D8FBB" w14:textId="1ACC908B" w:rsidR="000345F6" w:rsidRDefault="000345F6" w:rsidP="005B295A">
      <w:pPr>
        <w:pStyle w:val="Heading4"/>
      </w:pPr>
      <w:r>
        <w:t xml:space="preserve">The Capacity transactions shall be specified as: </w:t>
      </w:r>
    </w:p>
    <w:p w14:paraId="71237F74" w14:textId="09AD7CCC" w:rsidR="000345F6" w:rsidRDefault="00395B0F" w:rsidP="00B03234">
      <w:pPr>
        <w:pStyle w:val="Heading5"/>
      </w:pPr>
      <w:r>
        <w:t>a</w:t>
      </w:r>
      <w:r w:rsidR="000345F6">
        <w:t xml:space="preserve"> fixed quantity, expressed in </w:t>
      </w:r>
      <w:r>
        <w:t>M</w:t>
      </w:r>
      <w:r w:rsidR="005B5C64" w:rsidRPr="005B5C64">
        <w:t>W</w:t>
      </w:r>
      <w:r w:rsidR="006F6D99">
        <w:t xml:space="preserve"> for each Capacity Trading Period</w:t>
      </w:r>
      <w:r w:rsidR="000345F6">
        <w:t xml:space="preserve">; or </w:t>
      </w:r>
    </w:p>
    <w:p w14:paraId="1BA326CF" w14:textId="2BD17277" w:rsidR="000345F6" w:rsidRDefault="00395B0F" w:rsidP="00B03234">
      <w:pPr>
        <w:pStyle w:val="Heading5"/>
      </w:pPr>
      <w:r>
        <w:t>a</w:t>
      </w:r>
      <w:r w:rsidR="000345F6">
        <w:t xml:space="preserve"> defined </w:t>
      </w:r>
      <w:r w:rsidR="000345F6" w:rsidRPr="00DB7424">
        <w:t xml:space="preserve">percentage </w:t>
      </w:r>
      <w:r w:rsidR="00DB7424" w:rsidRPr="00DB7424">
        <w:t xml:space="preserve">of </w:t>
      </w:r>
      <w:r w:rsidR="003151C3" w:rsidRPr="00DB7424">
        <w:t xml:space="preserve">the </w:t>
      </w:r>
      <w:r w:rsidR="00DB7424" w:rsidRPr="00B03C4A">
        <w:t>number</w:t>
      </w:r>
      <w:r w:rsidR="003151C3" w:rsidRPr="00DB7424">
        <w:t xml:space="preserve"> </w:t>
      </w:r>
      <w:r w:rsidR="000345F6" w:rsidRPr="00DB7424">
        <w:t xml:space="preserve">of Firm Capacity Certificates </w:t>
      </w:r>
      <w:r w:rsidRPr="00DB7424">
        <w:t xml:space="preserve">or Capacity </w:t>
      </w:r>
      <w:r w:rsidR="000345F6" w:rsidRPr="00DB7424">
        <w:t xml:space="preserve">associated with </w:t>
      </w:r>
      <w:r w:rsidR="006F6D99" w:rsidRPr="00DB7424">
        <w:t xml:space="preserve">a </w:t>
      </w:r>
      <w:r w:rsidR="00DB7424" w:rsidRPr="00DB7424">
        <w:t>clear</w:t>
      </w:r>
      <w:r w:rsidR="006F6D99" w:rsidRPr="00DB7424">
        <w:t xml:space="preserve"> </w:t>
      </w:r>
      <w:r w:rsidR="003151C3" w:rsidRPr="00DB7424">
        <w:t>identification of the</w:t>
      </w:r>
      <w:r w:rsidR="006F6D99" w:rsidRPr="00DB7424">
        <w:t xml:space="preserve"> </w:t>
      </w:r>
      <w:r w:rsidR="00E678E5" w:rsidRPr="00DB7424">
        <w:t>Physical Asset</w:t>
      </w:r>
      <w:r w:rsidR="006F6D99" w:rsidRPr="00DB7424">
        <w:t>s</w:t>
      </w:r>
      <w:r w:rsidR="003151C3" w:rsidRPr="00DB7424">
        <w:t xml:space="preserve"> involved</w:t>
      </w:r>
      <w:r w:rsidR="00DB7424" w:rsidRPr="00DB7424">
        <w:t xml:space="preserve"> or a formula to calculate such percentage</w:t>
      </w:r>
      <w:r w:rsidR="00DB7424">
        <w:t>/quantity:</w:t>
      </w:r>
    </w:p>
    <w:p w14:paraId="3A98E890" w14:textId="2B76E739" w:rsidR="00050052" w:rsidRDefault="00050052" w:rsidP="005B295A">
      <w:pPr>
        <w:pStyle w:val="Heading4"/>
      </w:pPr>
      <w:bookmarkStart w:id="144" w:name="_Ref55046308"/>
      <w:r>
        <w:t xml:space="preserve">The Firm Capacity Certificates used to back the Capacity </w:t>
      </w:r>
      <w:r w:rsidR="00EA4B0F">
        <w:t>t</w:t>
      </w:r>
      <w:r>
        <w:t>ransaction shall be either:</w:t>
      </w:r>
      <w:bookmarkEnd w:id="144"/>
      <w:r>
        <w:t xml:space="preserve"> </w:t>
      </w:r>
    </w:p>
    <w:p w14:paraId="793C21F7" w14:textId="1D210EBB" w:rsidR="00050052" w:rsidRDefault="00A10EFB" w:rsidP="00B03234">
      <w:pPr>
        <w:pStyle w:val="Heading5"/>
      </w:pPr>
      <w:r>
        <w:t>t</w:t>
      </w:r>
      <w:r w:rsidR="00050052">
        <w:t xml:space="preserve">ransferred from the </w:t>
      </w:r>
      <w:r w:rsidR="00FE040E">
        <w:t>seller</w:t>
      </w:r>
      <w:r w:rsidR="00050052">
        <w:t xml:space="preserve"> to the </w:t>
      </w:r>
      <w:r w:rsidR="00FE040E">
        <w:t>buyer</w:t>
      </w:r>
      <w:r w:rsidR="00050052">
        <w:t xml:space="preserve">; or </w:t>
      </w:r>
    </w:p>
    <w:p w14:paraId="5D9E6289" w14:textId="183EEB10" w:rsidR="00050052" w:rsidRDefault="00A10EFB" w:rsidP="00B03234">
      <w:pPr>
        <w:pStyle w:val="Heading5"/>
      </w:pPr>
      <w:r>
        <w:lastRenderedPageBreak/>
        <w:t>c</w:t>
      </w:r>
      <w:r w:rsidR="00050052">
        <w:t xml:space="preserve">hanged their status </w:t>
      </w:r>
      <w:r w:rsidR="00EA4B0F">
        <w:t>to</w:t>
      </w:r>
      <w:r w:rsidR="00050052">
        <w:t xml:space="preserve"> “Blocked”;</w:t>
      </w:r>
    </w:p>
    <w:p w14:paraId="07A50D3F" w14:textId="4CB2A01C" w:rsidR="00050052" w:rsidRDefault="00050052" w:rsidP="005B295A">
      <w:pPr>
        <w:pStyle w:val="Heading4"/>
        <w:numPr>
          <w:ilvl w:val="0"/>
          <w:numId w:val="0"/>
        </w:numPr>
        <w:ind w:left="1644"/>
      </w:pPr>
      <w:r>
        <w:t xml:space="preserve">depending on the </w:t>
      </w:r>
      <w:r w:rsidR="00E16923">
        <w:t xml:space="preserve">type of Contract agreed in the transaction and its </w:t>
      </w:r>
      <w:r>
        <w:t xml:space="preserve">specific </w:t>
      </w:r>
      <w:r w:rsidR="00E16923">
        <w:t xml:space="preserve">provisions, </w:t>
      </w:r>
      <w:r>
        <w:t xml:space="preserve">which shall be verified by the </w:t>
      </w:r>
      <w:r w:rsidR="00E678E5">
        <w:t xml:space="preserve">Market </w:t>
      </w:r>
      <w:r>
        <w:t xml:space="preserve">Operator. </w:t>
      </w:r>
    </w:p>
    <w:p w14:paraId="52542DD7" w14:textId="6D9A658F" w:rsidR="00B24EA9" w:rsidRDefault="00B24EA9" w:rsidP="005B295A">
      <w:pPr>
        <w:pStyle w:val="Heading4"/>
      </w:pPr>
      <w:r>
        <w:t xml:space="preserve">The </w:t>
      </w:r>
      <w:r w:rsidR="00C36373">
        <w:t xml:space="preserve">contracted quantities of </w:t>
      </w:r>
      <w:r w:rsidR="00080011">
        <w:t>Capacity</w:t>
      </w:r>
      <w:r>
        <w:t xml:space="preserve"> shall not be conditional </w:t>
      </w:r>
      <w:r w:rsidR="00C36373">
        <w:t xml:space="preserve">upon </w:t>
      </w:r>
      <w:r>
        <w:t xml:space="preserve">any event or </w:t>
      </w:r>
      <w:r w:rsidR="00C36373">
        <w:t xml:space="preserve">parameters </w:t>
      </w:r>
      <w:r>
        <w:t xml:space="preserve">which are not explicitly </w:t>
      </w:r>
      <w:r w:rsidR="00C36373">
        <w:t>provided for in</w:t>
      </w:r>
      <w:r>
        <w:t xml:space="preserve"> </w:t>
      </w:r>
      <w:r w:rsidR="00F05124">
        <w:t>this Code</w:t>
      </w:r>
      <w:r>
        <w:t xml:space="preserve">. </w:t>
      </w:r>
    </w:p>
    <w:p w14:paraId="23330287" w14:textId="2B51E79C" w:rsidR="00475034" w:rsidRPr="005B4D1A" w:rsidRDefault="00475034" w:rsidP="00C173D0">
      <w:pPr>
        <w:pStyle w:val="Heading3"/>
      </w:pPr>
      <w:bookmarkStart w:id="145" w:name="_Ref54982170"/>
      <w:r>
        <w:t xml:space="preserve">Information to be Provided for </w:t>
      </w:r>
      <w:r w:rsidR="008A179B">
        <w:t>Customized</w:t>
      </w:r>
      <w:r>
        <w:t xml:space="preserve"> Contracts</w:t>
      </w:r>
      <w:bookmarkEnd w:id="145"/>
    </w:p>
    <w:p w14:paraId="3B91968B" w14:textId="50EB2181" w:rsidR="00475034" w:rsidRPr="00C465B7" w:rsidRDefault="00475034" w:rsidP="005B295A">
      <w:pPr>
        <w:pStyle w:val="Heading4"/>
      </w:pPr>
      <w:r w:rsidRPr="00C465B7">
        <w:t>Following information shall be provided by the parties during the registration process</w:t>
      </w:r>
      <w:r w:rsidR="00842113">
        <w:t xml:space="preserve"> of a </w:t>
      </w:r>
      <w:r w:rsidR="008A179B">
        <w:t>Customized</w:t>
      </w:r>
      <w:r w:rsidR="00842113">
        <w:t xml:space="preserve"> Contract</w:t>
      </w:r>
      <w:r w:rsidRPr="00C465B7">
        <w:t xml:space="preserve">: </w:t>
      </w:r>
    </w:p>
    <w:p w14:paraId="5B49352D" w14:textId="57371363" w:rsidR="00475034" w:rsidRDefault="00C36373" w:rsidP="00B03234">
      <w:pPr>
        <w:pStyle w:val="Heading5"/>
      </w:pPr>
      <w:r>
        <w:t>i</w:t>
      </w:r>
      <w:r w:rsidR="00475034" w:rsidRPr="0042506C">
        <w:t>d</w:t>
      </w:r>
      <w:r w:rsidR="00475034" w:rsidRPr="00926094">
        <w:t>entification of the buyer and seller;</w:t>
      </w:r>
    </w:p>
    <w:p w14:paraId="7D3C34B2" w14:textId="76EFA14A" w:rsidR="009D7C04" w:rsidRDefault="00C36373" w:rsidP="00B03234">
      <w:pPr>
        <w:pStyle w:val="Heading5"/>
      </w:pPr>
      <w:r>
        <w:t>t</w:t>
      </w:r>
      <w:r w:rsidR="009D7C04">
        <w:t xml:space="preserve">he </w:t>
      </w:r>
      <w:r>
        <w:t>effective</w:t>
      </w:r>
      <w:r w:rsidR="009D7C04">
        <w:t xml:space="preserve"> date and t</w:t>
      </w:r>
      <w:r w:rsidR="00475034">
        <w:t>otal duration of the Contract</w:t>
      </w:r>
    </w:p>
    <w:p w14:paraId="2289E1A8" w14:textId="618F4E53" w:rsidR="00475034" w:rsidRPr="00926094" w:rsidRDefault="00C36373" w:rsidP="00B03234">
      <w:pPr>
        <w:pStyle w:val="Heading5"/>
      </w:pPr>
      <w:r>
        <w:t>i</w:t>
      </w:r>
      <w:r w:rsidR="009D7C04">
        <w:t>dentification of Trading Points</w:t>
      </w:r>
      <w:r w:rsidR="00475034">
        <w:t xml:space="preserve"> </w:t>
      </w:r>
    </w:p>
    <w:p w14:paraId="1EA2A97F" w14:textId="2DEDBA82" w:rsidR="00475034" w:rsidRPr="00926094" w:rsidRDefault="00C36373" w:rsidP="00B03234">
      <w:pPr>
        <w:pStyle w:val="Heading5"/>
      </w:pPr>
      <w:r>
        <w:t>amount</w:t>
      </w:r>
      <w:r w:rsidR="00273750">
        <w:t xml:space="preserve"> </w:t>
      </w:r>
      <w:r w:rsidR="00475034" w:rsidRPr="00926094">
        <w:t xml:space="preserve">of the Energy sold and bought by the parties, </w:t>
      </w:r>
      <w:r>
        <w:t>during</w:t>
      </w:r>
      <w:r w:rsidRPr="00926094">
        <w:t xml:space="preserve"> </w:t>
      </w:r>
      <w:r w:rsidR="00475034" w:rsidRPr="00926094">
        <w:t xml:space="preserve">each Energy Trading Period, </w:t>
      </w:r>
      <w:r>
        <w:t>for</w:t>
      </w:r>
      <w:r w:rsidRPr="00926094">
        <w:t xml:space="preserve"> </w:t>
      </w:r>
      <w:r w:rsidR="00475034" w:rsidRPr="00926094">
        <w:t>the complete duration of the Contract</w:t>
      </w:r>
      <w:r w:rsidR="00842113">
        <w:t>, or</w:t>
      </w:r>
      <w:r w:rsidR="00842113" w:rsidRPr="00842113">
        <w:t xml:space="preserve"> </w:t>
      </w:r>
      <w:r w:rsidR="00994F92">
        <w:t xml:space="preserve">provide </w:t>
      </w:r>
      <w:r>
        <w:t xml:space="preserve">a </w:t>
      </w:r>
      <w:r w:rsidR="00842113">
        <w:t>formula</w:t>
      </w:r>
      <w:r w:rsidR="00994F92">
        <w:t xml:space="preserve"> along with relevant information</w:t>
      </w:r>
      <w:r w:rsidR="00842113">
        <w:t xml:space="preserve"> that clearly </w:t>
      </w:r>
      <w:r>
        <w:t xml:space="preserve">specifies </w:t>
      </w:r>
      <w:r w:rsidR="00842113">
        <w:t xml:space="preserve">the calculation </w:t>
      </w:r>
      <w:r>
        <w:t>of the contracted quantities</w:t>
      </w:r>
      <w:r w:rsidR="00842113">
        <w:t xml:space="preserve">; </w:t>
      </w:r>
    </w:p>
    <w:p w14:paraId="614D4134" w14:textId="4C61FC5B" w:rsidR="00475034" w:rsidRPr="00926094" w:rsidRDefault="00994F92" w:rsidP="00B03234">
      <w:pPr>
        <w:pStyle w:val="Heading5"/>
      </w:pPr>
      <w:r>
        <w:t xml:space="preserve">amount </w:t>
      </w:r>
      <w:r w:rsidRPr="00926094">
        <w:t xml:space="preserve">of the </w:t>
      </w:r>
      <w:r>
        <w:t>Capacity</w:t>
      </w:r>
      <w:r w:rsidRPr="00926094">
        <w:t xml:space="preserve"> sold and bought by the parties, </w:t>
      </w:r>
      <w:r>
        <w:t>during</w:t>
      </w:r>
      <w:r w:rsidRPr="00926094">
        <w:t xml:space="preserve"> each </w:t>
      </w:r>
      <w:r>
        <w:t>Capacity</w:t>
      </w:r>
      <w:r w:rsidRPr="00926094">
        <w:t xml:space="preserve"> Trading Period, </w:t>
      </w:r>
      <w:r>
        <w:t>for</w:t>
      </w:r>
      <w:r w:rsidRPr="00926094">
        <w:t xml:space="preserve"> the complete duration of the Contract</w:t>
      </w:r>
      <w:r>
        <w:t>, or</w:t>
      </w:r>
      <w:r w:rsidRPr="00842113">
        <w:t xml:space="preserve"> </w:t>
      </w:r>
      <w:r>
        <w:t>provide a formula along with relevant information that clearly specifies the calculation of the contracted quantities</w:t>
      </w:r>
      <w:r w:rsidR="00475034" w:rsidRPr="00926094">
        <w:t xml:space="preserve">; </w:t>
      </w:r>
    </w:p>
    <w:p w14:paraId="6BCB6073" w14:textId="35A45790" w:rsidR="00475034" w:rsidRPr="00926094" w:rsidRDefault="00994F92" w:rsidP="00B03234">
      <w:pPr>
        <w:pStyle w:val="Heading5"/>
      </w:pPr>
      <w:r>
        <w:t>i</w:t>
      </w:r>
      <w:r w:rsidR="00475034" w:rsidRPr="00926094">
        <w:t xml:space="preserve">dentification of the Firm Capacity Certificates that the </w:t>
      </w:r>
      <w:r w:rsidR="00FE040E">
        <w:t>seller</w:t>
      </w:r>
      <w:r w:rsidR="00475034" w:rsidRPr="00926094">
        <w:t xml:space="preserve"> sells to the </w:t>
      </w:r>
      <w:r w:rsidR="00FE040E">
        <w:t>buyer</w:t>
      </w:r>
      <w:r w:rsidR="00475034" w:rsidRPr="00926094">
        <w:t xml:space="preserve"> to back the Capacity transaction, </w:t>
      </w:r>
      <w:r>
        <w:t>during</w:t>
      </w:r>
      <w:r w:rsidRPr="00926094">
        <w:t xml:space="preserve"> </w:t>
      </w:r>
      <w:r w:rsidR="00475034" w:rsidRPr="00926094">
        <w:t>each Capacity Trading Period.</w:t>
      </w:r>
    </w:p>
    <w:p w14:paraId="5A89A19F" w14:textId="6F9EBE27" w:rsidR="009D7C04" w:rsidRDefault="00994F92" w:rsidP="00B03234">
      <w:pPr>
        <w:pStyle w:val="Heading5"/>
      </w:pPr>
      <w:r>
        <w:t>e</w:t>
      </w:r>
      <w:r w:rsidR="00475034">
        <w:t xml:space="preserve">xplicit </w:t>
      </w:r>
      <w:r>
        <w:t xml:space="preserve">declaration </w:t>
      </w:r>
      <w:r w:rsidR="00475034">
        <w:t xml:space="preserve">that the </w:t>
      </w:r>
      <w:r w:rsidR="00EC1896">
        <w:t>bought and sold</w:t>
      </w:r>
      <w:r w:rsidR="00475034">
        <w:t xml:space="preserve"> Capacity shall be considered Guaranteed or Non-Guaranteed;</w:t>
      </w:r>
    </w:p>
    <w:p w14:paraId="743FFF94" w14:textId="0A4B84CB" w:rsidR="00475034" w:rsidRDefault="00994F92" w:rsidP="00B03234">
      <w:pPr>
        <w:pStyle w:val="Heading5"/>
      </w:pPr>
      <w:r>
        <w:t>i</w:t>
      </w:r>
      <w:r w:rsidR="009D7C04">
        <w:t xml:space="preserve">f applicable, explicit </w:t>
      </w:r>
      <w:r>
        <w:t>declaration</w:t>
      </w:r>
      <w:r w:rsidR="009D7C04">
        <w:t xml:space="preserve"> </w:t>
      </w:r>
      <w:r>
        <w:t xml:space="preserve">who will be </w:t>
      </w:r>
      <w:r w:rsidR="00A25AC5">
        <w:t>eligible</w:t>
      </w:r>
      <w:r>
        <w:t xml:space="preserve"> for</w:t>
      </w:r>
      <w:r w:rsidR="009D7C04">
        <w:t xml:space="preserve"> revenues associated with provision of Must R</w:t>
      </w:r>
      <w:r>
        <w:t>u</w:t>
      </w:r>
      <w:r w:rsidR="009D7C04">
        <w:t>n Generation and Ancillary Services</w:t>
      </w:r>
      <w:r>
        <w:t>;</w:t>
      </w:r>
      <w:r w:rsidR="00475034">
        <w:t xml:space="preserve"> </w:t>
      </w:r>
    </w:p>
    <w:p w14:paraId="702DC140" w14:textId="448B7D59" w:rsidR="00842113" w:rsidRDefault="00994F92" w:rsidP="00B03234">
      <w:pPr>
        <w:pStyle w:val="Heading5"/>
      </w:pPr>
      <w:r>
        <w:t>a</w:t>
      </w:r>
      <w:r w:rsidR="00475034">
        <w:t xml:space="preserve"> </w:t>
      </w:r>
      <w:r>
        <w:t>declaration whether</w:t>
      </w:r>
      <w:r w:rsidR="00475034">
        <w:t xml:space="preserve"> the amounts of Energy </w:t>
      </w:r>
      <w:r w:rsidR="00EC1896">
        <w:t>bought and sold</w:t>
      </w:r>
      <w:r w:rsidR="00475034">
        <w:t xml:space="preserve">, as per clause </w:t>
      </w:r>
      <w:r w:rsidR="00475034">
        <w:fldChar w:fldCharType="begin"/>
      </w:r>
      <w:r w:rsidR="00475034">
        <w:instrText xml:space="preserve"> REF _Ref54981215 \w \h </w:instrText>
      </w:r>
      <w:r w:rsidR="00475034">
        <w:fldChar w:fldCharType="separate"/>
      </w:r>
      <w:r w:rsidR="00251DBF">
        <w:t>4.3.4.3.c)</w:t>
      </w:r>
      <w:r w:rsidR="00475034">
        <w:fldChar w:fldCharType="end"/>
      </w:r>
      <w:r w:rsidR="00475034">
        <w:t xml:space="preserve"> shall be considered for the whole duration of the Contract or </w:t>
      </w:r>
      <w:r>
        <w:t xml:space="preserve">these amounts may </w:t>
      </w:r>
      <w:r w:rsidR="00475034">
        <w:t xml:space="preserve">be periodically adjusted as per </w:t>
      </w:r>
      <w:r>
        <w:t>provisions of</w:t>
      </w:r>
      <w:r w:rsidR="00475034">
        <w:t xml:space="preserve"> </w:t>
      </w:r>
      <w:r w:rsidR="008C02F7">
        <w:t>Sub-Section</w:t>
      </w:r>
      <w:r w:rsidR="00F8105C">
        <w:t xml:space="preserve"> </w:t>
      </w:r>
      <w:r w:rsidR="005B5C64">
        <w:fldChar w:fldCharType="begin"/>
      </w:r>
      <w:r w:rsidR="005B5C64">
        <w:instrText xml:space="preserve"> REF _Ref55040668 \r \h </w:instrText>
      </w:r>
      <w:r w:rsidR="005B5C64">
        <w:fldChar w:fldCharType="separate"/>
      </w:r>
      <w:r w:rsidR="00251DBF">
        <w:t>4.5.6</w:t>
      </w:r>
      <w:r w:rsidR="005B5C64">
        <w:fldChar w:fldCharType="end"/>
      </w:r>
      <w:r w:rsidR="00842113">
        <w:t xml:space="preserve">; </w:t>
      </w:r>
    </w:p>
    <w:p w14:paraId="42E384B9" w14:textId="14338D11" w:rsidR="00475034" w:rsidRPr="00475034" w:rsidRDefault="00FA0440" w:rsidP="005B295A">
      <w:pPr>
        <w:pStyle w:val="Heading4"/>
      </w:pPr>
      <w:r>
        <w:t>During the registration process, t</w:t>
      </w:r>
      <w:r w:rsidR="00842113">
        <w:t xml:space="preserve">he Market Operator </w:t>
      </w:r>
      <w:r w:rsidR="00994F92">
        <w:t>may</w:t>
      </w:r>
      <w:r w:rsidR="00842113">
        <w:t xml:space="preserve"> </w:t>
      </w:r>
      <w:r w:rsidR="00994F92">
        <w:t xml:space="preserve">require </w:t>
      </w:r>
      <w:r w:rsidR="00842113">
        <w:t xml:space="preserve">any other information it deems necessary, </w:t>
      </w:r>
      <w:r w:rsidR="00994F92">
        <w:t xml:space="preserve">in </w:t>
      </w:r>
      <w:r w:rsidR="00842113">
        <w:t>its sole discretion,</w:t>
      </w:r>
      <w:r w:rsidR="00994F92">
        <w:t xml:space="preserve"> in order</w:t>
      </w:r>
      <w:r w:rsidR="00842113">
        <w:t xml:space="preserve"> to assess </w:t>
      </w:r>
      <w:r>
        <w:t>conformity of the Contract with the provisions of this Code</w:t>
      </w:r>
      <w:r w:rsidR="00842113">
        <w:t xml:space="preserve">. </w:t>
      </w:r>
      <w:r>
        <w:t xml:space="preserve">Such </w:t>
      </w:r>
      <w:r w:rsidR="00842113">
        <w:t xml:space="preserve">information may include copies of parts, sections or clauses of the </w:t>
      </w:r>
      <w:r w:rsidR="00E678E5">
        <w:t xml:space="preserve">signed </w:t>
      </w:r>
      <w:r w:rsidR="001C333B">
        <w:t>Bilateral</w:t>
      </w:r>
      <w:r w:rsidR="00E678E5">
        <w:t xml:space="preserve"> </w:t>
      </w:r>
      <w:r w:rsidR="003A578F">
        <w:t>Contract</w:t>
      </w:r>
      <w:r w:rsidR="00842113">
        <w:t xml:space="preserve">, </w:t>
      </w:r>
      <w:r>
        <w:t>excluding</w:t>
      </w:r>
      <w:r w:rsidR="00842113">
        <w:t xml:space="preserve"> price or other commercially sensitive information</w:t>
      </w:r>
      <w:r w:rsidR="00994F92" w:rsidRPr="00994F92">
        <w:t xml:space="preserve"> </w:t>
      </w:r>
      <w:r>
        <w:t>provided however</w:t>
      </w:r>
      <w:r w:rsidR="00994F92">
        <w:t xml:space="preserve"> that it will be decided solely by the Market Operator whether certain information is commercially sensitive or not</w:t>
      </w:r>
      <w:r w:rsidR="00842113">
        <w:t xml:space="preserve">. </w:t>
      </w:r>
    </w:p>
    <w:p w14:paraId="4AD88AFF" w14:textId="79FC6178" w:rsidR="00293F8F" w:rsidRDefault="00293F8F" w:rsidP="00C173D0">
      <w:pPr>
        <w:pStyle w:val="Heading2"/>
      </w:pPr>
      <w:bookmarkStart w:id="146" w:name="_Ref63967394"/>
      <w:bookmarkStart w:id="147" w:name="_Toc64846667"/>
      <w:bookmarkStart w:id="148" w:name="_Toc69476964"/>
      <w:r>
        <w:t>Contract Registration</w:t>
      </w:r>
      <w:bookmarkEnd w:id="146"/>
      <w:bookmarkEnd w:id="147"/>
      <w:bookmarkEnd w:id="148"/>
    </w:p>
    <w:p w14:paraId="6A536B3A" w14:textId="77777777" w:rsidR="00FC73E2" w:rsidRDefault="00FC73E2" w:rsidP="00FC73E2">
      <w:pPr>
        <w:pStyle w:val="Heading3"/>
      </w:pPr>
      <w:bookmarkStart w:id="149" w:name="_Toc72322309"/>
      <w:bookmarkStart w:id="150" w:name="_Toc72322981"/>
      <w:bookmarkStart w:id="151" w:name="_Toc81997881"/>
      <w:bookmarkStart w:id="152" w:name="_Toc82077625"/>
      <w:r>
        <w:t>The Contract Register</w:t>
      </w:r>
    </w:p>
    <w:p w14:paraId="1D45864F" w14:textId="56EC7572" w:rsidR="00FC73E2" w:rsidRDefault="00FC73E2" w:rsidP="005B295A">
      <w:pPr>
        <w:pStyle w:val="Heading4"/>
      </w:pPr>
      <w:r>
        <w:t xml:space="preserve">The Market Operator shall organize and maintain a register of the Energy and Capacity sold and purchased in </w:t>
      </w:r>
      <w:r w:rsidR="00C71502">
        <w:t>C</w:t>
      </w:r>
      <w:r>
        <w:t xml:space="preserve">ontracts, </w:t>
      </w:r>
      <w:r w:rsidR="00314DAF">
        <w:t xml:space="preserve">along with </w:t>
      </w:r>
      <w:r>
        <w:t xml:space="preserve">the information submitted by </w:t>
      </w:r>
      <w:r w:rsidR="00314DAF">
        <w:t xml:space="preserve">the </w:t>
      </w:r>
      <w:r>
        <w:t>Market Participants</w:t>
      </w:r>
      <w:r w:rsidR="00314DAF">
        <w:t xml:space="preserve"> provided that the </w:t>
      </w:r>
      <w:r>
        <w:t xml:space="preserve">Contract Register </w:t>
      </w:r>
      <w:r w:rsidR="00314DAF">
        <w:t xml:space="preserve">shall </w:t>
      </w:r>
      <w:r>
        <w:t>not contain any price or commercially sensitive information</w:t>
      </w:r>
      <w:r w:rsidR="00314DAF">
        <w:t xml:space="preserve"> of the Market Participants</w:t>
      </w:r>
      <w:r>
        <w:t xml:space="preserve">. The purpose of the Contract Register </w:t>
      </w:r>
      <w:r w:rsidR="00314DAF">
        <w:t>shall be</w:t>
      </w:r>
      <w:r>
        <w:t>:</w:t>
      </w:r>
    </w:p>
    <w:p w14:paraId="0F3E504E" w14:textId="48628BE7" w:rsidR="00FC73E2" w:rsidRDefault="00314DAF" w:rsidP="00B03234">
      <w:pPr>
        <w:pStyle w:val="Heading5"/>
      </w:pPr>
      <w:r>
        <w:t xml:space="preserve">determination of </w:t>
      </w:r>
      <w:r w:rsidR="00FC73E2">
        <w:t xml:space="preserve">quantities purchased and sold in the Balancing Mechanisms for Energy </w:t>
      </w:r>
      <w:r w:rsidR="00FC73E2">
        <w:lastRenderedPageBreak/>
        <w:t xml:space="preserve">and Capacity; </w:t>
      </w:r>
    </w:p>
    <w:p w14:paraId="649B7E60" w14:textId="466453F0" w:rsidR="00FC73E2" w:rsidRDefault="00314DAF" w:rsidP="00B03234">
      <w:pPr>
        <w:pStyle w:val="Heading5"/>
      </w:pPr>
      <w:r>
        <w:t xml:space="preserve">keeping </w:t>
      </w:r>
      <w:r w:rsidR="00FC73E2">
        <w:t xml:space="preserve">record </w:t>
      </w:r>
      <w:r>
        <w:t xml:space="preserve">of contracted quantities </w:t>
      </w:r>
      <w:r w:rsidR="00FC73E2">
        <w:t xml:space="preserve">of Energy and Capacity </w:t>
      </w:r>
      <w:r>
        <w:t xml:space="preserve"> in order </w:t>
      </w:r>
      <w:r w:rsidR="00FC73E2">
        <w:t xml:space="preserve">to perform the </w:t>
      </w:r>
      <w:r>
        <w:t>S</w:t>
      </w:r>
      <w:r w:rsidR="00FC73E2">
        <w:t xml:space="preserve">ettlement process; </w:t>
      </w:r>
    </w:p>
    <w:p w14:paraId="3C4C1200" w14:textId="11F503DE" w:rsidR="00FC73E2" w:rsidRDefault="00314DAF" w:rsidP="00B03234">
      <w:pPr>
        <w:pStyle w:val="Heading5"/>
      </w:pPr>
      <w:r>
        <w:t xml:space="preserve">verification of </w:t>
      </w:r>
      <w:r w:rsidR="00FC73E2">
        <w:t xml:space="preserve">compliance with the Capacity Obligations. </w:t>
      </w:r>
    </w:p>
    <w:p w14:paraId="4D5B5DC5" w14:textId="7FA221C7" w:rsidR="00FC73E2" w:rsidRDefault="00FC73E2" w:rsidP="005B295A">
      <w:pPr>
        <w:pStyle w:val="Heading4"/>
      </w:pPr>
      <w:r>
        <w:t xml:space="preserve">The Contract Register shall record </w:t>
      </w:r>
      <w:r w:rsidR="00314DAF">
        <w:t xml:space="preserve">the following information </w:t>
      </w:r>
      <w:r>
        <w:t xml:space="preserve">for each </w:t>
      </w:r>
      <w:r w:rsidR="003A578F">
        <w:t>Contract</w:t>
      </w:r>
      <w:r>
        <w:t>:</w:t>
      </w:r>
    </w:p>
    <w:p w14:paraId="45292B41" w14:textId="09F6D019" w:rsidR="00FC73E2" w:rsidRPr="00C508F0" w:rsidRDefault="00314DAF" w:rsidP="00B03234">
      <w:pPr>
        <w:pStyle w:val="Heading5"/>
      </w:pPr>
      <w:r>
        <w:t>details of the c</w:t>
      </w:r>
      <w:r w:rsidR="00FC73E2" w:rsidRPr="00C508F0">
        <w:t xml:space="preserve">ontracting parties, </w:t>
      </w:r>
      <w:r w:rsidR="00FC73E2" w:rsidRPr="00314DAF">
        <w:rPr>
          <w:strike/>
        </w:rPr>
        <w:t xml:space="preserve">identifying </w:t>
      </w:r>
      <w:r w:rsidR="00222F09" w:rsidRPr="00314DAF">
        <w:rPr>
          <w:strike/>
        </w:rPr>
        <w:t>s</w:t>
      </w:r>
      <w:r w:rsidR="00FC73E2" w:rsidRPr="00314DAF">
        <w:rPr>
          <w:strike/>
        </w:rPr>
        <w:t xml:space="preserve">eller and </w:t>
      </w:r>
      <w:r w:rsidR="00222F09" w:rsidRPr="00314DAF">
        <w:rPr>
          <w:strike/>
        </w:rPr>
        <w:t>buyer</w:t>
      </w:r>
      <w:r w:rsidR="00FC73E2" w:rsidRPr="00C508F0">
        <w:t>;</w:t>
      </w:r>
    </w:p>
    <w:p w14:paraId="576D2A8A" w14:textId="5C9A0BD9" w:rsidR="00FC73E2" w:rsidRPr="00C508F0" w:rsidRDefault="00314DAF" w:rsidP="00B03234">
      <w:pPr>
        <w:pStyle w:val="Heading5"/>
      </w:pPr>
      <w:r>
        <w:t>d</w:t>
      </w:r>
      <w:r w:rsidR="00FC73E2" w:rsidRPr="00C508F0">
        <w:t>uration</w:t>
      </w:r>
      <w:r>
        <w:t xml:space="preserve"> and effective date</w:t>
      </w:r>
      <w:r w:rsidR="00FC73E2" w:rsidRPr="00C508F0">
        <w:t xml:space="preserve"> of the Contract;</w:t>
      </w:r>
    </w:p>
    <w:p w14:paraId="1205C661" w14:textId="1CC56996" w:rsidR="00FC73E2" w:rsidRDefault="00314DAF" w:rsidP="00B03234">
      <w:pPr>
        <w:pStyle w:val="Heading5"/>
      </w:pPr>
      <w:r>
        <w:t>t</w:t>
      </w:r>
      <w:r w:rsidR="00FC73E2">
        <w:t xml:space="preserve">ype of Contract (Standardized or </w:t>
      </w:r>
      <w:r w:rsidR="008A179B">
        <w:t>Customized</w:t>
      </w:r>
      <w:r w:rsidR="00FC73E2">
        <w:t>)</w:t>
      </w:r>
    </w:p>
    <w:p w14:paraId="02982D57" w14:textId="5C706C98" w:rsidR="00FC73E2" w:rsidRDefault="00A10EFB" w:rsidP="00B03234">
      <w:pPr>
        <w:pStyle w:val="Heading5"/>
      </w:pPr>
      <w:r>
        <w:t>f</w:t>
      </w:r>
      <w:r w:rsidR="00FC73E2">
        <w:t xml:space="preserve">or Standardized Contracts: </w:t>
      </w:r>
    </w:p>
    <w:p w14:paraId="23101BA1" w14:textId="6002D989" w:rsidR="00FC73E2" w:rsidRDefault="00314DAF" w:rsidP="00CF7164">
      <w:pPr>
        <w:pStyle w:val="Heading6"/>
      </w:pPr>
      <w:r>
        <w:t>t</w:t>
      </w:r>
      <w:r w:rsidR="00FC73E2">
        <w:t>he type of Standardized Contract; and</w:t>
      </w:r>
    </w:p>
    <w:p w14:paraId="3C00ABBC" w14:textId="1EC5574A" w:rsidR="00FC73E2" w:rsidRDefault="00314DAF" w:rsidP="00CF7164">
      <w:pPr>
        <w:pStyle w:val="Heading6"/>
      </w:pPr>
      <w:r>
        <w:t>t</w:t>
      </w:r>
      <w:r w:rsidR="00FC73E2">
        <w:t xml:space="preserve">he information </w:t>
      </w:r>
      <w:r>
        <w:t xml:space="preserve">required </w:t>
      </w:r>
      <w:r w:rsidR="00FC73E2">
        <w:t xml:space="preserve">in </w:t>
      </w:r>
      <w:r>
        <w:t>s</w:t>
      </w:r>
      <w:r w:rsidR="00FC73E2">
        <w:t>ub-</w:t>
      </w:r>
      <w:r w:rsidR="008C02F7">
        <w:t>Section</w:t>
      </w:r>
      <w:r w:rsidR="00FC73E2">
        <w:t xml:space="preserve">s </w:t>
      </w:r>
      <w:r w:rsidR="00FC73E2">
        <w:fldChar w:fldCharType="begin"/>
      </w:r>
      <w:r w:rsidR="00FC73E2">
        <w:instrText xml:space="preserve"> REF _Ref54980926 \w \h  \* MERGEFORMAT </w:instrText>
      </w:r>
      <w:r w:rsidR="00FC73E2">
        <w:fldChar w:fldCharType="separate"/>
      </w:r>
      <w:r w:rsidR="00251DBF">
        <w:t>4.3.1</w:t>
      </w:r>
      <w:r w:rsidR="00FC73E2">
        <w:fldChar w:fldCharType="end"/>
      </w:r>
      <w:r w:rsidR="00FC73E2">
        <w:t xml:space="preserve">, </w:t>
      </w:r>
      <w:r w:rsidR="00FC73E2">
        <w:fldChar w:fldCharType="begin"/>
      </w:r>
      <w:r w:rsidR="00FC73E2">
        <w:instrText xml:space="preserve"> REF _Ref54980937 \w \h  \* MERGEFORMAT </w:instrText>
      </w:r>
      <w:r w:rsidR="00FC73E2">
        <w:fldChar w:fldCharType="separate"/>
      </w:r>
      <w:r w:rsidR="00251DBF">
        <w:t>4.3.2</w:t>
      </w:r>
      <w:r w:rsidR="00FC73E2">
        <w:fldChar w:fldCharType="end"/>
      </w:r>
      <w:r w:rsidR="00FC73E2">
        <w:t xml:space="preserve">, </w:t>
      </w:r>
      <w:r w:rsidR="00FC73E2">
        <w:fldChar w:fldCharType="begin"/>
      </w:r>
      <w:r w:rsidR="00FC73E2">
        <w:instrText xml:space="preserve"> REF _Ref54980947 \w \h  \* MERGEFORMAT </w:instrText>
      </w:r>
      <w:r w:rsidR="00FC73E2">
        <w:fldChar w:fldCharType="separate"/>
      </w:r>
      <w:r w:rsidR="00251DBF">
        <w:t>4.3.3</w:t>
      </w:r>
      <w:r w:rsidR="00FC73E2">
        <w:fldChar w:fldCharType="end"/>
      </w:r>
      <w:r w:rsidR="00FC73E2">
        <w:t xml:space="preserve">, or </w:t>
      </w:r>
      <w:r w:rsidR="00FC73E2">
        <w:fldChar w:fldCharType="begin"/>
      </w:r>
      <w:r w:rsidR="00FC73E2">
        <w:instrText xml:space="preserve"> REF _Ref54980961 \w \h  \* MERGEFORMAT </w:instrText>
      </w:r>
      <w:r w:rsidR="00FC73E2">
        <w:fldChar w:fldCharType="separate"/>
      </w:r>
      <w:r w:rsidR="00251DBF">
        <w:t>4.3.4</w:t>
      </w:r>
      <w:r w:rsidR="00FC73E2">
        <w:fldChar w:fldCharType="end"/>
      </w:r>
      <w:r w:rsidR="00FC73E2">
        <w:t xml:space="preserve">, as </w:t>
      </w:r>
      <w:r>
        <w:t>the case may be</w:t>
      </w:r>
      <w:r w:rsidR="00FC73E2">
        <w:t>.</w:t>
      </w:r>
    </w:p>
    <w:p w14:paraId="00C91747" w14:textId="6C85425C" w:rsidR="00FC73E2" w:rsidRDefault="00FC73E2" w:rsidP="00B03234">
      <w:pPr>
        <w:pStyle w:val="Heading5"/>
      </w:pPr>
      <w:r>
        <w:t xml:space="preserve">For </w:t>
      </w:r>
      <w:r w:rsidR="008A179B">
        <w:t>Customized</w:t>
      </w:r>
      <w:r>
        <w:t xml:space="preserve"> Contracts, the information </w:t>
      </w:r>
      <w:r w:rsidR="00314DAF">
        <w:t xml:space="preserve">required </w:t>
      </w:r>
      <w:r>
        <w:t xml:space="preserve">in </w:t>
      </w:r>
      <w:r w:rsidR="00314DAF">
        <w:t>s</w:t>
      </w:r>
      <w:r>
        <w:t>ub-</w:t>
      </w:r>
      <w:r w:rsidR="008C02F7">
        <w:t>Section</w:t>
      </w:r>
      <w:r>
        <w:t xml:space="preserve"> </w:t>
      </w:r>
      <w:r>
        <w:fldChar w:fldCharType="begin"/>
      </w:r>
      <w:r>
        <w:instrText xml:space="preserve"> REF _Ref54982170 \w \h </w:instrText>
      </w:r>
      <w:r>
        <w:fldChar w:fldCharType="separate"/>
      </w:r>
      <w:r w:rsidR="00251DBF">
        <w:t>4.4.4</w:t>
      </w:r>
      <w:r>
        <w:fldChar w:fldCharType="end"/>
      </w:r>
      <w:r>
        <w:t xml:space="preserve">. </w:t>
      </w:r>
    </w:p>
    <w:p w14:paraId="3D8EB950" w14:textId="0A3F257B" w:rsidR="00FC73E2" w:rsidRDefault="00FC73E2" w:rsidP="005B295A">
      <w:pPr>
        <w:pStyle w:val="Heading4"/>
      </w:pPr>
      <w:r>
        <w:t>The Market Operator shall update the Contract Register</w:t>
      </w:r>
      <w:r w:rsidR="00D74EF9">
        <w:t xml:space="preserve"> in case of</w:t>
      </w:r>
      <w:r w:rsidR="00314DAF">
        <w:t>:</w:t>
      </w:r>
    </w:p>
    <w:p w14:paraId="27680696" w14:textId="34EE8F09" w:rsidR="00FC73E2" w:rsidRDefault="00D74EF9" w:rsidP="00B03234">
      <w:pPr>
        <w:pStyle w:val="Heading5"/>
      </w:pPr>
      <w:r>
        <w:t>revision of</w:t>
      </w:r>
      <w:r w:rsidR="00314DAF">
        <w:t xml:space="preserve"> amount </w:t>
      </w:r>
      <w:r w:rsidR="00FC73E2">
        <w:t>of the</w:t>
      </w:r>
      <w:r w:rsidR="00314DAF">
        <w:t xml:space="preserve"> contracted </w:t>
      </w:r>
      <w:r w:rsidR="00FC73E2">
        <w:t xml:space="preserve">Energy </w:t>
      </w:r>
      <w:r w:rsidR="00314DAF">
        <w:t>under</w:t>
      </w:r>
      <w:r w:rsidR="00FC73E2">
        <w:t xml:space="preserve"> </w:t>
      </w:r>
      <w:r w:rsidR="00314DAF">
        <w:t>s</w:t>
      </w:r>
      <w:r w:rsidR="00FC73E2" w:rsidRPr="004131E1">
        <w:t>ub-</w:t>
      </w:r>
      <w:r w:rsidR="008C02F7">
        <w:t>Section</w:t>
      </w:r>
      <w:r w:rsidR="00FC73E2" w:rsidRPr="004131E1">
        <w:t xml:space="preserve"> </w:t>
      </w:r>
      <w:r w:rsidR="004131E1" w:rsidRPr="004131E1">
        <w:fldChar w:fldCharType="begin"/>
      </w:r>
      <w:r w:rsidR="004131E1" w:rsidRPr="004131E1">
        <w:instrText xml:space="preserve"> REF _Ref55040668 \r \h </w:instrText>
      </w:r>
      <w:r w:rsidR="004131E1">
        <w:instrText xml:space="preserve"> \* MERGEFORMAT </w:instrText>
      </w:r>
      <w:r w:rsidR="004131E1" w:rsidRPr="004131E1">
        <w:fldChar w:fldCharType="separate"/>
      </w:r>
      <w:r w:rsidR="00251DBF">
        <w:t>4.5.6</w:t>
      </w:r>
      <w:r w:rsidR="004131E1" w:rsidRPr="004131E1">
        <w:fldChar w:fldCharType="end"/>
      </w:r>
      <w:r w:rsidR="00FC73E2" w:rsidRPr="004131E1">
        <w:t>;</w:t>
      </w:r>
    </w:p>
    <w:p w14:paraId="5CD1633C" w14:textId="140E38EB" w:rsidR="00FC73E2" w:rsidRDefault="00D74EF9" w:rsidP="00B03234">
      <w:pPr>
        <w:pStyle w:val="Heading5"/>
      </w:pPr>
      <w:r>
        <w:t>modification of</w:t>
      </w:r>
      <w:r w:rsidR="00FC73E2">
        <w:t xml:space="preserve"> a registered </w:t>
      </w:r>
      <w:r w:rsidR="003A578F">
        <w:t>Contract</w:t>
      </w:r>
      <w:r w:rsidR="00FC73E2">
        <w:t xml:space="preserve"> ; or</w:t>
      </w:r>
    </w:p>
    <w:p w14:paraId="67D8DE38" w14:textId="1D5DA152" w:rsidR="00FC73E2" w:rsidRDefault="00D74EF9" w:rsidP="00B03234">
      <w:pPr>
        <w:pStyle w:val="Heading5"/>
      </w:pPr>
      <w:r>
        <w:t xml:space="preserve">termination of a </w:t>
      </w:r>
      <w:r w:rsidR="00FC73E2">
        <w:t>registered Contract.</w:t>
      </w:r>
    </w:p>
    <w:p w14:paraId="2F2CA005" w14:textId="7ADAD3B9" w:rsidR="00C508F0" w:rsidRDefault="00210ADA" w:rsidP="00C173D0">
      <w:pPr>
        <w:pStyle w:val="Heading3"/>
      </w:pPr>
      <w:r>
        <w:t>Application</w:t>
      </w:r>
      <w:r w:rsidRPr="00210ADA">
        <w:t xml:space="preserve"> for </w:t>
      </w:r>
      <w:r>
        <w:t xml:space="preserve">Contract </w:t>
      </w:r>
      <w:r w:rsidR="00C508F0">
        <w:t>Registration</w:t>
      </w:r>
      <w:bookmarkEnd w:id="149"/>
      <w:bookmarkEnd w:id="150"/>
      <w:bookmarkEnd w:id="151"/>
      <w:bookmarkEnd w:id="152"/>
    </w:p>
    <w:p w14:paraId="5E03BD66" w14:textId="2C027878" w:rsidR="00C508F0" w:rsidRDefault="00C508F0" w:rsidP="005B295A">
      <w:pPr>
        <w:pStyle w:val="Heading4"/>
      </w:pPr>
      <w:r>
        <w:t xml:space="preserve">Each Market Participant shall request </w:t>
      </w:r>
      <w:r w:rsidR="00222F09">
        <w:t xml:space="preserve">the Market Operator for </w:t>
      </w:r>
      <w:r>
        <w:t xml:space="preserve">registration of </w:t>
      </w:r>
      <w:r w:rsidR="00D74EF9">
        <w:t xml:space="preserve">each </w:t>
      </w:r>
      <w:r>
        <w:t xml:space="preserve">Contract </w:t>
      </w:r>
      <w:r w:rsidR="00D74EF9">
        <w:t xml:space="preserve">it has </w:t>
      </w:r>
      <w:r>
        <w:t xml:space="preserve">signed.   </w:t>
      </w:r>
    </w:p>
    <w:p w14:paraId="3D26A028" w14:textId="4B791571" w:rsidR="004F4FDA" w:rsidRDefault="00C508F0" w:rsidP="005B295A">
      <w:pPr>
        <w:pStyle w:val="Heading4"/>
      </w:pPr>
      <w:r>
        <w:t xml:space="preserve">The Market Operator shall </w:t>
      </w:r>
      <w:r w:rsidR="00D74EF9">
        <w:t xml:space="preserve">prepare and </w:t>
      </w:r>
      <w:r>
        <w:t xml:space="preserve">publish on its </w:t>
      </w:r>
      <w:r w:rsidR="00B74EEF">
        <w:t>Website</w:t>
      </w:r>
      <w:r>
        <w:t xml:space="preserve"> </w:t>
      </w:r>
      <w:r w:rsidR="00D74EF9">
        <w:t xml:space="preserve">a </w:t>
      </w:r>
      <w:r>
        <w:t xml:space="preserve">form </w:t>
      </w:r>
      <w:r w:rsidR="00D74EF9">
        <w:t xml:space="preserve">for </w:t>
      </w:r>
      <w:r>
        <w:t xml:space="preserve">Contract Registration </w:t>
      </w:r>
      <w:r w:rsidR="00D74EF9">
        <w:t>specifying</w:t>
      </w:r>
      <w:r>
        <w:t xml:space="preserve"> the </w:t>
      </w:r>
      <w:r w:rsidR="00D74EF9">
        <w:t xml:space="preserve">requisite </w:t>
      </w:r>
      <w:r>
        <w:t xml:space="preserve">information </w:t>
      </w:r>
      <w:r w:rsidR="00D74EF9">
        <w:t>for registration of</w:t>
      </w:r>
      <w:r>
        <w:t xml:space="preserve"> a new </w:t>
      </w:r>
      <w:r w:rsidR="00755A83">
        <w:t>C</w:t>
      </w:r>
      <w:r>
        <w:t xml:space="preserve">ontract or </w:t>
      </w:r>
      <w:r w:rsidR="00D74EF9">
        <w:t>modifications of</w:t>
      </w:r>
      <w:r>
        <w:t xml:space="preserve"> a registered </w:t>
      </w:r>
      <w:r w:rsidR="003A578F">
        <w:t>Contract</w:t>
      </w:r>
      <w:r>
        <w:t xml:space="preserve">. </w:t>
      </w:r>
    </w:p>
    <w:p w14:paraId="14D92EA7" w14:textId="5630CBEC" w:rsidR="00273750" w:rsidRDefault="004F4FDA" w:rsidP="00B03C4A">
      <w:pPr>
        <w:pStyle w:val="Heading4"/>
      </w:pPr>
      <w:r>
        <w:t xml:space="preserve">The Market Operator shall </w:t>
      </w:r>
      <w:r w:rsidR="008529A7">
        <w:t>make</w:t>
      </w:r>
      <w:r>
        <w:t xml:space="preserve"> a CCOP for requisite information and documents to be furnished by the Market Participants for registration of a Contract. </w:t>
      </w:r>
    </w:p>
    <w:p w14:paraId="76FB0A09" w14:textId="290BF168" w:rsidR="00293F8F" w:rsidRDefault="005D2B58" w:rsidP="00C173D0">
      <w:pPr>
        <w:pStyle w:val="Heading3"/>
      </w:pPr>
      <w:r>
        <w:t xml:space="preserve">Processing the Contract Registration </w:t>
      </w:r>
      <w:r w:rsidR="00FF429F">
        <w:t>Application</w:t>
      </w:r>
    </w:p>
    <w:p w14:paraId="2551777A" w14:textId="472CFAD0" w:rsidR="002E5396" w:rsidRDefault="00987EF3" w:rsidP="005B295A">
      <w:pPr>
        <w:pStyle w:val="Heading4"/>
      </w:pPr>
      <w:r>
        <w:t>T</w:t>
      </w:r>
      <w:r w:rsidR="002E5396">
        <w:t xml:space="preserve">he parties </w:t>
      </w:r>
      <w:r w:rsidR="00FF429F">
        <w:t>to</w:t>
      </w:r>
      <w:r w:rsidR="00D74EF9">
        <w:t xml:space="preserve"> a </w:t>
      </w:r>
      <w:r w:rsidR="002E5396">
        <w:t xml:space="preserve">Contract may </w:t>
      </w:r>
      <w:r w:rsidR="00D74EF9">
        <w:t xml:space="preserve">submit </w:t>
      </w:r>
      <w:r w:rsidR="002E5396">
        <w:t xml:space="preserve">a </w:t>
      </w:r>
      <w:r w:rsidR="00D74EF9">
        <w:t xml:space="preserve">joint application </w:t>
      </w:r>
      <w:r w:rsidR="002E5396">
        <w:t xml:space="preserve">for registration of a new </w:t>
      </w:r>
      <w:r w:rsidR="003A578F">
        <w:t>Contract</w:t>
      </w:r>
      <w:r w:rsidR="005D2B58">
        <w:t>,</w:t>
      </w:r>
      <w:r w:rsidR="002E5396">
        <w:t xml:space="preserve"> or modification</w:t>
      </w:r>
      <w:r w:rsidR="00D74EF9">
        <w:t xml:space="preserve"> thereof</w:t>
      </w:r>
      <w:r w:rsidR="005D2B58">
        <w:t>,</w:t>
      </w:r>
      <w:r w:rsidR="002E5396">
        <w:t xml:space="preserve"> </w:t>
      </w:r>
      <w:r w:rsidR="00AA5AC7">
        <w:t>duly signed by</w:t>
      </w:r>
      <w:r w:rsidR="002E5396">
        <w:t xml:space="preserve"> the </w:t>
      </w:r>
      <w:r w:rsidR="00AA5AC7">
        <w:t xml:space="preserve">authorized </w:t>
      </w:r>
      <w:r w:rsidR="002E5396">
        <w:t xml:space="preserve">representatives of both </w:t>
      </w:r>
      <w:r w:rsidR="00AA5AC7">
        <w:t xml:space="preserve">the </w:t>
      </w:r>
      <w:r w:rsidR="002E41F9">
        <w:t>parties</w:t>
      </w:r>
      <w:r w:rsidR="002E5396">
        <w:t xml:space="preserve">.   </w:t>
      </w:r>
    </w:p>
    <w:p w14:paraId="03CE3EF3" w14:textId="116AA02E" w:rsidR="0041047B" w:rsidRDefault="006E7174" w:rsidP="005B295A">
      <w:pPr>
        <w:pStyle w:val="Heading4"/>
      </w:pPr>
      <w:r w:rsidRPr="006E7174">
        <w:t xml:space="preserve">Within three [3] Business Days of </w:t>
      </w:r>
      <w:r w:rsidR="00AA5AC7">
        <w:t>receipt of</w:t>
      </w:r>
      <w:r w:rsidR="00AA5AC7" w:rsidRPr="006E7174">
        <w:t xml:space="preserve"> </w:t>
      </w:r>
      <w:r w:rsidR="00AA5AC7">
        <w:t>application for</w:t>
      </w:r>
      <w:r w:rsidRPr="006E7174">
        <w:t xml:space="preserve"> Contract Registration, </w:t>
      </w:r>
      <w:r w:rsidR="00AA5AC7">
        <w:t>t</w:t>
      </w:r>
      <w:r w:rsidRPr="006E7174">
        <w:t xml:space="preserve">he Market Operator shall </w:t>
      </w:r>
      <w:r w:rsidR="00AA5AC7">
        <w:t>provide acknowledgement thereof.</w:t>
      </w:r>
      <w:r w:rsidR="0041047B">
        <w:t xml:space="preserve"> </w:t>
      </w:r>
    </w:p>
    <w:p w14:paraId="2E6A3DB0" w14:textId="21D4BCA6" w:rsidR="00A41F77" w:rsidRDefault="0041047B" w:rsidP="005B295A">
      <w:pPr>
        <w:pStyle w:val="Heading4"/>
      </w:pPr>
      <w:bookmarkStart w:id="153" w:name="_Ref55034576"/>
      <w:r w:rsidRPr="00A41F77">
        <w:t xml:space="preserve">The Market Operator </w:t>
      </w:r>
      <w:r w:rsidR="00AA5AC7">
        <w:t>shall</w:t>
      </w:r>
      <w:r w:rsidR="00AA5AC7" w:rsidRPr="00A41F77">
        <w:t xml:space="preserve"> </w:t>
      </w:r>
      <w:r w:rsidR="00AA5AC7">
        <w:t>review</w:t>
      </w:r>
      <w:r w:rsidR="00AA5AC7" w:rsidRPr="00A41F77">
        <w:t xml:space="preserve"> </w:t>
      </w:r>
      <w:r w:rsidR="00AA5AC7">
        <w:t>the application</w:t>
      </w:r>
      <w:r w:rsidRPr="00A41F77">
        <w:t xml:space="preserve"> for </w:t>
      </w:r>
      <w:r w:rsidR="00A41F77" w:rsidRPr="00A41F77">
        <w:t xml:space="preserve">Contract </w:t>
      </w:r>
      <w:r w:rsidRPr="00A41F77">
        <w:t>registrati</w:t>
      </w:r>
      <w:r w:rsidR="00A41F77" w:rsidRPr="00A41F77">
        <w:t xml:space="preserve">on </w:t>
      </w:r>
      <w:r w:rsidR="00AA5AC7">
        <w:t xml:space="preserve">and verify whether it </w:t>
      </w:r>
      <w:r w:rsidR="00A41F77" w:rsidRPr="00A41F77">
        <w:t xml:space="preserve">is in accordance with </w:t>
      </w:r>
      <w:r w:rsidR="00F05124">
        <w:t>this Code</w:t>
      </w:r>
      <w:r w:rsidR="00A41F77" w:rsidRPr="00A41F77">
        <w:t xml:space="preserve"> and the </w:t>
      </w:r>
      <w:r w:rsidR="00AA5AC7">
        <w:t xml:space="preserve">relevant </w:t>
      </w:r>
      <w:r w:rsidR="001214CE">
        <w:t>CCOP</w:t>
      </w:r>
      <w:r w:rsidR="00A41F77" w:rsidRPr="008529A7">
        <w:t xml:space="preserve">, </w:t>
      </w:r>
      <w:r w:rsidR="00A41F77" w:rsidRPr="00B03C4A">
        <w:t xml:space="preserve">performing the </w:t>
      </w:r>
      <w:r w:rsidRPr="00B03C4A">
        <w:t xml:space="preserve">checks and verifications </w:t>
      </w:r>
      <w:r w:rsidR="00A41F77" w:rsidRPr="00B03C4A">
        <w:t>it deems appropriate</w:t>
      </w:r>
      <w:r w:rsidR="00A41F77" w:rsidRPr="008529A7">
        <w:t>.</w:t>
      </w:r>
      <w:r w:rsidR="00A41F77" w:rsidRPr="00A41F77">
        <w:t xml:space="preserve"> </w:t>
      </w:r>
      <w:r w:rsidR="00A41F77">
        <w:t xml:space="preserve">The Market Operator may request the </w:t>
      </w:r>
      <w:r w:rsidR="00AA5AC7">
        <w:t>applicants for</w:t>
      </w:r>
      <w:r w:rsidR="00A41F77">
        <w:t xml:space="preserve"> additional information </w:t>
      </w:r>
      <w:r w:rsidR="00AA5AC7">
        <w:t>during the verification process</w:t>
      </w:r>
      <w:r w:rsidR="00CA6B33">
        <w:t xml:space="preserve"> and the applicants shall be required to submit the information within the specified time</w:t>
      </w:r>
      <w:r w:rsidR="00A41F77">
        <w:t>.</w:t>
      </w:r>
      <w:bookmarkEnd w:id="153"/>
      <w:r w:rsidR="00A41F77">
        <w:t xml:space="preserve"> </w:t>
      </w:r>
    </w:p>
    <w:p w14:paraId="6B5F8D5C" w14:textId="5E8A91CB" w:rsidR="006E7174" w:rsidRPr="009F6917" w:rsidRDefault="006E7174" w:rsidP="005B295A">
      <w:pPr>
        <w:pStyle w:val="Heading4"/>
      </w:pPr>
      <w:bookmarkStart w:id="154" w:name="_Ref55036098"/>
      <w:r w:rsidRPr="009F6917">
        <w:lastRenderedPageBreak/>
        <w:t xml:space="preserve">Within </w:t>
      </w:r>
      <w:r w:rsidR="00DD634F">
        <w:t>fifteen</w:t>
      </w:r>
      <w:r w:rsidR="00DD634F" w:rsidRPr="009F6917">
        <w:t xml:space="preserve"> </w:t>
      </w:r>
      <w:r w:rsidRPr="009F6917">
        <w:t>[</w:t>
      </w:r>
      <w:r w:rsidR="00A41F77" w:rsidRPr="009F6917">
        <w:t>1</w:t>
      </w:r>
      <w:r w:rsidR="00CA6B33">
        <w:t>5</w:t>
      </w:r>
      <w:r w:rsidRPr="009F6917">
        <w:t xml:space="preserve">] Business Days </w:t>
      </w:r>
      <w:r w:rsidR="00CA6B33">
        <w:t xml:space="preserve">of </w:t>
      </w:r>
      <w:r w:rsidRPr="009F6917">
        <w:t xml:space="preserve">receipt of </w:t>
      </w:r>
      <w:r w:rsidR="00CA6B33">
        <w:t>an application</w:t>
      </w:r>
      <w:r w:rsidR="00A41F77" w:rsidRPr="009F6917">
        <w:t xml:space="preserve"> and </w:t>
      </w:r>
      <w:r w:rsidR="00CA6B33">
        <w:t>subject to</w:t>
      </w:r>
      <w:r w:rsidR="00CA6B33" w:rsidRPr="009F6917">
        <w:t xml:space="preserve"> </w:t>
      </w:r>
      <w:r w:rsidR="00CA6B33">
        <w:t xml:space="preserve">provision of requisite </w:t>
      </w:r>
      <w:r w:rsidR="009F6917" w:rsidRPr="009F6917">
        <w:t xml:space="preserve">additional information </w:t>
      </w:r>
      <w:r w:rsidR="009F6917" w:rsidRPr="00B03C4A">
        <w:t xml:space="preserve">pursuant </w:t>
      </w:r>
      <w:r w:rsidR="00CA6B33" w:rsidRPr="00B03C4A">
        <w:t xml:space="preserve">to </w:t>
      </w:r>
      <w:r w:rsidR="009F6917" w:rsidRPr="00B03C4A">
        <w:t xml:space="preserve">Clause </w:t>
      </w:r>
      <w:r w:rsidR="008529A7">
        <w:fldChar w:fldCharType="begin"/>
      </w:r>
      <w:r w:rsidR="008529A7">
        <w:instrText xml:space="preserve"> REF _Ref55034576 \r \h </w:instrText>
      </w:r>
      <w:r w:rsidR="008529A7">
        <w:fldChar w:fldCharType="separate"/>
      </w:r>
      <w:r w:rsidR="008529A7">
        <w:t>4.5.3.3</w:t>
      </w:r>
      <w:r w:rsidR="008529A7">
        <w:fldChar w:fldCharType="end"/>
      </w:r>
      <w:commentRangeStart w:id="155"/>
      <w:commentRangeEnd w:id="155"/>
      <w:r w:rsidR="00CA6B33" w:rsidRPr="00B03C4A">
        <w:rPr>
          <w:rStyle w:val="CommentReference"/>
          <w:rFonts w:eastAsiaTheme="minorHAnsi" w:cstheme="minorBidi"/>
          <w:bCs w:val="0"/>
          <w:iCs w:val="0"/>
          <w:color w:val="1C1C1C"/>
        </w:rPr>
        <w:commentReference w:id="155"/>
      </w:r>
      <w:r w:rsidR="009F6917" w:rsidRPr="00B03C4A">
        <w:t xml:space="preserve"> above</w:t>
      </w:r>
      <w:r w:rsidR="009F6917" w:rsidRPr="009F6917">
        <w:t>, the Market</w:t>
      </w:r>
      <w:r w:rsidRPr="009F6917">
        <w:t xml:space="preserve"> Operator shall </w:t>
      </w:r>
      <w:r w:rsidR="00CA6B33">
        <w:t>inform</w:t>
      </w:r>
      <w:r w:rsidR="00CA6B33" w:rsidRPr="009F6917">
        <w:t xml:space="preserve"> </w:t>
      </w:r>
      <w:r w:rsidRPr="009F6917">
        <w:t xml:space="preserve">the </w:t>
      </w:r>
      <w:r w:rsidR="00CA6B33">
        <w:t>applicants,</w:t>
      </w:r>
      <w:r w:rsidR="00CA6B33" w:rsidRPr="009F6917">
        <w:t xml:space="preserve"> </w:t>
      </w:r>
      <w:r w:rsidRPr="009F6917">
        <w:t>whether:</w:t>
      </w:r>
      <w:bookmarkEnd w:id="154"/>
      <w:r w:rsidRPr="009F6917">
        <w:t xml:space="preserve"> </w:t>
      </w:r>
    </w:p>
    <w:p w14:paraId="4BBEED58" w14:textId="36AF12A3" w:rsidR="006E7174" w:rsidRPr="009F6917" w:rsidRDefault="006E7174" w:rsidP="00B03234">
      <w:pPr>
        <w:pStyle w:val="Heading5"/>
      </w:pPr>
      <w:r w:rsidRPr="001767EB">
        <w:t xml:space="preserve">the </w:t>
      </w:r>
      <w:r w:rsidR="00CA6B33" w:rsidRPr="001767EB">
        <w:t xml:space="preserve">application </w:t>
      </w:r>
      <w:r w:rsidR="009F6917" w:rsidRPr="001767EB">
        <w:t xml:space="preserve">for Contract </w:t>
      </w:r>
      <w:r w:rsidR="00CA6B33" w:rsidRPr="001767EB">
        <w:t>r</w:t>
      </w:r>
      <w:r w:rsidR="009F6917" w:rsidRPr="001767EB">
        <w:t>egistration</w:t>
      </w:r>
      <w:r w:rsidRPr="001767EB">
        <w:t xml:space="preserve"> is not in accordance with any of the requirements </w:t>
      </w:r>
      <w:r w:rsidR="00FF429F">
        <w:t>of</w:t>
      </w:r>
      <w:r w:rsidRPr="001767EB">
        <w:t xml:space="preserve"> </w:t>
      </w:r>
      <w:r w:rsidR="00F05124" w:rsidRPr="001767EB">
        <w:t>this Code</w:t>
      </w:r>
      <w:r w:rsidR="001767EB">
        <w:t xml:space="preserve"> as </w:t>
      </w:r>
      <w:r w:rsidR="00203696">
        <w:t>provided in</w:t>
      </w:r>
      <w:r w:rsidR="001767EB">
        <w:t xml:space="preserve"> Clause </w:t>
      </w:r>
      <w:r w:rsidR="006F4246">
        <w:fldChar w:fldCharType="begin"/>
      </w:r>
      <w:r w:rsidR="006F4246">
        <w:instrText xml:space="preserve"> REF _Ref55038925 \r \h </w:instrText>
      </w:r>
      <w:r w:rsidR="006F4246">
        <w:fldChar w:fldCharType="separate"/>
      </w:r>
      <w:r w:rsidR="006F4246">
        <w:t>4.5.3.6</w:t>
      </w:r>
      <w:r w:rsidR="006F4246">
        <w:fldChar w:fldCharType="end"/>
      </w:r>
      <w:r w:rsidR="006F4246">
        <w:t xml:space="preserve"> </w:t>
      </w:r>
      <w:r w:rsidR="00203696">
        <w:t>below</w:t>
      </w:r>
      <w:r w:rsidRPr="001767EB">
        <w:t xml:space="preserve"> or the</w:t>
      </w:r>
      <w:r w:rsidR="009F6917" w:rsidRPr="001767EB">
        <w:t xml:space="preserve"> </w:t>
      </w:r>
      <w:r w:rsidR="00DD634F" w:rsidRPr="001767EB">
        <w:t>relevant CCOP</w:t>
      </w:r>
      <w:r w:rsidR="00CA6B33" w:rsidRPr="001767EB">
        <w:t xml:space="preserve"> </w:t>
      </w:r>
      <w:r w:rsidR="00203696">
        <w:t xml:space="preserve">and </w:t>
      </w:r>
      <w:r w:rsidR="00CA6B33" w:rsidRPr="001767EB">
        <w:t xml:space="preserve">the Contract </w:t>
      </w:r>
      <w:r w:rsidR="00203696">
        <w:t>may not</w:t>
      </w:r>
      <w:r w:rsidR="00CA6B33" w:rsidRPr="001767EB">
        <w:t xml:space="preserve"> be registered</w:t>
      </w:r>
      <w:r w:rsidRPr="001767EB">
        <w:t>;</w:t>
      </w:r>
      <w:r w:rsidRPr="009F6917">
        <w:t xml:space="preserve"> or</w:t>
      </w:r>
    </w:p>
    <w:p w14:paraId="37DC2C35" w14:textId="3BA1767A" w:rsidR="00152780" w:rsidRDefault="009F6917" w:rsidP="00B03234">
      <w:pPr>
        <w:pStyle w:val="Heading5"/>
      </w:pPr>
      <w:r w:rsidRPr="009F6917">
        <w:t xml:space="preserve">the </w:t>
      </w:r>
      <w:r w:rsidR="00CA6B33">
        <w:t>application</w:t>
      </w:r>
      <w:r w:rsidR="00CA6B33" w:rsidRPr="009F6917">
        <w:t xml:space="preserve"> </w:t>
      </w:r>
      <w:r w:rsidRPr="009F6917">
        <w:t xml:space="preserve">for Contract Registration </w:t>
      </w:r>
      <w:r w:rsidR="00DD634F">
        <w:t>complies with the requirements of this Code and the</w:t>
      </w:r>
      <w:r w:rsidR="00152780">
        <w:t xml:space="preserve"> Contract </w:t>
      </w:r>
      <w:r w:rsidR="00203696">
        <w:t>may</w:t>
      </w:r>
      <w:r w:rsidR="00DD634F">
        <w:t xml:space="preserve"> be</w:t>
      </w:r>
      <w:r w:rsidR="00152780">
        <w:t xml:space="preserve"> </w:t>
      </w:r>
      <w:r w:rsidR="0067396F">
        <w:t>r</w:t>
      </w:r>
      <w:r w:rsidR="00152780">
        <w:t>egistered</w:t>
      </w:r>
      <w:r w:rsidR="00203696">
        <w:t xml:space="preserve"> subject to provision of the requisite Security Cover </w:t>
      </w:r>
      <w:r w:rsidR="008529A7">
        <w:t xml:space="preserve">and Guarantee Amount </w:t>
      </w:r>
      <w:r w:rsidR="00203696">
        <w:t xml:space="preserve">according to the provisions of </w:t>
      </w:r>
      <w:r w:rsidR="00152780" w:rsidRPr="00152780">
        <w:fldChar w:fldCharType="begin"/>
      </w:r>
      <w:r w:rsidR="00152780">
        <w:instrText xml:space="preserve"> REF _Ref54689603 \w \h  \* MERGEFORMAT </w:instrText>
      </w:r>
      <w:r w:rsidR="00152780" w:rsidRPr="00152780">
        <w:fldChar w:fldCharType="separate"/>
      </w:r>
      <w:r w:rsidR="00251DBF">
        <w:t>Chapter 14</w:t>
      </w:r>
      <w:r w:rsidR="00152780" w:rsidRPr="00152780">
        <w:fldChar w:fldCharType="end"/>
      </w:r>
      <w:r w:rsidR="00152780">
        <w:t>.</w:t>
      </w:r>
    </w:p>
    <w:p w14:paraId="5EF3305A" w14:textId="6371771F" w:rsidR="00152780" w:rsidRPr="009F6917" w:rsidRDefault="00DD634F" w:rsidP="005B295A">
      <w:pPr>
        <w:pStyle w:val="Heading4"/>
      </w:pPr>
      <w:r>
        <w:t xml:space="preserve">Where an applicant </w:t>
      </w:r>
      <w:r w:rsidR="00203696">
        <w:t xml:space="preserve">fails to provide additional information or the requisite </w:t>
      </w:r>
      <w:r w:rsidR="0052490E">
        <w:t>S</w:t>
      </w:r>
      <w:r w:rsidR="00203696">
        <w:t xml:space="preserve">ecurity </w:t>
      </w:r>
      <w:r w:rsidR="0052490E">
        <w:t>C</w:t>
      </w:r>
      <w:r w:rsidR="00203696">
        <w:t>over</w:t>
      </w:r>
      <w:r w:rsidR="006F4246">
        <w:t xml:space="preserve"> and Guarantee Amount</w:t>
      </w:r>
      <w:r w:rsidR="00203696">
        <w:t xml:space="preserve"> within the specified time</w:t>
      </w:r>
      <w:r w:rsidR="0052490E">
        <w:t xml:space="preserve"> or a maximum of 3 months</w:t>
      </w:r>
      <w:r w:rsidR="00203696">
        <w:t xml:space="preserve">, </w:t>
      </w:r>
      <w:r w:rsidR="00152780" w:rsidRPr="009F6917">
        <w:t xml:space="preserve">the </w:t>
      </w:r>
      <w:r w:rsidR="0052490E">
        <w:t>application</w:t>
      </w:r>
      <w:r w:rsidR="0052490E" w:rsidRPr="009F6917">
        <w:t xml:space="preserve"> </w:t>
      </w:r>
      <w:r w:rsidR="0052490E">
        <w:t>shall</w:t>
      </w:r>
      <w:r w:rsidR="00152780" w:rsidRPr="009F6917">
        <w:t xml:space="preserve"> automatically lapse, </w:t>
      </w:r>
      <w:r w:rsidR="001767EB" w:rsidRPr="001767EB">
        <w:t xml:space="preserve">however, the </w:t>
      </w:r>
      <w:r w:rsidR="001767EB">
        <w:t>applicants</w:t>
      </w:r>
      <w:r w:rsidR="001767EB" w:rsidRPr="001767EB">
        <w:t xml:space="preserve"> may reapply to the Market Operator after fulfilling all the requirements</w:t>
      </w:r>
      <w:r w:rsidR="00152780" w:rsidRPr="009F6917">
        <w:t>.</w:t>
      </w:r>
    </w:p>
    <w:p w14:paraId="25955F92" w14:textId="0B3F59F2" w:rsidR="00152780" w:rsidRPr="00152780" w:rsidRDefault="00152780" w:rsidP="005B295A">
      <w:pPr>
        <w:pStyle w:val="Heading4"/>
      </w:pPr>
      <w:bookmarkStart w:id="156" w:name="_Ref55038925"/>
      <w:r w:rsidRPr="00152780">
        <w:t>The Market Operator may reject a</w:t>
      </w:r>
      <w:r w:rsidR="00203696">
        <w:t>n</w:t>
      </w:r>
      <w:r w:rsidRPr="00152780">
        <w:t xml:space="preserve"> </w:t>
      </w:r>
      <w:r w:rsidR="00203696">
        <w:t>application</w:t>
      </w:r>
      <w:r w:rsidR="00203696" w:rsidRPr="00152780">
        <w:t xml:space="preserve"> </w:t>
      </w:r>
      <w:r w:rsidRPr="00152780">
        <w:t xml:space="preserve">for </w:t>
      </w:r>
      <w:r w:rsidR="00203696">
        <w:t xml:space="preserve">registration of </w:t>
      </w:r>
      <w:r w:rsidR="0052490E">
        <w:t xml:space="preserve">a </w:t>
      </w:r>
      <w:r w:rsidRPr="00152780">
        <w:t>Contract</w:t>
      </w:r>
      <w:r w:rsidR="00203696">
        <w:t>,</w:t>
      </w:r>
      <w:r w:rsidRPr="00152780">
        <w:t xml:space="preserve"> </w:t>
      </w:r>
      <w:r w:rsidR="00203696">
        <w:t>where</w:t>
      </w:r>
      <w:r w:rsidRPr="00152780">
        <w:t>:</w:t>
      </w:r>
      <w:bookmarkEnd w:id="156"/>
    </w:p>
    <w:p w14:paraId="3DA44D91" w14:textId="42BC1615" w:rsidR="007E14DB" w:rsidRDefault="00203696" w:rsidP="00B03234">
      <w:pPr>
        <w:pStyle w:val="Heading5"/>
      </w:pPr>
      <w:r>
        <w:t>a</w:t>
      </w:r>
      <w:r w:rsidR="00152780" w:rsidRPr="00152780">
        <w:t xml:space="preserve">ny of the parties </w:t>
      </w:r>
      <w:r>
        <w:t>to</w:t>
      </w:r>
      <w:r w:rsidR="00152780" w:rsidRPr="00152780">
        <w:t xml:space="preserve"> the Contract is not a Market Participant, except in</w:t>
      </w:r>
      <w:r>
        <w:t xml:space="preserve"> the</w:t>
      </w:r>
      <w:r w:rsidR="007E14DB">
        <w:t xml:space="preserve"> following cases:</w:t>
      </w:r>
    </w:p>
    <w:p w14:paraId="06E59EF8" w14:textId="655A5D3F" w:rsidR="00471F77" w:rsidRPr="00593408" w:rsidRDefault="001767EB" w:rsidP="00CF7164">
      <w:pPr>
        <w:pStyle w:val="Heading6"/>
        <w:rPr>
          <w:highlight w:val="cyan"/>
        </w:rPr>
      </w:pPr>
      <w:r>
        <w:rPr>
          <w:highlight w:val="cyan"/>
        </w:rPr>
        <w:t>t</w:t>
      </w:r>
      <w:commentRangeStart w:id="157"/>
      <w:commentRangeStart w:id="158"/>
      <w:r w:rsidR="00471F77" w:rsidRPr="00593408">
        <w:rPr>
          <w:highlight w:val="cyan"/>
        </w:rPr>
        <w:t xml:space="preserve">he seller is </w:t>
      </w:r>
      <w:r w:rsidR="00203696">
        <w:rPr>
          <w:highlight w:val="cyan"/>
        </w:rPr>
        <w:t>a party to</w:t>
      </w:r>
      <w:r w:rsidR="00203696" w:rsidRPr="00593408">
        <w:rPr>
          <w:highlight w:val="cyan"/>
        </w:rPr>
        <w:t xml:space="preserve"> </w:t>
      </w:r>
      <w:r w:rsidR="00471F77" w:rsidRPr="00593408">
        <w:rPr>
          <w:highlight w:val="cyan"/>
        </w:rPr>
        <w:t>a Legacy Contract</w:t>
      </w:r>
      <w:commentRangeEnd w:id="157"/>
      <w:r w:rsidR="004858B2">
        <w:rPr>
          <w:rStyle w:val="CommentReference"/>
          <w:rFonts w:eastAsiaTheme="minorHAnsi" w:cstheme="minorBidi"/>
          <w:color w:val="1C1C1C"/>
          <w:lang w:eastAsia="en-US"/>
        </w:rPr>
        <w:commentReference w:id="157"/>
      </w:r>
      <w:commentRangeEnd w:id="158"/>
      <w:r w:rsidR="00AF15B1">
        <w:rPr>
          <w:rStyle w:val="CommentReference"/>
          <w:rFonts w:eastAsiaTheme="minorHAnsi" w:cstheme="minorBidi"/>
          <w:color w:val="1C1C1C"/>
          <w:lang w:eastAsia="en-US"/>
        </w:rPr>
        <w:commentReference w:id="158"/>
      </w:r>
      <w:r w:rsidR="00203696">
        <w:rPr>
          <w:highlight w:val="cyan"/>
        </w:rPr>
        <w:t>; or</w:t>
      </w:r>
      <w:r w:rsidR="00471F77" w:rsidRPr="00593408">
        <w:rPr>
          <w:highlight w:val="cyan"/>
        </w:rPr>
        <w:t xml:space="preserve"> </w:t>
      </w:r>
    </w:p>
    <w:p w14:paraId="1941DB06" w14:textId="4A4FE19D" w:rsidR="007E14DB" w:rsidRDefault="001767EB" w:rsidP="00CF7164">
      <w:pPr>
        <w:pStyle w:val="Heading6"/>
      </w:pPr>
      <w:r>
        <w:t>t</w:t>
      </w:r>
      <w:r w:rsidR="007E14DB">
        <w:t xml:space="preserve">he buyer is a BPC </w:t>
      </w:r>
      <w:r>
        <w:t>and the Contract is a</w:t>
      </w:r>
      <w:r w:rsidR="007E14DB">
        <w:t xml:space="preserve"> Standardized Load Following Supply </w:t>
      </w:r>
      <w:r w:rsidR="003A578F">
        <w:t>Contract</w:t>
      </w:r>
      <w:r w:rsidR="007E14DB">
        <w:t>; or</w:t>
      </w:r>
    </w:p>
    <w:p w14:paraId="266C24EE" w14:textId="466C5DC2" w:rsidR="00152780" w:rsidRPr="00152780" w:rsidRDefault="00152780" w:rsidP="00CF7164">
      <w:pPr>
        <w:pStyle w:val="Heading6"/>
      </w:pPr>
      <w:r w:rsidRPr="00152780">
        <w:t xml:space="preserve"> </w:t>
      </w:r>
      <w:r w:rsidR="00203696">
        <w:t>the</w:t>
      </w:r>
      <w:r w:rsidRPr="00152780">
        <w:t xml:space="preserve"> </w:t>
      </w:r>
      <w:r w:rsidR="001767EB" w:rsidRPr="00152780">
        <w:t xml:space="preserve">Contract </w:t>
      </w:r>
      <w:r w:rsidR="00203696">
        <w:t>is</w:t>
      </w:r>
      <w:r w:rsidR="001767EB">
        <w:t xml:space="preserve"> for </w:t>
      </w:r>
      <w:r w:rsidRPr="00152780">
        <w:t>Import</w:t>
      </w:r>
      <w:r w:rsidR="00203696">
        <w:t xml:space="preserve"> of electric power</w:t>
      </w:r>
      <w:r w:rsidRPr="00152780">
        <w:t xml:space="preserve"> in which the seller is exempted </w:t>
      </w:r>
      <w:r w:rsidR="00203696">
        <w:t>from registration</w:t>
      </w:r>
      <w:r w:rsidRPr="00152780">
        <w:t xml:space="preserve"> as </w:t>
      </w:r>
      <w:r w:rsidR="0052490E">
        <w:t xml:space="preserve">a </w:t>
      </w:r>
      <w:r w:rsidRPr="00152780">
        <w:t xml:space="preserve">Market Participant. </w:t>
      </w:r>
    </w:p>
    <w:p w14:paraId="14FC8AD8" w14:textId="729EE5FF" w:rsidR="00152780" w:rsidRPr="008529A7" w:rsidRDefault="00152780" w:rsidP="00AE1AD1">
      <w:pPr>
        <w:pStyle w:val="Heading5"/>
      </w:pPr>
      <w:r w:rsidRPr="00152780">
        <w:t xml:space="preserve">The </w:t>
      </w:r>
      <w:r w:rsidR="0052490E">
        <w:t>application</w:t>
      </w:r>
      <w:r w:rsidR="0052490E" w:rsidRPr="00152780">
        <w:t xml:space="preserve"> </w:t>
      </w:r>
      <w:r w:rsidRPr="00152780">
        <w:t xml:space="preserve">contains discrepancies or conflicting information, and the parties have </w:t>
      </w:r>
      <w:r w:rsidR="0052490E">
        <w:t>failed to rectify such</w:t>
      </w:r>
      <w:r w:rsidR="0052490E" w:rsidRPr="00152780">
        <w:t xml:space="preserve"> discrepancies </w:t>
      </w:r>
      <w:r w:rsidR="0052490E">
        <w:t xml:space="preserve">as required by </w:t>
      </w:r>
      <w:r w:rsidRPr="00152780">
        <w:t xml:space="preserve">the Market Operator, </w:t>
      </w:r>
      <w:r w:rsidRPr="00B03C4A">
        <w:t xml:space="preserve">pursuant </w:t>
      </w:r>
      <w:r w:rsidR="008529A7" w:rsidRPr="00B03C4A">
        <w:t xml:space="preserve">to </w:t>
      </w:r>
      <w:r w:rsidRPr="00B03C4A">
        <w:t xml:space="preserve">Clause </w:t>
      </w:r>
      <w:r w:rsidRPr="008529A7">
        <w:fldChar w:fldCharType="begin"/>
      </w:r>
      <w:r w:rsidRPr="00B03C4A">
        <w:instrText xml:space="preserve"> REF _Ref55034576 \w \h  \* MERGEFORMAT </w:instrText>
      </w:r>
      <w:r w:rsidRPr="008529A7">
        <w:fldChar w:fldCharType="separate"/>
      </w:r>
      <w:r w:rsidR="008529A7">
        <w:t>4.5.3.3</w:t>
      </w:r>
      <w:r w:rsidRPr="008529A7">
        <w:fldChar w:fldCharType="end"/>
      </w:r>
      <w:r w:rsidR="008529A7">
        <w:t>;</w:t>
      </w:r>
    </w:p>
    <w:p w14:paraId="48240341" w14:textId="5736C4D8" w:rsidR="00152780" w:rsidRPr="00152780" w:rsidRDefault="00152780" w:rsidP="00B03234">
      <w:pPr>
        <w:pStyle w:val="Heading5"/>
      </w:pPr>
      <w:r w:rsidRPr="00152780">
        <w:t xml:space="preserve">the Contract </w:t>
      </w:r>
      <w:r w:rsidR="0052490E">
        <w:t>is in</w:t>
      </w:r>
      <w:r w:rsidRPr="00152780">
        <w:t xml:space="preserve"> conflict with </w:t>
      </w:r>
      <w:r w:rsidR="0052490E">
        <w:t>another registered</w:t>
      </w:r>
      <w:r w:rsidRPr="00152780">
        <w:t xml:space="preserve"> Contract by one or both of the parties; </w:t>
      </w:r>
    </w:p>
    <w:p w14:paraId="749CA059" w14:textId="70191FB4" w:rsidR="00152780" w:rsidRPr="00C82EC7" w:rsidRDefault="0052490E" w:rsidP="00B03234">
      <w:pPr>
        <w:pStyle w:val="Heading5"/>
      </w:pPr>
      <w:r>
        <w:t xml:space="preserve">the Contract is  </w:t>
      </w:r>
      <w:r w:rsidR="00152780" w:rsidRPr="00C82EC7">
        <w:t xml:space="preserve">a </w:t>
      </w:r>
      <w:r w:rsidR="008A179B">
        <w:t>Customized</w:t>
      </w:r>
      <w:r w:rsidR="00152780" w:rsidRPr="00C82EC7">
        <w:t xml:space="preserve"> Contract</w:t>
      </w:r>
      <w:r>
        <w:t xml:space="preserve"> and is not in accordance with the </w:t>
      </w:r>
      <w:r w:rsidR="00152780" w:rsidRPr="00C82EC7">
        <w:t xml:space="preserve">requirements </w:t>
      </w:r>
      <w:r>
        <w:t>set out</w:t>
      </w:r>
      <w:r w:rsidRPr="00C82EC7">
        <w:t xml:space="preserve"> </w:t>
      </w:r>
      <w:r w:rsidR="00152780" w:rsidRPr="00C82EC7">
        <w:t xml:space="preserve">in </w:t>
      </w:r>
      <w:r w:rsidR="00F05124">
        <w:t>this Code</w:t>
      </w:r>
      <w:r w:rsidR="00152780" w:rsidRPr="00C82EC7">
        <w:t xml:space="preserve">; </w:t>
      </w:r>
    </w:p>
    <w:p w14:paraId="30465AD0" w14:textId="1583C444" w:rsidR="00C82EC7" w:rsidRPr="00C82EC7" w:rsidRDefault="004B6812" w:rsidP="00B03234">
      <w:pPr>
        <w:pStyle w:val="Heading5"/>
      </w:pPr>
      <w:r>
        <w:t>t</w:t>
      </w:r>
      <w:r w:rsidR="00152780" w:rsidRPr="00C82EC7">
        <w:t xml:space="preserve">he Contract </w:t>
      </w:r>
      <w:r w:rsidR="0052490E">
        <w:t>deals with</w:t>
      </w:r>
      <w:r w:rsidR="0052490E" w:rsidRPr="00C82EC7">
        <w:t xml:space="preserve"> </w:t>
      </w:r>
      <w:r w:rsidR="00152780" w:rsidRPr="00C82EC7">
        <w:t>a Capacity transaction and the seller do</w:t>
      </w:r>
      <w:r>
        <w:t>es</w:t>
      </w:r>
      <w:r w:rsidR="00152780" w:rsidRPr="00C82EC7">
        <w:t xml:space="preserve"> not own the necessary Firm Capacity Certificates to </w:t>
      </w:r>
      <w:r w:rsidR="00C82EC7" w:rsidRPr="00C82EC7">
        <w:t>support</w:t>
      </w:r>
      <w:r w:rsidR="00152780" w:rsidRPr="00C82EC7">
        <w:t xml:space="preserve"> the transaction</w:t>
      </w:r>
      <w:r w:rsidR="00C82EC7" w:rsidRPr="00C82EC7">
        <w:t>; or</w:t>
      </w:r>
    </w:p>
    <w:p w14:paraId="566F53A2" w14:textId="2BA9A7C6" w:rsidR="00152780" w:rsidRPr="00C82EC7" w:rsidRDefault="004B6812" w:rsidP="00B03234">
      <w:pPr>
        <w:pStyle w:val="Heading5"/>
      </w:pPr>
      <w:r>
        <w:t>t</w:t>
      </w:r>
      <w:r w:rsidR="00C82EC7" w:rsidRPr="00C82EC7">
        <w:t xml:space="preserve">he Contract does not pass one or more of the verifications and checks </w:t>
      </w:r>
      <w:r w:rsidR="0052490E">
        <w:t>provided</w:t>
      </w:r>
      <w:r w:rsidR="0052490E" w:rsidRPr="00C82EC7">
        <w:t xml:space="preserve"> </w:t>
      </w:r>
      <w:r w:rsidR="00C82EC7" w:rsidRPr="00C82EC7">
        <w:t xml:space="preserve">in the </w:t>
      </w:r>
      <w:r>
        <w:t>relevant CCOP</w:t>
      </w:r>
      <w:r w:rsidR="00C82EC7" w:rsidRPr="00C82EC7">
        <w:t xml:space="preserve">.  </w:t>
      </w:r>
    </w:p>
    <w:p w14:paraId="052E34D7" w14:textId="2C6A0801" w:rsidR="005D2B58" w:rsidRPr="001C00D1" w:rsidRDefault="00C82EC7" w:rsidP="00C173D0">
      <w:pPr>
        <w:pStyle w:val="Heading3"/>
      </w:pPr>
      <w:r w:rsidRPr="001C00D1">
        <w:t>Contract Regist</w:t>
      </w:r>
      <w:r w:rsidR="00777195" w:rsidRPr="001C00D1">
        <w:t>ration</w:t>
      </w:r>
    </w:p>
    <w:p w14:paraId="142C8BFF" w14:textId="2696259B" w:rsidR="00C155E3" w:rsidRPr="00777195" w:rsidRDefault="003D559F" w:rsidP="005B295A">
      <w:pPr>
        <w:pStyle w:val="Heading4"/>
      </w:pPr>
      <w:r>
        <w:t>After</w:t>
      </w:r>
      <w:r w:rsidRPr="00777195">
        <w:t xml:space="preserve"> </w:t>
      </w:r>
      <w:r w:rsidR="005D2B58" w:rsidRPr="00777195">
        <w:t>receipt of the approved form and amount of the Security Cover</w:t>
      </w:r>
      <w:r w:rsidR="008529A7">
        <w:t xml:space="preserve"> and Guarantee Amount</w:t>
      </w:r>
      <w:r w:rsidR="005D2B58" w:rsidRPr="00777195">
        <w:t xml:space="preserve">, </w:t>
      </w:r>
      <w:r w:rsidR="00C155E3" w:rsidRPr="00777195">
        <w:t xml:space="preserve">the Market Operator shall: </w:t>
      </w:r>
    </w:p>
    <w:p w14:paraId="436C1F0B" w14:textId="692D7A81" w:rsidR="00777195" w:rsidRPr="00777195" w:rsidRDefault="003D559F" w:rsidP="00B03234">
      <w:pPr>
        <w:pStyle w:val="Heading5"/>
      </w:pPr>
      <w:r>
        <w:t xml:space="preserve">register </w:t>
      </w:r>
      <w:r w:rsidR="00C155E3">
        <w:t>the</w:t>
      </w:r>
      <w:r w:rsidR="006D39EF">
        <w:t xml:space="preserve"> </w:t>
      </w:r>
      <w:r w:rsidR="00777195">
        <w:t xml:space="preserve">Contract into the Contract Register, </w:t>
      </w:r>
      <w:r w:rsidR="00C155E3" w:rsidRPr="00777195">
        <w:t xml:space="preserve">within two </w:t>
      </w:r>
      <w:r w:rsidR="00777195" w:rsidRPr="00777195">
        <w:t>[</w:t>
      </w:r>
      <w:r w:rsidR="00C155E3" w:rsidRPr="00777195">
        <w:t>2</w:t>
      </w:r>
      <w:r w:rsidR="00777195" w:rsidRPr="00777195">
        <w:t>]</w:t>
      </w:r>
      <w:r w:rsidR="00C155E3" w:rsidRPr="00777195">
        <w:t xml:space="preserve"> </w:t>
      </w:r>
      <w:r w:rsidR="00777195" w:rsidRPr="00777195">
        <w:t>Business</w:t>
      </w:r>
      <w:r w:rsidR="00C155E3" w:rsidRPr="00777195">
        <w:t xml:space="preserve"> Days</w:t>
      </w:r>
      <w:r w:rsidR="00777195" w:rsidRPr="00777195">
        <w:t xml:space="preserve">; </w:t>
      </w:r>
    </w:p>
    <w:p w14:paraId="611C00E2" w14:textId="6998D679" w:rsidR="005D2B58" w:rsidRPr="00777195" w:rsidRDefault="003D559F" w:rsidP="00B03234">
      <w:pPr>
        <w:pStyle w:val="Heading5"/>
      </w:pPr>
      <w:r>
        <w:t>inform</w:t>
      </w:r>
      <w:r w:rsidRPr="00777195">
        <w:t xml:space="preserve"> </w:t>
      </w:r>
      <w:r w:rsidR="00777195" w:rsidRPr="00777195">
        <w:t xml:space="preserve">both </w:t>
      </w:r>
      <w:r>
        <w:t>parties</w:t>
      </w:r>
      <w:r w:rsidRPr="00777195">
        <w:t xml:space="preserve"> </w:t>
      </w:r>
      <w:r w:rsidR="00777195" w:rsidRPr="00777195">
        <w:t xml:space="preserve">that </w:t>
      </w:r>
      <w:r w:rsidR="00C155E3" w:rsidRPr="00777195">
        <w:t xml:space="preserve">the </w:t>
      </w:r>
      <w:r w:rsidR="00777195" w:rsidRPr="00777195">
        <w:t>C</w:t>
      </w:r>
      <w:r w:rsidR="00C155E3" w:rsidRPr="00777195">
        <w:t>ontract has been registered</w:t>
      </w:r>
      <w:r w:rsidR="00777195">
        <w:t xml:space="preserve">, and the date </w:t>
      </w:r>
      <w:r>
        <w:t>thereof</w:t>
      </w:r>
      <w:r w:rsidR="00C155E3" w:rsidRPr="00777195">
        <w:t>.</w:t>
      </w:r>
    </w:p>
    <w:p w14:paraId="2F8CF471" w14:textId="2768C437" w:rsidR="002E7ECC" w:rsidRDefault="00777195" w:rsidP="005B295A">
      <w:pPr>
        <w:pStyle w:val="Heading4"/>
      </w:pPr>
      <w:r w:rsidRPr="00777195">
        <w:t xml:space="preserve">For settlement purposes, the Contract </w:t>
      </w:r>
      <w:r w:rsidR="003D559F">
        <w:t>shall</w:t>
      </w:r>
      <w:r w:rsidR="003D559F" w:rsidRPr="00777195">
        <w:t xml:space="preserve"> </w:t>
      </w:r>
      <w:r w:rsidRPr="00777195">
        <w:t>become effective</w:t>
      </w:r>
      <w:r w:rsidR="002E7ECC">
        <w:t>:</w:t>
      </w:r>
    </w:p>
    <w:p w14:paraId="0D97746E" w14:textId="69F3C8C4" w:rsidR="002E7ECC" w:rsidRDefault="003D559F" w:rsidP="00B03234">
      <w:pPr>
        <w:pStyle w:val="Heading5"/>
      </w:pPr>
      <w:r>
        <w:t>a</w:t>
      </w:r>
      <w:r w:rsidR="002E7ECC">
        <w:t xml:space="preserve">t the date </w:t>
      </w:r>
      <w:r>
        <w:t xml:space="preserve">provided </w:t>
      </w:r>
      <w:r w:rsidR="002E7ECC">
        <w:t xml:space="preserve">by the parties; or </w:t>
      </w:r>
    </w:p>
    <w:p w14:paraId="22F126FC" w14:textId="25F01ADC" w:rsidR="002E7ECC" w:rsidRDefault="002E7ECC" w:rsidP="00B03234">
      <w:pPr>
        <w:pStyle w:val="Heading5"/>
      </w:pPr>
      <w:r>
        <w:t>A</w:t>
      </w:r>
      <w:r w:rsidR="00777195" w:rsidRPr="00777195">
        <w:t xml:space="preserve">t 0:00 a.m. of the day following the </w:t>
      </w:r>
      <w:r w:rsidR="003D559F">
        <w:t>registration date</w:t>
      </w:r>
      <w:r w:rsidR="003D559F" w:rsidRPr="00777195">
        <w:t xml:space="preserve"> </w:t>
      </w:r>
      <w:r w:rsidR="00777195" w:rsidRPr="00777195">
        <w:t xml:space="preserve">of the Contract in the </w:t>
      </w:r>
      <w:r w:rsidR="003A578F">
        <w:t>Contract</w:t>
      </w:r>
      <w:r w:rsidR="00777195" w:rsidRPr="00777195">
        <w:t xml:space="preserve"> Register</w:t>
      </w:r>
      <w:r>
        <w:t xml:space="preserve">, </w:t>
      </w:r>
    </w:p>
    <w:p w14:paraId="7DE56DB2" w14:textId="45387BC6" w:rsidR="00777195" w:rsidRPr="00777195" w:rsidRDefault="002E7ECC" w:rsidP="002E7ECC">
      <w:pPr>
        <w:ind w:left="1418"/>
      </w:pPr>
      <w:r>
        <w:lastRenderedPageBreak/>
        <w:t>whichever is later</w:t>
      </w:r>
      <w:r w:rsidR="00777195" w:rsidRPr="00777195">
        <w:t xml:space="preserve">.  </w:t>
      </w:r>
    </w:p>
    <w:p w14:paraId="4EAA06F2" w14:textId="074342A4" w:rsidR="005D2B58" w:rsidRPr="001C00D1" w:rsidRDefault="006F4246" w:rsidP="00C173D0">
      <w:pPr>
        <w:pStyle w:val="Heading3"/>
      </w:pPr>
      <w:r>
        <w:t>Dispute Resolution</w:t>
      </w:r>
    </w:p>
    <w:p w14:paraId="6BD9465B" w14:textId="6A8AD3F8" w:rsidR="005D2B58" w:rsidRPr="001C00D1" w:rsidRDefault="005D2B58" w:rsidP="005B295A">
      <w:pPr>
        <w:pStyle w:val="Heading4"/>
      </w:pPr>
      <w:r w:rsidRPr="001C00D1">
        <w:t>An</w:t>
      </w:r>
      <w:r w:rsidR="001C00D1" w:rsidRPr="001C00D1">
        <w:t>y party of the Contract requested to be registered</w:t>
      </w:r>
      <w:r w:rsidRPr="001C00D1">
        <w:t xml:space="preserve"> may challenge a decision by the Market Operator to reject </w:t>
      </w:r>
      <w:r w:rsidR="006F4246">
        <w:t>the registration of its</w:t>
      </w:r>
      <w:r w:rsidRPr="001C00D1">
        <w:t xml:space="preserve"> </w:t>
      </w:r>
      <w:r w:rsidR="001C00D1" w:rsidRPr="001C00D1">
        <w:t xml:space="preserve">Contract </w:t>
      </w:r>
      <w:r w:rsidRPr="001C00D1">
        <w:t xml:space="preserve">pursuant to Clause </w:t>
      </w:r>
      <w:r w:rsidR="001C00D1" w:rsidRPr="001C00D1">
        <w:fldChar w:fldCharType="begin"/>
      </w:r>
      <w:r w:rsidR="001C00D1" w:rsidRPr="001C00D1">
        <w:instrText xml:space="preserve"> REF _Ref55038925 \w \h </w:instrText>
      </w:r>
      <w:r w:rsidR="001C00D1">
        <w:instrText xml:space="preserve"> \* MERGEFORMAT </w:instrText>
      </w:r>
      <w:r w:rsidR="001C00D1" w:rsidRPr="001C00D1">
        <w:fldChar w:fldCharType="separate"/>
      </w:r>
      <w:r w:rsidR="006F4246">
        <w:t>4.5.3.6</w:t>
      </w:r>
      <w:r w:rsidR="001C00D1" w:rsidRPr="001C00D1">
        <w:fldChar w:fldCharType="end"/>
      </w:r>
      <w:r w:rsidRPr="001C00D1">
        <w:t xml:space="preserve">, and may use the Dispute </w:t>
      </w:r>
      <w:r w:rsidR="00F97520">
        <w:t>r</w:t>
      </w:r>
      <w:r w:rsidRPr="001C00D1">
        <w:t xml:space="preserve">esolution procedures set out in </w:t>
      </w:r>
      <w:r w:rsidRPr="001C00D1">
        <w:fldChar w:fldCharType="begin"/>
      </w:r>
      <w:r w:rsidRPr="001C00D1">
        <w:instrText xml:space="preserve"> REF _Ref54986427 \w \h  \* MERGEFORMAT </w:instrText>
      </w:r>
      <w:r w:rsidRPr="001C00D1">
        <w:fldChar w:fldCharType="separate"/>
      </w:r>
      <w:r w:rsidR="00251DBF">
        <w:t>Chapter 15</w:t>
      </w:r>
      <w:r w:rsidRPr="001C00D1">
        <w:fldChar w:fldCharType="end"/>
      </w:r>
      <w:r w:rsidRPr="001C00D1">
        <w:t xml:space="preserve"> for this purpose.  </w:t>
      </w:r>
    </w:p>
    <w:p w14:paraId="0AD64B47" w14:textId="0BBAF1C3" w:rsidR="003264D7" w:rsidRPr="00FA6039" w:rsidRDefault="003D559F" w:rsidP="003264D7">
      <w:pPr>
        <w:pStyle w:val="Heading3"/>
      </w:pPr>
      <w:bookmarkStart w:id="159" w:name="_Ref55040668"/>
      <w:bookmarkStart w:id="160" w:name="_Ref55045175"/>
      <w:r>
        <w:t>Modification of</w:t>
      </w:r>
      <w:r w:rsidR="003264D7" w:rsidRPr="00FA6039">
        <w:t xml:space="preserve"> the Contract </w:t>
      </w:r>
      <w:r w:rsidR="003264D7">
        <w:t xml:space="preserve">and the Contract </w:t>
      </w:r>
      <w:r w:rsidR="003264D7" w:rsidRPr="00FA6039">
        <w:t>Register</w:t>
      </w:r>
      <w:bookmarkEnd w:id="159"/>
      <w:bookmarkEnd w:id="160"/>
    </w:p>
    <w:p w14:paraId="5A128BB4" w14:textId="1E8CE0C0" w:rsidR="003264D7" w:rsidRDefault="00F95B6C" w:rsidP="005B295A">
      <w:pPr>
        <w:pStyle w:val="Heading4"/>
        <w:rPr>
          <w:lang w:val="en-US"/>
        </w:rPr>
      </w:pPr>
      <w:r>
        <w:t xml:space="preserve">The </w:t>
      </w:r>
      <w:r w:rsidR="003264D7">
        <w:t xml:space="preserve">Market Participants </w:t>
      </w:r>
      <w:r>
        <w:t xml:space="preserve">may  modify a </w:t>
      </w:r>
      <w:r w:rsidR="003D559F">
        <w:t>r</w:t>
      </w:r>
      <w:r w:rsidR="003264D7">
        <w:t xml:space="preserve">egistered Contract without requiring </w:t>
      </w:r>
      <w:r>
        <w:t xml:space="preserve">de-registration of a </w:t>
      </w:r>
      <w:r w:rsidR="003264D7">
        <w:t>Contract</w:t>
      </w:r>
      <w:r>
        <w:t>,</w:t>
      </w:r>
      <w:r w:rsidR="003264D7">
        <w:t xml:space="preserve"> </w:t>
      </w:r>
      <w:r>
        <w:t xml:space="preserve">however, such modification shall be limited only to the extent of contracted </w:t>
      </w:r>
      <w:r w:rsidR="004F4FDA">
        <w:t>quantities</w:t>
      </w:r>
      <w:r>
        <w:t xml:space="preserve"> of Energy or Capacity</w:t>
      </w:r>
      <w:r w:rsidR="003151C3">
        <w:t>;</w:t>
      </w:r>
      <w:r>
        <w:t xml:space="preserve"> or allocation of Must Run Generation or Ancillary Service revenues</w:t>
      </w:r>
      <w:r w:rsidR="003151C3">
        <w:t>; or adding or deleting Trading Points</w:t>
      </w:r>
      <w:r>
        <w:t>. It is clarified that the contract type shall remain the same</w:t>
      </w:r>
      <w:r w:rsidR="003264D7">
        <w:t xml:space="preserve">. </w:t>
      </w:r>
    </w:p>
    <w:p w14:paraId="148658FA" w14:textId="4807023B" w:rsidR="003264D7" w:rsidRDefault="00F95B6C" w:rsidP="005B295A">
      <w:pPr>
        <w:pStyle w:val="Heading4"/>
      </w:pPr>
      <w:r>
        <w:t>In case of a modification of a registered Contract as provided above, t</w:t>
      </w:r>
      <w:r w:rsidR="003264D7">
        <w:t xml:space="preserve">he parties </w:t>
      </w:r>
      <w:r>
        <w:t xml:space="preserve">shall inform the Market Operator on a form prepared for this purpose within five business days of modification and not later than </w:t>
      </w:r>
      <w:r w:rsidR="006267FB">
        <w:t>five Business Days</w:t>
      </w:r>
      <w:r>
        <w:t xml:space="preserve"> prior to the date </w:t>
      </w:r>
      <w:r w:rsidR="003264D7">
        <w:t xml:space="preserve">when the Market Operator </w:t>
      </w:r>
      <w:r>
        <w:t xml:space="preserve">shall </w:t>
      </w:r>
      <w:r w:rsidR="003264D7">
        <w:t xml:space="preserve">initiate the calculation for the Monthly or Yearly Settlement process.  </w:t>
      </w:r>
      <w:r w:rsidR="000C3EC2">
        <w:t xml:space="preserve">For the avoidance of doubt, the Contract shall be </w:t>
      </w:r>
      <w:r w:rsidR="009A16C9">
        <w:t>enforceable for the purpose</w:t>
      </w:r>
      <w:r>
        <w:t>s</w:t>
      </w:r>
      <w:r w:rsidR="009A16C9">
        <w:t xml:space="preserve"> of settlement by the Market Operator from the date of</w:t>
      </w:r>
      <w:r>
        <w:t xml:space="preserve"> registration of modification with the Market Operator </w:t>
      </w:r>
      <w:r w:rsidR="009A16C9">
        <w:t xml:space="preserve">or any other later date </w:t>
      </w:r>
      <w:r w:rsidR="006267FB">
        <w:t xml:space="preserve">as </w:t>
      </w:r>
      <w:r w:rsidR="009A16C9">
        <w:t>agreed in the Contract</w:t>
      </w:r>
      <w:r w:rsidR="006267FB">
        <w:t xml:space="preserve"> modification</w:t>
      </w:r>
      <w:r w:rsidR="000C3EC2">
        <w:t>.</w:t>
      </w:r>
    </w:p>
    <w:p w14:paraId="01102778" w14:textId="05255CA8" w:rsidR="003264D7" w:rsidRDefault="003264D7" w:rsidP="005B295A">
      <w:pPr>
        <w:pStyle w:val="Heading4"/>
      </w:pPr>
      <w:r w:rsidRPr="006E7174">
        <w:t xml:space="preserve">Within </w:t>
      </w:r>
      <w:r>
        <w:t>two</w:t>
      </w:r>
      <w:r w:rsidRPr="006E7174">
        <w:t xml:space="preserve"> [</w:t>
      </w:r>
      <w:r>
        <w:t>2</w:t>
      </w:r>
      <w:r w:rsidRPr="006E7174">
        <w:t xml:space="preserve">] Business Days of </w:t>
      </w:r>
      <w:r w:rsidR="006267FB">
        <w:t>receipt of</w:t>
      </w:r>
      <w:r w:rsidR="006267FB" w:rsidRPr="006E7174">
        <w:t xml:space="preserve"> </w:t>
      </w:r>
      <w:r w:rsidRPr="006E7174">
        <w:t xml:space="preserve">a request </w:t>
      </w:r>
      <w:r w:rsidR="006267FB">
        <w:t>for modification of a re</w:t>
      </w:r>
      <w:r>
        <w:t xml:space="preserve">gistered </w:t>
      </w:r>
      <w:r w:rsidRPr="006E7174">
        <w:t>Contract</w:t>
      </w:r>
      <w:r w:rsidR="006267FB">
        <w:t>,</w:t>
      </w:r>
      <w:r w:rsidRPr="006E7174">
        <w:t xml:space="preserve"> </w:t>
      </w:r>
      <w:r>
        <w:t>the</w:t>
      </w:r>
      <w:r w:rsidRPr="006E7174">
        <w:t xml:space="preserve"> Market Operator shall send a written </w:t>
      </w:r>
      <w:r w:rsidR="006267FB">
        <w:t>acknowledgement thereof</w:t>
      </w:r>
      <w:r>
        <w:t xml:space="preserve">. </w:t>
      </w:r>
    </w:p>
    <w:p w14:paraId="63C6E65B" w14:textId="233DD204" w:rsidR="003264D7" w:rsidRDefault="003264D7" w:rsidP="005B295A">
      <w:pPr>
        <w:pStyle w:val="Heading4"/>
      </w:pPr>
      <w:r w:rsidRPr="00A41F77">
        <w:t xml:space="preserve">The Market Operator </w:t>
      </w:r>
      <w:r w:rsidR="006267FB">
        <w:t>shall review the modification and verify whether it conforms with the provisions of this Code and the relevant CCOP</w:t>
      </w:r>
      <w:r w:rsidRPr="00A41F77">
        <w:t xml:space="preserve">. </w:t>
      </w:r>
    </w:p>
    <w:p w14:paraId="60802100" w14:textId="74C208ED" w:rsidR="003264D7" w:rsidRPr="00152780" w:rsidRDefault="003264D7" w:rsidP="005B295A">
      <w:pPr>
        <w:pStyle w:val="Heading4"/>
      </w:pPr>
      <w:r w:rsidRPr="00152780">
        <w:t xml:space="preserve">The Market Operator may reject </w:t>
      </w:r>
      <w:r w:rsidR="006267FB">
        <w:t>a request for modification,</w:t>
      </w:r>
      <w:r>
        <w:t xml:space="preserve"> </w:t>
      </w:r>
      <w:r w:rsidR="006267FB">
        <w:t>where</w:t>
      </w:r>
      <w:r w:rsidRPr="00152780">
        <w:t>:</w:t>
      </w:r>
    </w:p>
    <w:p w14:paraId="2E7EF08A" w14:textId="409AAB45" w:rsidR="003264D7" w:rsidRDefault="006267FB" w:rsidP="00B03234">
      <w:pPr>
        <w:pStyle w:val="Heading5"/>
        <w:rPr>
          <w:lang w:val="en-US"/>
        </w:rPr>
      </w:pPr>
      <w:r>
        <w:rPr>
          <w:lang w:val="en-US"/>
        </w:rPr>
        <w:t>i</w:t>
      </w:r>
      <w:r w:rsidR="008858D5">
        <w:rPr>
          <w:lang w:val="en-US"/>
        </w:rPr>
        <w:t>f applicable, a</w:t>
      </w:r>
      <w:r w:rsidR="003264D7">
        <w:rPr>
          <w:lang w:val="en-US"/>
        </w:rPr>
        <w:t xml:space="preserve">ny of the involved Market Participants does not own the Firm Capacity Certificates to support the required </w:t>
      </w:r>
      <w:r>
        <w:rPr>
          <w:lang w:val="en-US"/>
        </w:rPr>
        <w:t>modification</w:t>
      </w:r>
      <w:r w:rsidR="003264D7">
        <w:rPr>
          <w:lang w:val="en-US"/>
        </w:rPr>
        <w:t xml:space="preserve">; </w:t>
      </w:r>
    </w:p>
    <w:p w14:paraId="56DEBB6B" w14:textId="5C98C76A" w:rsidR="003264D7" w:rsidRDefault="006267FB" w:rsidP="00B03234">
      <w:pPr>
        <w:pStyle w:val="Heading5"/>
        <w:rPr>
          <w:lang w:val="en-US"/>
        </w:rPr>
      </w:pPr>
      <w:r>
        <w:rPr>
          <w:lang w:val="en-US"/>
        </w:rPr>
        <w:t>a</w:t>
      </w:r>
      <w:r w:rsidR="003264D7">
        <w:rPr>
          <w:lang w:val="en-US"/>
        </w:rPr>
        <w:t xml:space="preserve">llowing the </w:t>
      </w:r>
      <w:r>
        <w:rPr>
          <w:lang w:val="en-US"/>
        </w:rPr>
        <w:t>modification</w:t>
      </w:r>
      <w:r w:rsidR="003264D7">
        <w:rPr>
          <w:lang w:val="en-US"/>
        </w:rPr>
        <w:t xml:space="preserve">, </w:t>
      </w:r>
      <w:r>
        <w:rPr>
          <w:lang w:val="en-US"/>
        </w:rPr>
        <w:t xml:space="preserve">may result in </w:t>
      </w:r>
      <w:r w:rsidR="006F4246">
        <w:rPr>
          <w:lang w:val="en-US"/>
        </w:rPr>
        <w:t>non-compliance with</w:t>
      </w:r>
      <w:r w:rsidR="008645DE">
        <w:rPr>
          <w:lang w:val="en-US"/>
        </w:rPr>
        <w:t xml:space="preserve"> </w:t>
      </w:r>
      <w:r w:rsidR="003264D7">
        <w:rPr>
          <w:lang w:val="en-US"/>
        </w:rPr>
        <w:t xml:space="preserve">the Capacity Obligations of one or both Market Participants; </w:t>
      </w:r>
    </w:p>
    <w:p w14:paraId="39C8D72E" w14:textId="6469F439" w:rsidR="003264D7" w:rsidRPr="00EE7890" w:rsidRDefault="008645DE" w:rsidP="00B03234">
      <w:pPr>
        <w:pStyle w:val="Heading5"/>
        <w:rPr>
          <w:lang w:val="en-US"/>
        </w:rPr>
      </w:pPr>
      <w:r>
        <w:rPr>
          <w:lang w:val="en-US"/>
        </w:rPr>
        <w:t>t</w:t>
      </w:r>
      <w:r w:rsidR="003264D7">
        <w:rPr>
          <w:lang w:val="en-US"/>
        </w:rPr>
        <w:t xml:space="preserve">he registered Security Cover </w:t>
      </w:r>
      <w:r w:rsidR="00076567">
        <w:rPr>
          <w:lang w:val="en-US"/>
        </w:rPr>
        <w:t xml:space="preserve">and Guarantee Amount </w:t>
      </w:r>
      <w:r w:rsidR="003264D7">
        <w:rPr>
          <w:lang w:val="en-US"/>
        </w:rPr>
        <w:t xml:space="preserve">of one or both involved Market Participants is not sufficient to guarantee the eventual transactions in the BME or BMC, as </w:t>
      </w:r>
      <w:r>
        <w:rPr>
          <w:lang w:val="en-US"/>
        </w:rPr>
        <w:t>applicable</w:t>
      </w:r>
      <w:r w:rsidR="003264D7">
        <w:rPr>
          <w:lang w:val="en-US"/>
        </w:rPr>
        <w:t xml:space="preserve">; </w:t>
      </w:r>
    </w:p>
    <w:p w14:paraId="5269E5BD" w14:textId="467183FA" w:rsidR="003264D7" w:rsidRDefault="003264D7" w:rsidP="00B03234">
      <w:pPr>
        <w:pStyle w:val="Heading5"/>
      </w:pPr>
      <w:r w:rsidRPr="00152780">
        <w:t xml:space="preserve">the </w:t>
      </w:r>
      <w:r>
        <w:t xml:space="preserve">requested </w:t>
      </w:r>
      <w:r w:rsidR="008645DE">
        <w:t xml:space="preserve">modification </w:t>
      </w:r>
      <w:r>
        <w:t xml:space="preserve">in the </w:t>
      </w:r>
      <w:r w:rsidR="008645DE">
        <w:t>r</w:t>
      </w:r>
      <w:r>
        <w:t xml:space="preserve">egistered </w:t>
      </w:r>
      <w:r w:rsidRPr="00152780">
        <w:t>Contract conflicts with other Contracts, already registered, by one or both of the parties</w:t>
      </w:r>
      <w:r>
        <w:t xml:space="preserve">. </w:t>
      </w:r>
    </w:p>
    <w:p w14:paraId="22CCD39A" w14:textId="4DA595C2" w:rsidR="003264D7" w:rsidRDefault="003264D7" w:rsidP="005B295A">
      <w:pPr>
        <w:pStyle w:val="Heading4"/>
      </w:pPr>
      <w:bookmarkStart w:id="161" w:name="_Ref64241386"/>
      <w:r>
        <w:t xml:space="preserve">In the case the Market Operators accepts the </w:t>
      </w:r>
      <w:r w:rsidR="008645DE">
        <w:t xml:space="preserve">modification </w:t>
      </w:r>
      <w:r>
        <w:t xml:space="preserve">in the </w:t>
      </w:r>
      <w:r w:rsidR="008645DE">
        <w:t>r</w:t>
      </w:r>
      <w:r>
        <w:t>egistered Contract, it shall:</w:t>
      </w:r>
      <w:bookmarkEnd w:id="161"/>
    </w:p>
    <w:p w14:paraId="6B56C8D0" w14:textId="7ABF6E8C" w:rsidR="003264D7" w:rsidRDefault="008645DE" w:rsidP="00B03234">
      <w:pPr>
        <w:pStyle w:val="Heading5"/>
      </w:pPr>
      <w:r>
        <w:t xml:space="preserve">record </w:t>
      </w:r>
      <w:r w:rsidR="003264D7">
        <w:t xml:space="preserve">the </w:t>
      </w:r>
      <w:r>
        <w:t xml:space="preserve">modification </w:t>
      </w:r>
      <w:r w:rsidR="003264D7">
        <w:t>in the Contract Register</w:t>
      </w:r>
      <w:r w:rsidR="000B3217">
        <w:t xml:space="preserve"> and if applicable,</w:t>
      </w:r>
      <w:r w:rsidR="003264D7">
        <w:t xml:space="preserve"> also adjust the Firm Capacity Register</w:t>
      </w:r>
      <w:r w:rsidR="000B3217">
        <w:t xml:space="preserve"> accordingly</w:t>
      </w:r>
      <w:r w:rsidR="003264D7">
        <w:t xml:space="preserve">; </w:t>
      </w:r>
    </w:p>
    <w:p w14:paraId="5C0C1592" w14:textId="3AA9FB70" w:rsidR="003264D7" w:rsidRDefault="000B3217" w:rsidP="00B03234">
      <w:pPr>
        <w:pStyle w:val="Heading5"/>
      </w:pPr>
      <w:r>
        <w:t>i</w:t>
      </w:r>
      <w:r w:rsidR="003264D7">
        <w:t xml:space="preserve">mmediately inform the </w:t>
      </w:r>
      <w:r>
        <w:t>parties</w:t>
      </w:r>
      <w:r w:rsidR="003264D7">
        <w:t xml:space="preserve"> about </w:t>
      </w:r>
      <w:r>
        <w:t>the modification in the Contract Register.</w:t>
      </w:r>
    </w:p>
    <w:p w14:paraId="6E09EF84" w14:textId="32C0A6CC" w:rsidR="003264D7" w:rsidRDefault="003264D7" w:rsidP="005B295A">
      <w:pPr>
        <w:pStyle w:val="Heading4"/>
      </w:pPr>
      <w:bookmarkStart w:id="162" w:name="_Toc61198264"/>
      <w:r w:rsidRPr="00777195">
        <w:t xml:space="preserve">For </w:t>
      </w:r>
      <w:r w:rsidR="000B3217">
        <w:t>the S</w:t>
      </w:r>
      <w:r w:rsidRPr="00777195">
        <w:t xml:space="preserve">ettlement purposes, the </w:t>
      </w:r>
      <w:r w:rsidR="000B3217">
        <w:t xml:space="preserve">modification </w:t>
      </w:r>
      <w:r>
        <w:t xml:space="preserve">in the </w:t>
      </w:r>
      <w:r w:rsidR="000B3217">
        <w:t>r</w:t>
      </w:r>
      <w:r>
        <w:t xml:space="preserve">egistered </w:t>
      </w:r>
      <w:r w:rsidRPr="00777195">
        <w:t xml:space="preserve">Contract </w:t>
      </w:r>
      <w:r w:rsidR="000B3217">
        <w:t>shall</w:t>
      </w:r>
      <w:r w:rsidR="000B3217" w:rsidRPr="00777195">
        <w:t xml:space="preserve"> </w:t>
      </w:r>
      <w:r w:rsidRPr="00777195">
        <w:t>become effective</w:t>
      </w:r>
      <w:r>
        <w:t>:</w:t>
      </w:r>
    </w:p>
    <w:p w14:paraId="0E368248" w14:textId="15EDF73C" w:rsidR="003264D7" w:rsidRDefault="000B3217" w:rsidP="00B03234">
      <w:pPr>
        <w:pStyle w:val="Heading5"/>
      </w:pPr>
      <w:r>
        <w:t>a</w:t>
      </w:r>
      <w:r w:rsidR="003264D7">
        <w:t xml:space="preserve">t the date </w:t>
      </w:r>
      <w:r>
        <w:t xml:space="preserve">provided </w:t>
      </w:r>
      <w:r w:rsidR="003264D7">
        <w:t xml:space="preserve">by the parties; or </w:t>
      </w:r>
    </w:p>
    <w:p w14:paraId="5C30CA36" w14:textId="65328718" w:rsidR="003264D7" w:rsidRDefault="003264D7" w:rsidP="00B03234">
      <w:pPr>
        <w:pStyle w:val="Heading5"/>
      </w:pPr>
      <w:r>
        <w:lastRenderedPageBreak/>
        <w:t>A</w:t>
      </w:r>
      <w:r w:rsidRPr="00777195">
        <w:t xml:space="preserve">t 0:00 a.m. of the day following the </w:t>
      </w:r>
      <w:r w:rsidR="000B3217">
        <w:t>registration of the modification in the Contract Register</w:t>
      </w:r>
      <w:r>
        <w:t xml:space="preserve"> </w:t>
      </w:r>
      <w:r w:rsidRPr="00B03C4A">
        <w:t xml:space="preserve">pursuant </w:t>
      </w:r>
      <w:r w:rsidR="006F4246" w:rsidRPr="00B03C4A">
        <w:t xml:space="preserve">to </w:t>
      </w:r>
      <w:r w:rsidRPr="00B03C4A">
        <w:t xml:space="preserve">Clause </w:t>
      </w:r>
      <w:r w:rsidR="00B52592" w:rsidRPr="00B03C4A">
        <w:fldChar w:fldCharType="begin"/>
      </w:r>
      <w:r w:rsidR="00B52592" w:rsidRPr="00B03C4A">
        <w:instrText xml:space="preserve"> REF _Ref64241386 \w \h </w:instrText>
      </w:r>
      <w:r w:rsidR="000B3217" w:rsidRPr="00B03C4A">
        <w:instrText xml:space="preserve"> \* MERGEFORMAT </w:instrText>
      </w:r>
      <w:r w:rsidR="00B52592" w:rsidRPr="00B03C4A">
        <w:fldChar w:fldCharType="separate"/>
      </w:r>
      <w:r w:rsidR="006F4246" w:rsidRPr="00B03C4A">
        <w:t>4.5.6.6</w:t>
      </w:r>
      <w:r w:rsidR="00B52592" w:rsidRPr="00B03C4A">
        <w:fldChar w:fldCharType="end"/>
      </w:r>
      <w:r w:rsidR="00B52592" w:rsidRPr="006F4246">
        <w:t>;</w:t>
      </w:r>
      <w:r>
        <w:t xml:space="preserve"> </w:t>
      </w:r>
    </w:p>
    <w:p w14:paraId="56CA7373" w14:textId="77777777" w:rsidR="003264D7" w:rsidRPr="00777195" w:rsidRDefault="003264D7" w:rsidP="003264D7">
      <w:pPr>
        <w:ind w:left="1418"/>
      </w:pPr>
      <w:r>
        <w:t>whichever is later</w:t>
      </w:r>
      <w:r w:rsidRPr="00777195">
        <w:t xml:space="preserve">.  </w:t>
      </w:r>
    </w:p>
    <w:p w14:paraId="7DE6629A" w14:textId="5E759CCD" w:rsidR="001A72AC" w:rsidRDefault="001A72AC" w:rsidP="00322B84">
      <w:pPr>
        <w:pStyle w:val="Heading2"/>
        <w:rPr>
          <w:lang w:val="it-IT"/>
        </w:rPr>
      </w:pPr>
      <w:bookmarkStart w:id="163" w:name="_Toc64846668"/>
      <w:bookmarkStart w:id="164" w:name="_Ref67340174"/>
      <w:bookmarkStart w:id="165" w:name="_Ref67687566"/>
      <w:bookmarkStart w:id="166" w:name="_Ref68601824"/>
      <w:bookmarkStart w:id="167" w:name="_Toc69476965"/>
      <w:bookmarkStart w:id="168" w:name="_Ref70290489"/>
      <w:r w:rsidRPr="001A72AC">
        <w:rPr>
          <w:lang w:val="it-IT"/>
        </w:rPr>
        <w:t>Contract</w:t>
      </w:r>
      <w:r w:rsidR="00322B84">
        <w:rPr>
          <w:lang w:val="it-IT"/>
        </w:rPr>
        <w:t>s</w:t>
      </w:r>
      <w:r w:rsidR="00903B0B">
        <w:rPr>
          <w:lang w:val="it-IT"/>
        </w:rPr>
        <w:t xml:space="preserve"> </w:t>
      </w:r>
      <w:r w:rsidR="000B3217">
        <w:rPr>
          <w:lang w:val="it-IT"/>
        </w:rPr>
        <w:t>DE-</w:t>
      </w:r>
      <w:r w:rsidR="00903B0B">
        <w:rPr>
          <w:lang w:val="it-IT"/>
        </w:rPr>
        <w:t>registration</w:t>
      </w:r>
      <w:bookmarkEnd w:id="163"/>
      <w:bookmarkEnd w:id="164"/>
      <w:bookmarkEnd w:id="165"/>
      <w:bookmarkEnd w:id="166"/>
      <w:bookmarkEnd w:id="167"/>
      <w:bookmarkEnd w:id="168"/>
      <w:r w:rsidR="00447795">
        <w:rPr>
          <w:lang w:val="it-IT"/>
        </w:rPr>
        <w:t xml:space="preserve"> or Suspension</w:t>
      </w:r>
    </w:p>
    <w:p w14:paraId="262E36BB" w14:textId="610D52B1" w:rsidR="00322B84" w:rsidRDefault="001A72AC" w:rsidP="00322B84">
      <w:pPr>
        <w:pStyle w:val="Heading3"/>
        <w:rPr>
          <w:lang w:val="en-US"/>
        </w:rPr>
      </w:pPr>
      <w:r w:rsidRPr="001A72AC">
        <w:rPr>
          <w:lang w:val="en-US"/>
        </w:rPr>
        <w:t xml:space="preserve"> </w:t>
      </w:r>
      <w:bookmarkEnd w:id="162"/>
      <w:r w:rsidR="00322B84">
        <w:rPr>
          <w:lang w:val="en-US"/>
        </w:rPr>
        <w:t xml:space="preserve">Reasons for </w:t>
      </w:r>
      <w:r w:rsidR="004B6812" w:rsidRPr="004B6812">
        <w:rPr>
          <w:lang w:val="en-US"/>
        </w:rPr>
        <w:t>de-registration</w:t>
      </w:r>
      <w:r w:rsidR="00306AE9">
        <w:rPr>
          <w:lang w:val="en-US"/>
        </w:rPr>
        <w:t xml:space="preserve"> and Suspension</w:t>
      </w:r>
    </w:p>
    <w:p w14:paraId="3AB4A9B5" w14:textId="418E830D" w:rsidR="001A72AC" w:rsidRDefault="001A72AC" w:rsidP="005B295A">
      <w:pPr>
        <w:pStyle w:val="Heading4"/>
        <w:rPr>
          <w:lang w:val="en-US"/>
        </w:rPr>
      </w:pPr>
      <w:r w:rsidRPr="001A72AC">
        <w:rPr>
          <w:lang w:val="en-US"/>
        </w:rPr>
        <w:t xml:space="preserve">The Market Operator </w:t>
      </w:r>
      <w:r w:rsidR="001D26D0">
        <w:rPr>
          <w:lang w:val="en-US"/>
        </w:rPr>
        <w:t>may deregister</w:t>
      </w:r>
      <w:r w:rsidR="00435637">
        <w:rPr>
          <w:lang w:val="en-US"/>
        </w:rPr>
        <w:t xml:space="preserve"> </w:t>
      </w:r>
      <w:r w:rsidR="004B6812">
        <w:rPr>
          <w:lang w:val="en-US"/>
        </w:rPr>
        <w:t>a</w:t>
      </w:r>
      <w:commentRangeStart w:id="169"/>
      <w:commentRangeEnd w:id="169"/>
      <w:r w:rsidR="001D26D0">
        <w:rPr>
          <w:rStyle w:val="CommentReference"/>
          <w:rFonts w:eastAsiaTheme="minorHAnsi" w:cstheme="minorBidi"/>
          <w:bCs w:val="0"/>
          <w:iCs w:val="0"/>
          <w:color w:val="1C1C1C"/>
        </w:rPr>
        <w:commentReference w:id="169"/>
      </w:r>
      <w:r>
        <w:rPr>
          <w:lang w:val="en-US"/>
        </w:rPr>
        <w:t xml:space="preserve"> </w:t>
      </w:r>
      <w:r w:rsidR="001C333B">
        <w:rPr>
          <w:lang w:val="en-US"/>
        </w:rPr>
        <w:t>Bilateral</w:t>
      </w:r>
      <w:r>
        <w:rPr>
          <w:lang w:val="en-US"/>
        </w:rPr>
        <w:t xml:space="preserve"> </w:t>
      </w:r>
      <w:r w:rsidR="00FC17F5">
        <w:rPr>
          <w:lang w:val="en-US"/>
        </w:rPr>
        <w:t>C</w:t>
      </w:r>
      <w:r>
        <w:rPr>
          <w:lang w:val="en-US"/>
        </w:rPr>
        <w:t xml:space="preserve">ontract </w:t>
      </w:r>
      <w:r w:rsidR="00435637">
        <w:rPr>
          <w:lang w:val="en-US"/>
        </w:rPr>
        <w:t xml:space="preserve">from the Contract Register </w:t>
      </w:r>
      <w:r>
        <w:rPr>
          <w:lang w:val="en-US"/>
        </w:rPr>
        <w:t>in</w:t>
      </w:r>
      <w:r w:rsidR="004B6812">
        <w:rPr>
          <w:lang w:val="en-US"/>
        </w:rPr>
        <w:t xml:space="preserve"> the following</w:t>
      </w:r>
      <w:r>
        <w:rPr>
          <w:lang w:val="en-US"/>
        </w:rPr>
        <w:t xml:space="preserve"> cases: </w:t>
      </w:r>
    </w:p>
    <w:p w14:paraId="10329F6B" w14:textId="0FBDFCAD" w:rsidR="001A72AC" w:rsidRDefault="00B504EF" w:rsidP="00B03234">
      <w:pPr>
        <w:pStyle w:val="Heading5"/>
      </w:pPr>
      <w:r>
        <w:t>a</w:t>
      </w:r>
      <w:r w:rsidR="001A72AC">
        <w:t xml:space="preserve"> </w:t>
      </w:r>
      <w:r w:rsidR="003A578F">
        <w:t>B</w:t>
      </w:r>
      <w:r w:rsidR="001A72AC">
        <w:t xml:space="preserve">ilateral </w:t>
      </w:r>
      <w:r w:rsidR="003A578F">
        <w:t>C</w:t>
      </w:r>
      <w:r w:rsidR="001A72AC">
        <w:t xml:space="preserve">ontract </w:t>
      </w:r>
      <w:r w:rsidR="00435637">
        <w:t>has reached</w:t>
      </w:r>
      <w:r>
        <w:t xml:space="preserve"> </w:t>
      </w:r>
      <w:r w:rsidR="00877381">
        <w:t>Contract Termination Date</w:t>
      </w:r>
      <w:r w:rsidR="00EA0AB1">
        <w:t xml:space="preserve">; </w:t>
      </w:r>
      <w:r w:rsidR="00322B84">
        <w:t>or</w:t>
      </w:r>
    </w:p>
    <w:p w14:paraId="0930F51E" w14:textId="09117821" w:rsidR="00EA0AB1" w:rsidRDefault="00B504EF" w:rsidP="00B03234">
      <w:pPr>
        <w:pStyle w:val="Heading5"/>
      </w:pPr>
      <w:r>
        <w:t>b</w:t>
      </w:r>
      <w:r w:rsidR="00EA0AB1">
        <w:t>oth parties</w:t>
      </w:r>
      <w:r w:rsidR="00435637">
        <w:t xml:space="preserve"> </w:t>
      </w:r>
      <w:r w:rsidR="00EA0AB1">
        <w:t xml:space="preserve">agree </w:t>
      </w:r>
      <w:r>
        <w:t xml:space="preserve">on </w:t>
      </w:r>
      <w:r w:rsidR="00435637">
        <w:t xml:space="preserve">earlier </w:t>
      </w:r>
      <w:r>
        <w:t xml:space="preserve">termination of </w:t>
      </w:r>
      <w:r w:rsidR="00EA0AB1">
        <w:t xml:space="preserve"> the </w:t>
      </w:r>
      <w:r w:rsidR="003A578F">
        <w:t>Contract</w:t>
      </w:r>
      <w:r w:rsidR="00B71832">
        <w:t xml:space="preserve">, </w:t>
      </w:r>
      <w:r w:rsidR="00435637">
        <w:t xml:space="preserve">subject to approval of </w:t>
      </w:r>
      <w:r w:rsidR="00B71832">
        <w:t>the Market Operator</w:t>
      </w:r>
      <w:r w:rsidR="00EA0AB1">
        <w:t>; or</w:t>
      </w:r>
    </w:p>
    <w:p w14:paraId="74CB03E9" w14:textId="4DD2BC3F" w:rsidR="00306AE9" w:rsidRDefault="00B504EF" w:rsidP="00B03C4A">
      <w:pPr>
        <w:pStyle w:val="Heading5"/>
      </w:pPr>
      <w:r>
        <w:t>o</w:t>
      </w:r>
      <w:r w:rsidR="00EA0AB1">
        <w:t xml:space="preserve">ne of the parties ceases </w:t>
      </w:r>
      <w:r w:rsidR="00F1094A">
        <w:t xml:space="preserve">to </w:t>
      </w:r>
      <w:r w:rsidR="00EA0AB1">
        <w:t xml:space="preserve">be a Market Participant, as per </w:t>
      </w:r>
      <w:r w:rsidR="00F1094A">
        <w:t xml:space="preserve">Termination Order issued by </w:t>
      </w:r>
      <w:r w:rsidR="00EA0AB1">
        <w:t>the Market Operator</w:t>
      </w:r>
      <w:r w:rsidR="00F1094A">
        <w:t>,</w:t>
      </w:r>
      <w:r w:rsidR="00EA0AB1">
        <w:t xml:space="preserve"> </w:t>
      </w:r>
      <w:r w:rsidRPr="00B03C4A">
        <w:t xml:space="preserve">according to the provisions of </w:t>
      </w:r>
      <w:r w:rsidR="00EA0AB1" w:rsidRPr="00B03C4A">
        <w:t xml:space="preserve"> </w:t>
      </w:r>
      <w:r w:rsidRPr="00B03C4A">
        <w:t>s</w:t>
      </w:r>
      <w:r w:rsidR="00F1094A" w:rsidRPr="00B03C4A">
        <w:t>ub-</w:t>
      </w:r>
      <w:r w:rsidR="008C02F7">
        <w:t>Section</w:t>
      </w:r>
      <w:r w:rsidR="00F1094A" w:rsidRPr="00B03C4A">
        <w:t xml:space="preserve"> </w:t>
      </w:r>
      <w:r w:rsidR="00F1094A" w:rsidRPr="00B03C4A">
        <w:fldChar w:fldCharType="begin"/>
      </w:r>
      <w:r w:rsidR="00F1094A" w:rsidRPr="00B03C4A">
        <w:instrText xml:space="preserve"> REF _Ref63964028 \r \h </w:instrText>
      </w:r>
      <w:r w:rsidR="00467D5C" w:rsidRPr="00B03C4A">
        <w:instrText xml:space="preserve"> \* MERGEFORMAT </w:instrText>
      </w:r>
      <w:r w:rsidR="00F1094A" w:rsidRPr="00B03C4A">
        <w:fldChar w:fldCharType="separate"/>
      </w:r>
      <w:r w:rsidR="00251DBF" w:rsidRPr="00B03C4A">
        <w:t>17.2.3</w:t>
      </w:r>
      <w:r w:rsidR="00F1094A" w:rsidRPr="00B03C4A">
        <w:fldChar w:fldCharType="end"/>
      </w:r>
      <w:r w:rsidR="00B71832">
        <w:t>; or</w:t>
      </w:r>
      <w:r w:rsidR="00EA0AB1">
        <w:t xml:space="preserve"> </w:t>
      </w:r>
    </w:p>
    <w:p w14:paraId="07A18039" w14:textId="4C599308" w:rsidR="000B1524" w:rsidRDefault="00306AE9" w:rsidP="00306AE9">
      <w:pPr>
        <w:pStyle w:val="Heading4"/>
      </w:pPr>
      <w:r>
        <w:t xml:space="preserve">The Market Operator may suspend the Bilateral Contract if </w:t>
      </w:r>
      <w:r w:rsidR="00B504EF">
        <w:t>o</w:t>
      </w:r>
      <w:r w:rsidR="00F1094A">
        <w:t xml:space="preserve">ne of the parties is suspended as Market Participant, </w:t>
      </w:r>
      <w:r w:rsidR="00B504EF">
        <w:t xml:space="preserve">according to the provisions of </w:t>
      </w:r>
      <w:r w:rsidR="00B504EF" w:rsidRPr="00EA0AB1">
        <w:t xml:space="preserve"> </w:t>
      </w:r>
      <w:r w:rsidR="008C02F7">
        <w:t>Sub-Section</w:t>
      </w:r>
      <w:r w:rsidR="00B504EF">
        <w:t xml:space="preserve"> </w:t>
      </w:r>
      <w:r w:rsidR="00F1094A">
        <w:fldChar w:fldCharType="begin"/>
      </w:r>
      <w:r w:rsidR="00F1094A">
        <w:instrText xml:space="preserve"> REF _Ref63696606 \r \h </w:instrText>
      </w:r>
      <w:r w:rsidR="00F1094A">
        <w:fldChar w:fldCharType="separate"/>
      </w:r>
      <w:r w:rsidR="00251DBF">
        <w:t>17.2.2</w:t>
      </w:r>
      <w:r w:rsidR="00F1094A">
        <w:fldChar w:fldCharType="end"/>
      </w:r>
      <w:r w:rsidR="00F1094A">
        <w:t xml:space="preserve">, </w:t>
      </w:r>
      <w:r w:rsidR="00F1094A" w:rsidRPr="00B03C4A">
        <w:t xml:space="preserve">in cases the </w:t>
      </w:r>
      <w:r w:rsidR="00204316">
        <w:t>penalty</w:t>
      </w:r>
      <w:r w:rsidR="00204316" w:rsidRPr="00B03C4A">
        <w:t xml:space="preserve"> </w:t>
      </w:r>
      <w:r w:rsidR="00F1094A" w:rsidRPr="00B03C4A">
        <w:t xml:space="preserve">imposed by the Market Operator </w:t>
      </w:r>
      <w:r w:rsidR="00B504EF" w:rsidRPr="00B03C4A">
        <w:t>is to suspend a Contract</w:t>
      </w:r>
      <w:r w:rsidR="00CB2472">
        <w:t>.</w:t>
      </w:r>
    </w:p>
    <w:p w14:paraId="4F420EB3" w14:textId="564A0670" w:rsidR="00322B84" w:rsidRDefault="00B504EF" w:rsidP="00322B84">
      <w:pPr>
        <w:pStyle w:val="Heading3"/>
      </w:pPr>
      <w:bookmarkStart w:id="170" w:name="_Toc64115748"/>
      <w:bookmarkStart w:id="171" w:name="_Toc64116101"/>
      <w:bookmarkStart w:id="172" w:name="_Ref76851506"/>
      <w:bookmarkEnd w:id="170"/>
      <w:bookmarkEnd w:id="171"/>
      <w:r>
        <w:t xml:space="preserve">Deregistration </w:t>
      </w:r>
      <w:r w:rsidR="00306AE9">
        <w:t>due to</w:t>
      </w:r>
      <w:r w:rsidR="00B71832">
        <w:t xml:space="preserve"> </w:t>
      </w:r>
      <w:r w:rsidR="00322B84">
        <w:t>Contract Termination</w:t>
      </w:r>
      <w:bookmarkEnd w:id="172"/>
      <w:r w:rsidR="00B71832">
        <w:t xml:space="preserve"> </w:t>
      </w:r>
    </w:p>
    <w:p w14:paraId="071D5200" w14:textId="0680EA93" w:rsidR="00877381" w:rsidRDefault="00306AE9" w:rsidP="005B295A">
      <w:pPr>
        <w:pStyle w:val="Heading4"/>
      </w:pPr>
      <w:r>
        <w:t>Where a Contract is about to reach its agreed Termination Date, t</w:t>
      </w:r>
      <w:r w:rsidR="00322B84">
        <w:t xml:space="preserve">he Market Operator shall </w:t>
      </w:r>
      <w:r>
        <w:t>require</w:t>
      </w:r>
      <w:r w:rsidR="00B504EF">
        <w:t xml:space="preserve"> </w:t>
      </w:r>
      <w:r w:rsidR="00322B84">
        <w:t xml:space="preserve">the parties </w:t>
      </w:r>
      <w:r>
        <w:t>to take necessary actions as detailed below as well as inform the</w:t>
      </w:r>
      <w:r w:rsidR="00E90674">
        <w:t>m</w:t>
      </w:r>
      <w:r>
        <w:t xml:space="preserve"> </w:t>
      </w:r>
      <w:r w:rsidR="00E90674">
        <w:t>about the actions the Market Operator is going to take. The parties shall be informed:</w:t>
      </w:r>
      <w:r w:rsidR="00877381">
        <w:t xml:space="preserve"> </w:t>
      </w:r>
    </w:p>
    <w:p w14:paraId="0BFF47A7" w14:textId="7ED47937" w:rsidR="00877381" w:rsidRDefault="00E90674" w:rsidP="00B03234">
      <w:pPr>
        <w:pStyle w:val="Heading5"/>
      </w:pPr>
      <w:r>
        <w:t>a</w:t>
      </w:r>
      <w:r w:rsidR="00322B84">
        <w:t xml:space="preserve">t least </w:t>
      </w:r>
      <w:r w:rsidR="00877381">
        <w:t xml:space="preserve">six (6) </w:t>
      </w:r>
      <w:r w:rsidR="00322B84">
        <w:t xml:space="preserve">months </w:t>
      </w:r>
      <w:r>
        <w:t xml:space="preserve">prior to </w:t>
      </w:r>
      <w:r w:rsidR="00322B84">
        <w:t xml:space="preserve">the </w:t>
      </w:r>
      <w:r w:rsidR="00877381">
        <w:t>C</w:t>
      </w:r>
      <w:r w:rsidR="00322B84">
        <w:t xml:space="preserve">ontract </w:t>
      </w:r>
      <w:r w:rsidR="00877381">
        <w:t>T</w:t>
      </w:r>
      <w:r w:rsidR="00322B84">
        <w:t xml:space="preserve">ermination </w:t>
      </w:r>
      <w:r w:rsidR="00877381">
        <w:t>D</w:t>
      </w:r>
      <w:r w:rsidR="00322B84">
        <w:t xml:space="preserve">ate, </w:t>
      </w:r>
      <w:r w:rsidR="00877381">
        <w:t>in case one of the parties is a BPC; or</w:t>
      </w:r>
    </w:p>
    <w:p w14:paraId="361E065E" w14:textId="10B43C19" w:rsidR="00877381" w:rsidRDefault="00E90674" w:rsidP="00B03234">
      <w:pPr>
        <w:pStyle w:val="Heading5"/>
      </w:pPr>
      <w:r>
        <w:t>a</w:t>
      </w:r>
      <w:r w:rsidR="00877381">
        <w:t xml:space="preserve">t least three (3) months </w:t>
      </w:r>
      <w:r>
        <w:t xml:space="preserve">prior to </w:t>
      </w:r>
      <w:r w:rsidR="00877381">
        <w:t xml:space="preserve">the </w:t>
      </w:r>
      <w:r w:rsidR="00A9424F">
        <w:t>C</w:t>
      </w:r>
      <w:r w:rsidR="00877381">
        <w:t xml:space="preserve">ontract </w:t>
      </w:r>
      <w:r w:rsidR="00A9424F">
        <w:t>T</w:t>
      </w:r>
      <w:r w:rsidR="00877381">
        <w:t xml:space="preserve">ermination </w:t>
      </w:r>
      <w:r w:rsidR="00A9424F">
        <w:t>D</w:t>
      </w:r>
      <w:r w:rsidR="00877381">
        <w:t>ate in all other cases.</w:t>
      </w:r>
    </w:p>
    <w:p w14:paraId="6A7EC409" w14:textId="5DA8E114" w:rsidR="00F1094A" w:rsidRPr="00D92EE7" w:rsidRDefault="00E90674" w:rsidP="005B295A">
      <w:pPr>
        <w:pStyle w:val="Heading4"/>
      </w:pPr>
      <w:r>
        <w:t>Where one of the parties to</w:t>
      </w:r>
      <w:r w:rsidR="00322B84" w:rsidRPr="00D92EE7">
        <w:t xml:space="preserve"> the</w:t>
      </w:r>
      <w:r w:rsidRPr="00E90674">
        <w:t xml:space="preserve"> </w:t>
      </w:r>
      <w:r w:rsidRPr="00D92EE7">
        <w:t>registered</w:t>
      </w:r>
      <w:r w:rsidR="00322B84" w:rsidRPr="00D92EE7">
        <w:t xml:space="preserve"> </w:t>
      </w:r>
      <w:r w:rsidR="003A578F">
        <w:t>Contract</w:t>
      </w:r>
      <w:r>
        <w:t xml:space="preserve"> is a </w:t>
      </w:r>
      <w:r w:rsidR="00B71832" w:rsidRPr="00D92EE7">
        <w:t xml:space="preserve">BPC, regardless such BPC is a </w:t>
      </w:r>
      <w:r w:rsidR="00F1094A" w:rsidRPr="00D92EE7">
        <w:t xml:space="preserve">Market Participants </w:t>
      </w:r>
      <w:r w:rsidR="00B71832" w:rsidRPr="00D92EE7">
        <w:t xml:space="preserve">or not, the Market Operator </w:t>
      </w:r>
      <w:r>
        <w:t>shall require such BPC to inform the Market Operator, at least 60 days prior to the Contract Termination Date, about its intention to:</w:t>
      </w:r>
      <w:r w:rsidR="00B71832" w:rsidRPr="00D92EE7">
        <w:t xml:space="preserve"> </w:t>
      </w:r>
    </w:p>
    <w:p w14:paraId="021C2309" w14:textId="08466AA6" w:rsidR="005F1F9B" w:rsidRPr="00D92EE7" w:rsidRDefault="00B71832" w:rsidP="00B03234">
      <w:pPr>
        <w:pStyle w:val="Heading5"/>
      </w:pPr>
      <w:bookmarkStart w:id="173" w:name="_Ref63966766"/>
      <w:r w:rsidRPr="00D92EE7">
        <w:t xml:space="preserve">Continue </w:t>
      </w:r>
      <w:r w:rsidRPr="00B03C4A">
        <w:t xml:space="preserve">or </w:t>
      </w:r>
      <w:r w:rsidR="00631D6A" w:rsidRPr="00B03C4A">
        <w:t>rene</w:t>
      </w:r>
      <w:r w:rsidR="00E90674" w:rsidRPr="00B03C4A">
        <w:t>w</w:t>
      </w:r>
      <w:r w:rsidR="00631D6A" w:rsidRPr="00D92EE7">
        <w:t xml:space="preserve"> the existing </w:t>
      </w:r>
      <w:r w:rsidR="00E90674">
        <w:t xml:space="preserve">registered </w:t>
      </w:r>
      <w:r w:rsidR="00631D6A" w:rsidRPr="00D92EE7">
        <w:t>Contract</w:t>
      </w:r>
      <w:r w:rsidR="00D2530D">
        <w:t>, if it is decided by the BPC to continue the existing registered Contract, it shall inform the Market Operator in the following manner:</w:t>
      </w:r>
      <w:bookmarkEnd w:id="173"/>
      <w:r w:rsidR="005F1F9B" w:rsidRPr="00D92EE7">
        <w:t xml:space="preserve"> </w:t>
      </w:r>
    </w:p>
    <w:p w14:paraId="03EA3357" w14:textId="05997200" w:rsidR="00C1487D" w:rsidRPr="00D92EE7" w:rsidRDefault="00D2530D" w:rsidP="00CF7164">
      <w:pPr>
        <w:pStyle w:val="Heading6"/>
      </w:pPr>
      <w:r>
        <w:t xml:space="preserve">submit an </w:t>
      </w:r>
      <w:r w:rsidRPr="00D92EE7">
        <w:t xml:space="preserve"> </w:t>
      </w:r>
      <w:r>
        <w:t>application</w:t>
      </w:r>
      <w:r w:rsidRPr="00D92EE7">
        <w:t xml:space="preserve"> </w:t>
      </w:r>
      <w:r w:rsidR="00C1487D" w:rsidRPr="00D92EE7">
        <w:t xml:space="preserve">for </w:t>
      </w:r>
      <w:r>
        <w:t>extension in the term of the Contract and to make requisite changes in the Contract Register at least fi</w:t>
      </w:r>
      <w:r w:rsidRPr="00D92EE7">
        <w:t xml:space="preserve">ve (5) Business </w:t>
      </w:r>
      <w:r w:rsidR="00931E2B">
        <w:t>D</w:t>
      </w:r>
      <w:r w:rsidRPr="00D92EE7">
        <w:t xml:space="preserve">ays </w:t>
      </w:r>
      <w:r>
        <w:t>prior to</w:t>
      </w:r>
      <w:r w:rsidRPr="00D92EE7">
        <w:t xml:space="preserve"> the Contract Termination Date</w:t>
      </w:r>
      <w:r w:rsidR="00C1487D" w:rsidRPr="00D92EE7">
        <w:t xml:space="preserve"> </w:t>
      </w:r>
      <w:r>
        <w:t xml:space="preserve">by </w:t>
      </w:r>
      <w:r w:rsidR="005F1F9B" w:rsidRPr="00D92EE7">
        <w:t xml:space="preserve">following the procedures </w:t>
      </w:r>
      <w:r>
        <w:t>set out</w:t>
      </w:r>
      <w:r w:rsidRPr="00D92EE7">
        <w:t xml:space="preserve"> </w:t>
      </w:r>
      <w:r w:rsidR="005F1F9B" w:rsidRPr="00D92EE7">
        <w:t xml:space="preserve">in </w:t>
      </w:r>
      <w:r w:rsidR="00204316">
        <w:t>sub--</w:t>
      </w:r>
      <w:r w:rsidR="008C02F7">
        <w:t>Section</w:t>
      </w:r>
      <w:r w:rsidR="005F1F9B" w:rsidRPr="00D92EE7">
        <w:t xml:space="preserve"> </w:t>
      </w:r>
      <w:r w:rsidR="005F1F9B" w:rsidRPr="00D92EE7">
        <w:fldChar w:fldCharType="begin"/>
      </w:r>
      <w:r w:rsidR="005F1F9B" w:rsidRPr="00D92EE7">
        <w:instrText xml:space="preserve"> REF _Ref55040668 \r \h  \* MERGEFORMAT </w:instrText>
      </w:r>
      <w:r w:rsidR="005F1F9B" w:rsidRPr="00D92EE7">
        <w:fldChar w:fldCharType="separate"/>
      </w:r>
      <w:r w:rsidR="00251DBF">
        <w:t>4.5.6</w:t>
      </w:r>
      <w:r w:rsidR="005F1F9B" w:rsidRPr="00D92EE7">
        <w:fldChar w:fldCharType="end"/>
      </w:r>
      <w:r w:rsidR="005F1F9B" w:rsidRPr="00D92EE7">
        <w:t xml:space="preserve">; </w:t>
      </w:r>
      <w:r w:rsidR="00CD09C7" w:rsidRPr="00D92EE7">
        <w:t>and</w:t>
      </w:r>
    </w:p>
    <w:p w14:paraId="51620A69" w14:textId="28DB3664" w:rsidR="00D92EE7" w:rsidRPr="00D92EE7" w:rsidRDefault="00E8544C" w:rsidP="00CF7164">
      <w:pPr>
        <w:pStyle w:val="Heading6"/>
      </w:pPr>
      <w:r>
        <w:t>i</w:t>
      </w:r>
      <w:r w:rsidR="00C1487D" w:rsidRPr="00D92EE7">
        <w:t xml:space="preserve">n case </w:t>
      </w:r>
      <w:r w:rsidR="00D2530D">
        <w:t xml:space="preserve">an application </w:t>
      </w:r>
      <w:r w:rsidR="00C1487D" w:rsidRPr="00D92EE7">
        <w:t xml:space="preserve"> </w:t>
      </w:r>
      <w:r w:rsidR="00D2530D">
        <w:t>referred to</w:t>
      </w:r>
      <w:r w:rsidR="00D2530D" w:rsidRPr="00D92EE7">
        <w:t xml:space="preserve"> </w:t>
      </w:r>
      <w:r w:rsidR="00C1487D" w:rsidRPr="00D92EE7">
        <w:t xml:space="preserve">in paragraph </w:t>
      </w:r>
      <w:r w:rsidR="00D92EE7" w:rsidRPr="00D92EE7">
        <w:t xml:space="preserve">a.1 above is not received </w:t>
      </w:r>
      <w:r w:rsidR="00D2530D" w:rsidRPr="00B03C4A">
        <w:t xml:space="preserve">prior to </w:t>
      </w:r>
      <w:r w:rsidR="00D92EE7" w:rsidRPr="00B03C4A">
        <w:t>the stated date</w:t>
      </w:r>
      <w:r w:rsidR="00D92EE7" w:rsidRPr="00D92EE7">
        <w:t xml:space="preserve">, it </w:t>
      </w:r>
      <w:r w:rsidR="00931E2B">
        <w:t>shall</w:t>
      </w:r>
      <w:r w:rsidR="00931E2B" w:rsidRPr="00D92EE7">
        <w:t xml:space="preserve"> </w:t>
      </w:r>
      <w:r w:rsidR="00832D7A">
        <w:t>be presumed</w:t>
      </w:r>
      <w:r w:rsidR="00832D7A" w:rsidRPr="00D92EE7">
        <w:t xml:space="preserve"> </w:t>
      </w:r>
      <w:r w:rsidR="00D92EE7" w:rsidRPr="00D92EE7">
        <w:t xml:space="preserve">that one or both </w:t>
      </w:r>
      <w:r w:rsidR="00832D7A">
        <w:t xml:space="preserve">of the </w:t>
      </w:r>
      <w:r w:rsidR="00D92EE7" w:rsidRPr="00D92EE7">
        <w:t xml:space="preserve">parties have decided not to </w:t>
      </w:r>
      <w:r w:rsidR="00832D7A">
        <w:t>continue</w:t>
      </w:r>
      <w:r w:rsidR="00832D7A" w:rsidRPr="00D92EE7">
        <w:t xml:space="preserve"> </w:t>
      </w:r>
      <w:r w:rsidR="00D92EE7" w:rsidRPr="00D92EE7">
        <w:t xml:space="preserve">the </w:t>
      </w:r>
      <w:r w:rsidR="003A578F">
        <w:t>Contract</w:t>
      </w:r>
      <w:r w:rsidR="00D92EE7" w:rsidRPr="00D92EE7">
        <w:t xml:space="preserve"> and </w:t>
      </w:r>
      <w:r w:rsidR="00832D7A">
        <w:t>on</w:t>
      </w:r>
      <w:r w:rsidR="00832D7A" w:rsidRPr="00D92EE7">
        <w:t xml:space="preserve"> </w:t>
      </w:r>
      <w:r w:rsidR="00D92EE7" w:rsidRPr="00D92EE7">
        <w:t xml:space="preserve">the </w:t>
      </w:r>
      <w:r w:rsidR="00A9424F">
        <w:t xml:space="preserve">Contract </w:t>
      </w:r>
      <w:r w:rsidR="00D92EE7" w:rsidRPr="00D92EE7">
        <w:t xml:space="preserve">Termination Date, a Disconnection Order will be issued to the </w:t>
      </w:r>
      <w:r w:rsidR="00832D7A">
        <w:t xml:space="preserve">relevant </w:t>
      </w:r>
      <w:r w:rsidR="00D92EE7" w:rsidRPr="00D92EE7">
        <w:t>Transmission or Distribution Network Service Provider.</w:t>
      </w:r>
    </w:p>
    <w:p w14:paraId="70CE2A16" w14:textId="4DE35ED8" w:rsidR="00CD09C7" w:rsidRPr="00D92EE7" w:rsidRDefault="00CD09C7" w:rsidP="00B03234">
      <w:pPr>
        <w:pStyle w:val="Heading5"/>
      </w:pPr>
      <w:r w:rsidRPr="00D92EE7">
        <w:t>Sign</w:t>
      </w:r>
      <w:r w:rsidR="00631D6A" w:rsidRPr="00D92EE7">
        <w:t xml:space="preserve"> a new </w:t>
      </w:r>
      <w:r w:rsidR="001C333B">
        <w:t>Bilateral</w:t>
      </w:r>
      <w:r w:rsidR="00631D6A" w:rsidRPr="00D92EE7">
        <w:t xml:space="preserve"> Contract with a</w:t>
      </w:r>
      <w:r w:rsidR="00832D7A">
        <w:t>nother</w:t>
      </w:r>
      <w:r w:rsidR="00631D6A" w:rsidRPr="00D92EE7">
        <w:t xml:space="preserve"> Market Participant</w:t>
      </w:r>
      <w:r w:rsidR="00447795">
        <w:t>,</w:t>
      </w:r>
      <w:r w:rsidR="00631D6A" w:rsidRPr="00D92EE7">
        <w:t xml:space="preserve"> </w:t>
      </w:r>
      <w:r w:rsidRPr="00D92EE7">
        <w:t xml:space="preserve">in which case the BPC </w:t>
      </w:r>
      <w:r w:rsidR="00832D7A">
        <w:t>is required to inform the Market Operator in the following manner</w:t>
      </w:r>
      <w:r w:rsidRPr="00D92EE7">
        <w:t xml:space="preserve">: </w:t>
      </w:r>
    </w:p>
    <w:p w14:paraId="303183EE" w14:textId="7766A5CF" w:rsidR="00CD09C7" w:rsidRPr="00D92EE7" w:rsidRDefault="00E8544C" w:rsidP="00CF7164">
      <w:pPr>
        <w:pStyle w:val="Heading6"/>
      </w:pPr>
      <w:r>
        <w:lastRenderedPageBreak/>
        <w:t>s</w:t>
      </w:r>
      <w:r w:rsidR="00832D7A">
        <w:t>ubmit an</w:t>
      </w:r>
      <w:r w:rsidR="00CD09C7" w:rsidRPr="00D92EE7">
        <w:t xml:space="preserve"> </w:t>
      </w:r>
      <w:r w:rsidR="00832D7A">
        <w:t>application</w:t>
      </w:r>
      <w:r w:rsidR="00832D7A" w:rsidRPr="00D92EE7">
        <w:t xml:space="preserve"> </w:t>
      </w:r>
      <w:r w:rsidR="00CD09C7" w:rsidRPr="000C3EC2">
        <w:t xml:space="preserve">for Contract Registration at least </w:t>
      </w:r>
      <w:r w:rsidR="00832D7A">
        <w:t>fifteen</w:t>
      </w:r>
      <w:r w:rsidR="00832D7A" w:rsidRPr="000C3EC2">
        <w:t xml:space="preserve"> </w:t>
      </w:r>
      <w:r w:rsidR="00CD09C7" w:rsidRPr="000C3EC2">
        <w:t>(</w:t>
      </w:r>
      <w:r w:rsidR="007E14DB" w:rsidRPr="000C3EC2">
        <w:t>1</w:t>
      </w:r>
      <w:r w:rsidR="00832D7A">
        <w:t>5</w:t>
      </w:r>
      <w:r w:rsidR="00CD09C7" w:rsidRPr="000C3EC2">
        <w:t>) Business</w:t>
      </w:r>
      <w:r w:rsidR="00CD09C7" w:rsidRPr="00D92EE7">
        <w:t xml:space="preserve"> days </w:t>
      </w:r>
      <w:r w:rsidR="00832D7A">
        <w:t>prior to</w:t>
      </w:r>
      <w:r w:rsidR="00832D7A" w:rsidRPr="00D92EE7">
        <w:t xml:space="preserve"> </w:t>
      </w:r>
      <w:r w:rsidR="00CD09C7" w:rsidRPr="00D92EE7">
        <w:t>the Contract Termination Date</w:t>
      </w:r>
      <w:r w:rsidR="00832D7A">
        <w:t xml:space="preserve"> by</w:t>
      </w:r>
      <w:r w:rsidR="00CD09C7" w:rsidRPr="00D92EE7">
        <w:t xml:space="preserve"> following the procedure </w:t>
      </w:r>
      <w:r w:rsidR="00832D7A">
        <w:t>set out</w:t>
      </w:r>
      <w:r w:rsidR="00832D7A" w:rsidRPr="00D92EE7">
        <w:t xml:space="preserve"> </w:t>
      </w:r>
      <w:r w:rsidR="00CD09C7" w:rsidRPr="00D92EE7">
        <w:t xml:space="preserve">in Section </w:t>
      </w:r>
      <w:r w:rsidR="00CD09C7" w:rsidRPr="00D92EE7">
        <w:fldChar w:fldCharType="begin"/>
      </w:r>
      <w:r w:rsidR="00CD09C7" w:rsidRPr="00D92EE7">
        <w:instrText xml:space="preserve"> REF _Ref63967394 \r \h </w:instrText>
      </w:r>
      <w:r w:rsidR="00D92EE7">
        <w:instrText xml:space="preserve"> \* MERGEFORMAT </w:instrText>
      </w:r>
      <w:r w:rsidR="00CD09C7" w:rsidRPr="00D92EE7">
        <w:fldChar w:fldCharType="separate"/>
      </w:r>
      <w:r w:rsidR="00251DBF">
        <w:t>4.5</w:t>
      </w:r>
      <w:r w:rsidR="00CD09C7" w:rsidRPr="00D92EE7">
        <w:fldChar w:fldCharType="end"/>
      </w:r>
      <w:r w:rsidR="00CD09C7" w:rsidRPr="00D92EE7">
        <w:t>; and</w:t>
      </w:r>
    </w:p>
    <w:p w14:paraId="4F78EE77" w14:textId="5EBDDD4D" w:rsidR="00D92EE7" w:rsidRPr="00D92EE7" w:rsidRDefault="00E8544C" w:rsidP="00CF7164">
      <w:pPr>
        <w:pStyle w:val="Heading6"/>
      </w:pPr>
      <w:r>
        <w:t>i</w:t>
      </w:r>
      <w:r w:rsidR="00832D7A" w:rsidRPr="00D92EE7">
        <w:t xml:space="preserve">n case </w:t>
      </w:r>
      <w:r w:rsidR="00832D7A">
        <w:t>an application</w:t>
      </w:r>
      <w:r w:rsidR="00832D7A" w:rsidRPr="00D92EE7">
        <w:t xml:space="preserve"> </w:t>
      </w:r>
      <w:r w:rsidR="00832D7A">
        <w:t>referred to</w:t>
      </w:r>
      <w:r w:rsidR="00832D7A" w:rsidRPr="00D92EE7">
        <w:t xml:space="preserve"> in paragraph b.1 above is not received </w:t>
      </w:r>
      <w:r w:rsidR="00832D7A" w:rsidRPr="00B03C4A">
        <w:t>prior to the stated date</w:t>
      </w:r>
      <w:r w:rsidR="00832D7A" w:rsidRPr="00E8544C">
        <w:t xml:space="preserve">, it </w:t>
      </w:r>
      <w:r>
        <w:t>shall</w:t>
      </w:r>
      <w:r w:rsidR="00832D7A" w:rsidRPr="00D92EE7">
        <w:t xml:space="preserve"> </w:t>
      </w:r>
      <w:r w:rsidR="00832D7A">
        <w:t>be presumed</w:t>
      </w:r>
      <w:r w:rsidR="00832D7A" w:rsidRPr="00D92EE7">
        <w:t xml:space="preserve"> that </w:t>
      </w:r>
      <w:r w:rsidR="003B3CF4">
        <w:t>the BPC has</w:t>
      </w:r>
      <w:r w:rsidR="00832D7A" w:rsidRPr="00D92EE7">
        <w:t xml:space="preserve"> decided not to </w:t>
      </w:r>
      <w:r w:rsidR="003B3CF4">
        <w:t>sign</w:t>
      </w:r>
      <w:r w:rsidR="00832D7A" w:rsidRPr="00D92EE7">
        <w:t xml:space="preserve"> the </w:t>
      </w:r>
      <w:r w:rsidR="00832D7A">
        <w:t>Contract</w:t>
      </w:r>
      <w:r w:rsidR="00832D7A" w:rsidRPr="00D92EE7">
        <w:t xml:space="preserve"> and </w:t>
      </w:r>
      <w:r w:rsidR="00832D7A">
        <w:t>on</w:t>
      </w:r>
      <w:r w:rsidR="00832D7A" w:rsidRPr="00D92EE7">
        <w:t xml:space="preserve"> the </w:t>
      </w:r>
      <w:r w:rsidR="00832D7A">
        <w:t xml:space="preserve">Contract </w:t>
      </w:r>
      <w:r w:rsidR="00832D7A" w:rsidRPr="00D92EE7">
        <w:t xml:space="preserve">Termination Date, a Disconnection Order </w:t>
      </w:r>
      <w:r>
        <w:t>shall</w:t>
      </w:r>
      <w:r w:rsidR="00832D7A" w:rsidRPr="00D92EE7">
        <w:t xml:space="preserve"> be issued to the </w:t>
      </w:r>
      <w:r w:rsidR="00832D7A">
        <w:t xml:space="preserve">relevant </w:t>
      </w:r>
      <w:r w:rsidR="00832D7A" w:rsidRPr="00D92EE7">
        <w:t>Transmission or Distribution Network Service Provider</w:t>
      </w:r>
      <w:r w:rsidR="00832D7A">
        <w:t xml:space="preserve">. </w:t>
      </w:r>
    </w:p>
    <w:p w14:paraId="5D1FE745" w14:textId="77EC9BB5" w:rsidR="00D92EE7" w:rsidRPr="00D92EE7" w:rsidRDefault="00631D6A" w:rsidP="00B03234">
      <w:pPr>
        <w:pStyle w:val="Heading5"/>
      </w:pPr>
      <w:r w:rsidRPr="00B03C4A">
        <w:t xml:space="preserve">Not to sign a new </w:t>
      </w:r>
      <w:r w:rsidR="001C333B" w:rsidRPr="00B03C4A">
        <w:t>Bilateral</w:t>
      </w:r>
      <w:r w:rsidRPr="00B03C4A">
        <w:t xml:space="preserve"> </w:t>
      </w:r>
      <w:r w:rsidR="003A578F" w:rsidRPr="00B03C4A">
        <w:t>Contract</w:t>
      </w:r>
      <w:r w:rsidR="00E8544C">
        <w:t xml:space="preserve"> and</w:t>
      </w:r>
      <w:r w:rsidRPr="00D92EE7">
        <w:t xml:space="preserve"> start receiving its supply from the Last Resort Supplier </w:t>
      </w:r>
      <w:r w:rsidR="003B3CF4">
        <w:t>from</w:t>
      </w:r>
      <w:r w:rsidR="003B3CF4" w:rsidRPr="00D92EE7">
        <w:t xml:space="preserve"> </w:t>
      </w:r>
      <w:r w:rsidRPr="00D92EE7">
        <w:t xml:space="preserve">the </w:t>
      </w:r>
      <w:r w:rsidR="00C12322">
        <w:t xml:space="preserve">Contract </w:t>
      </w:r>
      <w:r w:rsidR="00D92EE7" w:rsidRPr="00D92EE7">
        <w:t>T</w:t>
      </w:r>
      <w:r w:rsidRPr="00D92EE7">
        <w:t xml:space="preserve">ermination </w:t>
      </w:r>
      <w:r w:rsidR="00D92EE7" w:rsidRPr="00D92EE7">
        <w:t>D</w:t>
      </w:r>
      <w:r w:rsidRPr="00D92EE7">
        <w:t>ate</w:t>
      </w:r>
      <w:r w:rsidR="00447795">
        <w:t>,</w:t>
      </w:r>
      <w:r w:rsidR="00D92EE7" w:rsidRPr="00D92EE7">
        <w:t xml:space="preserve"> </w:t>
      </w:r>
      <w:r w:rsidR="003B3CF4" w:rsidRPr="003B3CF4">
        <w:t>in which case the BPC is required to inform the Market Operator in the following manner</w:t>
      </w:r>
      <w:r w:rsidR="00D92EE7" w:rsidRPr="00D92EE7">
        <w:t>:</w:t>
      </w:r>
    </w:p>
    <w:p w14:paraId="21BE4411" w14:textId="7D2B5DB1" w:rsidR="00D92EE7" w:rsidRPr="00D92EE7" w:rsidRDefault="00E8544C" w:rsidP="00CF7164">
      <w:pPr>
        <w:pStyle w:val="Heading6"/>
      </w:pPr>
      <w:r>
        <w:t>i</w:t>
      </w:r>
      <w:r w:rsidR="00D92EE7" w:rsidRPr="00D92EE7">
        <w:t xml:space="preserve">t shall enter into an agreement with the </w:t>
      </w:r>
      <w:r w:rsidR="003B3CF4">
        <w:t>relevant</w:t>
      </w:r>
      <w:r w:rsidR="003B3CF4" w:rsidRPr="00D92EE7">
        <w:t xml:space="preserve"> </w:t>
      </w:r>
      <w:r w:rsidR="00D92EE7" w:rsidRPr="00D92EE7">
        <w:t>Supplier</w:t>
      </w:r>
      <w:r w:rsidR="003B3CF4">
        <w:t xml:space="preserve"> of </w:t>
      </w:r>
      <w:r w:rsidR="003B3CF4" w:rsidRPr="00D92EE7">
        <w:t>Last Resort</w:t>
      </w:r>
      <w:r w:rsidR="00DB7424">
        <w:t>;</w:t>
      </w:r>
      <w:r w:rsidR="00D92EE7" w:rsidRPr="00D92EE7">
        <w:t xml:space="preserve"> </w:t>
      </w:r>
    </w:p>
    <w:p w14:paraId="2BF81A1C" w14:textId="2E206FBC" w:rsidR="00D92EE7" w:rsidRPr="00D92EE7" w:rsidRDefault="003B3CF4" w:rsidP="00CF7164">
      <w:pPr>
        <w:pStyle w:val="Heading6"/>
      </w:pPr>
      <w:r>
        <w:t>a</w:t>
      </w:r>
      <w:r w:rsidR="00D92EE7" w:rsidRPr="00D92EE7">
        <w:t xml:space="preserve"> copy of the agreement with the Last Resort Supplier shall be received by the Market Operator at least five (5) Business days </w:t>
      </w:r>
      <w:r w:rsidR="00CB37F2">
        <w:t>prior to</w:t>
      </w:r>
      <w:r w:rsidR="00CB37F2" w:rsidRPr="00D92EE7">
        <w:t xml:space="preserve"> </w:t>
      </w:r>
      <w:r w:rsidR="00D92EE7" w:rsidRPr="00D92EE7">
        <w:t>the Contract Termination Date</w:t>
      </w:r>
      <w:r w:rsidR="00CB37F2">
        <w:t xml:space="preserve"> and the Market Operator shall make the necessary modifications in the Contract Register and other databases</w:t>
      </w:r>
      <w:r w:rsidR="00DB7424">
        <w:t>;</w:t>
      </w:r>
      <w:r w:rsidR="00D92EE7" w:rsidRPr="00D92EE7">
        <w:t xml:space="preserve"> and</w:t>
      </w:r>
    </w:p>
    <w:p w14:paraId="680E680E" w14:textId="3695D32E" w:rsidR="00D92EE7" w:rsidRPr="00D92EE7" w:rsidRDefault="00DB7424" w:rsidP="00CF7164">
      <w:pPr>
        <w:pStyle w:val="Heading6"/>
      </w:pPr>
      <w:r>
        <w:t>i</w:t>
      </w:r>
      <w:r w:rsidR="00D92EE7" w:rsidRPr="00D92EE7">
        <w:t xml:space="preserve">n case the copy of the agreement stated in paragraph c.2 above is not received before the stated date, it </w:t>
      </w:r>
      <w:r w:rsidR="00E8544C">
        <w:t>shall be</w:t>
      </w:r>
      <w:r w:rsidR="00E8544C" w:rsidRPr="00D92EE7">
        <w:t xml:space="preserve"> </w:t>
      </w:r>
      <w:r w:rsidR="00CB37F2">
        <w:t>presumed</w:t>
      </w:r>
      <w:r w:rsidR="00CB37F2" w:rsidRPr="00D92EE7">
        <w:t xml:space="preserve"> </w:t>
      </w:r>
      <w:r w:rsidR="00D92EE7" w:rsidRPr="00D92EE7">
        <w:t xml:space="preserve">that the BPC has decided </w:t>
      </w:r>
      <w:r w:rsidR="00CB37F2">
        <w:t>not</w:t>
      </w:r>
      <w:r w:rsidR="00D92EE7" w:rsidRPr="00D92EE7">
        <w:t xml:space="preserve"> to receive </w:t>
      </w:r>
      <w:r w:rsidR="00CB37F2">
        <w:t xml:space="preserve">the electric power </w:t>
      </w:r>
      <w:r w:rsidR="00D92EE7" w:rsidRPr="00D92EE7">
        <w:t>and</w:t>
      </w:r>
      <w:r w:rsidR="00CB37F2">
        <w:t xml:space="preserve"> on</w:t>
      </w:r>
      <w:r w:rsidR="00CB37F2" w:rsidRPr="00D92EE7">
        <w:t xml:space="preserve"> </w:t>
      </w:r>
      <w:r w:rsidR="00D92EE7" w:rsidRPr="00D92EE7">
        <w:t xml:space="preserve">the </w:t>
      </w:r>
      <w:r w:rsidR="00C12322">
        <w:t xml:space="preserve">Contract </w:t>
      </w:r>
      <w:r w:rsidR="00D92EE7" w:rsidRPr="00D92EE7">
        <w:t xml:space="preserve">Termination Date, a Disconnection Order </w:t>
      </w:r>
      <w:r w:rsidR="00E8544C">
        <w:t>shall</w:t>
      </w:r>
      <w:r w:rsidR="00E8544C" w:rsidRPr="00D92EE7">
        <w:t xml:space="preserve"> </w:t>
      </w:r>
      <w:r w:rsidR="00D92EE7" w:rsidRPr="00D92EE7">
        <w:t xml:space="preserve">be issued to the </w:t>
      </w:r>
      <w:r w:rsidR="00CB37F2">
        <w:t xml:space="preserve">relevant </w:t>
      </w:r>
      <w:r w:rsidR="00D92EE7" w:rsidRPr="00D92EE7">
        <w:t>Transmission or Distribution Network Service Provider</w:t>
      </w:r>
      <w:r w:rsidR="00E8544C">
        <w:t>.</w:t>
      </w:r>
    </w:p>
    <w:p w14:paraId="603E897B" w14:textId="2CD35930" w:rsidR="00F1094A" w:rsidRPr="005F3509" w:rsidRDefault="00CB37F2" w:rsidP="00F1094A">
      <w:pPr>
        <w:pStyle w:val="Heading3"/>
      </w:pPr>
      <w:bookmarkStart w:id="174" w:name="_Ref76851521"/>
      <w:r>
        <w:t>Deregistration</w:t>
      </w:r>
      <w:r w:rsidRPr="005F3509">
        <w:t xml:space="preserve"> </w:t>
      </w:r>
      <w:r w:rsidR="00F1094A" w:rsidRPr="005F3509">
        <w:t>due to Early Contract Termination</w:t>
      </w:r>
      <w:bookmarkEnd w:id="174"/>
    </w:p>
    <w:p w14:paraId="011A83D9" w14:textId="74ED3514" w:rsidR="001A72AC" w:rsidRPr="00957DA5" w:rsidRDefault="001A72AC" w:rsidP="005B295A">
      <w:pPr>
        <w:pStyle w:val="Heading4"/>
      </w:pPr>
      <w:r w:rsidRPr="005F3509">
        <w:t xml:space="preserve"> </w:t>
      </w:r>
      <w:r w:rsidR="00CB37F2">
        <w:t>Where</w:t>
      </w:r>
      <w:r w:rsidR="000B1524" w:rsidRPr="005F3509">
        <w:t xml:space="preserve"> both parties have mutually agreed </w:t>
      </w:r>
      <w:r w:rsidR="00CB37F2">
        <w:t xml:space="preserve">to terminate </w:t>
      </w:r>
      <w:r w:rsidR="005C68A1">
        <w:t xml:space="preserve">a Contract </w:t>
      </w:r>
      <w:r w:rsidR="000B1524" w:rsidRPr="005F3509">
        <w:t xml:space="preserve">at an earlier date than the date communicated to the Market Operator </w:t>
      </w:r>
      <w:r w:rsidR="00CB37F2">
        <w:t>during</w:t>
      </w:r>
      <w:r w:rsidR="00CB37F2" w:rsidRPr="005F3509">
        <w:t xml:space="preserve"> </w:t>
      </w:r>
      <w:r w:rsidR="005C68A1">
        <w:t xml:space="preserve">the registration of the </w:t>
      </w:r>
      <w:r w:rsidR="000B1524" w:rsidRPr="005F3509">
        <w:t xml:space="preserve">Contract </w:t>
      </w:r>
      <w:r w:rsidR="00D721C4" w:rsidRPr="005F3509">
        <w:t>(Early Contract Termination)</w:t>
      </w:r>
      <w:r w:rsidR="000B1524" w:rsidRPr="005F3509">
        <w:t xml:space="preserve">, they shall inform the Market </w:t>
      </w:r>
      <w:r w:rsidR="000B1524" w:rsidRPr="00957DA5">
        <w:t>Operator</w:t>
      </w:r>
      <w:r w:rsidR="005C68A1">
        <w:t xml:space="preserve"> accordingly,</w:t>
      </w:r>
      <w:r w:rsidR="000B1524" w:rsidRPr="00957DA5">
        <w:t xml:space="preserve">  at least 20 Business Days </w:t>
      </w:r>
      <w:r w:rsidR="005C68A1">
        <w:t>prior to the agreed termination date, requesting deregistration of the Contract</w:t>
      </w:r>
      <w:r w:rsidR="005F3509" w:rsidRPr="00957DA5">
        <w:t>.</w:t>
      </w:r>
      <w:r w:rsidR="000B1524" w:rsidRPr="00957DA5">
        <w:t xml:space="preserve"> </w:t>
      </w:r>
    </w:p>
    <w:p w14:paraId="5C8F1031" w14:textId="6CE99E87" w:rsidR="001A72AC" w:rsidRPr="00957DA5" w:rsidRDefault="001A72AC" w:rsidP="005B295A">
      <w:pPr>
        <w:pStyle w:val="Heading4"/>
      </w:pPr>
      <w:r w:rsidRPr="00957DA5">
        <w:t xml:space="preserve">The Market Operator shall </w:t>
      </w:r>
      <w:r w:rsidR="005C68A1">
        <w:t xml:space="preserve">prepare and </w:t>
      </w:r>
      <w:r w:rsidRPr="00957DA5">
        <w:t xml:space="preserve">publish on its website </w:t>
      </w:r>
      <w:r w:rsidR="005C68A1">
        <w:t>a</w:t>
      </w:r>
      <w:r w:rsidR="005C68A1" w:rsidRPr="00957DA5">
        <w:t xml:space="preserve"> </w:t>
      </w:r>
      <w:r w:rsidRPr="00957DA5">
        <w:t>form</w:t>
      </w:r>
      <w:r w:rsidR="005C68A1">
        <w:t xml:space="preserve"> for the purposes of deregistration of a Contract due to Early Contract Termination specifying the relevant information to be provided by the parties.</w:t>
      </w:r>
      <w:r w:rsidR="005F3509" w:rsidRPr="00957DA5">
        <w:t xml:space="preserve"> </w:t>
      </w:r>
      <w:r w:rsidRPr="00957DA5">
        <w:t xml:space="preserve">The </w:t>
      </w:r>
      <w:r w:rsidR="005C68A1">
        <w:t>application</w:t>
      </w:r>
      <w:r w:rsidR="005C68A1" w:rsidRPr="00957DA5">
        <w:t xml:space="preserve"> </w:t>
      </w:r>
      <w:r w:rsidRPr="00957DA5">
        <w:t xml:space="preserve">for Contract </w:t>
      </w:r>
      <w:r w:rsidR="005C68A1">
        <w:t>de</w:t>
      </w:r>
      <w:r w:rsidRPr="00957DA5">
        <w:t xml:space="preserve">registration shall be signed by </w:t>
      </w:r>
      <w:r w:rsidR="005C68A1">
        <w:t>both</w:t>
      </w:r>
      <w:r w:rsidR="005C68A1" w:rsidRPr="00957DA5">
        <w:t xml:space="preserve"> the </w:t>
      </w:r>
      <w:r w:rsidRPr="00957DA5">
        <w:t xml:space="preserve">parties </w:t>
      </w:r>
      <w:r w:rsidR="005C68A1">
        <w:t>to</w:t>
      </w:r>
      <w:r w:rsidRPr="00957DA5">
        <w:t xml:space="preserve"> the Contract</w:t>
      </w:r>
      <w:r w:rsidR="005F3509" w:rsidRPr="00957DA5">
        <w:t>.</w:t>
      </w:r>
    </w:p>
    <w:p w14:paraId="776D181D" w14:textId="6D893593" w:rsidR="001A72AC" w:rsidRPr="00957DA5" w:rsidRDefault="001A72AC" w:rsidP="005B295A">
      <w:pPr>
        <w:pStyle w:val="Heading4"/>
      </w:pPr>
      <w:r w:rsidRPr="00957DA5">
        <w:t xml:space="preserve">Within three [3] Business Days </w:t>
      </w:r>
      <w:r w:rsidRPr="00B23193">
        <w:t xml:space="preserve">of </w:t>
      </w:r>
      <w:r w:rsidR="001C3230" w:rsidRPr="00B23193">
        <w:t xml:space="preserve">receipt of </w:t>
      </w:r>
      <w:r w:rsidRPr="00B23193">
        <w:t>a</w:t>
      </w:r>
      <w:r w:rsidR="001C3230" w:rsidRPr="00B23193">
        <w:t>n</w:t>
      </w:r>
      <w:r w:rsidRPr="00B23193">
        <w:t xml:space="preserve"> </w:t>
      </w:r>
      <w:r w:rsidR="001C3230" w:rsidRPr="00B23193">
        <w:t>application</w:t>
      </w:r>
      <w:r w:rsidRPr="00B23193">
        <w:t xml:space="preserve">, the Market Operator shall </w:t>
      </w:r>
      <w:r w:rsidR="001C3230" w:rsidRPr="00B23193">
        <w:t xml:space="preserve">acknowledge the receipt </w:t>
      </w:r>
      <w:r w:rsidR="001C3230" w:rsidRPr="00B03C4A">
        <w:t>thereof</w:t>
      </w:r>
      <w:r w:rsidR="00AA4379" w:rsidRPr="00B03C4A">
        <w:t xml:space="preserve"> and</w:t>
      </w:r>
      <w:r w:rsidR="00B23193" w:rsidRPr="00B03C4A">
        <w:t>, in case one of the part is a BPC, the Market Operator shall</w:t>
      </w:r>
      <w:r w:rsidR="00AA4379" w:rsidRPr="00B03C4A">
        <w:t xml:space="preserve"> require the BPC to register a new Contract</w:t>
      </w:r>
      <w:r w:rsidR="00B23193" w:rsidRPr="00B03C4A">
        <w:t>,</w:t>
      </w:r>
      <w:r w:rsidR="00AA4379" w:rsidRPr="00B03C4A">
        <w:t xml:space="preserve"> failing which the BPC shall be transferred to the Supplier of Last Resort as per Clause </w:t>
      </w:r>
      <w:r w:rsidR="00AA4379" w:rsidRPr="00B03C4A">
        <w:fldChar w:fldCharType="begin"/>
      </w:r>
      <w:r w:rsidR="00AA4379" w:rsidRPr="00B03C4A">
        <w:instrText xml:space="preserve"> REF _Ref64203375 \w \h  \* MERGEFORMAT </w:instrText>
      </w:r>
      <w:r w:rsidR="00AA4379" w:rsidRPr="00B03C4A">
        <w:fldChar w:fldCharType="separate"/>
      </w:r>
      <w:r w:rsidR="00AA4379" w:rsidRPr="00B03C4A">
        <w:t>4.6.5.1</w:t>
      </w:r>
      <w:r w:rsidR="00AA4379" w:rsidRPr="00B03C4A">
        <w:fldChar w:fldCharType="end"/>
      </w:r>
      <w:r w:rsidR="00552406" w:rsidRPr="00B03C4A">
        <w:t>.</w:t>
      </w:r>
    </w:p>
    <w:p w14:paraId="3C8101FD" w14:textId="7E246C3B" w:rsidR="001A72AC" w:rsidRPr="00A95CA7" w:rsidRDefault="001A72AC" w:rsidP="005B295A">
      <w:pPr>
        <w:pStyle w:val="Heading4"/>
      </w:pPr>
      <w:r w:rsidRPr="00957DA5">
        <w:t xml:space="preserve">The Market Operator </w:t>
      </w:r>
      <w:r w:rsidR="001C3230">
        <w:t>shall</w:t>
      </w:r>
      <w:r w:rsidR="001C3230" w:rsidRPr="00957DA5">
        <w:t xml:space="preserve"> </w:t>
      </w:r>
      <w:r w:rsidRPr="00957DA5">
        <w:t xml:space="preserve">assess </w:t>
      </w:r>
      <w:r w:rsidR="001C3230">
        <w:t>whether</w:t>
      </w:r>
      <w:r w:rsidR="001C3230" w:rsidRPr="00957DA5">
        <w:t xml:space="preserve"> </w:t>
      </w:r>
      <w:r w:rsidRPr="00957DA5">
        <w:t xml:space="preserve">the </w:t>
      </w:r>
      <w:r w:rsidR="001C3230">
        <w:t>application</w:t>
      </w:r>
      <w:r w:rsidR="001C3230" w:rsidRPr="00957DA5">
        <w:t xml:space="preserve"> </w:t>
      </w:r>
      <w:r w:rsidRPr="00957DA5">
        <w:t>for</w:t>
      </w:r>
      <w:r w:rsidR="001C3230">
        <w:t xml:space="preserve"> deregistration of the</w:t>
      </w:r>
      <w:r w:rsidRPr="00957DA5">
        <w:t xml:space="preserve"> Contract is in accordance with </w:t>
      </w:r>
      <w:r w:rsidR="00F05124">
        <w:t>this Code</w:t>
      </w:r>
      <w:r w:rsidRPr="00957DA5">
        <w:t xml:space="preserve"> and the </w:t>
      </w:r>
      <w:r w:rsidR="001C3230">
        <w:t xml:space="preserve">relevant CCOP including the consequences set out in </w:t>
      </w:r>
      <w:r w:rsidR="008C02F7">
        <w:t>Sub-Section</w:t>
      </w:r>
      <w:r w:rsidR="00D933F6">
        <w:t xml:space="preserve"> </w:t>
      </w:r>
      <w:r w:rsidR="00957DA5" w:rsidRPr="00A95CA7">
        <w:t xml:space="preserve"> </w:t>
      </w:r>
      <w:r w:rsidR="00957DA5" w:rsidRPr="00A95CA7">
        <w:fldChar w:fldCharType="begin"/>
      </w:r>
      <w:r w:rsidR="00957DA5" w:rsidRPr="00A95CA7">
        <w:instrText xml:space="preserve"> REF _Ref64201944 \r \h  \* MERGEFORMAT </w:instrText>
      </w:r>
      <w:r w:rsidR="00957DA5" w:rsidRPr="00A95CA7">
        <w:fldChar w:fldCharType="separate"/>
      </w:r>
      <w:r w:rsidR="00251DBF" w:rsidRPr="00A95CA7">
        <w:t>4.6.5</w:t>
      </w:r>
      <w:r w:rsidR="00957DA5" w:rsidRPr="00A95CA7">
        <w:fldChar w:fldCharType="end"/>
      </w:r>
      <w:r w:rsidR="00957DA5" w:rsidRPr="00A95CA7">
        <w:t xml:space="preserve">. </w:t>
      </w:r>
    </w:p>
    <w:p w14:paraId="0384D813" w14:textId="178DC7F8" w:rsidR="001A72AC" w:rsidRPr="00A95CA7" w:rsidRDefault="001A72AC" w:rsidP="005B295A">
      <w:pPr>
        <w:pStyle w:val="Heading4"/>
      </w:pPr>
      <w:r w:rsidRPr="00A95CA7">
        <w:t xml:space="preserve">Within ten [10] Business Days </w:t>
      </w:r>
      <w:r w:rsidR="005F3509" w:rsidRPr="00A95CA7">
        <w:t xml:space="preserve">of </w:t>
      </w:r>
      <w:r w:rsidR="001C3230" w:rsidRPr="00A95CA7">
        <w:t xml:space="preserve">receipt of </w:t>
      </w:r>
      <w:r w:rsidR="005F3509" w:rsidRPr="00A95CA7">
        <w:t xml:space="preserve">the </w:t>
      </w:r>
      <w:r w:rsidR="001C3230" w:rsidRPr="00A95CA7">
        <w:t xml:space="preserve">application </w:t>
      </w:r>
      <w:r w:rsidR="005F3509" w:rsidRPr="00A95CA7">
        <w:t xml:space="preserve">for, the </w:t>
      </w:r>
      <w:r w:rsidRPr="00A95CA7">
        <w:t xml:space="preserve">Market Operator shall </w:t>
      </w:r>
      <w:r w:rsidR="001C3230" w:rsidRPr="00A95CA7">
        <w:t xml:space="preserve">inform </w:t>
      </w:r>
      <w:r w:rsidRPr="00A95CA7">
        <w:t xml:space="preserve">the </w:t>
      </w:r>
      <w:r w:rsidR="001C3230" w:rsidRPr="00A95CA7">
        <w:t xml:space="preserve">parties </w:t>
      </w:r>
      <w:r w:rsidRPr="00A95CA7">
        <w:t xml:space="preserve">whether: </w:t>
      </w:r>
    </w:p>
    <w:p w14:paraId="1A61F22C" w14:textId="6E668C48" w:rsidR="001A72AC" w:rsidRPr="00A95CA7" w:rsidRDefault="001A72AC" w:rsidP="00B03234">
      <w:pPr>
        <w:pStyle w:val="Heading5"/>
      </w:pPr>
      <w:r w:rsidRPr="00A95CA7">
        <w:t xml:space="preserve">the </w:t>
      </w:r>
      <w:r w:rsidR="00AA4379" w:rsidRPr="00A95CA7">
        <w:t xml:space="preserve">application is in accordance  </w:t>
      </w:r>
      <w:r w:rsidRPr="00A95CA7">
        <w:t xml:space="preserve">with </w:t>
      </w:r>
      <w:r w:rsidR="00AA4379" w:rsidRPr="00A95CA7">
        <w:t xml:space="preserve">the provisions of </w:t>
      </w:r>
      <w:r w:rsidR="00F05124" w:rsidRPr="00A95CA7">
        <w:t>this Code</w:t>
      </w:r>
      <w:r w:rsidRPr="00A95CA7">
        <w:t xml:space="preserve"> </w:t>
      </w:r>
      <w:r w:rsidR="008F1701" w:rsidRPr="00A95CA7">
        <w:t>and</w:t>
      </w:r>
      <w:r w:rsidR="00AA4379" w:rsidRPr="00A95CA7">
        <w:t xml:space="preserve"> the relevant CCOP and the Contract may be deregistered at the agreed date</w:t>
      </w:r>
      <w:r w:rsidRPr="00A95CA7">
        <w:t>; or</w:t>
      </w:r>
    </w:p>
    <w:p w14:paraId="1767EEF5" w14:textId="7DA73C4E" w:rsidR="00AC2B39" w:rsidRPr="00A95CA7" w:rsidRDefault="00AC2B39" w:rsidP="00B03234">
      <w:pPr>
        <w:pStyle w:val="Heading5"/>
      </w:pPr>
      <w:r w:rsidRPr="00A95CA7">
        <w:t xml:space="preserve">the </w:t>
      </w:r>
      <w:r w:rsidR="00AA4379" w:rsidRPr="00A95CA7">
        <w:t xml:space="preserve">application is </w:t>
      </w:r>
      <w:r w:rsidRPr="00A95CA7">
        <w:t xml:space="preserve">in accordance with the </w:t>
      </w:r>
      <w:r w:rsidR="00AA4379" w:rsidRPr="00A95CA7">
        <w:t>provisions of</w:t>
      </w:r>
      <w:r w:rsidRPr="00A95CA7">
        <w:t xml:space="preserve"> </w:t>
      </w:r>
      <w:r w:rsidR="00F05124" w:rsidRPr="00A95CA7">
        <w:t>this Code</w:t>
      </w:r>
      <w:r w:rsidRPr="00A95CA7">
        <w:t xml:space="preserve"> and </w:t>
      </w:r>
      <w:r w:rsidR="00AA4379" w:rsidRPr="00A95CA7">
        <w:t xml:space="preserve">the relevant CCOP and the Contract may be deregistered </w:t>
      </w:r>
      <w:r w:rsidRPr="00A95CA7">
        <w:t xml:space="preserve"> subject to</w:t>
      </w:r>
      <w:r w:rsidR="00AA4379" w:rsidRPr="00A95CA7">
        <w:t xml:space="preserve"> fulfilment of certain additional requirements by one or both of the parties as per </w:t>
      </w:r>
      <w:r w:rsidR="008C02F7">
        <w:t>Sub-Section</w:t>
      </w:r>
      <w:r w:rsidR="00D933F6">
        <w:t xml:space="preserve"> </w:t>
      </w:r>
      <w:r w:rsidR="00A95CA7" w:rsidRPr="00A95CA7">
        <w:t xml:space="preserve"> </w:t>
      </w:r>
      <w:r w:rsidR="00A95CA7" w:rsidRPr="00A95CA7">
        <w:fldChar w:fldCharType="begin"/>
      </w:r>
      <w:r w:rsidR="00A95CA7" w:rsidRPr="00A95CA7">
        <w:instrText xml:space="preserve"> REF _Ref64201944 \r \h  \* MERGEFORMAT </w:instrText>
      </w:r>
      <w:r w:rsidR="00A95CA7" w:rsidRPr="00A95CA7">
        <w:fldChar w:fldCharType="separate"/>
      </w:r>
      <w:r w:rsidR="00A95CA7" w:rsidRPr="00A95CA7">
        <w:t>4.6.5</w:t>
      </w:r>
      <w:r w:rsidR="00A95CA7" w:rsidRPr="00A95CA7">
        <w:fldChar w:fldCharType="end"/>
      </w:r>
      <w:r w:rsidRPr="00A95CA7">
        <w:t>; or</w:t>
      </w:r>
    </w:p>
    <w:p w14:paraId="70A1C16E" w14:textId="5631588F" w:rsidR="00AC2B39" w:rsidRPr="00A95CA7" w:rsidRDefault="001A72AC" w:rsidP="00B03234">
      <w:pPr>
        <w:pStyle w:val="Heading5"/>
      </w:pPr>
      <w:r w:rsidRPr="00A95CA7">
        <w:lastRenderedPageBreak/>
        <w:t xml:space="preserve">the </w:t>
      </w:r>
      <w:r w:rsidR="00A95CA7" w:rsidRPr="00A95CA7">
        <w:t xml:space="preserve">application </w:t>
      </w:r>
      <w:r w:rsidRPr="00A95CA7">
        <w:t xml:space="preserve">is </w:t>
      </w:r>
      <w:r w:rsidR="00AC2B39" w:rsidRPr="00A95CA7">
        <w:t xml:space="preserve">not </w:t>
      </w:r>
      <w:r w:rsidRPr="00A95CA7">
        <w:t xml:space="preserve">in accordance with </w:t>
      </w:r>
      <w:r w:rsidR="00A95CA7" w:rsidRPr="00A95CA7">
        <w:t>provisions of</w:t>
      </w:r>
      <w:r w:rsidRPr="00A95CA7">
        <w:t xml:space="preserve"> </w:t>
      </w:r>
      <w:r w:rsidR="00F05124" w:rsidRPr="00A95CA7">
        <w:t>this Code</w:t>
      </w:r>
      <w:r w:rsidRPr="00A95CA7">
        <w:t xml:space="preserve"> and</w:t>
      </w:r>
      <w:r w:rsidR="00A95CA7" w:rsidRPr="00A95CA7">
        <w:t xml:space="preserve"> the relevant CCOP</w:t>
      </w:r>
      <w:r w:rsidR="00AC2B39" w:rsidRPr="00A95CA7">
        <w:t xml:space="preserve">, therefore, the Contract </w:t>
      </w:r>
      <w:r w:rsidR="00A95CA7" w:rsidRPr="00A95CA7">
        <w:t xml:space="preserve">may not </w:t>
      </w:r>
      <w:r w:rsidR="00AC2B39" w:rsidRPr="00A95CA7">
        <w:t xml:space="preserve">be </w:t>
      </w:r>
      <w:r w:rsidR="00A95CA7" w:rsidRPr="00A95CA7">
        <w:t>de</w:t>
      </w:r>
      <w:r w:rsidR="00AC2B39" w:rsidRPr="00A95CA7">
        <w:t>registered</w:t>
      </w:r>
      <w:r w:rsidR="00A95CA7" w:rsidRPr="00A95CA7">
        <w:t xml:space="preserve"> accompanied with reasons thereof</w:t>
      </w:r>
      <w:r w:rsidR="00AC2B39" w:rsidRPr="00A95CA7">
        <w:t xml:space="preserve">. </w:t>
      </w:r>
    </w:p>
    <w:p w14:paraId="7405F838" w14:textId="55C8365A" w:rsidR="001A72AC" w:rsidRPr="00152780" w:rsidRDefault="001A72AC" w:rsidP="005B295A">
      <w:pPr>
        <w:pStyle w:val="Heading4"/>
      </w:pPr>
      <w:r w:rsidRPr="00152780">
        <w:t>The Market Operator may reject a</w:t>
      </w:r>
      <w:r w:rsidR="00A95CA7">
        <w:t>n</w:t>
      </w:r>
      <w:r w:rsidRPr="00152780">
        <w:t xml:space="preserve"> </w:t>
      </w:r>
      <w:r w:rsidR="00A95CA7">
        <w:t>application</w:t>
      </w:r>
      <w:r w:rsidR="00A95CA7" w:rsidRPr="00152780">
        <w:t xml:space="preserve"> </w:t>
      </w:r>
      <w:r w:rsidRPr="00152780">
        <w:t xml:space="preserve">for </w:t>
      </w:r>
      <w:r w:rsidR="00A95CA7">
        <w:t>de</w:t>
      </w:r>
      <w:r w:rsidR="00AC2B39">
        <w:t>r</w:t>
      </w:r>
      <w:r w:rsidRPr="00152780">
        <w:t>egistration</w:t>
      </w:r>
      <w:r w:rsidR="00A95CA7">
        <w:t>, where:</w:t>
      </w:r>
    </w:p>
    <w:p w14:paraId="3272B477" w14:textId="548E8EED" w:rsidR="00501757" w:rsidRDefault="00A95CA7" w:rsidP="00B03234">
      <w:pPr>
        <w:pStyle w:val="Heading5"/>
      </w:pPr>
      <w:r>
        <w:t>t</w:t>
      </w:r>
      <w:r w:rsidR="001A72AC" w:rsidRPr="00152780">
        <w:t xml:space="preserve">he </w:t>
      </w:r>
      <w:r>
        <w:t>application</w:t>
      </w:r>
      <w:r w:rsidRPr="00152780">
        <w:t xml:space="preserve"> </w:t>
      </w:r>
      <w:r>
        <w:t xml:space="preserve">was </w:t>
      </w:r>
      <w:r w:rsidR="001A72AC" w:rsidRPr="00152780">
        <w:t>submitted</w:t>
      </w:r>
      <w:r w:rsidR="00AC2B39">
        <w:t xml:space="preserve">, without the consent of </w:t>
      </w:r>
      <w:r>
        <w:t xml:space="preserve">one of </w:t>
      </w:r>
      <w:r w:rsidR="00AC2B39">
        <w:t>the part</w:t>
      </w:r>
      <w:r>
        <w:t>ies</w:t>
      </w:r>
      <w:r w:rsidR="00501757">
        <w:t>.</w:t>
      </w:r>
    </w:p>
    <w:p w14:paraId="3CF3540D" w14:textId="008F2354" w:rsidR="001A72AC" w:rsidRPr="00152780" w:rsidRDefault="00A95CA7" w:rsidP="00B03234">
      <w:pPr>
        <w:pStyle w:val="Heading5"/>
      </w:pPr>
      <w:r>
        <w:t>t</w:t>
      </w:r>
      <w:r w:rsidR="001A72AC" w:rsidRPr="00152780">
        <w:t xml:space="preserve">he </w:t>
      </w:r>
      <w:r>
        <w:t>application</w:t>
      </w:r>
      <w:r w:rsidRPr="00152780">
        <w:t xml:space="preserve"> </w:t>
      </w:r>
      <w:r w:rsidR="001A72AC" w:rsidRPr="00152780">
        <w:t xml:space="preserve">contains discrepancies or conflicting </w:t>
      </w:r>
      <w:r w:rsidR="00501757">
        <w:t xml:space="preserve">information; </w:t>
      </w:r>
    </w:p>
    <w:p w14:paraId="5DEC3C8E" w14:textId="0E4AFD8C" w:rsidR="001A72AC" w:rsidRPr="00D8391A" w:rsidRDefault="001A72AC" w:rsidP="00B03234">
      <w:pPr>
        <w:pStyle w:val="Heading5"/>
      </w:pPr>
      <w:r w:rsidRPr="00B03C4A">
        <w:t xml:space="preserve">the Contract requested to be </w:t>
      </w:r>
      <w:r w:rsidR="00501757" w:rsidRPr="00B03C4A">
        <w:t>un-</w:t>
      </w:r>
      <w:r w:rsidRPr="00B03C4A">
        <w:t>registered conflicts with other Contracts, already registered, by one or both of the parties</w:t>
      </w:r>
      <w:r w:rsidRPr="00D8391A">
        <w:t xml:space="preserve">; </w:t>
      </w:r>
    </w:p>
    <w:p w14:paraId="449889C2" w14:textId="3576186B" w:rsidR="00CD2B78" w:rsidRDefault="00D8391A" w:rsidP="00B03234">
      <w:pPr>
        <w:pStyle w:val="Heading5"/>
      </w:pPr>
      <w:r>
        <w:t>t</w:t>
      </w:r>
      <w:r w:rsidR="001A72AC" w:rsidRPr="00C82EC7">
        <w:t xml:space="preserve">he </w:t>
      </w:r>
      <w:r w:rsidR="00501757">
        <w:t>request</w:t>
      </w:r>
      <w:r w:rsidR="001A72AC" w:rsidRPr="00C82EC7">
        <w:t xml:space="preserve"> does not pass one or more of the verifications and </w:t>
      </w:r>
      <w:r>
        <w:t>provided in the relevant CCOP.</w:t>
      </w:r>
      <w:r w:rsidR="001A72AC" w:rsidRPr="00C82EC7">
        <w:t xml:space="preserve"> </w:t>
      </w:r>
    </w:p>
    <w:p w14:paraId="656B9C4F" w14:textId="0E939565" w:rsidR="00B71832" w:rsidRDefault="00772E65" w:rsidP="00B71832">
      <w:pPr>
        <w:pStyle w:val="Heading3"/>
        <w:ind w:left="1967"/>
      </w:pPr>
      <w:r w:rsidRPr="00447795">
        <w:t>Deregistration</w:t>
      </w:r>
      <w:r w:rsidR="008832A7" w:rsidRPr="00447795">
        <w:t xml:space="preserve"> or Suspension</w:t>
      </w:r>
      <w:r w:rsidRPr="00447795">
        <w:t xml:space="preserve"> </w:t>
      </w:r>
      <w:r w:rsidR="008F1701" w:rsidRPr="00447795">
        <w:t xml:space="preserve">due to </w:t>
      </w:r>
      <w:r w:rsidR="00B71832" w:rsidRPr="00447795">
        <w:t>Market Participant Termination</w:t>
      </w:r>
      <w:r w:rsidR="00B71832">
        <w:t xml:space="preserve"> or Suspension</w:t>
      </w:r>
    </w:p>
    <w:p w14:paraId="52EB64D0" w14:textId="2AE34D69" w:rsidR="001A72AC" w:rsidRDefault="00772E65" w:rsidP="005B295A">
      <w:pPr>
        <w:pStyle w:val="Heading4"/>
      </w:pPr>
      <w:bookmarkStart w:id="175" w:name="_Ref64201288"/>
      <w:r>
        <w:t>Where the Market Operator</w:t>
      </w:r>
      <w:r w:rsidR="0013296B">
        <w:t xml:space="preserve"> decides</w:t>
      </w:r>
      <w:r>
        <w:t xml:space="preserve"> to terminate a Market Participant after</w:t>
      </w:r>
      <w:r w:rsidR="0013296B">
        <w:t xml:space="preserve"> following the procedure </w:t>
      </w:r>
      <w:r>
        <w:t xml:space="preserve">set out </w:t>
      </w:r>
      <w:r w:rsidR="0013296B">
        <w:t xml:space="preserve">in </w:t>
      </w:r>
      <w:r w:rsidR="008C02F7">
        <w:t>Sub-Section</w:t>
      </w:r>
      <w:r w:rsidR="0013296B">
        <w:t xml:space="preserve"> </w:t>
      </w:r>
      <w:r w:rsidR="0013296B">
        <w:fldChar w:fldCharType="begin"/>
      </w:r>
      <w:r w:rsidR="0013296B">
        <w:instrText xml:space="preserve"> REF _Ref63964028 \r \h </w:instrText>
      </w:r>
      <w:r w:rsidR="00B864D3">
        <w:instrText xml:space="preserve"> \* MERGEFORMAT </w:instrText>
      </w:r>
      <w:r w:rsidR="0013296B">
        <w:fldChar w:fldCharType="separate"/>
      </w:r>
      <w:r w:rsidR="00251DBF">
        <w:t>17.2.3</w:t>
      </w:r>
      <w:r w:rsidR="0013296B">
        <w:fldChar w:fldCharType="end"/>
      </w:r>
      <w:r w:rsidR="0013296B">
        <w:t xml:space="preserve">, </w:t>
      </w:r>
      <w:r>
        <w:t xml:space="preserve">and </w:t>
      </w:r>
      <w:r w:rsidR="0013296B">
        <w:t>issu</w:t>
      </w:r>
      <w:r>
        <w:t>es</w:t>
      </w:r>
      <w:r w:rsidR="0013296B">
        <w:t xml:space="preserve"> a Termination Order, all </w:t>
      </w:r>
      <w:r w:rsidR="00B864D3">
        <w:t xml:space="preserve">the </w:t>
      </w:r>
      <w:r>
        <w:t>r</w:t>
      </w:r>
      <w:r w:rsidR="0013296B">
        <w:t xml:space="preserve">egistered </w:t>
      </w:r>
      <w:r w:rsidR="00B864D3">
        <w:t>C</w:t>
      </w:r>
      <w:r w:rsidR="0013296B">
        <w:t xml:space="preserve">ontracts </w:t>
      </w:r>
      <w:r w:rsidR="00B864D3">
        <w:t xml:space="preserve">of such Market Participant </w:t>
      </w:r>
      <w:r w:rsidR="0013296B">
        <w:t xml:space="preserve">shall be </w:t>
      </w:r>
      <w:r>
        <w:t>de</w:t>
      </w:r>
      <w:r w:rsidR="0013296B">
        <w:t xml:space="preserve">registered </w:t>
      </w:r>
      <w:r>
        <w:t xml:space="preserve">with effect from the date of the </w:t>
      </w:r>
      <w:r w:rsidR="0013296B">
        <w:t>Termination Order.</w:t>
      </w:r>
      <w:bookmarkEnd w:id="175"/>
      <w:r w:rsidR="0013296B">
        <w:t xml:space="preserve"> </w:t>
      </w:r>
    </w:p>
    <w:p w14:paraId="0C78E2D2" w14:textId="1AC510B0" w:rsidR="0013296B" w:rsidRDefault="00772E65" w:rsidP="005B295A">
      <w:pPr>
        <w:pStyle w:val="Heading4"/>
      </w:pPr>
      <w:bookmarkStart w:id="176" w:name="_Ref64201304"/>
      <w:r>
        <w:t>Where</w:t>
      </w:r>
      <w:r w:rsidR="0013296B">
        <w:t xml:space="preserve"> the Market Operator decides</w:t>
      </w:r>
      <w:r>
        <w:t xml:space="preserve"> to suspend a Market Participant after</w:t>
      </w:r>
      <w:r w:rsidR="0013296B">
        <w:t xml:space="preserve"> following the procedure </w:t>
      </w:r>
      <w:r>
        <w:t xml:space="preserve">set out </w:t>
      </w:r>
      <w:r w:rsidR="0013296B">
        <w:t xml:space="preserve">in </w:t>
      </w:r>
      <w:r w:rsidR="008C02F7">
        <w:t>Sub-Section</w:t>
      </w:r>
      <w:r w:rsidR="00B864D3">
        <w:t xml:space="preserve"> </w:t>
      </w:r>
      <w:r w:rsidR="0013296B">
        <w:fldChar w:fldCharType="begin"/>
      </w:r>
      <w:r w:rsidR="0013296B">
        <w:instrText xml:space="preserve"> REF _Ref63696606 \r \h </w:instrText>
      </w:r>
      <w:r w:rsidR="00B864D3">
        <w:instrText xml:space="preserve"> \* MERGEFORMAT </w:instrText>
      </w:r>
      <w:r w:rsidR="0013296B">
        <w:fldChar w:fldCharType="separate"/>
      </w:r>
      <w:r w:rsidR="00251DBF">
        <w:t>17.2.2</w:t>
      </w:r>
      <w:r w:rsidR="0013296B">
        <w:fldChar w:fldCharType="end"/>
      </w:r>
      <w:r>
        <w:t xml:space="preserve"> and issues</w:t>
      </w:r>
      <w:r w:rsidR="0013296B">
        <w:t xml:space="preserve"> a </w:t>
      </w:r>
      <w:r w:rsidR="00B864D3">
        <w:t>Suspensio</w:t>
      </w:r>
      <w:r w:rsidR="0013296B">
        <w:t xml:space="preserve">n Order, </w:t>
      </w:r>
      <w:r>
        <w:t xml:space="preserve">the Market Operator may also suspend </w:t>
      </w:r>
      <w:r w:rsidR="00447795">
        <w:t xml:space="preserve"> or deregister </w:t>
      </w:r>
      <w:r>
        <w:t>the relevant registered Contracts for such period as specified  in the Suspension Order</w:t>
      </w:r>
      <w:r w:rsidR="0013296B">
        <w:t>.</w:t>
      </w:r>
      <w:bookmarkEnd w:id="176"/>
      <w:r w:rsidR="0013296B">
        <w:t xml:space="preserve"> </w:t>
      </w:r>
    </w:p>
    <w:p w14:paraId="17DA49AD" w14:textId="645141F1" w:rsidR="00B864D3" w:rsidRPr="0013296B" w:rsidRDefault="00772E65" w:rsidP="005B295A">
      <w:pPr>
        <w:pStyle w:val="Heading4"/>
      </w:pPr>
      <w:r>
        <w:t>If applicable</w:t>
      </w:r>
      <w:r w:rsidR="00B864D3" w:rsidRPr="0013296B">
        <w:t xml:space="preserve">, within the next three (3) Business Days after </w:t>
      </w:r>
      <w:r>
        <w:t>deregistration</w:t>
      </w:r>
      <w:r w:rsidR="00423AD3">
        <w:t xml:space="preserve"> or suspension</w:t>
      </w:r>
      <w:r>
        <w:t xml:space="preserve"> of the</w:t>
      </w:r>
      <w:r w:rsidR="00423AD3">
        <w:t xml:space="preserve"> Contracts</w:t>
      </w:r>
      <w:r w:rsidR="00B864D3" w:rsidRPr="0013296B">
        <w:t xml:space="preserve"> referred to in Clauses  </w:t>
      </w:r>
      <w:r w:rsidR="00B864D3">
        <w:fldChar w:fldCharType="begin"/>
      </w:r>
      <w:r w:rsidR="00B864D3">
        <w:instrText xml:space="preserve"> REF _Ref64201288 \r \h </w:instrText>
      </w:r>
      <w:r w:rsidR="00B864D3">
        <w:fldChar w:fldCharType="separate"/>
      </w:r>
      <w:r w:rsidR="00251DBF">
        <w:t>4.6.4.1</w:t>
      </w:r>
      <w:r w:rsidR="00B864D3">
        <w:fldChar w:fldCharType="end"/>
      </w:r>
      <w:r w:rsidR="00B864D3" w:rsidRPr="0013296B">
        <w:t>or</w:t>
      </w:r>
      <w:r w:rsidR="00B864D3">
        <w:t xml:space="preserve"> </w:t>
      </w:r>
      <w:r w:rsidR="00B864D3">
        <w:fldChar w:fldCharType="begin"/>
      </w:r>
      <w:r w:rsidR="00B864D3">
        <w:instrText xml:space="preserve"> REF _Ref64201304 \r \h </w:instrText>
      </w:r>
      <w:r w:rsidR="00B864D3">
        <w:fldChar w:fldCharType="separate"/>
      </w:r>
      <w:r w:rsidR="00251DBF">
        <w:t>4.6.4.2</w:t>
      </w:r>
      <w:r w:rsidR="00B864D3">
        <w:fldChar w:fldCharType="end"/>
      </w:r>
      <w:r w:rsidR="00B864D3" w:rsidRPr="0013296B">
        <w:t xml:space="preserve">, the Market Operator </w:t>
      </w:r>
      <w:r>
        <w:t>may inform</w:t>
      </w:r>
      <w:r w:rsidR="00B864D3" w:rsidRPr="0013296B">
        <w:t xml:space="preserve"> one or more </w:t>
      </w:r>
      <w:r>
        <w:t>parties to the relevant Contracts</w:t>
      </w:r>
      <w:r w:rsidR="00B864D3" w:rsidRPr="0013296B">
        <w:t xml:space="preserve"> about </w:t>
      </w:r>
      <w:r w:rsidR="00423AD3">
        <w:t>their</w:t>
      </w:r>
      <w:r w:rsidR="00423AD3" w:rsidRPr="0013296B">
        <w:t xml:space="preserve"> </w:t>
      </w:r>
      <w:r w:rsidR="00B864D3" w:rsidRPr="0013296B">
        <w:t>obligations</w:t>
      </w:r>
      <w:r>
        <w:t xml:space="preserve"> </w:t>
      </w:r>
      <w:r w:rsidR="00423AD3">
        <w:t>which they are required to fulfil as a result of d</w:t>
      </w:r>
      <w:r>
        <w:t>eregistration or suspension of the Contracts</w:t>
      </w:r>
      <w:r w:rsidR="00423AD3">
        <w:t xml:space="preserve"> and the timeframe thereof. </w:t>
      </w:r>
      <w:r w:rsidR="00B864D3" w:rsidRPr="0013296B">
        <w:t xml:space="preserve">  </w:t>
      </w:r>
    </w:p>
    <w:p w14:paraId="29AA65CD" w14:textId="1C5BB865" w:rsidR="00B864D3" w:rsidRDefault="00957DA5" w:rsidP="00B864D3">
      <w:pPr>
        <w:pStyle w:val="Heading3"/>
      </w:pPr>
      <w:bookmarkStart w:id="177" w:name="_Ref64201944"/>
      <w:r>
        <w:t>Actions Taken after</w:t>
      </w:r>
      <w:r w:rsidR="00B864D3">
        <w:t xml:space="preserve"> Contract </w:t>
      </w:r>
      <w:r w:rsidR="00423AD3">
        <w:t>de</w:t>
      </w:r>
      <w:r w:rsidR="00B864D3">
        <w:t>registration</w:t>
      </w:r>
      <w:bookmarkEnd w:id="177"/>
      <w:r w:rsidR="0015555E">
        <w:t xml:space="preserve"> or Suspension</w:t>
      </w:r>
    </w:p>
    <w:p w14:paraId="48CD64C3" w14:textId="68558E10" w:rsidR="00552406" w:rsidRPr="00552406" w:rsidRDefault="00423AD3" w:rsidP="005B295A">
      <w:pPr>
        <w:pStyle w:val="Heading4"/>
        <w:rPr>
          <w:lang w:val="en-US"/>
        </w:rPr>
      </w:pPr>
      <w:bookmarkStart w:id="178" w:name="_Ref64203375"/>
      <w:r>
        <w:t>Where</w:t>
      </w:r>
      <w:r w:rsidR="0015555E">
        <w:t xml:space="preserve"> supply of electric power to a BPC is stopped, </w:t>
      </w:r>
      <w:r w:rsidR="0015555E" w:rsidRPr="00B03C4A">
        <w:t>either partial or full</w:t>
      </w:r>
      <w:r w:rsidR="0015555E">
        <w:t>,  due to</w:t>
      </w:r>
      <w:r w:rsidR="00B864D3">
        <w:t xml:space="preserve"> </w:t>
      </w:r>
      <w:r w:rsidR="0015555E">
        <w:t>deregistration or suspension of a Co</w:t>
      </w:r>
      <w:r w:rsidR="003A578F">
        <w:t>ntract</w:t>
      </w:r>
      <w:r w:rsidR="00B864D3">
        <w:t xml:space="preserve">, </w:t>
      </w:r>
      <w:r w:rsidR="0015555E">
        <w:t xml:space="preserve">excluding the cases as given in </w:t>
      </w:r>
      <w:r w:rsidR="00D8391A">
        <w:t>Sub-Sections</w:t>
      </w:r>
      <w:r w:rsidR="0015555E">
        <w:t xml:space="preserve"> </w:t>
      </w:r>
      <w:r w:rsidR="00D8391A">
        <w:fldChar w:fldCharType="begin"/>
      </w:r>
      <w:r w:rsidR="00D8391A">
        <w:instrText xml:space="preserve"> REF _Ref76851506 \r \h </w:instrText>
      </w:r>
      <w:r w:rsidR="00D8391A">
        <w:fldChar w:fldCharType="separate"/>
      </w:r>
      <w:r w:rsidR="00D8391A">
        <w:t>4.6.2</w:t>
      </w:r>
      <w:r w:rsidR="00D8391A">
        <w:fldChar w:fldCharType="end"/>
      </w:r>
      <w:r w:rsidR="00D8391A">
        <w:t xml:space="preserve"> </w:t>
      </w:r>
      <w:r w:rsidR="0015555E">
        <w:t xml:space="preserve">and </w:t>
      </w:r>
      <w:r w:rsidR="00D8391A">
        <w:fldChar w:fldCharType="begin"/>
      </w:r>
      <w:r w:rsidR="00D8391A">
        <w:instrText xml:space="preserve"> REF _Ref76851521 \r \h </w:instrText>
      </w:r>
      <w:r w:rsidR="00D8391A">
        <w:fldChar w:fldCharType="separate"/>
      </w:r>
      <w:r w:rsidR="00D8391A">
        <w:t>4.6.3</w:t>
      </w:r>
      <w:r w:rsidR="00D8391A">
        <w:fldChar w:fldCharType="end"/>
      </w:r>
      <w:r w:rsidR="00D8391A">
        <w:t xml:space="preserve"> </w:t>
      </w:r>
      <w:r w:rsidR="0015555E">
        <w:t xml:space="preserve">above, </w:t>
      </w:r>
      <w:r w:rsidR="00437CCF">
        <w:t xml:space="preserve"> </w:t>
      </w:r>
      <w:r w:rsidR="00C13CDB">
        <w:t>the Market Operator shall</w:t>
      </w:r>
      <w:r w:rsidR="00552406">
        <w:t xml:space="preserve">: </w:t>
      </w:r>
    </w:p>
    <w:p w14:paraId="0029D7D3" w14:textId="3537E696" w:rsidR="00552406" w:rsidRDefault="00932F53" w:rsidP="00B03234">
      <w:pPr>
        <w:pStyle w:val="Heading5"/>
        <w:rPr>
          <w:lang w:val="en-US"/>
        </w:rPr>
      </w:pPr>
      <w:r>
        <w:rPr>
          <w:lang w:val="en-US"/>
        </w:rPr>
        <w:t>f</w:t>
      </w:r>
      <w:r w:rsidR="00552406">
        <w:rPr>
          <w:lang w:val="en-US"/>
        </w:rPr>
        <w:t>or all BPCs which are not Market Participants:</w:t>
      </w:r>
    </w:p>
    <w:p w14:paraId="5D7DA3A9" w14:textId="293024B5" w:rsidR="00552406" w:rsidRPr="00932F53" w:rsidRDefault="00932F53">
      <w:pPr>
        <w:pStyle w:val="Heading6"/>
        <w:rPr>
          <w:lang w:val="en-US"/>
        </w:rPr>
      </w:pPr>
      <w:r>
        <w:rPr>
          <w:lang w:val="en-US"/>
        </w:rPr>
        <w:t>i</w:t>
      </w:r>
      <w:r w:rsidR="00552406" w:rsidRPr="00932F53">
        <w:rPr>
          <w:lang w:val="en-US"/>
        </w:rPr>
        <w:t xml:space="preserve">nform the BPC </w:t>
      </w:r>
      <w:r w:rsidR="00FA4864" w:rsidRPr="00932F53">
        <w:rPr>
          <w:lang w:val="en-US"/>
        </w:rPr>
        <w:t>and require it to arrange its supply</w:t>
      </w:r>
      <w:r w:rsidR="00D8391A" w:rsidRPr="00932F53">
        <w:rPr>
          <w:lang w:val="en-US"/>
        </w:rPr>
        <w:t xml:space="preserve"> of electric power</w:t>
      </w:r>
      <w:r w:rsidR="00FA4864" w:rsidRPr="00932F53">
        <w:rPr>
          <w:lang w:val="en-US"/>
        </w:rPr>
        <w:t xml:space="preserve"> from another </w:t>
      </w:r>
      <w:commentRangeStart w:id="179"/>
      <w:r w:rsidR="00BF564D" w:rsidRPr="00932F53">
        <w:rPr>
          <w:lang w:val="en-US"/>
        </w:rPr>
        <w:t>Electric Power Supplier</w:t>
      </w:r>
      <w:r w:rsidR="00FA4864" w:rsidRPr="00932F53">
        <w:rPr>
          <w:lang w:val="en-US"/>
        </w:rPr>
        <w:t xml:space="preserve"> or </w:t>
      </w:r>
      <w:r w:rsidR="00D8391A" w:rsidRPr="00932F53">
        <w:rPr>
          <w:lang w:val="en-US"/>
        </w:rPr>
        <w:t>S</w:t>
      </w:r>
      <w:r w:rsidR="00FA4864" w:rsidRPr="00932F53">
        <w:rPr>
          <w:lang w:val="en-US"/>
        </w:rPr>
        <w:t xml:space="preserve">upplier of </w:t>
      </w:r>
      <w:r w:rsidR="00D8391A" w:rsidRPr="00932F53">
        <w:rPr>
          <w:lang w:val="en-US"/>
        </w:rPr>
        <w:t>L</w:t>
      </w:r>
      <w:r w:rsidR="00FA4864" w:rsidRPr="00932F53">
        <w:rPr>
          <w:lang w:val="en-US"/>
        </w:rPr>
        <w:t xml:space="preserve">ast </w:t>
      </w:r>
      <w:r w:rsidR="00D8391A" w:rsidRPr="00932F53">
        <w:rPr>
          <w:lang w:val="en-US"/>
        </w:rPr>
        <w:t>R</w:t>
      </w:r>
      <w:r w:rsidR="00FA4864" w:rsidRPr="00932F53">
        <w:rPr>
          <w:lang w:val="en-US"/>
        </w:rPr>
        <w:t>esort within [10] days</w:t>
      </w:r>
      <w:r w:rsidR="008832A7">
        <w:rPr>
          <w:lang w:val="en-US"/>
        </w:rPr>
        <w:t xml:space="preserve"> and</w:t>
      </w:r>
      <w:r w:rsidR="00FA4864" w:rsidRPr="00932F53">
        <w:rPr>
          <w:lang w:val="en-US"/>
        </w:rPr>
        <w:t xml:space="preserve"> </w:t>
      </w:r>
      <w:r w:rsidR="008832A7">
        <w:rPr>
          <w:lang w:val="en-US"/>
        </w:rPr>
        <w:t>t</w:t>
      </w:r>
      <w:r w:rsidR="00FA4864" w:rsidRPr="00932F53">
        <w:rPr>
          <w:lang w:val="en-US"/>
        </w:rPr>
        <w:t>he Energy withdrawn during</w:t>
      </w:r>
      <w:commentRangeEnd w:id="179"/>
      <w:r w:rsidR="00A16578">
        <w:rPr>
          <w:rStyle w:val="CommentReference"/>
          <w:rFonts w:eastAsiaTheme="minorHAnsi" w:cstheme="minorBidi"/>
          <w:color w:val="1C1C1C"/>
          <w:lang w:eastAsia="en-US"/>
        </w:rPr>
        <w:commentReference w:id="179"/>
      </w:r>
      <w:r w:rsidR="00FA4864" w:rsidRPr="00932F53">
        <w:rPr>
          <w:lang w:val="en-US"/>
        </w:rPr>
        <w:t xml:space="preserve"> the interim period as indicated above shall be considered to be supplied by the Supplier of </w:t>
      </w:r>
      <w:r w:rsidR="00552406" w:rsidRPr="00932F53">
        <w:rPr>
          <w:lang w:val="en-US"/>
        </w:rPr>
        <w:t xml:space="preserve">Last Resort; </w:t>
      </w:r>
    </w:p>
    <w:p w14:paraId="70F29B5F" w14:textId="5EA2BFAB" w:rsidR="00552406" w:rsidRDefault="00932F53" w:rsidP="00CF7164">
      <w:pPr>
        <w:pStyle w:val="Heading6"/>
        <w:rPr>
          <w:lang w:val="en-US"/>
        </w:rPr>
      </w:pPr>
      <w:r>
        <w:rPr>
          <w:lang w:val="en-US"/>
        </w:rPr>
        <w:t>i</w:t>
      </w:r>
      <w:r w:rsidR="00552406">
        <w:rPr>
          <w:lang w:val="en-US"/>
        </w:rPr>
        <w:t xml:space="preserve">nform the </w:t>
      </w:r>
      <w:r w:rsidR="006328E8">
        <w:rPr>
          <w:lang w:val="en-US"/>
        </w:rPr>
        <w:t xml:space="preserve">Supplier of </w:t>
      </w:r>
      <w:r w:rsidR="00552406">
        <w:rPr>
          <w:lang w:val="en-US"/>
        </w:rPr>
        <w:t xml:space="preserve">Last Resort </w:t>
      </w:r>
      <w:r w:rsidR="006328E8">
        <w:rPr>
          <w:lang w:val="en-US"/>
        </w:rPr>
        <w:t>accordingly</w:t>
      </w:r>
      <w:r>
        <w:rPr>
          <w:lang w:val="en-US"/>
        </w:rPr>
        <w:t>;</w:t>
      </w:r>
      <w:r w:rsidR="006328E8">
        <w:rPr>
          <w:lang w:val="en-US"/>
        </w:rPr>
        <w:t xml:space="preserve"> </w:t>
      </w:r>
      <w:r>
        <w:rPr>
          <w:lang w:val="en-US"/>
        </w:rPr>
        <w:t>and</w:t>
      </w:r>
    </w:p>
    <w:p w14:paraId="0E776DCD" w14:textId="1E6D3380" w:rsidR="006328E8" w:rsidRDefault="00932F53" w:rsidP="006328E8">
      <w:pPr>
        <w:pStyle w:val="Heading6"/>
        <w:rPr>
          <w:lang w:val="en-US"/>
        </w:rPr>
      </w:pPr>
      <w:r>
        <w:rPr>
          <w:lang w:val="en-US"/>
        </w:rPr>
        <w:t>i</w:t>
      </w:r>
      <w:r w:rsidR="006328E8">
        <w:rPr>
          <w:lang w:val="en-US"/>
        </w:rPr>
        <w:t xml:space="preserve">n case of suspension of a Contract, </w:t>
      </w:r>
      <w:r>
        <w:rPr>
          <w:lang w:val="en-US"/>
        </w:rPr>
        <w:t xml:space="preserve">then </w:t>
      </w:r>
      <w:r w:rsidR="006328E8">
        <w:rPr>
          <w:lang w:val="en-US"/>
        </w:rPr>
        <w:t xml:space="preserve">upon </w:t>
      </w:r>
      <w:r>
        <w:rPr>
          <w:lang w:val="en-US"/>
        </w:rPr>
        <w:t>withdrawal</w:t>
      </w:r>
      <w:r w:rsidR="006328E8">
        <w:rPr>
          <w:lang w:val="en-US"/>
        </w:rPr>
        <w:t xml:space="preserve"> of the Suspension Order, </w:t>
      </w:r>
      <w:r>
        <w:rPr>
          <w:lang w:val="en-US"/>
        </w:rPr>
        <w:t xml:space="preserve">transfer </w:t>
      </w:r>
      <w:r w:rsidR="006328E8">
        <w:rPr>
          <w:lang w:val="en-US"/>
        </w:rPr>
        <w:t xml:space="preserve">the supply of the BPC to the respective </w:t>
      </w:r>
      <w:r w:rsidR="00BF564D">
        <w:rPr>
          <w:lang w:val="en-US"/>
        </w:rPr>
        <w:t>Electric Power Supplier</w:t>
      </w:r>
      <w:r w:rsidR="006328E8">
        <w:rPr>
          <w:lang w:val="en-US"/>
        </w:rPr>
        <w:t xml:space="preserve"> on the date of lifting of the Suspension Order; and</w:t>
      </w:r>
    </w:p>
    <w:p w14:paraId="736A35D7" w14:textId="249FE907" w:rsidR="00552406" w:rsidRDefault="00932F53" w:rsidP="00B03234">
      <w:pPr>
        <w:pStyle w:val="Heading5"/>
        <w:rPr>
          <w:lang w:val="en-US"/>
        </w:rPr>
      </w:pPr>
      <w:bookmarkStart w:id="180" w:name="_Ref76852342"/>
      <w:r>
        <w:rPr>
          <w:lang w:val="en-US"/>
        </w:rPr>
        <w:t>f</w:t>
      </w:r>
      <w:r w:rsidR="00552406">
        <w:rPr>
          <w:lang w:val="en-US"/>
        </w:rPr>
        <w:t>or all BPCs which are Market Participants:</w:t>
      </w:r>
      <w:bookmarkEnd w:id="180"/>
      <w:r w:rsidR="00552406">
        <w:rPr>
          <w:lang w:val="en-US"/>
        </w:rPr>
        <w:t xml:space="preserve"> </w:t>
      </w:r>
    </w:p>
    <w:p w14:paraId="66B67EBD" w14:textId="5ED25523" w:rsidR="00E67903" w:rsidRDefault="006328E8" w:rsidP="00CF7164">
      <w:pPr>
        <w:pStyle w:val="Heading6"/>
        <w:rPr>
          <w:lang w:val="en-US"/>
        </w:rPr>
      </w:pPr>
      <w:r>
        <w:rPr>
          <w:lang w:val="en-US"/>
        </w:rPr>
        <w:t xml:space="preserve">inform </w:t>
      </w:r>
      <w:r w:rsidR="00E67903">
        <w:rPr>
          <w:lang w:val="en-US"/>
        </w:rPr>
        <w:t>the BPC</w:t>
      </w:r>
      <w:r>
        <w:rPr>
          <w:lang w:val="en-US"/>
        </w:rPr>
        <w:t xml:space="preserve"> and require it to register new Contracts for purchase of electric power</w:t>
      </w:r>
      <w:r w:rsidR="00462FEF">
        <w:rPr>
          <w:lang w:val="en-US"/>
        </w:rPr>
        <w:t xml:space="preserve"> in order to comply with its Capacity Obligations within a specified timeframe</w:t>
      </w:r>
      <w:r w:rsidR="00E67903">
        <w:rPr>
          <w:lang w:val="en-US"/>
        </w:rPr>
        <w:t xml:space="preserve">; </w:t>
      </w:r>
    </w:p>
    <w:p w14:paraId="660A2578" w14:textId="1B0401C1" w:rsidR="00E67903" w:rsidRDefault="00932F53" w:rsidP="00CF7164">
      <w:pPr>
        <w:pStyle w:val="Heading6"/>
        <w:rPr>
          <w:lang w:val="en-US"/>
        </w:rPr>
      </w:pPr>
      <w:bookmarkStart w:id="181" w:name="_Ref64206302"/>
      <w:r>
        <w:rPr>
          <w:lang w:val="en-US"/>
        </w:rPr>
        <w:lastRenderedPageBreak/>
        <w:t>inform the BPC that t</w:t>
      </w:r>
      <w:r w:rsidR="00462FEF">
        <w:rPr>
          <w:lang w:val="en-US"/>
        </w:rPr>
        <w:t>he Energy withdrawn during the interim period will be settled in the Balancing Mechanism for Energy and it has to provide the required amount of Security Cover within a specified timeframe</w:t>
      </w:r>
      <w:r>
        <w:rPr>
          <w:lang w:val="en-US"/>
        </w:rPr>
        <w:t>;</w:t>
      </w:r>
      <w:r w:rsidR="00462FEF">
        <w:rPr>
          <w:lang w:val="en-US"/>
        </w:rPr>
        <w:t xml:space="preserve"> </w:t>
      </w:r>
      <w:bookmarkStart w:id="182" w:name="_Ref64204132"/>
      <w:bookmarkEnd w:id="178"/>
      <w:r w:rsidR="00E67903">
        <w:rPr>
          <w:lang w:val="en-US"/>
        </w:rPr>
        <w:t>and</w:t>
      </w:r>
      <w:bookmarkEnd w:id="181"/>
      <w:r w:rsidR="00E67903">
        <w:rPr>
          <w:lang w:val="en-US"/>
        </w:rPr>
        <w:t xml:space="preserve"> </w:t>
      </w:r>
    </w:p>
    <w:p w14:paraId="676487A9" w14:textId="2E5DFE72" w:rsidR="00161D2B" w:rsidRDefault="009F09AE" w:rsidP="00B03C4A">
      <w:pPr>
        <w:pStyle w:val="Heading4"/>
      </w:pPr>
      <w:r>
        <w:t>F</w:t>
      </w:r>
      <w:r w:rsidR="00462FEF">
        <w:t xml:space="preserve">ailure of </w:t>
      </w:r>
      <w:r>
        <w:t>a</w:t>
      </w:r>
      <w:r w:rsidR="00462FEF">
        <w:t xml:space="preserve"> BPC to register a new</w:t>
      </w:r>
      <w:r w:rsidR="00E67903">
        <w:t xml:space="preserve"> Contract </w:t>
      </w:r>
      <w:r w:rsidR="00462FEF">
        <w:t>or to provide the requisite Security Cover</w:t>
      </w:r>
      <w:r>
        <w:t xml:space="preserve">, pursuant to Clause </w:t>
      </w:r>
      <w:r>
        <w:fldChar w:fldCharType="begin"/>
      </w:r>
      <w:r>
        <w:instrText xml:space="preserve"> REF _Ref76852342 \r \h </w:instrText>
      </w:r>
      <w:r>
        <w:fldChar w:fldCharType="separate"/>
      </w:r>
      <w:r>
        <w:t>4.6.5.1.b)</w:t>
      </w:r>
      <w:r>
        <w:fldChar w:fldCharType="end"/>
      </w:r>
      <w:r>
        <w:t>,</w:t>
      </w:r>
      <w:r w:rsidR="00462FEF">
        <w:t xml:space="preserve"> </w:t>
      </w:r>
      <w:r w:rsidR="00E67903">
        <w:t xml:space="preserve">shall </w:t>
      </w:r>
      <w:r w:rsidR="00462FEF">
        <w:t xml:space="preserve">constitute </w:t>
      </w:r>
      <w:r w:rsidR="00E67903">
        <w:t xml:space="preserve">an Event of Default and </w:t>
      </w:r>
      <w:r w:rsidR="00462FEF">
        <w:t>shall be dealt with under</w:t>
      </w:r>
      <w:r w:rsidR="00E67903">
        <w:t xml:space="preserve"> </w:t>
      </w:r>
      <w:r w:rsidR="008C02F7">
        <w:t>Sub-Section</w:t>
      </w:r>
      <w:r w:rsidR="00161D2B">
        <w:t xml:space="preserve"> </w:t>
      </w:r>
      <w:r w:rsidR="00161D2B">
        <w:fldChar w:fldCharType="begin"/>
      </w:r>
      <w:r w:rsidR="00161D2B">
        <w:instrText xml:space="preserve"> REF _Ref60792923 \n \h </w:instrText>
      </w:r>
      <w:r w:rsidR="00161D2B">
        <w:fldChar w:fldCharType="separate"/>
      </w:r>
      <w:r w:rsidR="00251DBF">
        <w:t>17.2.1</w:t>
      </w:r>
      <w:r w:rsidR="00161D2B">
        <w:fldChar w:fldCharType="end"/>
      </w:r>
      <w:r w:rsidR="00161D2B">
        <w:t xml:space="preserve">. </w:t>
      </w:r>
      <w:bookmarkEnd w:id="182"/>
    </w:p>
    <w:p w14:paraId="28E8B37A" w14:textId="45A24958" w:rsidR="00C13CDB" w:rsidRPr="00CD2B78" w:rsidRDefault="00831363" w:rsidP="005B295A">
      <w:pPr>
        <w:pStyle w:val="Heading4"/>
        <w:rPr>
          <w:lang w:val="en-US"/>
        </w:rPr>
      </w:pPr>
      <w:r>
        <w:t>The BPC shall be liable to pay all applicable charges for the supply of electric power by t</w:t>
      </w:r>
      <w:r w:rsidR="00161D2B">
        <w:t>he</w:t>
      </w:r>
      <w:r>
        <w:rPr>
          <w:lang w:val="en-US"/>
        </w:rPr>
        <w:t xml:space="preserve"> </w:t>
      </w:r>
      <w:r w:rsidR="003427CF">
        <w:rPr>
          <w:lang w:val="en-US"/>
        </w:rPr>
        <w:t>Supplier</w:t>
      </w:r>
      <w:r>
        <w:rPr>
          <w:lang w:val="en-US"/>
        </w:rPr>
        <w:t xml:space="preserve"> of Last Resort under</w:t>
      </w:r>
      <w:r w:rsidR="003427CF">
        <w:rPr>
          <w:lang w:val="en-US"/>
        </w:rPr>
        <w:t xml:space="preserve"> </w:t>
      </w:r>
      <w:r w:rsidR="00CD2B78">
        <w:rPr>
          <w:lang w:val="en-US"/>
        </w:rPr>
        <w:t xml:space="preserve">Clause </w:t>
      </w:r>
      <w:r w:rsidR="00CD2B78">
        <w:rPr>
          <w:lang w:val="en-US"/>
        </w:rPr>
        <w:fldChar w:fldCharType="begin"/>
      </w:r>
      <w:r w:rsidR="00CD2B78">
        <w:rPr>
          <w:lang w:val="en-US"/>
        </w:rPr>
        <w:instrText xml:space="preserve"> REF _Ref64203375 \r \h </w:instrText>
      </w:r>
      <w:r w:rsidR="00161D2B">
        <w:rPr>
          <w:lang w:val="en-US"/>
        </w:rPr>
        <w:instrText xml:space="preserve"> \* MERGEFORMAT </w:instrText>
      </w:r>
      <w:r w:rsidR="00CD2B78">
        <w:rPr>
          <w:lang w:val="en-US"/>
        </w:rPr>
      </w:r>
      <w:r w:rsidR="00CD2B78">
        <w:rPr>
          <w:lang w:val="en-US"/>
        </w:rPr>
        <w:fldChar w:fldCharType="separate"/>
      </w:r>
      <w:r w:rsidR="00251DBF">
        <w:rPr>
          <w:lang w:val="en-US"/>
        </w:rPr>
        <w:t>4.6.5.1</w:t>
      </w:r>
      <w:r w:rsidR="00CD2B78">
        <w:rPr>
          <w:lang w:val="en-US"/>
        </w:rPr>
        <w:fldChar w:fldCharType="end"/>
      </w:r>
      <w:r w:rsidR="00CD2B78">
        <w:rPr>
          <w:lang w:val="en-US"/>
        </w:rPr>
        <w:t xml:space="preserve">, </w:t>
      </w:r>
      <w:r>
        <w:rPr>
          <w:lang w:val="en-US"/>
        </w:rPr>
        <w:t xml:space="preserve">with effect </w:t>
      </w:r>
      <w:r w:rsidR="00CD2B78">
        <w:rPr>
          <w:lang w:val="en-US"/>
        </w:rPr>
        <w:t xml:space="preserve">from the date </w:t>
      </w:r>
      <w:r>
        <w:rPr>
          <w:lang w:val="en-US"/>
        </w:rPr>
        <w:t>of deregistration or suspension of the Contract</w:t>
      </w:r>
      <w:r w:rsidR="00161D2B">
        <w:rPr>
          <w:lang w:val="en-US"/>
        </w:rPr>
        <w:t>.</w:t>
      </w:r>
    </w:p>
    <w:p w14:paraId="3F764FBC" w14:textId="604D9568" w:rsidR="002948E4" w:rsidRDefault="00332669" w:rsidP="005B295A">
      <w:pPr>
        <w:pStyle w:val="Heading4"/>
        <w:rPr>
          <w:lang w:val="en-US"/>
        </w:rPr>
      </w:pPr>
      <w:r>
        <w:rPr>
          <w:lang w:val="en-US"/>
        </w:rPr>
        <w:t xml:space="preserve">After deregistration of a Contract, </w:t>
      </w:r>
      <w:r w:rsidR="00CA5498">
        <w:rPr>
          <w:lang w:val="en-US"/>
        </w:rPr>
        <w:t>the</w:t>
      </w:r>
      <w:r w:rsidR="00903B0B">
        <w:rPr>
          <w:lang w:val="en-US"/>
        </w:rPr>
        <w:t xml:space="preserve"> Market Operator shall update the Firm Capacity Register</w:t>
      </w:r>
      <w:r>
        <w:rPr>
          <w:lang w:val="en-US"/>
        </w:rPr>
        <w:t xml:space="preserve"> accordingly</w:t>
      </w:r>
      <w:r w:rsidR="002948E4">
        <w:rPr>
          <w:lang w:val="en-US"/>
        </w:rPr>
        <w:t xml:space="preserve">. </w:t>
      </w:r>
    </w:p>
    <w:p w14:paraId="67BEE2C4" w14:textId="683B6367" w:rsidR="00FB1A88" w:rsidRPr="003F059E" w:rsidRDefault="002948E4" w:rsidP="005B295A">
      <w:pPr>
        <w:pStyle w:val="Heading4"/>
      </w:pPr>
      <w:r w:rsidRPr="00FB1A88">
        <w:rPr>
          <w:lang w:val="en-US"/>
        </w:rPr>
        <w:t xml:space="preserve">Immediately after the Firm Capacity Register update, the Market Operator shall verify compliance with the Capacity Obligations </w:t>
      </w:r>
      <w:r w:rsidR="00332669">
        <w:rPr>
          <w:lang w:val="en-US"/>
        </w:rPr>
        <w:t>by</w:t>
      </w:r>
      <w:r w:rsidR="00332669" w:rsidRPr="00FB1A88">
        <w:rPr>
          <w:lang w:val="en-US"/>
        </w:rPr>
        <w:t xml:space="preserve"> </w:t>
      </w:r>
      <w:r w:rsidRPr="00FB1A88">
        <w:rPr>
          <w:lang w:val="en-US"/>
        </w:rPr>
        <w:t xml:space="preserve">all </w:t>
      </w:r>
      <w:r w:rsidR="00332669">
        <w:rPr>
          <w:lang w:val="en-US"/>
        </w:rPr>
        <w:t xml:space="preserve">relevant </w:t>
      </w:r>
      <w:r w:rsidRPr="00FB1A88">
        <w:rPr>
          <w:lang w:val="en-US"/>
        </w:rPr>
        <w:t xml:space="preserve">Market Participants. In case a Market Participant, due to the re-assignation of the Firm Capacity Certificates, is not complying </w:t>
      </w:r>
      <w:r w:rsidR="00FB1A88" w:rsidRPr="00FB1A88">
        <w:rPr>
          <w:lang w:val="en-US"/>
        </w:rPr>
        <w:t>w</w:t>
      </w:r>
      <w:r w:rsidRPr="00FB1A88">
        <w:rPr>
          <w:lang w:val="en-US"/>
        </w:rPr>
        <w:t xml:space="preserve">ith its Capacity Obligations, the </w:t>
      </w:r>
      <w:r>
        <w:t xml:space="preserve">Market Operator </w:t>
      </w:r>
      <w:r w:rsidR="00332669">
        <w:t>shall require</w:t>
      </w:r>
      <w:r>
        <w:t xml:space="preserve"> </w:t>
      </w:r>
      <w:r w:rsidR="00332669">
        <w:t>such</w:t>
      </w:r>
      <w:r>
        <w:t xml:space="preserve"> Market Participants</w:t>
      </w:r>
      <w:r w:rsidR="00FB1A88">
        <w:t xml:space="preserve"> to </w:t>
      </w:r>
      <w:r w:rsidR="00332669">
        <w:t xml:space="preserve">resolve </w:t>
      </w:r>
      <w:r w:rsidR="00FB1A88">
        <w:t xml:space="preserve">the non-compliance situation by contracting additional </w:t>
      </w:r>
      <w:r w:rsidR="0046412E">
        <w:t>Capacity</w:t>
      </w:r>
      <w:r w:rsidR="00FB1A88">
        <w:t xml:space="preserve"> or installing additional Generation, within </w:t>
      </w:r>
      <w:r w:rsidR="00332669">
        <w:t xml:space="preserve">a specified </w:t>
      </w:r>
      <w:r w:rsidR="00FB1A88">
        <w:t xml:space="preserve">timeframe. The Market Operator </w:t>
      </w:r>
      <w:r w:rsidR="00332669">
        <w:t>may</w:t>
      </w:r>
      <w:r w:rsidR="00FB1A88">
        <w:t xml:space="preserve"> not</w:t>
      </w:r>
      <w:r w:rsidR="00332669">
        <w:t xml:space="preserve"> </w:t>
      </w:r>
      <w:r w:rsidR="00FB1A88">
        <w:t xml:space="preserve">register any new </w:t>
      </w:r>
      <w:r w:rsidR="003A578F">
        <w:t>Contract</w:t>
      </w:r>
      <w:r w:rsidR="00FB1A88">
        <w:t xml:space="preserve">, other than </w:t>
      </w:r>
      <w:r w:rsidR="003A578F">
        <w:t>Contract</w:t>
      </w:r>
      <w:r w:rsidR="00FB1A88">
        <w:t xml:space="preserve">s for </w:t>
      </w:r>
      <w:r w:rsidR="00332669">
        <w:t xml:space="preserve">purchase of </w:t>
      </w:r>
      <w:r w:rsidR="0046412E">
        <w:t>Capacity</w:t>
      </w:r>
      <w:r w:rsidR="00332669">
        <w:t xml:space="preserve"> </w:t>
      </w:r>
      <w:r w:rsidR="00FB1A88">
        <w:t xml:space="preserve">of the </w:t>
      </w:r>
      <w:r w:rsidR="00332669">
        <w:t xml:space="preserve">relevant </w:t>
      </w:r>
      <w:r w:rsidR="00FB1A88">
        <w:t xml:space="preserve">Market Participant or BPC, </w:t>
      </w:r>
      <w:r w:rsidR="00332669">
        <w:t>till the time n</w:t>
      </w:r>
      <w:r w:rsidR="00FB1A88">
        <w:t>on-</w:t>
      </w:r>
      <w:r w:rsidR="00FB1A88" w:rsidRPr="003F059E">
        <w:t xml:space="preserve">compliance situation is </w:t>
      </w:r>
      <w:r w:rsidR="00332669">
        <w:t>resolved</w:t>
      </w:r>
      <w:r w:rsidR="00FB1A88" w:rsidRPr="003F059E">
        <w:t>.</w:t>
      </w:r>
    </w:p>
    <w:p w14:paraId="6DF1BB77" w14:textId="3EBB6963" w:rsidR="00FB1A88" w:rsidRPr="003F059E" w:rsidRDefault="00C51C8D" w:rsidP="005B295A">
      <w:pPr>
        <w:pStyle w:val="Heading4"/>
      </w:pPr>
      <w:r>
        <w:t xml:space="preserve">Prior to deregistration of a Contract, at the time of </w:t>
      </w:r>
      <w:r w:rsidR="004A4491" w:rsidRPr="003F059E">
        <w:t>evaluati</w:t>
      </w:r>
      <w:r>
        <w:t>on of</w:t>
      </w:r>
      <w:r w:rsidR="004A4491" w:rsidRPr="003F059E">
        <w:t xml:space="preserve"> the </w:t>
      </w:r>
      <w:r>
        <w:t>consequences of such deregistration</w:t>
      </w:r>
      <w:r w:rsidR="004A4491" w:rsidRPr="003F059E">
        <w:t>, t</w:t>
      </w:r>
      <w:r w:rsidR="00FB1A88" w:rsidRPr="003F059E">
        <w:t xml:space="preserve">he Market Operator shall </w:t>
      </w:r>
      <w:r w:rsidR="004A4491" w:rsidRPr="003F059E">
        <w:t xml:space="preserve">recalculate the </w:t>
      </w:r>
      <w:r w:rsidR="00FB1A88" w:rsidRPr="003F059E">
        <w:t>amount of Security Cover</w:t>
      </w:r>
      <w:r w:rsidR="00076567">
        <w:t xml:space="preserve"> and Guarantee Amount</w:t>
      </w:r>
      <w:r>
        <w:t xml:space="preserve"> which shall be provided by any</w:t>
      </w:r>
      <w:r w:rsidR="004A4491" w:rsidRPr="003F059E">
        <w:t xml:space="preserve"> of the parties</w:t>
      </w:r>
      <w:r>
        <w:t xml:space="preserve"> to the Contract</w:t>
      </w:r>
      <w:r w:rsidR="004A4491" w:rsidRPr="003F059E">
        <w:t xml:space="preserve"> or other Market Participants affected by </w:t>
      </w:r>
      <w:r w:rsidR="00100102">
        <w:t xml:space="preserve">such </w:t>
      </w:r>
      <w:r>
        <w:t>deregistration</w:t>
      </w:r>
      <w:r w:rsidR="004A4491" w:rsidRPr="003F059E">
        <w:t>. In case</w:t>
      </w:r>
      <w:r w:rsidR="00100102">
        <w:t>,</w:t>
      </w:r>
      <w:r w:rsidR="004A4491" w:rsidRPr="003F059E">
        <w:t xml:space="preserve"> </w:t>
      </w:r>
      <w:r>
        <w:t>the recalculated</w:t>
      </w:r>
      <w:r w:rsidRPr="003F059E">
        <w:t xml:space="preserve"> </w:t>
      </w:r>
      <w:r w:rsidR="004A4491" w:rsidRPr="003F059E">
        <w:t xml:space="preserve">amount is higher than the amount </w:t>
      </w:r>
      <w:r>
        <w:t>registered</w:t>
      </w:r>
      <w:r w:rsidRPr="003F059E">
        <w:t xml:space="preserve"> </w:t>
      </w:r>
      <w:r w:rsidR="004A4491" w:rsidRPr="003F059E">
        <w:t>in the Security Cover Register</w:t>
      </w:r>
      <w:r w:rsidR="00076567">
        <w:t xml:space="preserve"> or the Settlement Guarantee Fund</w:t>
      </w:r>
      <w:r w:rsidR="004A4491" w:rsidRPr="003F059E">
        <w:t xml:space="preserve">, the Market Operator </w:t>
      </w:r>
      <w:r>
        <w:t xml:space="preserve">shall require </w:t>
      </w:r>
      <w:r w:rsidRPr="003F059E">
        <w:t xml:space="preserve"> </w:t>
      </w:r>
      <w:r>
        <w:t xml:space="preserve">the </w:t>
      </w:r>
      <w:r w:rsidR="004A4491" w:rsidRPr="003F059E">
        <w:t xml:space="preserve"> </w:t>
      </w:r>
      <w:r>
        <w:t>relevant</w:t>
      </w:r>
      <w:r w:rsidRPr="003F059E">
        <w:t xml:space="preserve"> </w:t>
      </w:r>
      <w:r w:rsidR="004A4491" w:rsidRPr="003F059E">
        <w:t>Market Participant</w:t>
      </w:r>
      <w:r w:rsidR="00100102">
        <w:t>s</w:t>
      </w:r>
      <w:r w:rsidR="004A4491" w:rsidRPr="003F059E">
        <w:t xml:space="preserve"> to increase </w:t>
      </w:r>
      <w:r>
        <w:t xml:space="preserve">the </w:t>
      </w:r>
      <w:r w:rsidR="004A4491" w:rsidRPr="003F059E">
        <w:t>amount</w:t>
      </w:r>
      <w:r>
        <w:t xml:space="preserve"> of Security Cover</w:t>
      </w:r>
      <w:r w:rsidR="00076567">
        <w:t xml:space="preserve"> and Guarantee Amount</w:t>
      </w:r>
      <w:r w:rsidR="004A4491" w:rsidRPr="003F059E">
        <w:t xml:space="preserve"> within </w:t>
      </w:r>
      <w:r>
        <w:t>a specified</w:t>
      </w:r>
      <w:r w:rsidRPr="003F059E">
        <w:t xml:space="preserve"> </w:t>
      </w:r>
      <w:r w:rsidR="004A4491" w:rsidRPr="003F059E">
        <w:t xml:space="preserve">time </w:t>
      </w:r>
      <w:r w:rsidR="00FB1A88" w:rsidRPr="003F059E">
        <w:t xml:space="preserve">pursuant </w:t>
      </w:r>
      <w:r>
        <w:t xml:space="preserve">to </w:t>
      </w:r>
      <w:r w:rsidR="00FB1A88" w:rsidRPr="003F059E">
        <w:t xml:space="preserve">the provisions </w:t>
      </w:r>
      <w:r>
        <w:t xml:space="preserve">of </w:t>
      </w:r>
      <w:r w:rsidR="00FB1A88" w:rsidRPr="003F059E">
        <w:t xml:space="preserve"> </w:t>
      </w:r>
      <w:r w:rsidR="00FB1A88" w:rsidRPr="003F059E">
        <w:fldChar w:fldCharType="begin"/>
      </w:r>
      <w:r w:rsidR="00FB1A88" w:rsidRPr="003F059E">
        <w:instrText xml:space="preserve"> REF _Ref54689603 \w \h  \* MERGEFORMAT </w:instrText>
      </w:r>
      <w:r w:rsidR="00FB1A88" w:rsidRPr="003F059E">
        <w:fldChar w:fldCharType="separate"/>
      </w:r>
      <w:r w:rsidR="00251DBF">
        <w:t>Chapter 14</w:t>
      </w:r>
      <w:r w:rsidR="00FB1A88" w:rsidRPr="003F059E">
        <w:fldChar w:fldCharType="end"/>
      </w:r>
      <w:r w:rsidR="00FB1A88" w:rsidRPr="003F059E">
        <w:t>.</w:t>
      </w:r>
      <w:r w:rsidR="004A4491" w:rsidRPr="003F059E">
        <w:t xml:space="preserve"> The Market Operator </w:t>
      </w:r>
      <w:r>
        <w:t>may</w:t>
      </w:r>
      <w:r w:rsidR="004A4491" w:rsidRPr="003F059E">
        <w:t xml:space="preserve"> delay the</w:t>
      </w:r>
      <w:r>
        <w:t xml:space="preserve"> deregistration of a</w:t>
      </w:r>
      <w:r w:rsidR="004A4491" w:rsidRPr="003F059E">
        <w:t xml:space="preserve"> Contract until the </w:t>
      </w:r>
      <w:r w:rsidR="00100102">
        <w:t>recalculated</w:t>
      </w:r>
      <w:r w:rsidR="00100102" w:rsidRPr="003F059E">
        <w:t xml:space="preserve"> </w:t>
      </w:r>
      <w:r w:rsidR="00100102">
        <w:t>Security</w:t>
      </w:r>
      <w:r w:rsidR="00100102" w:rsidRPr="003F059E">
        <w:t xml:space="preserve"> </w:t>
      </w:r>
      <w:r w:rsidR="004A4491" w:rsidRPr="003F059E">
        <w:t>Cover</w:t>
      </w:r>
      <w:r w:rsidR="00C12195">
        <w:t xml:space="preserve"> and Guarantee Amount</w:t>
      </w:r>
      <w:r w:rsidR="004A4491" w:rsidRPr="003F059E">
        <w:t xml:space="preserve"> is actually </w:t>
      </w:r>
      <w:r w:rsidR="00100102">
        <w:t>received</w:t>
      </w:r>
      <w:r w:rsidR="004A4491" w:rsidRPr="003F059E">
        <w:t xml:space="preserve">. </w:t>
      </w:r>
    </w:p>
    <w:p w14:paraId="316B3BAC" w14:textId="22F9DA3C" w:rsidR="003F059E" w:rsidRDefault="003F059E" w:rsidP="005B295A">
      <w:pPr>
        <w:pStyle w:val="Heading4"/>
        <w:rPr>
          <w:lang w:val="en-US"/>
        </w:rPr>
      </w:pPr>
      <w:r w:rsidRPr="003F059E">
        <w:rPr>
          <w:lang w:val="en-US"/>
        </w:rPr>
        <w:t xml:space="preserve">Regardless of </w:t>
      </w:r>
      <w:r w:rsidR="00100102">
        <w:rPr>
          <w:lang w:val="en-US"/>
        </w:rPr>
        <w:t xml:space="preserve">deregistration of a </w:t>
      </w:r>
      <w:r w:rsidR="003A578F">
        <w:rPr>
          <w:lang w:val="en-US"/>
        </w:rPr>
        <w:t>Contract</w:t>
      </w:r>
      <w:r w:rsidR="00100102">
        <w:rPr>
          <w:lang w:val="en-US"/>
        </w:rPr>
        <w:t>,</w:t>
      </w:r>
      <w:r w:rsidRPr="003F059E">
        <w:rPr>
          <w:lang w:val="en-US"/>
        </w:rPr>
        <w:t xml:space="preserve"> the parties </w:t>
      </w:r>
      <w:r w:rsidR="00100102">
        <w:rPr>
          <w:lang w:val="en-US"/>
        </w:rPr>
        <w:t>shall</w:t>
      </w:r>
      <w:r w:rsidR="00100102" w:rsidRPr="003F059E">
        <w:rPr>
          <w:lang w:val="en-US"/>
        </w:rPr>
        <w:t xml:space="preserve"> </w:t>
      </w:r>
      <w:r w:rsidRPr="003F059E">
        <w:rPr>
          <w:lang w:val="en-US"/>
        </w:rPr>
        <w:t xml:space="preserve">remain </w:t>
      </w:r>
      <w:r w:rsidR="00100102">
        <w:rPr>
          <w:lang w:val="en-US"/>
        </w:rPr>
        <w:t>liable</w:t>
      </w:r>
      <w:r w:rsidR="00100102" w:rsidRPr="003F059E">
        <w:rPr>
          <w:lang w:val="en-US"/>
        </w:rPr>
        <w:t xml:space="preserve"> </w:t>
      </w:r>
      <w:r w:rsidRPr="003F059E">
        <w:rPr>
          <w:lang w:val="en-US"/>
        </w:rPr>
        <w:t xml:space="preserve">for </w:t>
      </w:r>
      <w:r>
        <w:rPr>
          <w:lang w:val="en-US"/>
        </w:rPr>
        <w:t>any outstanding obligation</w:t>
      </w:r>
      <w:r w:rsidR="00100102">
        <w:rPr>
          <w:lang w:val="en-US"/>
        </w:rPr>
        <w:t>s which accrued prior to such deregistration.</w:t>
      </w:r>
      <w:r>
        <w:rPr>
          <w:lang w:val="en-US"/>
        </w:rPr>
        <w:t xml:space="preserve"> </w:t>
      </w:r>
    </w:p>
    <w:p w14:paraId="5666D521" w14:textId="2363F5FD" w:rsidR="00293F8F" w:rsidRDefault="002C7E58" w:rsidP="00C173D0">
      <w:pPr>
        <w:pStyle w:val="Heading2"/>
      </w:pPr>
      <w:bookmarkStart w:id="183" w:name="_Toc64846669"/>
      <w:bookmarkStart w:id="184" w:name="_Toc69476966"/>
      <w:r>
        <w:t xml:space="preserve">Commercial Allocation of </w:t>
      </w:r>
      <w:commentRangeStart w:id="185"/>
      <w:r w:rsidR="00293F8F">
        <w:t>Legacy Contracts</w:t>
      </w:r>
      <w:bookmarkEnd w:id="183"/>
      <w:commentRangeEnd w:id="185"/>
      <w:r w:rsidR="007E14DB">
        <w:rPr>
          <w:rStyle w:val="CommentReference"/>
          <w:rFonts w:eastAsiaTheme="minorHAnsi" w:cstheme="minorBidi"/>
          <w:b w:val="0"/>
          <w:bCs w:val="0"/>
          <w:smallCaps w:val="0"/>
          <w:color w:val="1C1C1C"/>
          <w:u w:val="none"/>
        </w:rPr>
        <w:commentReference w:id="185"/>
      </w:r>
      <w:bookmarkEnd w:id="184"/>
    </w:p>
    <w:p w14:paraId="420B342C" w14:textId="3E0632F6" w:rsidR="00293F8F" w:rsidRDefault="00E06047" w:rsidP="00C173D0">
      <w:pPr>
        <w:pStyle w:val="Heading3"/>
      </w:pPr>
      <w:r>
        <w:t>Commercial Allocation of</w:t>
      </w:r>
      <w:r w:rsidR="002C7E58">
        <w:t xml:space="preserve"> </w:t>
      </w:r>
      <w:r w:rsidR="00293F8F">
        <w:t>legacy contracts</w:t>
      </w:r>
    </w:p>
    <w:p w14:paraId="28265B03" w14:textId="001391C9" w:rsidR="0076484D" w:rsidRDefault="0076484D" w:rsidP="005B295A">
      <w:pPr>
        <w:pStyle w:val="Heading4"/>
      </w:pPr>
      <w:r>
        <w:t xml:space="preserve">All the </w:t>
      </w:r>
      <w:r w:rsidR="009A4CC6">
        <w:t xml:space="preserve">rights and </w:t>
      </w:r>
      <w:r>
        <w:t xml:space="preserve">obligations </w:t>
      </w:r>
      <w:r w:rsidR="00E06047">
        <w:t>arising from</w:t>
      </w:r>
      <w:r>
        <w:t xml:space="preserve"> the Legacy Contracts, including the payments to or </w:t>
      </w:r>
      <w:r w:rsidR="00E06047">
        <w:t xml:space="preserve">by </w:t>
      </w:r>
      <w:r>
        <w:t>the Generators</w:t>
      </w:r>
      <w:r w:rsidR="009A4CC6">
        <w:t>,</w:t>
      </w:r>
      <w:r>
        <w:t xml:space="preserve"> </w:t>
      </w:r>
      <w:r w:rsidR="00E06047">
        <w:t xml:space="preserve">shall </w:t>
      </w:r>
      <w:r>
        <w:t xml:space="preserve">be commercially allocated to </w:t>
      </w:r>
      <w:r w:rsidR="00E06047">
        <w:t xml:space="preserve">EX-WAPDA DISCOs or to K-Electric  providing electric power as </w:t>
      </w:r>
      <w:r w:rsidR="00403C8A">
        <w:t>Supplier</w:t>
      </w:r>
      <w:r>
        <w:t>s</w:t>
      </w:r>
      <w:r w:rsidR="00E06047">
        <w:t xml:space="preserve"> of Last Resort</w:t>
      </w:r>
      <w:r>
        <w:t xml:space="preserve"> . </w:t>
      </w:r>
    </w:p>
    <w:p w14:paraId="5AAD93B0" w14:textId="716C1C80" w:rsidR="009A4CC6" w:rsidRDefault="009A4CC6" w:rsidP="005B295A">
      <w:pPr>
        <w:pStyle w:val="Heading4"/>
      </w:pPr>
      <w:r>
        <w:t xml:space="preserve">All the Energy </w:t>
      </w:r>
      <w:r w:rsidR="00E06047">
        <w:t>provided under the</w:t>
      </w:r>
      <w:r>
        <w:t xml:space="preserve"> Legacy Contracts</w:t>
      </w:r>
      <w:r w:rsidR="00E06047">
        <w:t>,</w:t>
      </w:r>
      <w:r>
        <w:t xml:space="preserve"> the </w:t>
      </w:r>
      <w:r w:rsidR="00E06047">
        <w:t xml:space="preserve">relevant </w:t>
      </w:r>
      <w:r>
        <w:t>Firm Capacity Certificates</w:t>
      </w:r>
      <w:r w:rsidR="00E06047">
        <w:t>,</w:t>
      </w:r>
      <w:r>
        <w:t xml:space="preserve"> the Available Capacity of each Generator and any </w:t>
      </w:r>
      <w:r w:rsidR="00E06047">
        <w:t>amounts</w:t>
      </w:r>
      <w:r>
        <w:t xml:space="preserve"> </w:t>
      </w:r>
      <w:r w:rsidR="00E06047">
        <w:t xml:space="preserve">payable for </w:t>
      </w:r>
      <w:r>
        <w:t xml:space="preserve">the provisions of Ancillary Services or Must Run Generation </w:t>
      </w:r>
      <w:r w:rsidR="00E06047">
        <w:t xml:space="preserve">shall </w:t>
      </w:r>
      <w:r>
        <w:t xml:space="preserve">be commercially allocated to the </w:t>
      </w:r>
      <w:r w:rsidR="00403C8A">
        <w:t xml:space="preserve"> </w:t>
      </w:r>
      <w:r w:rsidR="00E06047">
        <w:t xml:space="preserve">EX-WAPDA DISCOs or to K-Electric  providing electric power as Suppliers of Last Resort as per the Allocation Factors set out in Table 7 in Clause </w:t>
      </w:r>
      <w:r w:rsidR="00E06047">
        <w:fldChar w:fldCharType="begin"/>
      </w:r>
      <w:r w:rsidR="00E06047">
        <w:instrText xml:space="preserve"> REF _Ref64232001 \w \h </w:instrText>
      </w:r>
      <w:r w:rsidR="00E06047">
        <w:fldChar w:fldCharType="separate"/>
      </w:r>
      <w:r w:rsidR="00E06047">
        <w:t>19.2.4.1</w:t>
      </w:r>
      <w:r w:rsidR="00E06047">
        <w:fldChar w:fldCharType="end"/>
      </w:r>
      <w:r>
        <w:t xml:space="preserve">. </w:t>
      </w:r>
    </w:p>
    <w:p w14:paraId="44FEB613" w14:textId="4F2A3194" w:rsidR="00B2756B" w:rsidRDefault="004C7221" w:rsidP="004858B2">
      <w:pPr>
        <w:pStyle w:val="Heading4"/>
      </w:pPr>
      <w:r>
        <w:lastRenderedPageBreak/>
        <w:t xml:space="preserve">Every </w:t>
      </w:r>
      <w:r w:rsidR="002D348C">
        <w:t>[</w:t>
      </w:r>
      <w:r>
        <w:t>three</w:t>
      </w:r>
      <w:r w:rsidR="002D348C">
        <w:t>]</w:t>
      </w:r>
      <w:r>
        <w:t xml:space="preserve"> years, t</w:t>
      </w:r>
      <w:r w:rsidR="00B2756B">
        <w:t xml:space="preserve">he Market Operator shall monitor </w:t>
      </w:r>
      <w:r>
        <w:t xml:space="preserve">and </w:t>
      </w:r>
      <w:r w:rsidR="002D348C">
        <w:t>prepare recommendations for revision of</w:t>
      </w:r>
      <w:r w:rsidR="00B2756B">
        <w:t xml:space="preserve"> the Allocation Factors by comparing them with the Energy and Capacity actually demanded by each EX-WAPDA DISCOs and K-Electric</w:t>
      </w:r>
      <w:r w:rsidR="002D348C">
        <w:t xml:space="preserve"> while also considering their future demand forecast and Capacity commitments</w:t>
      </w:r>
      <w:r w:rsidR="00B2756B">
        <w:t>.</w:t>
      </w:r>
    </w:p>
    <w:p w14:paraId="4E5BEE97" w14:textId="7D52DA8D" w:rsidR="004858B2" w:rsidRDefault="002D348C" w:rsidP="004858B2">
      <w:pPr>
        <w:pStyle w:val="Heading4"/>
      </w:pPr>
      <w:r>
        <w:t>W</w:t>
      </w:r>
      <w:r w:rsidR="004858B2">
        <w:t xml:space="preserve">ithin three [3] months </w:t>
      </w:r>
      <w:r w:rsidR="004C7221">
        <w:t>of</w:t>
      </w:r>
      <w:r w:rsidR="004858B2">
        <w:t xml:space="preserve"> the end of </w:t>
      </w:r>
      <w:r w:rsidR="004C7221">
        <w:t>the</w:t>
      </w:r>
      <w:r w:rsidR="004858B2">
        <w:t xml:space="preserve"> </w:t>
      </w:r>
      <w:r>
        <w:t xml:space="preserve">[third] </w:t>
      </w:r>
      <w:r w:rsidR="004858B2">
        <w:t xml:space="preserve">Fiscal Year, the Market Operator shall </w:t>
      </w:r>
      <w:r w:rsidR="004C7221">
        <w:t>prepare</w:t>
      </w:r>
      <w:r w:rsidR="004858B2">
        <w:t xml:space="preserve"> and submit to the Authority a report on the </w:t>
      </w:r>
      <w:r w:rsidR="004C7221">
        <w:t>commercial a</w:t>
      </w:r>
      <w:r w:rsidR="004858B2">
        <w:t xml:space="preserve">llocation of Legacy Contracts, containing at least: </w:t>
      </w:r>
    </w:p>
    <w:p w14:paraId="41B4432C" w14:textId="527E41E6" w:rsidR="00B2756B" w:rsidRDefault="009F09AE" w:rsidP="00B2756B">
      <w:pPr>
        <w:pStyle w:val="Heading5"/>
      </w:pPr>
      <w:r>
        <w:t>t</w:t>
      </w:r>
      <w:r w:rsidR="00B2756B">
        <w:t>he</w:t>
      </w:r>
      <w:r>
        <w:t xml:space="preserve"> Energy</w:t>
      </w:r>
      <w:r w:rsidRPr="009F09AE">
        <w:t xml:space="preserve"> </w:t>
      </w:r>
      <w:r w:rsidR="004C7221">
        <w:t xml:space="preserve">and </w:t>
      </w:r>
      <w:r>
        <w:t>Capacity</w:t>
      </w:r>
      <w:r w:rsidR="00B2756B">
        <w:t xml:space="preserve"> taken by each EX-WAPDA DISCOs and K-Electric on monthly basis; </w:t>
      </w:r>
    </w:p>
    <w:p w14:paraId="41D3E6C8" w14:textId="7A5F56A5" w:rsidR="00B2756B" w:rsidRDefault="009F09AE" w:rsidP="00B2756B">
      <w:pPr>
        <w:pStyle w:val="Heading5"/>
      </w:pPr>
      <w:r>
        <w:t>t</w:t>
      </w:r>
      <w:r w:rsidR="00B2756B">
        <w:t xml:space="preserve">he total energy generated by Generators </w:t>
      </w:r>
      <w:r w:rsidR="004C7221">
        <w:t>under</w:t>
      </w:r>
      <w:r w:rsidR="00B2756B">
        <w:t xml:space="preserve"> Legacy Contracts, on monthly basis; </w:t>
      </w:r>
    </w:p>
    <w:p w14:paraId="582690C6" w14:textId="4D9AA142" w:rsidR="00B2756B" w:rsidRDefault="009F09AE" w:rsidP="00B2756B">
      <w:pPr>
        <w:pStyle w:val="Heading5"/>
      </w:pPr>
      <w:r>
        <w:t>t</w:t>
      </w:r>
      <w:r w:rsidR="00B2756B">
        <w:t xml:space="preserve">he </w:t>
      </w:r>
      <w:r w:rsidR="004C7221">
        <w:t>Capacity as well as E</w:t>
      </w:r>
      <w:r w:rsidR="00B2756B">
        <w:t xml:space="preserve">nergy allocated to each EX-WAPDA DISCO and K-Electric; </w:t>
      </w:r>
    </w:p>
    <w:p w14:paraId="67E3EFEB" w14:textId="24D31C44" w:rsidR="002D348C" w:rsidRPr="002D348C" w:rsidRDefault="002D348C">
      <w:pPr>
        <w:pStyle w:val="Heading5"/>
      </w:pPr>
      <w:r>
        <w:t>the future demand forecasts of the EX-WAPDA DISCOs and K-Electric and their Capacity commitments</w:t>
      </w:r>
    </w:p>
    <w:p w14:paraId="601D4B92" w14:textId="366A771B" w:rsidR="00B2756B" w:rsidRPr="004858B2" w:rsidRDefault="009F09AE" w:rsidP="00B2756B">
      <w:pPr>
        <w:pStyle w:val="Heading5"/>
      </w:pPr>
      <w:r>
        <w:t>c</w:t>
      </w:r>
      <w:r w:rsidR="00B2756B">
        <w:t xml:space="preserve">omments and suggestions which </w:t>
      </w:r>
      <w:r w:rsidR="00D701FC">
        <w:t>may</w:t>
      </w:r>
      <w:r w:rsidR="00B2756B">
        <w:t xml:space="preserve"> be considered by the Authority, for adjusting the Allocation Factors, if </w:t>
      </w:r>
      <w:r>
        <w:t>deemed</w:t>
      </w:r>
      <w:r w:rsidR="00B2756B">
        <w:t xml:space="preserve"> </w:t>
      </w:r>
      <w:r w:rsidR="00D701FC">
        <w:t>appropriate</w:t>
      </w:r>
      <w:r w:rsidR="00B2756B">
        <w:t xml:space="preserve">. </w:t>
      </w:r>
    </w:p>
    <w:p w14:paraId="5D91F2F8" w14:textId="470E20F2" w:rsidR="00945EF5" w:rsidRPr="00B2756B" w:rsidRDefault="00B2756B" w:rsidP="005B295A">
      <w:pPr>
        <w:pStyle w:val="Heading4"/>
      </w:pPr>
      <w:r w:rsidRPr="00B2756B">
        <w:t xml:space="preserve">Based on the information provided by the Market Operator, the </w:t>
      </w:r>
      <w:r w:rsidR="00945EF5" w:rsidRPr="00B2756B">
        <w:t>Authority may, from time to time</w:t>
      </w:r>
      <w:r w:rsidR="00FD0A25">
        <w:t xml:space="preserve"> and in consultation with the EX-WAPDA DISCOs and K-Electric</w:t>
      </w:r>
      <w:r w:rsidR="00945EF5" w:rsidRPr="00B2756B">
        <w:t>, instruct the adjustment of the Allocation Factors</w:t>
      </w:r>
      <w:r w:rsidR="00D701FC">
        <w:t xml:space="preserve"> through a determination</w:t>
      </w:r>
      <w:r w:rsidR="00945EF5" w:rsidRPr="00B2756B">
        <w:t xml:space="preserve">. </w:t>
      </w:r>
    </w:p>
    <w:p w14:paraId="42DD4604" w14:textId="0412C5C6" w:rsidR="00293F8F" w:rsidRPr="00B2756B" w:rsidRDefault="0076484D" w:rsidP="003F6C4C">
      <w:pPr>
        <w:pStyle w:val="Heading3"/>
      </w:pPr>
      <w:r w:rsidRPr="00B2756B">
        <w:t xml:space="preserve"> </w:t>
      </w:r>
      <w:r w:rsidR="00D701FC">
        <w:t>Registration</w:t>
      </w:r>
      <w:r w:rsidR="00D701FC" w:rsidRPr="00B2756B">
        <w:t xml:space="preserve"> </w:t>
      </w:r>
      <w:r w:rsidR="003F6C4C" w:rsidRPr="00B2756B">
        <w:t>of Commercially Allocated Legacy Contracts</w:t>
      </w:r>
    </w:p>
    <w:p w14:paraId="6AE2CDA5" w14:textId="4E1048B6" w:rsidR="003F6C4C" w:rsidRDefault="00D701FC" w:rsidP="005B295A">
      <w:pPr>
        <w:pStyle w:val="Heading4"/>
      </w:pPr>
      <w:r>
        <w:t xml:space="preserve">Before </w:t>
      </w:r>
      <w:r w:rsidR="003F6C4C">
        <w:t xml:space="preserve">CMOD, the Market Operator shall register all Legacy Contracts in the following </w:t>
      </w:r>
      <w:r>
        <w:t>manner</w:t>
      </w:r>
      <w:r w:rsidR="003F6C4C">
        <w:t xml:space="preserve">: </w:t>
      </w:r>
    </w:p>
    <w:p w14:paraId="57054BA9" w14:textId="5D205D05" w:rsidR="003F6C4C" w:rsidRDefault="00D701FC" w:rsidP="00B03234">
      <w:pPr>
        <w:pStyle w:val="Heading5"/>
      </w:pPr>
      <w:r>
        <w:t>e</w:t>
      </w:r>
      <w:r w:rsidR="003F6C4C">
        <w:t xml:space="preserve">ach Legacy Contract shall be </w:t>
      </w:r>
      <w:r>
        <w:t xml:space="preserve">classified according to the types of </w:t>
      </w:r>
      <w:r w:rsidR="003A578F">
        <w:t>Contract</w:t>
      </w:r>
      <w:r>
        <w:t>s</w:t>
      </w:r>
      <w:r w:rsidR="003F6C4C">
        <w:t xml:space="preserve"> </w:t>
      </w:r>
      <w:r>
        <w:t xml:space="preserve">as set out in </w:t>
      </w:r>
      <w:r w:rsidR="008C02F7">
        <w:t>Sub-Section</w:t>
      </w:r>
      <w:r w:rsidR="003F6C4C">
        <w:t xml:space="preserve"> </w:t>
      </w:r>
      <w:r w:rsidR="003F6C4C">
        <w:fldChar w:fldCharType="begin"/>
      </w:r>
      <w:r w:rsidR="003F6C4C">
        <w:instrText xml:space="preserve"> REF _Ref64232482 \w \h </w:instrText>
      </w:r>
      <w:r w:rsidR="00B450B0">
        <w:instrText xml:space="preserve"> \* MERGEFORMAT </w:instrText>
      </w:r>
      <w:r w:rsidR="003F6C4C">
        <w:fldChar w:fldCharType="separate"/>
      </w:r>
      <w:r w:rsidR="00251DBF">
        <w:t>4.2.2</w:t>
      </w:r>
      <w:r w:rsidR="003F6C4C">
        <w:fldChar w:fldCharType="end"/>
      </w:r>
      <w:r w:rsidR="003F6C4C">
        <w:t xml:space="preserve"> and Section </w:t>
      </w:r>
      <w:r w:rsidR="003F6C4C">
        <w:fldChar w:fldCharType="begin"/>
      </w:r>
      <w:r w:rsidR="003F6C4C">
        <w:instrText xml:space="preserve"> REF _Ref54896999 \w \h </w:instrText>
      </w:r>
      <w:r w:rsidR="00B450B0">
        <w:instrText xml:space="preserve"> \* MERGEFORMAT </w:instrText>
      </w:r>
      <w:r w:rsidR="003F6C4C">
        <w:fldChar w:fldCharType="separate"/>
      </w:r>
      <w:r w:rsidR="00251DBF">
        <w:t>4.3</w:t>
      </w:r>
      <w:r w:rsidR="003F6C4C">
        <w:fldChar w:fldCharType="end"/>
      </w:r>
      <w:r w:rsidR="003F6C4C">
        <w:t xml:space="preserve">. </w:t>
      </w:r>
    </w:p>
    <w:p w14:paraId="05FF63A1" w14:textId="006FC568" w:rsidR="00B450B0" w:rsidRDefault="00D701FC" w:rsidP="00B03234">
      <w:pPr>
        <w:pStyle w:val="Heading5"/>
      </w:pPr>
      <w:r>
        <w:t>e</w:t>
      </w:r>
      <w:r w:rsidR="003F6C4C">
        <w:t xml:space="preserve">ach Legacy Contract </w:t>
      </w:r>
      <w:r>
        <w:t xml:space="preserve">shall </w:t>
      </w:r>
      <w:r w:rsidR="003F6C4C">
        <w:t xml:space="preserve">be registered </w:t>
      </w:r>
      <w:r>
        <w:t xml:space="preserve">with </w:t>
      </w:r>
      <w:r w:rsidR="003F6C4C">
        <w:t xml:space="preserve">the Market Operator </w:t>
      </w:r>
      <w:r w:rsidR="00B450B0">
        <w:t xml:space="preserve">as if there were different </w:t>
      </w:r>
      <w:r w:rsidR="003A578F">
        <w:t>Contract</w:t>
      </w:r>
      <w:r w:rsidR="00B450B0">
        <w:t xml:space="preserve">s with each </w:t>
      </w:r>
      <w:r w:rsidR="00344CEB">
        <w:t xml:space="preserve">EX-WAPDA </w:t>
      </w:r>
      <w:r w:rsidR="00B450B0">
        <w:t xml:space="preserve">DISCO and </w:t>
      </w:r>
      <w:r w:rsidR="00090024">
        <w:t>K-Electric</w:t>
      </w:r>
      <w:r w:rsidR="00B450B0">
        <w:t xml:space="preserve">. </w:t>
      </w:r>
    </w:p>
    <w:p w14:paraId="4B92C5C1" w14:textId="6B661F25" w:rsidR="00B450B0" w:rsidRDefault="00A42C63" w:rsidP="00B03234">
      <w:pPr>
        <w:pStyle w:val="Heading5"/>
      </w:pPr>
      <w:r>
        <w:t>where the Authority decides to modify the Allocation Factors, t</w:t>
      </w:r>
      <w:r w:rsidR="00B450B0">
        <w:t xml:space="preserve">he Contract Register </w:t>
      </w:r>
      <w:r>
        <w:t>shall be updated accordingly</w:t>
      </w:r>
      <w:r w:rsidR="00B450B0">
        <w:t xml:space="preserve">. </w:t>
      </w:r>
    </w:p>
    <w:p w14:paraId="4EE2A0ED" w14:textId="75A74CDD" w:rsidR="00B450B0" w:rsidRDefault="00B450B0" w:rsidP="00B450B0">
      <w:pPr>
        <w:pStyle w:val="Heading3"/>
      </w:pPr>
      <w:r>
        <w:t>Other Existing Contracts at CMOD</w:t>
      </w:r>
    </w:p>
    <w:p w14:paraId="12488FD9" w14:textId="6789057C" w:rsidR="00B450B0" w:rsidRDefault="00A42C63" w:rsidP="005B295A">
      <w:pPr>
        <w:pStyle w:val="Heading4"/>
      </w:pPr>
      <w:r>
        <w:t xml:space="preserve">The bilateral contracts, other than Legacy Contracts, which were executed by the </w:t>
      </w:r>
      <w:r w:rsidR="00B450B0">
        <w:t>Market Participants</w:t>
      </w:r>
      <w:r>
        <w:t xml:space="preserve"> before CMOD shall be registered with the Market Operator according to the provisions of Section </w:t>
      </w:r>
      <w:r>
        <w:fldChar w:fldCharType="begin"/>
      </w:r>
      <w:r>
        <w:instrText xml:space="preserve"> REF _Ref63967394 \w \h  \* MERGEFORMAT </w:instrText>
      </w:r>
      <w:r>
        <w:fldChar w:fldCharType="separate"/>
      </w:r>
      <w:r>
        <w:t>4.5</w:t>
      </w:r>
      <w:r>
        <w:fldChar w:fldCharType="end"/>
      </w:r>
      <w:r w:rsidR="00B450B0">
        <w:t>.</w:t>
      </w:r>
    </w:p>
    <w:p w14:paraId="2E3CA6B5" w14:textId="38B776EF" w:rsidR="00B450B0" w:rsidRPr="00B450B0" w:rsidRDefault="00B450B0" w:rsidP="005B295A">
      <w:pPr>
        <w:pStyle w:val="Heading4"/>
      </w:pPr>
      <w:r>
        <w:t xml:space="preserve">If required, </w:t>
      </w:r>
      <w:r w:rsidR="00A42C63">
        <w:t xml:space="preserve">the parties may negotiate and revise the terms and conditions of the </w:t>
      </w:r>
      <w:r>
        <w:t xml:space="preserve">existing </w:t>
      </w:r>
      <w:r w:rsidR="00A42C63">
        <w:t>b</w:t>
      </w:r>
      <w:r w:rsidR="001C333B">
        <w:t>ilateral</w:t>
      </w:r>
      <w:r>
        <w:t xml:space="preserve"> </w:t>
      </w:r>
      <w:r w:rsidR="00A42C63">
        <w:t>c</w:t>
      </w:r>
      <w:r w:rsidR="003A578F">
        <w:t>ontract</w:t>
      </w:r>
      <w:r>
        <w:t>s</w:t>
      </w:r>
      <w:r w:rsidR="00A42C63">
        <w:t>, other than Legacy Contracts, in order to make them compatible with the CTBCM and this Code.</w:t>
      </w:r>
      <w:r w:rsidR="006A5115">
        <w:t xml:space="preserve"> </w:t>
      </w:r>
    </w:p>
    <w:p w14:paraId="55124BCD" w14:textId="6A090771" w:rsidR="00293F8F" w:rsidRDefault="00293F8F">
      <w:pPr>
        <w:spacing w:line="240" w:lineRule="auto"/>
        <w:rPr>
          <w:rFonts w:eastAsiaTheme="majorEastAsia" w:cstheme="majorBidi"/>
          <w:b/>
          <w:bCs/>
          <w:smallCaps/>
          <w:color w:val="00153F" w:themeColor="accent1" w:themeShade="80"/>
          <w:sz w:val="34"/>
          <w:szCs w:val="32"/>
        </w:rPr>
      </w:pPr>
      <w:r>
        <w:br w:type="page"/>
      </w:r>
    </w:p>
    <w:p w14:paraId="015D6F9E" w14:textId="1A106C79" w:rsidR="00293F8F" w:rsidRDefault="00293F8F" w:rsidP="00A40A5D">
      <w:pPr>
        <w:pStyle w:val="Heading1"/>
      </w:pPr>
      <w:bookmarkStart w:id="186" w:name="_Toc64846670"/>
      <w:bookmarkStart w:id="187" w:name="_Toc69476967"/>
      <w:bookmarkStart w:id="188" w:name="_Ref76854808"/>
      <w:r w:rsidRPr="001868FE">
        <w:lastRenderedPageBreak/>
        <w:t>COMMERCIAL METERING SYSTEM</w:t>
      </w:r>
      <w:bookmarkEnd w:id="186"/>
      <w:bookmarkEnd w:id="187"/>
      <w:bookmarkEnd w:id="188"/>
    </w:p>
    <w:p w14:paraId="47952B56" w14:textId="2F9F32F5" w:rsidR="003E3A86" w:rsidRDefault="001C4A85" w:rsidP="00C173D0">
      <w:pPr>
        <w:pStyle w:val="Heading2"/>
      </w:pPr>
      <w:bookmarkStart w:id="189" w:name="_Toc64846671"/>
      <w:bookmarkStart w:id="190" w:name="_Toc69476968"/>
      <w:r w:rsidRPr="001868FE">
        <w:t>Commercial Metering Requirements</w:t>
      </w:r>
      <w:bookmarkEnd w:id="189"/>
      <w:bookmarkEnd w:id="190"/>
    </w:p>
    <w:p w14:paraId="40AC5065" w14:textId="77777777" w:rsidR="003E3A86" w:rsidRPr="00B26419" w:rsidRDefault="003E3A86" w:rsidP="00C173D0">
      <w:pPr>
        <w:pStyle w:val="Heading3"/>
      </w:pPr>
      <w:r>
        <w:t>General Requirements</w:t>
      </w:r>
    </w:p>
    <w:p w14:paraId="2D94F77A" w14:textId="77CA7AA0" w:rsidR="003E3A86" w:rsidRPr="003858A9" w:rsidRDefault="003E3A86" w:rsidP="005B295A">
      <w:pPr>
        <w:pStyle w:val="Heading4"/>
      </w:pPr>
      <w:bookmarkStart w:id="191" w:name="_Ref63881972"/>
      <w:r w:rsidRPr="003858A9">
        <w:t xml:space="preserve">All </w:t>
      </w:r>
      <w:r w:rsidR="007056BE">
        <w:t xml:space="preserve">Metering Points </w:t>
      </w:r>
      <w:r w:rsidRPr="003858A9">
        <w:t xml:space="preserve">shall be </w:t>
      </w:r>
      <w:r w:rsidR="00A24455">
        <w:t>equipped</w:t>
      </w:r>
      <w:r w:rsidR="00A24455" w:rsidRPr="003858A9">
        <w:t xml:space="preserve"> </w:t>
      </w:r>
      <w:r w:rsidRPr="003858A9">
        <w:t xml:space="preserve">with a Commercial Metering System which complies with the provisions of </w:t>
      </w:r>
      <w:r w:rsidR="00F05124">
        <w:t>this Code</w:t>
      </w:r>
      <w:r w:rsidR="00533505">
        <w:t>,</w:t>
      </w:r>
      <w:r w:rsidRPr="003858A9">
        <w:t xml:space="preserve"> the Grid or Distribution Code, as </w:t>
      </w:r>
      <w:r w:rsidR="00A24455">
        <w:t>applicable</w:t>
      </w:r>
      <w:r w:rsidRPr="003858A9">
        <w:t>.</w:t>
      </w:r>
      <w:bookmarkEnd w:id="191"/>
      <w:r w:rsidRPr="003858A9">
        <w:t xml:space="preserve"> </w:t>
      </w:r>
    </w:p>
    <w:p w14:paraId="46E6D36B" w14:textId="428E80EC" w:rsidR="003E3A86" w:rsidRPr="003858A9" w:rsidRDefault="00D144E7" w:rsidP="005B295A">
      <w:pPr>
        <w:pStyle w:val="Heading4"/>
      </w:pPr>
      <w:bookmarkStart w:id="192" w:name="_Ref63881986"/>
      <w:bookmarkStart w:id="193" w:name="_Hlk64560272"/>
      <w:r>
        <w:t>Metering Points</w:t>
      </w:r>
      <w:r w:rsidR="00A24455">
        <w:t xml:space="preserve"> shall, </w:t>
      </w:r>
      <w:r w:rsidR="00A24455" w:rsidRPr="00A24455">
        <w:rPr>
          <w:i/>
          <w:iCs w:val="0"/>
        </w:rPr>
        <w:t>inter alia</w:t>
      </w:r>
      <w:r w:rsidR="00A24455">
        <w:t xml:space="preserve">, </w:t>
      </w:r>
      <w:r w:rsidR="003E3A86" w:rsidRPr="003858A9">
        <w:t>include:</w:t>
      </w:r>
      <w:bookmarkEnd w:id="192"/>
      <w:r w:rsidR="003E3A86" w:rsidRPr="003858A9">
        <w:t xml:space="preserve"> </w:t>
      </w:r>
    </w:p>
    <w:p w14:paraId="4134B147" w14:textId="6FF4C61B" w:rsidR="003E3A86" w:rsidRPr="000E176E" w:rsidRDefault="00A24455" w:rsidP="00B03234">
      <w:pPr>
        <w:pStyle w:val="Heading5"/>
      </w:pPr>
      <w:r>
        <w:t>i</w:t>
      </w:r>
      <w:r w:rsidR="003E3A86" w:rsidRPr="003858A9">
        <w:t xml:space="preserve">nterface </w:t>
      </w:r>
      <w:r w:rsidR="003E3A86" w:rsidRPr="000E176E">
        <w:t xml:space="preserve">between a Market Participant and </w:t>
      </w:r>
      <w:r w:rsidR="003E3A86">
        <w:t>a Transmission Licensee</w:t>
      </w:r>
      <w:r w:rsidR="003E3A86" w:rsidRPr="000E176E">
        <w:t>;</w:t>
      </w:r>
    </w:p>
    <w:p w14:paraId="1D81DB0B" w14:textId="4F897514" w:rsidR="003E3A86" w:rsidRPr="000E176E" w:rsidRDefault="00A24455" w:rsidP="00B03234">
      <w:pPr>
        <w:pStyle w:val="Heading5"/>
      </w:pPr>
      <w:r>
        <w:t>i</w:t>
      </w:r>
      <w:r w:rsidR="003E3A86" w:rsidRPr="000E176E">
        <w:t xml:space="preserve">nterface between a Market Participant and a </w:t>
      </w:r>
      <w:r w:rsidR="003E3A86">
        <w:t>Distribution Licensee</w:t>
      </w:r>
      <w:r w:rsidR="003E3A86" w:rsidRPr="000E176E">
        <w:t xml:space="preserve">; </w:t>
      </w:r>
    </w:p>
    <w:p w14:paraId="19BCFE34" w14:textId="675D70CE" w:rsidR="003E3A86" w:rsidRPr="000E176E" w:rsidRDefault="00A24455" w:rsidP="00B03234">
      <w:pPr>
        <w:pStyle w:val="Heading5"/>
      </w:pPr>
      <w:r>
        <w:t>i</w:t>
      </w:r>
      <w:r w:rsidR="003E3A86" w:rsidRPr="000E176E">
        <w:t xml:space="preserve">nterface between two different Market Participants; </w:t>
      </w:r>
    </w:p>
    <w:p w14:paraId="3DD35D2C" w14:textId="06BD884C" w:rsidR="003E3A86" w:rsidRDefault="00A24455" w:rsidP="00B03234">
      <w:pPr>
        <w:pStyle w:val="Heading5"/>
      </w:pPr>
      <w:r>
        <w:t>i</w:t>
      </w:r>
      <w:r w:rsidR="003E3A86" w:rsidRPr="000E176E">
        <w:t xml:space="preserve">nterface between </w:t>
      </w:r>
      <w:r w:rsidR="003E3A86">
        <w:t>a Transmission Licensee and a Distribution Licensee</w:t>
      </w:r>
      <w:r>
        <w:t>;</w:t>
      </w:r>
    </w:p>
    <w:p w14:paraId="70AA28C4" w14:textId="30228FF2" w:rsidR="003E3A86" w:rsidRDefault="00A24455" w:rsidP="00B03234">
      <w:pPr>
        <w:pStyle w:val="Heading5"/>
      </w:pPr>
      <w:r>
        <w:t>i</w:t>
      </w:r>
      <w:r w:rsidR="003E3A86">
        <w:t xml:space="preserve">nterface between two different Transmission Licensees; </w:t>
      </w:r>
    </w:p>
    <w:p w14:paraId="4AEAD87F" w14:textId="38F90391" w:rsidR="003E3A86" w:rsidRDefault="00A24455" w:rsidP="00B03234">
      <w:pPr>
        <w:pStyle w:val="Heading5"/>
      </w:pPr>
      <w:r>
        <w:t>i</w:t>
      </w:r>
      <w:r w:rsidR="003E3A86">
        <w:t xml:space="preserve">nterface between two different Distribution Licensees; </w:t>
      </w:r>
    </w:p>
    <w:p w14:paraId="7C37B64F" w14:textId="1EBD33AF" w:rsidR="007010DA" w:rsidRDefault="00A24455" w:rsidP="00B03234">
      <w:pPr>
        <w:pStyle w:val="Heading5"/>
      </w:pPr>
      <w:r>
        <w:t>i</w:t>
      </w:r>
      <w:r w:rsidR="003E3A86" w:rsidRPr="000E176E">
        <w:t xml:space="preserve">nterface between </w:t>
      </w:r>
      <w:r w:rsidR="003E3A86">
        <w:t>a Transmission Licensee or Distribution Licensee</w:t>
      </w:r>
      <w:r w:rsidR="003E3A86" w:rsidRPr="000E176E">
        <w:t xml:space="preserve">, and authorized </w:t>
      </w:r>
      <w:r>
        <w:t>entities</w:t>
      </w:r>
      <w:r w:rsidRPr="000E176E">
        <w:t xml:space="preserve"> </w:t>
      </w:r>
      <w:r w:rsidR="003E3A86" w:rsidRPr="000E176E">
        <w:t>from other countries, involved in international power trade;</w:t>
      </w:r>
    </w:p>
    <w:p w14:paraId="2E804C31" w14:textId="114339C6" w:rsidR="003E3A86" w:rsidRPr="000E176E" w:rsidRDefault="00A24455" w:rsidP="00B03234">
      <w:pPr>
        <w:pStyle w:val="Heading5"/>
      </w:pPr>
      <w:r>
        <w:t>i</w:t>
      </w:r>
      <w:r w:rsidR="007010DA">
        <w:t xml:space="preserve">nterface between a Transmission Licensee or Distribution Licensee,  and companies or </w:t>
      </w:r>
      <w:r>
        <w:t xml:space="preserve">entities </w:t>
      </w:r>
      <w:r w:rsidR="007010DA" w:rsidRPr="007010DA">
        <w:t>located in territories where the applicability of the Act is not extended;</w:t>
      </w:r>
      <w:r w:rsidR="003E3A86" w:rsidRPr="000E176E">
        <w:t xml:space="preserve"> </w:t>
      </w:r>
    </w:p>
    <w:p w14:paraId="3749D13E" w14:textId="75996E0C" w:rsidR="00C45350" w:rsidRDefault="00A24455" w:rsidP="00B03234">
      <w:pPr>
        <w:pStyle w:val="Heading5"/>
      </w:pPr>
      <w:r>
        <w:t>i</w:t>
      </w:r>
      <w:r w:rsidR="003E3A86" w:rsidRPr="000E176E">
        <w:t xml:space="preserve">nterfaces between </w:t>
      </w:r>
      <w:r w:rsidR="003E3A86">
        <w:t xml:space="preserve">a Distribution Licensee and </w:t>
      </w:r>
      <w:commentRangeStart w:id="194"/>
      <w:r w:rsidR="007010DA">
        <w:t>Embedded</w:t>
      </w:r>
      <w:r w:rsidR="003E3A86">
        <w:t xml:space="preserve"> Generat</w:t>
      </w:r>
      <w:r w:rsidR="000D7D25">
        <w:t>ion</w:t>
      </w:r>
      <w:r w:rsidR="003E3A86" w:rsidRPr="000E176E">
        <w:t xml:space="preserve"> </w:t>
      </w:r>
      <w:commentRangeEnd w:id="194"/>
      <w:r w:rsidR="007923B9">
        <w:rPr>
          <w:rStyle w:val="CommentReference"/>
          <w:rFonts w:eastAsiaTheme="minorHAnsi" w:cstheme="minorBidi"/>
          <w:color w:val="1C1C1C"/>
        </w:rPr>
        <w:commentReference w:id="194"/>
      </w:r>
    </w:p>
    <w:p w14:paraId="474DB6DB" w14:textId="3933AB0C" w:rsidR="00814DD9" w:rsidRPr="00814DD9" w:rsidRDefault="00814DD9" w:rsidP="00363383">
      <w:pPr>
        <w:pStyle w:val="Heading5"/>
      </w:pPr>
      <w:r>
        <w:t xml:space="preserve">an interface </w:t>
      </w:r>
      <w:r w:rsidRPr="00F94998">
        <w:t>of a Generator</w:t>
      </w:r>
      <w:r w:rsidR="00F94998" w:rsidRPr="00F94998">
        <w:t xml:space="preserve"> </w:t>
      </w:r>
      <w:r w:rsidR="00F94998" w:rsidRPr="00B03C4A">
        <w:t>with the Transmission or Distribution Network</w:t>
      </w:r>
      <w:r w:rsidRPr="00F94998">
        <w:t xml:space="preserve"> </w:t>
      </w:r>
      <w:r w:rsidR="00F94998" w:rsidRPr="00F94998">
        <w:t xml:space="preserve">where the Generator is </w:t>
      </w:r>
      <w:r w:rsidRPr="00F94998">
        <w:t xml:space="preserve">selling electric power through a Legacy Contract or </w:t>
      </w:r>
      <w:r w:rsidR="00F94998" w:rsidRPr="00B03C4A">
        <w:t>is</w:t>
      </w:r>
      <w:r w:rsidRPr="00F94998">
        <w:t xml:space="preserve"> owned by </w:t>
      </w:r>
      <w:r w:rsidR="00363383" w:rsidRPr="00F94998">
        <w:t xml:space="preserve">a </w:t>
      </w:r>
      <w:r w:rsidRPr="00F94998">
        <w:t>Market Participant</w:t>
      </w:r>
      <w:r w:rsidR="00F94998">
        <w:t>,</w:t>
      </w:r>
      <w:r w:rsidRPr="00F94998">
        <w:t xml:space="preserve"> </w:t>
      </w:r>
      <w:r w:rsidR="00F94998" w:rsidRPr="00B03C4A">
        <w:t>who</w:t>
      </w:r>
      <w:r w:rsidR="00685064" w:rsidRPr="00F94998">
        <w:t xml:space="preserve"> </w:t>
      </w:r>
      <w:r w:rsidR="00F94998" w:rsidRPr="00B03C4A">
        <w:t>also owns the</w:t>
      </w:r>
      <w:r w:rsidR="00685064" w:rsidRPr="00F94998">
        <w:t xml:space="preserve"> Transmission or Distribution </w:t>
      </w:r>
      <w:r w:rsidR="00F94998" w:rsidRPr="00B03C4A">
        <w:t>Network</w:t>
      </w:r>
      <w:r w:rsidR="00F94998">
        <w:t>,</w:t>
      </w:r>
      <w:r w:rsidR="00685064" w:rsidRPr="00F94998">
        <w:t xml:space="preserve"> </w:t>
      </w:r>
      <w:r w:rsidR="00F94998" w:rsidRPr="00B03C4A">
        <w:t>and</w:t>
      </w:r>
      <w:r w:rsidRPr="00F94998">
        <w:t xml:space="preserve"> the Energy or Capacity needs to be measure</w:t>
      </w:r>
      <w:r w:rsidR="00FD0A25" w:rsidRPr="00F94998">
        <w:t>d</w:t>
      </w:r>
      <w:r w:rsidRPr="00F94998">
        <w:t xml:space="preserve"> </w:t>
      </w:r>
      <w:r w:rsidR="00F94998" w:rsidRPr="00B03C4A">
        <w:t xml:space="preserve">at such </w:t>
      </w:r>
      <w:r w:rsidR="00447795">
        <w:t>point</w:t>
      </w:r>
      <w:r w:rsidR="00F94998" w:rsidRPr="00B03C4A">
        <w:t xml:space="preserve"> </w:t>
      </w:r>
      <w:r w:rsidRPr="00F94998">
        <w:t>for proper implementation of this Code.</w:t>
      </w:r>
      <w:r>
        <w:t xml:space="preserve"> </w:t>
      </w:r>
    </w:p>
    <w:bookmarkEnd w:id="193"/>
    <w:p w14:paraId="5BF2A848" w14:textId="6615AFB3" w:rsidR="003E3A86" w:rsidRPr="008F6773" w:rsidRDefault="003E3A86" w:rsidP="00C173D0">
      <w:pPr>
        <w:pStyle w:val="Heading3"/>
      </w:pPr>
      <w:r>
        <w:t>Responsibilities of</w:t>
      </w:r>
      <w:r w:rsidRPr="001868FE">
        <w:t xml:space="preserve"> Metering Service Providers </w:t>
      </w:r>
    </w:p>
    <w:p w14:paraId="45855DB9" w14:textId="624F9CEB" w:rsidR="00FD0A25" w:rsidRDefault="00FF284A" w:rsidP="005B295A">
      <w:pPr>
        <w:pStyle w:val="Heading4"/>
      </w:pPr>
      <w:bookmarkStart w:id="195" w:name="_Ref53953100"/>
      <w:r>
        <w:t>The responsibility for performing the meter read</w:t>
      </w:r>
      <w:r w:rsidR="00363383">
        <w:t>ing</w:t>
      </w:r>
      <w:r>
        <w:t xml:space="preserve"> at each Metering Point, perform</w:t>
      </w:r>
      <w:r w:rsidR="00363383">
        <w:t>ing the</w:t>
      </w:r>
      <w:r>
        <w:t xml:space="preserve"> validity checks and </w:t>
      </w:r>
      <w:r w:rsidR="00363383">
        <w:t xml:space="preserve">transferring </w:t>
      </w:r>
      <w:r>
        <w:t>the information</w:t>
      </w:r>
      <w:r w:rsidR="00363383">
        <w:t xml:space="preserve"> thereof</w:t>
      </w:r>
      <w:r>
        <w:t xml:space="preserve"> to the Market Operator </w:t>
      </w:r>
      <w:r w:rsidR="00363383">
        <w:t xml:space="preserve">shall </w:t>
      </w:r>
      <w:r>
        <w:t xml:space="preserve">be assigned to </w:t>
      </w:r>
      <w:r w:rsidR="00363383">
        <w:t xml:space="preserve">the </w:t>
      </w:r>
      <w:r>
        <w:t>Metering Service Providers</w:t>
      </w:r>
      <w:r w:rsidR="005E7C0E">
        <w:t>.</w:t>
      </w:r>
      <w:r>
        <w:t xml:space="preserve"> </w:t>
      </w:r>
    </w:p>
    <w:p w14:paraId="42AC7AF5" w14:textId="7E0B553E" w:rsidR="00FF284A" w:rsidRDefault="00FF284A" w:rsidP="005B295A">
      <w:pPr>
        <w:pStyle w:val="Heading4"/>
      </w:pPr>
      <w:r>
        <w:t xml:space="preserve">Each Metering Point shall be assigned </w:t>
      </w:r>
      <w:r w:rsidR="00363383">
        <w:t xml:space="preserve">to </w:t>
      </w:r>
      <w:r>
        <w:t xml:space="preserve">only one Metering Service Provider. </w:t>
      </w:r>
    </w:p>
    <w:p w14:paraId="5B8999B2" w14:textId="3BC3735C" w:rsidR="007010DA" w:rsidRPr="007010DA" w:rsidRDefault="00053F29" w:rsidP="005B295A">
      <w:pPr>
        <w:pStyle w:val="Heading4"/>
      </w:pPr>
      <w:r>
        <w:t>Every</w:t>
      </w:r>
      <w:r w:rsidR="00363383">
        <w:t xml:space="preserve"> </w:t>
      </w:r>
      <w:r w:rsidR="007010DA">
        <w:t>Metring Service Providers shall be registered with the Market Operator</w:t>
      </w:r>
      <w:r w:rsidR="00363383">
        <w:t xml:space="preserve"> as a Service Provider</w:t>
      </w:r>
      <w:r w:rsidR="00E46382">
        <w:t>.</w:t>
      </w:r>
    </w:p>
    <w:p w14:paraId="072EA82D" w14:textId="13D236AB" w:rsidR="003E3A86" w:rsidRPr="003E3A86" w:rsidRDefault="003E3A86" w:rsidP="005B295A">
      <w:pPr>
        <w:pStyle w:val="Heading4"/>
      </w:pPr>
      <w:bookmarkStart w:id="196" w:name="_Ref66210076"/>
      <w:r w:rsidRPr="003E3A86">
        <w:t xml:space="preserve">An </w:t>
      </w:r>
      <w:r w:rsidR="007010DA">
        <w:t>authorised</w:t>
      </w:r>
      <w:r w:rsidR="007010DA" w:rsidRPr="003E3A86">
        <w:t xml:space="preserve"> </w:t>
      </w:r>
      <w:r w:rsidRPr="003E3A86">
        <w:t>Metering Service Provider</w:t>
      </w:r>
      <w:r w:rsidR="00205DF6">
        <w:t xml:space="preserve">, in addition to its responsibilities assigned under the Grid Code, </w:t>
      </w:r>
      <w:r w:rsidRPr="003E3A86">
        <w:t>shall:</w:t>
      </w:r>
      <w:bookmarkEnd w:id="195"/>
      <w:bookmarkEnd w:id="196"/>
    </w:p>
    <w:p w14:paraId="42CE4032" w14:textId="486994B3" w:rsidR="00C903FE" w:rsidRDefault="00FD0A25" w:rsidP="00B03234">
      <w:pPr>
        <w:pStyle w:val="Heading5"/>
      </w:pPr>
      <w:r>
        <w:t>i</w:t>
      </w:r>
      <w:r w:rsidR="00C903FE">
        <w:t>nstall Secured Metering System at all Metering Points assigned to it;</w:t>
      </w:r>
    </w:p>
    <w:p w14:paraId="23F68DE8" w14:textId="0846F030" w:rsidR="003E3A86" w:rsidRPr="005A3A41" w:rsidRDefault="00053F29" w:rsidP="00B03234">
      <w:pPr>
        <w:pStyle w:val="Heading5"/>
      </w:pPr>
      <w:r>
        <w:t>c</w:t>
      </w:r>
      <w:r w:rsidR="003E3A86" w:rsidRPr="005A3A41">
        <w:t>reate</w:t>
      </w:r>
      <w:r>
        <w:t xml:space="preserve"> and maintain a central register and ensure proper functioning of  a</w:t>
      </w:r>
      <w:r w:rsidR="00F17AA8" w:rsidRPr="00844AEE">
        <w:t xml:space="preserve">ll </w:t>
      </w:r>
      <w:r w:rsidR="00D144E7" w:rsidRPr="00844AEE">
        <w:t>the Metering Points</w:t>
      </w:r>
      <w:r w:rsidR="003E3A86" w:rsidRPr="00844AEE">
        <w:t xml:space="preserve"> for which it is responsible;</w:t>
      </w:r>
    </w:p>
    <w:p w14:paraId="44AEC2AA" w14:textId="2479058E" w:rsidR="003E3A86" w:rsidRPr="003E3A86" w:rsidRDefault="00053F29" w:rsidP="00B03234">
      <w:pPr>
        <w:pStyle w:val="Heading5"/>
      </w:pPr>
      <w:r>
        <w:t>e</w:t>
      </w:r>
      <w:r w:rsidR="003E3A86" w:rsidRPr="003E3A86">
        <w:t>nsure timely execution of verification, calibration, and technical inspection of the Commercial Metering Syste</w:t>
      </w:r>
      <w:r w:rsidR="003E3A86">
        <w:t>m;</w:t>
      </w:r>
      <w:r w:rsidR="003E3A86" w:rsidRPr="003E3A86">
        <w:t xml:space="preserve"> </w:t>
      </w:r>
    </w:p>
    <w:p w14:paraId="7F6ED53C" w14:textId="33F895D1" w:rsidR="003E3A86" w:rsidRPr="003E3A86" w:rsidRDefault="00053F29" w:rsidP="00B03234">
      <w:pPr>
        <w:pStyle w:val="Heading5"/>
      </w:pPr>
      <w:r>
        <w:t>c</w:t>
      </w:r>
      <w:r w:rsidR="003E3A86" w:rsidRPr="003E3A86">
        <w:t xml:space="preserve">ollect metering results from all the </w:t>
      </w:r>
      <w:r w:rsidR="003E3A86" w:rsidRPr="00FD0A25">
        <w:t xml:space="preserve">meters </w:t>
      </w:r>
      <w:r w:rsidR="003E3A86" w:rsidRPr="00B03C4A">
        <w:t>for which it is responsible</w:t>
      </w:r>
      <w:r w:rsidR="003E3A86" w:rsidRPr="00FD0A25">
        <w:t>.</w:t>
      </w:r>
      <w:r w:rsidR="003E3A86" w:rsidRPr="003E3A86">
        <w:t xml:space="preserve"> </w:t>
      </w:r>
    </w:p>
    <w:p w14:paraId="59F76B10" w14:textId="20CC5709" w:rsidR="003E3A86" w:rsidRPr="003E3A86" w:rsidRDefault="00053F29" w:rsidP="00B03234">
      <w:pPr>
        <w:pStyle w:val="Heading5"/>
      </w:pPr>
      <w:r>
        <w:lastRenderedPageBreak/>
        <w:t>p</w:t>
      </w:r>
      <w:r w:rsidR="003E3A86" w:rsidRPr="003E3A86">
        <w:t xml:space="preserve">erform the central aggregation of metering data </w:t>
      </w:r>
      <w:r>
        <w:t xml:space="preserve">and </w:t>
      </w:r>
      <w:r w:rsidR="003E3A86" w:rsidRPr="003E3A86">
        <w:t>determ</w:t>
      </w:r>
      <w:r>
        <w:t>ine the accuracy thereof</w:t>
      </w:r>
      <w:r w:rsidR="003E3A86" w:rsidRPr="003E3A86">
        <w:t>;</w:t>
      </w:r>
    </w:p>
    <w:p w14:paraId="03D31FDB" w14:textId="671C9521" w:rsidR="003E3A86" w:rsidRPr="003E3A86" w:rsidRDefault="00053F29" w:rsidP="00B03234">
      <w:pPr>
        <w:pStyle w:val="Heading5"/>
      </w:pPr>
      <w:r>
        <w:t>develop</w:t>
      </w:r>
      <w:r w:rsidR="003E3A86" w:rsidRPr="003E3A86">
        <w:t xml:space="preserve"> procedures for restoration</w:t>
      </w:r>
      <w:r>
        <w:t>,</w:t>
      </w:r>
      <w:r w:rsidR="003E3A86" w:rsidRPr="003E3A86">
        <w:t xml:space="preserve"> </w:t>
      </w:r>
      <w:r w:rsidRPr="003E3A86">
        <w:t xml:space="preserve"> </w:t>
      </w:r>
      <w:r w:rsidR="003E3A86" w:rsidRPr="003E3A86">
        <w:t>validation or replacement of the metering data;</w:t>
      </w:r>
    </w:p>
    <w:p w14:paraId="5579BC45" w14:textId="3AE646B1" w:rsidR="003E3A86" w:rsidRPr="003E3A86" w:rsidRDefault="00053F29" w:rsidP="00B03234">
      <w:pPr>
        <w:pStyle w:val="Heading5"/>
      </w:pPr>
      <w:r>
        <w:t>set up</w:t>
      </w:r>
      <w:r w:rsidR="003E3A86" w:rsidRPr="003E3A86">
        <w:t xml:space="preserve"> communication channels </w:t>
      </w:r>
      <w:r w:rsidR="003F596E">
        <w:t xml:space="preserve">for providing remote </w:t>
      </w:r>
      <w:r w:rsidR="003E3A86" w:rsidRPr="003E3A86">
        <w:t>reading of the metering data</w:t>
      </w:r>
      <w:r w:rsidR="00F17AA8">
        <w:t>;</w:t>
      </w:r>
    </w:p>
    <w:p w14:paraId="3A38873F" w14:textId="0F6346CF" w:rsidR="003E3A86" w:rsidRPr="00F17AA8" w:rsidRDefault="00053F29" w:rsidP="00B03234">
      <w:pPr>
        <w:pStyle w:val="Heading5"/>
      </w:pPr>
      <w:r>
        <w:t>s</w:t>
      </w:r>
      <w:r w:rsidR="003E3A86" w:rsidRPr="00F17AA8">
        <w:t>ubmit the aggregated and validated metering data to the Market Operator in accordance with this Code;</w:t>
      </w:r>
    </w:p>
    <w:p w14:paraId="25A9501C" w14:textId="13B5ECF8" w:rsidR="003E3A86" w:rsidRPr="00F17AA8" w:rsidRDefault="00053F29" w:rsidP="00B03234">
      <w:pPr>
        <w:pStyle w:val="Heading5"/>
      </w:pPr>
      <w:r>
        <w:t>c</w:t>
      </w:r>
      <w:r w:rsidR="003E3A86" w:rsidRPr="00F17AA8">
        <w:t xml:space="preserve">reate, maintain and ensure </w:t>
      </w:r>
      <w:r w:rsidR="003F596E">
        <w:t>proper</w:t>
      </w:r>
      <w:r w:rsidR="003F596E" w:rsidRPr="00F17AA8">
        <w:t xml:space="preserve"> </w:t>
      </w:r>
      <w:r w:rsidR="003E3A86" w:rsidRPr="00F17AA8">
        <w:t>functioning of the electronic database of the metering data;</w:t>
      </w:r>
    </w:p>
    <w:p w14:paraId="6B72FBF0" w14:textId="3EDE5632" w:rsidR="003E3A86" w:rsidRDefault="00053F29" w:rsidP="00B03234">
      <w:pPr>
        <w:pStyle w:val="Heading5"/>
      </w:pPr>
      <w:r>
        <w:t>e</w:t>
      </w:r>
      <w:r w:rsidR="003E3A86" w:rsidRPr="00F17AA8">
        <w:t xml:space="preserve">nsure the storage and archiving of the metering data and the data </w:t>
      </w:r>
      <w:r w:rsidR="003F596E">
        <w:t>regarding</w:t>
      </w:r>
      <w:r w:rsidR="003F596E" w:rsidRPr="00F17AA8">
        <w:t xml:space="preserve"> </w:t>
      </w:r>
      <w:r w:rsidR="003E3A86" w:rsidRPr="00F17AA8">
        <w:t>technical condition</w:t>
      </w:r>
      <w:r w:rsidR="003F596E">
        <w:t>s</w:t>
      </w:r>
      <w:r w:rsidR="003E3A86" w:rsidRPr="00F17AA8">
        <w:t xml:space="preserve"> of the Commercial Metering System, in appropriate electronic </w:t>
      </w:r>
      <w:r w:rsidR="00F17AA8" w:rsidRPr="00F17AA8">
        <w:t>databases.</w:t>
      </w:r>
    </w:p>
    <w:p w14:paraId="7B81197C" w14:textId="3D152CFF" w:rsidR="005A3A41" w:rsidRDefault="003F596E" w:rsidP="00C173D0">
      <w:pPr>
        <w:pStyle w:val="Heading3"/>
      </w:pPr>
      <w:r>
        <w:t xml:space="preserve">Registration </w:t>
      </w:r>
      <w:r w:rsidR="005A3A41">
        <w:t xml:space="preserve">of Metering </w:t>
      </w:r>
      <w:r w:rsidR="005A3A41" w:rsidRPr="00DE70DD">
        <w:t>Service</w:t>
      </w:r>
      <w:r w:rsidR="005A3A41">
        <w:t xml:space="preserve"> Providers</w:t>
      </w:r>
      <w:r>
        <w:t xml:space="preserve"> with the Authority</w:t>
      </w:r>
    </w:p>
    <w:p w14:paraId="0695D874" w14:textId="62163118" w:rsidR="005A3A41" w:rsidRPr="00E772E1" w:rsidRDefault="003F596E" w:rsidP="005B295A">
      <w:pPr>
        <w:pStyle w:val="Heading4"/>
      </w:pPr>
      <w:r>
        <w:t>If required, each Metering Service Provider shall be registered with the Authority</w:t>
      </w:r>
      <w:r w:rsidR="005A3A41" w:rsidRPr="00E772E1">
        <w:t xml:space="preserve">. </w:t>
      </w:r>
    </w:p>
    <w:p w14:paraId="085686A0" w14:textId="6328B7BC" w:rsidR="00F17AA8" w:rsidRPr="006553D0" w:rsidRDefault="001C4A85" w:rsidP="00C173D0">
      <w:pPr>
        <w:pStyle w:val="Heading2"/>
      </w:pPr>
      <w:bookmarkStart w:id="197" w:name="_Toc64846672"/>
      <w:bookmarkStart w:id="198" w:name="_Toc69476969"/>
      <w:r w:rsidRPr="006553D0">
        <w:t xml:space="preserve">Meter Reading </w:t>
      </w:r>
      <w:r>
        <w:t>a</w:t>
      </w:r>
      <w:r w:rsidRPr="006553D0">
        <w:t>nd Data Collection</w:t>
      </w:r>
      <w:bookmarkEnd w:id="197"/>
      <w:bookmarkEnd w:id="198"/>
    </w:p>
    <w:p w14:paraId="47A0B4E1" w14:textId="22FF517E" w:rsidR="00D144E7" w:rsidRDefault="00D144E7" w:rsidP="00C173D0">
      <w:pPr>
        <w:pStyle w:val="Heading3"/>
      </w:pPr>
      <w:r>
        <w:t>General</w:t>
      </w:r>
    </w:p>
    <w:p w14:paraId="10F8344E" w14:textId="77856106" w:rsidR="00AD6D42" w:rsidRDefault="00D144E7" w:rsidP="005B295A">
      <w:pPr>
        <w:pStyle w:val="Heading4"/>
      </w:pPr>
      <w:r w:rsidRPr="0068544F">
        <w:t xml:space="preserve">Capacity and </w:t>
      </w:r>
      <w:r w:rsidR="006E61CE">
        <w:t>E</w:t>
      </w:r>
      <w:r w:rsidR="006E61CE" w:rsidRPr="0068544F">
        <w:t xml:space="preserve">nergy </w:t>
      </w:r>
      <w:r w:rsidR="003F596E">
        <w:t xml:space="preserve">values </w:t>
      </w:r>
      <w:r w:rsidRPr="0068544F">
        <w:t>used for market settlement shall be measured through the Commercial Metering System</w:t>
      </w:r>
      <w:r w:rsidR="00AD6D42">
        <w:t>, operated by the Metering Service Provider</w:t>
      </w:r>
      <w:r w:rsidRPr="0068544F">
        <w:t xml:space="preserve">. </w:t>
      </w:r>
    </w:p>
    <w:p w14:paraId="046E4046" w14:textId="6F18B198" w:rsidR="00AD6D42" w:rsidRDefault="00D144E7" w:rsidP="005B295A">
      <w:pPr>
        <w:pStyle w:val="Heading4"/>
      </w:pPr>
      <w:r w:rsidRPr="0068544F">
        <w:t>Collection of metering data f</w:t>
      </w:r>
      <w:r w:rsidR="003F596E">
        <w:t>rom</w:t>
      </w:r>
      <w:r w:rsidRPr="0068544F">
        <w:t xml:space="preserve"> the </w:t>
      </w:r>
      <w:r w:rsidR="00AD6D42">
        <w:t>Metering Points shall be</w:t>
      </w:r>
      <w:r w:rsidR="003F596E">
        <w:t xml:space="preserve"> carried out:</w:t>
      </w:r>
      <w:r w:rsidR="00AD6D42">
        <w:t xml:space="preserve"> </w:t>
      </w:r>
    </w:p>
    <w:p w14:paraId="175EB726" w14:textId="60A44B28" w:rsidR="00AD6D42" w:rsidRDefault="00FD0A25" w:rsidP="00B03234">
      <w:pPr>
        <w:pStyle w:val="Heading5"/>
      </w:pPr>
      <w:r>
        <w:t>o</w:t>
      </w:r>
      <w:r w:rsidR="00AD6D42">
        <w:t>n daily basis, through the Secure</w:t>
      </w:r>
      <w:r w:rsidR="003F596E">
        <w:t>d</w:t>
      </w:r>
      <w:r w:rsidR="00AD6D42">
        <w:t xml:space="preserve"> Metering System (SMS);</w:t>
      </w:r>
    </w:p>
    <w:p w14:paraId="0E7DFC97" w14:textId="63EA1388" w:rsidR="00D144E7" w:rsidRPr="0068544F" w:rsidRDefault="00FD0A25" w:rsidP="00B03234">
      <w:pPr>
        <w:pStyle w:val="Heading5"/>
      </w:pPr>
      <w:bookmarkStart w:id="199" w:name="_Ref69925597"/>
      <w:r>
        <w:t>i</w:t>
      </w:r>
      <w:r w:rsidR="00C903FE">
        <w:t>n case of failure of the Secured Metering System, o</w:t>
      </w:r>
      <w:r w:rsidR="00D144E7" w:rsidRPr="0068544F">
        <w:t xml:space="preserve">n a </w:t>
      </w:r>
      <w:r w:rsidR="006E61CE">
        <w:t>weekly</w:t>
      </w:r>
      <w:r w:rsidR="006E61CE" w:rsidRPr="0068544F">
        <w:t xml:space="preserve"> </w:t>
      </w:r>
      <w:r w:rsidR="00D144E7" w:rsidRPr="0068544F">
        <w:t xml:space="preserve">basis, on the </w:t>
      </w:r>
      <w:r w:rsidR="006E61CE">
        <w:t xml:space="preserve">first </w:t>
      </w:r>
      <w:r w:rsidR="00C903FE">
        <w:t>B</w:t>
      </w:r>
      <w:r w:rsidR="00D144E7" w:rsidRPr="0068544F">
        <w:t xml:space="preserve">usiness </w:t>
      </w:r>
      <w:r w:rsidR="00C903FE">
        <w:t>D</w:t>
      </w:r>
      <w:r w:rsidR="00D144E7" w:rsidRPr="0068544F">
        <w:t xml:space="preserve">ay of each </w:t>
      </w:r>
      <w:r w:rsidR="006E61CE">
        <w:t xml:space="preserve">week for values </w:t>
      </w:r>
      <w:r w:rsidR="00C903FE">
        <w:t>of the previous</w:t>
      </w:r>
      <w:r w:rsidR="006E61CE">
        <w:t xml:space="preserve"> week</w:t>
      </w:r>
      <w:r w:rsidR="00AD6D42">
        <w:t xml:space="preserve">, </w:t>
      </w:r>
      <w:r w:rsidR="00C903FE">
        <w:t xml:space="preserve">as provided under </w:t>
      </w:r>
      <w:r w:rsidR="008C02F7">
        <w:t>Sub-Section</w:t>
      </w:r>
      <w:r w:rsidR="009117E7">
        <w:t xml:space="preserve"> </w:t>
      </w:r>
      <w:r w:rsidR="009117E7">
        <w:fldChar w:fldCharType="begin"/>
      </w:r>
      <w:r w:rsidR="009117E7">
        <w:instrText xml:space="preserve"> REF _Ref69926474 \w \h </w:instrText>
      </w:r>
      <w:r w:rsidR="009117E7">
        <w:fldChar w:fldCharType="separate"/>
      </w:r>
      <w:r w:rsidR="009117E7">
        <w:t>19.2.2</w:t>
      </w:r>
      <w:r w:rsidR="009117E7">
        <w:fldChar w:fldCharType="end"/>
      </w:r>
      <w:r w:rsidR="00AD6D42">
        <w:t>.</w:t>
      </w:r>
      <w:bookmarkEnd w:id="199"/>
      <w:r w:rsidR="00AD6D42">
        <w:t xml:space="preserve"> </w:t>
      </w:r>
    </w:p>
    <w:p w14:paraId="124FD5C5" w14:textId="6C5108E4" w:rsidR="00D144E7" w:rsidRPr="0068544F" w:rsidRDefault="006E61CE" w:rsidP="005B295A">
      <w:pPr>
        <w:pStyle w:val="Heading4"/>
      </w:pPr>
      <w:r>
        <w:t xml:space="preserve">NTDC, </w:t>
      </w:r>
      <w:r w:rsidR="00F04F37">
        <w:t>appointed as</w:t>
      </w:r>
      <w:r w:rsidR="00C903FE">
        <w:t xml:space="preserve"> </w:t>
      </w:r>
      <w:r>
        <w:t xml:space="preserve">MSP </w:t>
      </w:r>
      <w:r w:rsidR="00C903FE">
        <w:t xml:space="preserve"> under Cla</w:t>
      </w:r>
      <w:r>
        <w:t>use</w:t>
      </w:r>
      <w:r w:rsidR="00E63336">
        <w:t xml:space="preserve"> </w:t>
      </w:r>
      <w:r w:rsidR="00E63336">
        <w:fldChar w:fldCharType="begin"/>
      </w:r>
      <w:r w:rsidR="00E63336">
        <w:instrText xml:space="preserve"> REF _Ref64316838 \r \h </w:instrText>
      </w:r>
      <w:r w:rsidR="00E63336">
        <w:fldChar w:fldCharType="separate"/>
      </w:r>
      <w:r w:rsidR="00251DBF">
        <w:t>19.2.1.1</w:t>
      </w:r>
      <w:r w:rsidR="00E63336">
        <w:fldChar w:fldCharType="end"/>
      </w:r>
      <w:r>
        <w:t>,</w:t>
      </w:r>
      <w:r w:rsidR="00CD21F5">
        <w:t xml:space="preserve"> shall develop and </w:t>
      </w:r>
      <w:r w:rsidR="00C903FE">
        <w:t xml:space="preserve">submit </w:t>
      </w:r>
      <w:r w:rsidR="00CD21F5">
        <w:t xml:space="preserve">to the Market Operator for approval, </w:t>
      </w:r>
      <w:r w:rsidR="00E97557">
        <w:t>a CCOP</w:t>
      </w:r>
      <w:r w:rsidR="00D144E7" w:rsidRPr="0068544F">
        <w:t xml:space="preserve"> for </w:t>
      </w:r>
      <w:r w:rsidR="00C903FE">
        <w:t>m</w:t>
      </w:r>
      <w:r w:rsidR="00D144E7" w:rsidRPr="0068544F">
        <w:t xml:space="preserve">eter </w:t>
      </w:r>
      <w:r w:rsidR="00C903FE">
        <w:t>r</w:t>
      </w:r>
      <w:r w:rsidR="00D144E7" w:rsidRPr="0068544F">
        <w:t xml:space="preserve">eading and </w:t>
      </w:r>
      <w:r w:rsidR="00C903FE">
        <w:t>d</w:t>
      </w:r>
      <w:r w:rsidR="00D144E7" w:rsidRPr="0068544F">
        <w:t xml:space="preserve">ata </w:t>
      </w:r>
      <w:r w:rsidR="00C903FE">
        <w:t>c</w:t>
      </w:r>
      <w:r w:rsidR="00D144E7" w:rsidRPr="0068544F">
        <w:t>ollection</w:t>
      </w:r>
      <w:r w:rsidR="00CD21F5">
        <w:t xml:space="preserve">, </w:t>
      </w:r>
      <w:r w:rsidR="00D144E7" w:rsidRPr="0068544F">
        <w:t xml:space="preserve">in accordance with the Grid Code and </w:t>
      </w:r>
      <w:r w:rsidR="00F05124">
        <w:t>this Code</w:t>
      </w:r>
      <w:r w:rsidR="00D144E7" w:rsidRPr="0068544F">
        <w:t>.</w:t>
      </w:r>
    </w:p>
    <w:p w14:paraId="7ACD1E06" w14:textId="6B3A26E5" w:rsidR="00D144E7" w:rsidRPr="0068544F" w:rsidRDefault="00D144E7" w:rsidP="005B295A">
      <w:pPr>
        <w:pStyle w:val="Heading4"/>
      </w:pPr>
      <w:r w:rsidRPr="0068544F">
        <w:t xml:space="preserve">The Metering Service Provider shall </w:t>
      </w:r>
      <w:r w:rsidR="00F04F37">
        <w:t>submit a certificate to the</w:t>
      </w:r>
      <w:r w:rsidR="00F04F37" w:rsidRPr="0068544F">
        <w:t xml:space="preserve"> </w:t>
      </w:r>
      <w:r w:rsidR="00CD21F5">
        <w:t>Market Operator</w:t>
      </w:r>
      <w:r w:rsidR="00F04F37">
        <w:t xml:space="preserve"> to the effect</w:t>
      </w:r>
      <w:r w:rsidR="000A0657">
        <w:t xml:space="preserve"> that the Commercial Metering System installed at the Metering Points complies with the requirements </w:t>
      </w:r>
      <w:r w:rsidR="00F76031">
        <w:t>of</w:t>
      </w:r>
      <w:r w:rsidR="000A0657">
        <w:t xml:space="preserve"> this Code and the Grid Code.</w:t>
      </w:r>
      <w:r w:rsidRPr="0068544F">
        <w:t xml:space="preserve"> </w:t>
      </w:r>
      <w:r w:rsidR="000A0657">
        <w:t xml:space="preserve">The Metering Service Provider shall organize and keep </w:t>
      </w:r>
      <w:r w:rsidR="00F04F37">
        <w:t xml:space="preserve">complete and accurate </w:t>
      </w:r>
      <w:r w:rsidR="000A0657">
        <w:t>record containing</w:t>
      </w:r>
      <w:r w:rsidR="00F04F37">
        <w:t xml:space="preserve"> all the </w:t>
      </w:r>
      <w:r w:rsidR="000A0657">
        <w:t>information regarding the</w:t>
      </w:r>
      <w:r w:rsidR="00F04F37">
        <w:t xml:space="preserve"> </w:t>
      </w:r>
      <w:r w:rsidR="00F76031">
        <w:t xml:space="preserve">installation, </w:t>
      </w:r>
      <w:r w:rsidR="00F04F37" w:rsidRPr="0068544F">
        <w:t>commissioning and testing</w:t>
      </w:r>
      <w:r w:rsidR="00F04F37">
        <w:t xml:space="preserve"> of</w:t>
      </w:r>
      <w:r w:rsidRPr="0068544F">
        <w:t xml:space="preserve"> </w:t>
      </w:r>
      <w:r w:rsidR="00F76031">
        <w:t>the</w:t>
      </w:r>
      <w:r w:rsidR="00F76031" w:rsidRPr="0068544F">
        <w:t xml:space="preserve"> </w:t>
      </w:r>
      <w:r w:rsidRPr="0068544F">
        <w:t>metering systems.</w:t>
      </w:r>
    </w:p>
    <w:p w14:paraId="7A775F0B" w14:textId="1A5BCA5D" w:rsidR="00F17AA8" w:rsidRDefault="00F17AA8" w:rsidP="00C173D0">
      <w:pPr>
        <w:pStyle w:val="Heading3"/>
      </w:pPr>
      <w:r w:rsidRPr="006553D0">
        <w:t xml:space="preserve">Reading and Collection </w:t>
      </w:r>
      <w:r w:rsidR="00F76031">
        <w:t xml:space="preserve">of data </w:t>
      </w:r>
      <w:r w:rsidRPr="006553D0">
        <w:t>through the Secure</w:t>
      </w:r>
      <w:r w:rsidR="00F76031">
        <w:t>d</w:t>
      </w:r>
      <w:r w:rsidRPr="006553D0">
        <w:t xml:space="preserve"> Metering System</w:t>
      </w:r>
    </w:p>
    <w:p w14:paraId="6E8D349F" w14:textId="1AA41896" w:rsidR="00CD21F5" w:rsidRPr="00CD21F5" w:rsidRDefault="00D144E7" w:rsidP="005B295A">
      <w:pPr>
        <w:pStyle w:val="Heading4"/>
      </w:pPr>
      <w:r w:rsidRPr="00D144E7">
        <w:t>The Meter</w:t>
      </w:r>
      <w:r>
        <w:t xml:space="preserve">ing </w:t>
      </w:r>
      <w:r w:rsidR="006E61CE">
        <w:t xml:space="preserve">Service </w:t>
      </w:r>
      <w:r>
        <w:t xml:space="preserve">Provider </w:t>
      </w:r>
      <w:r w:rsidRPr="00D144E7">
        <w:t>shall implement</w:t>
      </w:r>
      <w:r>
        <w:t xml:space="preserve"> a</w:t>
      </w:r>
      <w:r w:rsidRPr="00D144E7">
        <w:t xml:space="preserve"> </w:t>
      </w:r>
      <w:r>
        <w:t>Secure</w:t>
      </w:r>
      <w:r w:rsidR="00F76031">
        <w:t>d</w:t>
      </w:r>
      <w:r>
        <w:t xml:space="preserve"> Metering System</w:t>
      </w:r>
      <w:r w:rsidR="00CD21F5">
        <w:t xml:space="preserve">, </w:t>
      </w:r>
      <w:r w:rsidRPr="00D144E7">
        <w:t xml:space="preserve">to collect and process </w:t>
      </w:r>
      <w:r>
        <w:t>all</w:t>
      </w:r>
      <w:r w:rsidRPr="00D144E7">
        <w:t xml:space="preserve"> the commercial metering data from</w:t>
      </w:r>
      <w:r w:rsidR="00F76031">
        <w:t xml:space="preserve"> the</w:t>
      </w:r>
      <w:r w:rsidRPr="00D144E7">
        <w:t xml:space="preserve"> </w:t>
      </w:r>
      <w:r w:rsidR="00F76031">
        <w:t xml:space="preserve">relevant </w:t>
      </w:r>
      <w:r w:rsidRPr="00CD21F5">
        <w:t xml:space="preserve">Metering Points, </w:t>
      </w:r>
      <w:r w:rsidR="007C214C">
        <w:t xml:space="preserve">and </w:t>
      </w:r>
      <w:r w:rsidR="00F76031">
        <w:t xml:space="preserve">electronically </w:t>
      </w:r>
      <w:r w:rsidR="007C214C">
        <w:t>transfer the metring information to the Market Operator</w:t>
      </w:r>
      <w:r w:rsidRPr="00CD21F5">
        <w:t xml:space="preserve">. </w:t>
      </w:r>
    </w:p>
    <w:p w14:paraId="4462CAA1" w14:textId="244FEE96" w:rsidR="00D144E7" w:rsidRPr="00CD21F5" w:rsidRDefault="00D144E7" w:rsidP="005B295A">
      <w:pPr>
        <w:pStyle w:val="Heading4"/>
      </w:pPr>
      <w:r w:rsidRPr="00CD21F5">
        <w:t>The Mete</w:t>
      </w:r>
      <w:r w:rsidR="00041F6B" w:rsidRPr="00CD21F5">
        <w:t xml:space="preserve">ring Service Provider </w:t>
      </w:r>
      <w:r w:rsidRPr="000A0657">
        <w:t>shall perform Automatic Meter Reading of the values registered at all the Meter</w:t>
      </w:r>
      <w:r w:rsidR="00041F6B" w:rsidRPr="000A0657">
        <w:t xml:space="preserve">ing Points </w:t>
      </w:r>
      <w:r w:rsidRPr="000A0657">
        <w:t xml:space="preserve">integrated into its </w:t>
      </w:r>
      <w:r w:rsidR="00041F6B" w:rsidRPr="000A0657">
        <w:t>Secure</w:t>
      </w:r>
      <w:r w:rsidR="00F76031">
        <w:t>d</w:t>
      </w:r>
      <w:r w:rsidR="00041F6B" w:rsidRPr="000A0657">
        <w:t xml:space="preserve"> Metering System</w:t>
      </w:r>
      <w:r w:rsidR="00CD21F5" w:rsidRPr="000A0657">
        <w:t>, e</w:t>
      </w:r>
      <w:r w:rsidRPr="000A0657">
        <w:t>very day, between 00:00:00 and 23:59:59 o</w:t>
      </w:r>
      <w:r w:rsidR="00EF5324" w:rsidRPr="000A0657">
        <w:t>n</w:t>
      </w:r>
      <w:r w:rsidRPr="000A0657">
        <w:t xml:space="preserve"> the following day (D+1)</w:t>
      </w:r>
      <w:r w:rsidR="000A0657" w:rsidRPr="000A0657">
        <w:t xml:space="preserve">, or any other shorter period that may be </w:t>
      </w:r>
      <w:r w:rsidR="00F76031">
        <w:t>provided</w:t>
      </w:r>
      <w:r w:rsidR="00F76031" w:rsidRPr="000A0657">
        <w:t xml:space="preserve"> </w:t>
      </w:r>
      <w:r w:rsidR="000A0657" w:rsidRPr="000A0657">
        <w:t>in the CCOP</w:t>
      </w:r>
      <w:r w:rsidR="00CD21F5" w:rsidRPr="000A0657">
        <w:t>.</w:t>
      </w:r>
    </w:p>
    <w:p w14:paraId="1D044ED8" w14:textId="1B46E025" w:rsidR="00D144E7" w:rsidRPr="00CD21F5" w:rsidRDefault="00D144E7" w:rsidP="005B295A">
      <w:pPr>
        <w:pStyle w:val="Heading4"/>
      </w:pPr>
      <w:bookmarkStart w:id="200" w:name="_Ref64723033"/>
      <w:r w:rsidRPr="00CD21F5">
        <w:lastRenderedPageBreak/>
        <w:t xml:space="preserve">The </w:t>
      </w:r>
      <w:r w:rsidR="00041F6B" w:rsidRPr="00CD21F5">
        <w:t>Secure</w:t>
      </w:r>
      <w:r w:rsidR="00F76031">
        <w:t>d</w:t>
      </w:r>
      <w:r w:rsidR="00041F6B" w:rsidRPr="00CD21F5">
        <w:t xml:space="preserve"> Metering System</w:t>
      </w:r>
      <w:r w:rsidRPr="00CD21F5">
        <w:t xml:space="preserve"> shall collect information </w:t>
      </w:r>
      <w:r w:rsidR="00AC3E9F">
        <w:t>from</w:t>
      </w:r>
      <w:r w:rsidR="00AC3E9F" w:rsidRPr="00CD21F5">
        <w:t xml:space="preserve"> </w:t>
      </w:r>
      <w:r w:rsidRPr="00CD21F5">
        <w:t xml:space="preserve">all Meters </w:t>
      </w:r>
      <w:r w:rsidR="00AC3E9F">
        <w:t>located</w:t>
      </w:r>
      <w:r w:rsidR="00AC3E9F" w:rsidRPr="00CD21F5">
        <w:t xml:space="preserve"> </w:t>
      </w:r>
      <w:r w:rsidRPr="00CD21F5">
        <w:t xml:space="preserve">at a </w:t>
      </w:r>
      <w:r w:rsidR="00041F6B" w:rsidRPr="00CD21F5">
        <w:t>Metering</w:t>
      </w:r>
      <w:r w:rsidRPr="00CD21F5">
        <w:t xml:space="preserve"> Point, including the </w:t>
      </w:r>
      <w:r w:rsidR="00300E29">
        <w:t>Main</w:t>
      </w:r>
      <w:r w:rsidR="00300E29" w:rsidRPr="00CD21F5">
        <w:t xml:space="preserve"> </w:t>
      </w:r>
      <w:r w:rsidRPr="00CD21F5">
        <w:t>Meter</w:t>
      </w:r>
      <w:r w:rsidR="00C2566F">
        <w:t xml:space="preserve"> and, if applicable, the</w:t>
      </w:r>
      <w:r w:rsidRPr="00CD21F5">
        <w:t xml:space="preserve"> </w:t>
      </w:r>
      <w:r w:rsidR="00EF5324">
        <w:t>Back</w:t>
      </w:r>
      <w:r w:rsidR="00C2566F">
        <w:t>-u</w:t>
      </w:r>
      <w:r w:rsidR="00EF5324">
        <w:t>p</w:t>
      </w:r>
      <w:r w:rsidR="00EF5324" w:rsidRPr="00CD21F5">
        <w:t xml:space="preserve"> </w:t>
      </w:r>
      <w:r w:rsidRPr="00CD21F5">
        <w:t>Meter</w:t>
      </w:r>
      <w:r w:rsidR="00C2566F">
        <w:t>,</w:t>
      </w:r>
      <w:r w:rsidRPr="00CD21F5">
        <w:t xml:space="preserve">  </w:t>
      </w:r>
      <w:r w:rsidR="00AC3E9F">
        <w:t>according to</w:t>
      </w:r>
      <w:r w:rsidRPr="00CD21F5">
        <w:t xml:space="preserve"> the </w:t>
      </w:r>
      <w:r w:rsidR="00AC3E9F">
        <w:t xml:space="preserve">provisions of the </w:t>
      </w:r>
      <w:r w:rsidR="00CD21F5" w:rsidRPr="00CD21F5">
        <w:t>Grid Code</w:t>
      </w:r>
      <w:r w:rsidRPr="00CD21F5">
        <w:t>.</w:t>
      </w:r>
      <w:bookmarkEnd w:id="200"/>
      <w:r w:rsidRPr="00CD21F5">
        <w:t xml:space="preserve"> </w:t>
      </w:r>
    </w:p>
    <w:p w14:paraId="49516B77" w14:textId="56E4D5F8" w:rsidR="00D144E7" w:rsidRPr="00CD21F5" w:rsidRDefault="00D144E7" w:rsidP="005B295A">
      <w:pPr>
        <w:pStyle w:val="Heading4"/>
      </w:pPr>
      <w:r w:rsidRPr="00CD21F5">
        <w:t xml:space="preserve">The information collected by the </w:t>
      </w:r>
      <w:r w:rsidR="00601519" w:rsidRPr="00CD21F5">
        <w:t>Secure Metering System</w:t>
      </w:r>
      <w:r w:rsidRPr="00CD21F5">
        <w:t xml:space="preserve"> shall include</w:t>
      </w:r>
      <w:r w:rsidR="00AC3E9F">
        <w:t xml:space="preserve">, </w:t>
      </w:r>
      <w:r w:rsidR="00AC3E9F" w:rsidRPr="00AC3E9F">
        <w:rPr>
          <w:i/>
          <w:iCs w:val="0"/>
        </w:rPr>
        <w:t>inter alia</w:t>
      </w:r>
      <w:r w:rsidR="00AC3E9F">
        <w:t>, the following</w:t>
      </w:r>
      <w:r w:rsidRPr="00CD21F5">
        <w:t xml:space="preserve">: </w:t>
      </w:r>
    </w:p>
    <w:p w14:paraId="53949A82" w14:textId="6DA49FC1" w:rsidR="00D144E7" w:rsidRPr="00CD21F5" w:rsidRDefault="00AC3E9F" w:rsidP="00B03234">
      <w:pPr>
        <w:pStyle w:val="Heading5"/>
      </w:pPr>
      <w:r>
        <w:t>h</w:t>
      </w:r>
      <w:r w:rsidR="00EF5324">
        <w:t>alf-h</w:t>
      </w:r>
      <w:r w:rsidR="00D144E7" w:rsidRPr="00CD21F5">
        <w:t xml:space="preserve">ourly </w:t>
      </w:r>
      <w:r>
        <w:t>values</w:t>
      </w:r>
      <w:r w:rsidRPr="00CD21F5">
        <w:t xml:space="preserve"> </w:t>
      </w:r>
      <w:r w:rsidR="00D144E7" w:rsidRPr="00CD21F5">
        <w:t xml:space="preserve">of active </w:t>
      </w:r>
      <w:r w:rsidR="00EF5324" w:rsidRPr="00EF5324">
        <w:t>E</w:t>
      </w:r>
      <w:r w:rsidR="00D144E7" w:rsidRPr="00EF5324">
        <w:t>nergy</w:t>
      </w:r>
      <w:r>
        <w:t xml:space="preserve"> and,</w:t>
      </w:r>
      <w:r w:rsidR="00D144E7" w:rsidRPr="00EF5324">
        <w:t xml:space="preserve"> if </w:t>
      </w:r>
      <w:r>
        <w:t>required, the reactive Energy</w:t>
      </w:r>
      <w:r w:rsidR="00D144E7" w:rsidRPr="00EF5324">
        <w:t xml:space="preserve">, </w:t>
      </w:r>
      <w:r>
        <w:t xml:space="preserve">along </w:t>
      </w:r>
      <w:r w:rsidR="00D144E7" w:rsidRPr="00EF5324">
        <w:t>with</w:t>
      </w:r>
      <w:r w:rsidR="00D144E7" w:rsidRPr="00CD21F5">
        <w:t xml:space="preserve"> time stamps; </w:t>
      </w:r>
    </w:p>
    <w:p w14:paraId="7D720CDA" w14:textId="1EE1772E" w:rsidR="00D144E7" w:rsidRPr="00CD21F5" w:rsidRDefault="00AC3E9F" w:rsidP="00B03234">
      <w:pPr>
        <w:pStyle w:val="Heading5"/>
      </w:pPr>
      <w:r>
        <w:t>a</w:t>
      </w:r>
      <w:r w:rsidR="00D144E7" w:rsidRPr="00CD21F5">
        <w:t xml:space="preserve">ccumulated </w:t>
      </w:r>
      <w:r>
        <w:t>values</w:t>
      </w:r>
      <w:r w:rsidRPr="00CD21F5">
        <w:t xml:space="preserve"> </w:t>
      </w:r>
      <w:r w:rsidR="00D144E7" w:rsidRPr="00CD21F5">
        <w:t xml:space="preserve">of </w:t>
      </w:r>
      <w:r w:rsidRPr="00CD21F5">
        <w:t xml:space="preserve">active </w:t>
      </w:r>
      <w:r w:rsidRPr="00EF5324">
        <w:t>Energy</w:t>
      </w:r>
      <w:r>
        <w:t xml:space="preserve"> and,</w:t>
      </w:r>
      <w:r w:rsidRPr="00EF5324">
        <w:t xml:space="preserve"> if </w:t>
      </w:r>
      <w:r>
        <w:t>required, the reactive Energy</w:t>
      </w:r>
      <w:r w:rsidRPr="00EF5324">
        <w:t xml:space="preserve">, </w:t>
      </w:r>
      <w:r>
        <w:t xml:space="preserve"> </w:t>
      </w:r>
      <w:r w:rsidR="00D144E7" w:rsidRPr="00C2566F">
        <w:t>for</w:t>
      </w:r>
      <w:r w:rsidR="00D144E7" w:rsidRPr="00CD21F5">
        <w:t xml:space="preserve"> the previous day; </w:t>
      </w:r>
    </w:p>
    <w:p w14:paraId="1B64139D" w14:textId="57EB725E" w:rsidR="00D144E7" w:rsidRPr="00CD21F5" w:rsidRDefault="00AC3E9F" w:rsidP="00B03234">
      <w:pPr>
        <w:pStyle w:val="Heading5"/>
      </w:pPr>
      <w:r>
        <w:t>a</w:t>
      </w:r>
      <w:r w:rsidR="00D144E7" w:rsidRPr="00CD21F5">
        <w:t xml:space="preserve">larms and event logs </w:t>
      </w:r>
      <w:r>
        <w:t>generated</w:t>
      </w:r>
      <w:r w:rsidRPr="00CD21F5">
        <w:t xml:space="preserve"> </w:t>
      </w:r>
      <w:r w:rsidR="00D144E7" w:rsidRPr="00CD21F5">
        <w:t>by the Meter</w:t>
      </w:r>
      <w:r w:rsidR="004C3867">
        <w:t>s</w:t>
      </w:r>
      <w:r w:rsidR="00D144E7" w:rsidRPr="00CD21F5">
        <w:t xml:space="preserve">; </w:t>
      </w:r>
    </w:p>
    <w:p w14:paraId="695130CB" w14:textId="77E01132" w:rsidR="00D144E7" w:rsidRPr="00CD21F5" w:rsidRDefault="00AC3E9F" w:rsidP="00B03234">
      <w:pPr>
        <w:pStyle w:val="Heading5"/>
      </w:pPr>
      <w:r>
        <w:t>accuracy and other q</w:t>
      </w:r>
      <w:r w:rsidR="00D144E7" w:rsidRPr="00CD21F5">
        <w:t xml:space="preserve">ualificators of the </w:t>
      </w:r>
      <w:r>
        <w:t xml:space="preserve">values </w:t>
      </w:r>
      <w:r w:rsidR="004C3867">
        <w:t>recorded</w:t>
      </w:r>
      <w:r w:rsidR="00D144E7" w:rsidRPr="00CD21F5">
        <w:t xml:space="preserve"> if the Meter </w:t>
      </w:r>
      <w:r>
        <w:t>generate</w:t>
      </w:r>
      <w:r w:rsidRPr="00CD21F5">
        <w:t xml:space="preserve"> </w:t>
      </w:r>
      <w:r w:rsidR="00D144E7" w:rsidRPr="00CD21F5">
        <w:t>such kind of information</w:t>
      </w:r>
      <w:r>
        <w:t>;</w:t>
      </w:r>
    </w:p>
    <w:p w14:paraId="6AC9D5E0" w14:textId="5360DB56" w:rsidR="00D144E7" w:rsidRPr="00CD21F5" w:rsidRDefault="00AC3E9F" w:rsidP="00B03234">
      <w:pPr>
        <w:pStyle w:val="Heading5"/>
      </w:pPr>
      <w:r>
        <w:t xml:space="preserve">necessary </w:t>
      </w:r>
      <w:r w:rsidR="00D144E7" w:rsidRPr="00CD21F5">
        <w:t>time and date stamps.</w:t>
      </w:r>
    </w:p>
    <w:p w14:paraId="5C1EF56C" w14:textId="24C43974" w:rsidR="00D144E7" w:rsidRPr="005A3A41" w:rsidRDefault="004C3867" w:rsidP="005B295A">
      <w:pPr>
        <w:pStyle w:val="Heading4"/>
      </w:pPr>
      <w:bookmarkStart w:id="201" w:name="_Ref449382712"/>
      <w:r>
        <w:t xml:space="preserve">After analysing and verification of </w:t>
      </w:r>
      <w:r w:rsidR="00D144E7" w:rsidRPr="005A3A41">
        <w:t>th</w:t>
      </w:r>
      <w:r>
        <w:t>e</w:t>
      </w:r>
      <w:r w:rsidR="00D144E7" w:rsidRPr="005A3A41">
        <w:t xml:space="preserve"> completeness and reliability of the </w:t>
      </w:r>
      <w:r w:rsidR="004D015D">
        <w:t>values obtained</w:t>
      </w:r>
      <w:r w:rsidR="00D144E7" w:rsidRPr="005A3A41">
        <w:t xml:space="preserve">, the </w:t>
      </w:r>
      <w:r w:rsidR="000C427C" w:rsidRPr="005A3A41">
        <w:t>Metering Service Provider</w:t>
      </w:r>
      <w:r w:rsidR="00D144E7" w:rsidRPr="005A3A41">
        <w:t xml:space="preserve"> shall </w:t>
      </w:r>
      <w:r>
        <w:t>determine</w:t>
      </w:r>
      <w:r w:rsidRPr="005A3A41">
        <w:t xml:space="preserve"> </w:t>
      </w:r>
      <w:r w:rsidR="004D015D">
        <w:t>accuracy and completeness</w:t>
      </w:r>
      <w:r w:rsidR="004D015D" w:rsidRPr="005A3A41">
        <w:t xml:space="preserve"> </w:t>
      </w:r>
      <w:r w:rsidR="00D144E7" w:rsidRPr="005A3A41">
        <w:t xml:space="preserve">of </w:t>
      </w:r>
      <w:r w:rsidR="004D015D">
        <w:t>such</w:t>
      </w:r>
      <w:r w:rsidR="004D015D" w:rsidRPr="005A3A41">
        <w:t xml:space="preserve"> </w:t>
      </w:r>
      <w:r w:rsidR="00EF5324">
        <w:t>values</w:t>
      </w:r>
      <w:r w:rsidR="004D015D">
        <w:t xml:space="preserve"> and shall</w:t>
      </w:r>
      <w:r w:rsidR="00D144E7" w:rsidRPr="005A3A41">
        <w:t xml:space="preserve"> </w:t>
      </w:r>
      <w:r w:rsidR="00BC132E">
        <w:t>mark</w:t>
      </w:r>
      <w:r w:rsidR="00D144E7" w:rsidRPr="005A3A41">
        <w:t xml:space="preserve"> </w:t>
      </w:r>
      <w:r w:rsidR="004D015D">
        <w:t>these values either</w:t>
      </w:r>
      <w:r w:rsidR="00D144E7" w:rsidRPr="005A3A41">
        <w:t xml:space="preserve"> as “complete and accurate”, “incomplete but accurate”, “inaccurate” or “no data”</w:t>
      </w:r>
      <w:r w:rsidR="00E05FDF">
        <w:t xml:space="preserve"> </w:t>
      </w:r>
      <w:r w:rsidR="004D015D">
        <w:t xml:space="preserve">according to the procedure </w:t>
      </w:r>
      <w:r>
        <w:t>set out in the</w:t>
      </w:r>
      <w:r w:rsidR="004D015D">
        <w:t xml:space="preserve"> relevant</w:t>
      </w:r>
      <w:r w:rsidR="00E05FDF">
        <w:t xml:space="preserve"> CCOP</w:t>
      </w:r>
      <w:r w:rsidR="00D144E7" w:rsidRPr="005A3A41">
        <w:t>.</w:t>
      </w:r>
      <w:bookmarkEnd w:id="201"/>
      <w:r w:rsidR="00D144E7" w:rsidRPr="005A3A41">
        <w:t xml:space="preserve"> </w:t>
      </w:r>
    </w:p>
    <w:p w14:paraId="2CE75340" w14:textId="4CFB3917" w:rsidR="004E6040" w:rsidRPr="003A31EC" w:rsidRDefault="004E6040" w:rsidP="00C173D0">
      <w:pPr>
        <w:pStyle w:val="Heading3"/>
      </w:pPr>
      <w:bookmarkStart w:id="202" w:name="_Toc448811413"/>
      <w:bookmarkStart w:id="203" w:name="_Toc449729380"/>
      <w:r w:rsidRPr="003A31EC">
        <w:t>Action</w:t>
      </w:r>
      <w:r w:rsidR="004D015D">
        <w:t>s</w:t>
      </w:r>
      <w:r w:rsidRPr="003A31EC">
        <w:t xml:space="preserve"> </w:t>
      </w:r>
      <w:r w:rsidR="004D015D">
        <w:t>in case of</w:t>
      </w:r>
      <w:r w:rsidRPr="003A31EC">
        <w:t xml:space="preserve"> </w:t>
      </w:r>
      <w:r w:rsidR="004C3867">
        <w:t>failure</w:t>
      </w:r>
      <w:r w:rsidR="004C3867" w:rsidRPr="003A31EC">
        <w:t xml:space="preserve"> </w:t>
      </w:r>
      <w:commentRangeStart w:id="204"/>
      <w:commentRangeEnd w:id="204"/>
      <w:r w:rsidR="00E05FDF">
        <w:rPr>
          <w:rStyle w:val="CommentReference"/>
          <w:rFonts w:eastAsiaTheme="minorHAnsi" w:cstheme="minorBidi"/>
          <w:smallCaps w:val="0"/>
          <w:color w:val="1C1C1C"/>
        </w:rPr>
        <w:commentReference w:id="204"/>
      </w:r>
      <w:r w:rsidR="004C3867">
        <w:t>to</w:t>
      </w:r>
      <w:r w:rsidR="004C3867" w:rsidRPr="003A31EC">
        <w:t xml:space="preserve"> </w:t>
      </w:r>
      <w:r w:rsidRPr="003A31EC">
        <w:t>obtain data</w:t>
      </w:r>
      <w:bookmarkEnd w:id="202"/>
      <w:bookmarkEnd w:id="203"/>
    </w:p>
    <w:p w14:paraId="41719C49" w14:textId="312B25F1" w:rsidR="004E6040" w:rsidRPr="00CE369C" w:rsidRDefault="004C3867" w:rsidP="005B295A">
      <w:pPr>
        <w:pStyle w:val="Heading4"/>
      </w:pPr>
      <w:r>
        <w:t>In case of failure</w:t>
      </w:r>
      <w:r w:rsidR="004E6040" w:rsidRPr="00CE369C">
        <w:t xml:space="preserve"> to obtain the complete metering data </w:t>
      </w:r>
      <w:r w:rsidR="004E6040" w:rsidRPr="00B03C4A">
        <w:t xml:space="preserve">from </w:t>
      </w:r>
      <w:r w:rsidR="004D015D" w:rsidRPr="00B03C4A">
        <w:t xml:space="preserve">a </w:t>
      </w:r>
      <w:r w:rsidR="004E6040" w:rsidRPr="00B03C4A">
        <w:t>Metering Point</w:t>
      </w:r>
      <w:r w:rsidR="004E6040" w:rsidRPr="00CE369C">
        <w:t>, the Meter</w:t>
      </w:r>
      <w:r w:rsidR="00FF284A">
        <w:t xml:space="preserve">ing Service Provider </w:t>
      </w:r>
      <w:r w:rsidR="004E6040" w:rsidRPr="00CE369C">
        <w:t xml:space="preserve">must promptly take all </w:t>
      </w:r>
      <w:r>
        <w:t>necessary</w:t>
      </w:r>
      <w:r w:rsidRPr="00CE369C">
        <w:t xml:space="preserve"> </w:t>
      </w:r>
      <w:r w:rsidR="004E6040" w:rsidRPr="00CE369C">
        <w:t xml:space="preserve">steps to obtain </w:t>
      </w:r>
      <w:r w:rsidR="004D015D">
        <w:t>such</w:t>
      </w:r>
      <w:r w:rsidR="004D015D" w:rsidRPr="00CE369C">
        <w:t xml:space="preserve"> </w:t>
      </w:r>
      <w:r w:rsidR="004E6040" w:rsidRPr="00CE369C">
        <w:t xml:space="preserve">data, in particular </w:t>
      </w:r>
      <w:r w:rsidR="00BC132E">
        <w:t xml:space="preserve">identifying and removing </w:t>
      </w:r>
      <w:r w:rsidR="004E6040" w:rsidRPr="00CE369C">
        <w:t>the cause</w:t>
      </w:r>
      <w:r w:rsidR="00BC132E">
        <w:t>s</w:t>
      </w:r>
      <w:r w:rsidR="004E6040" w:rsidRPr="00CE369C">
        <w:t xml:space="preserve"> of </w:t>
      </w:r>
      <w:r w:rsidR="00BC132E">
        <w:t>failure to obtain</w:t>
      </w:r>
      <w:r w:rsidR="004E6040" w:rsidRPr="00CE369C">
        <w:t xml:space="preserve"> data and get </w:t>
      </w:r>
      <w:r w:rsidR="00BC132E">
        <w:t xml:space="preserve">all </w:t>
      </w:r>
      <w:r w:rsidR="004E6040" w:rsidRPr="00CE369C">
        <w:t xml:space="preserve">the </w:t>
      </w:r>
      <w:r w:rsidR="00BC132E">
        <w:t xml:space="preserve">requisite </w:t>
      </w:r>
      <w:r w:rsidR="004E6040" w:rsidRPr="00CE369C">
        <w:t>information.</w:t>
      </w:r>
    </w:p>
    <w:p w14:paraId="3E8574C9" w14:textId="20A4A471" w:rsidR="004E6040" w:rsidRPr="00D92E97" w:rsidRDefault="004E6040" w:rsidP="005B295A">
      <w:pPr>
        <w:pStyle w:val="Heading4"/>
      </w:pPr>
      <w:r w:rsidRPr="003A31EC">
        <w:t xml:space="preserve">In </w:t>
      </w:r>
      <w:r w:rsidR="004D015D">
        <w:t>case</w:t>
      </w:r>
      <w:r w:rsidRPr="003A31EC">
        <w:t xml:space="preserve"> of failure of the data collection and transmission equipment or the communication </w:t>
      </w:r>
      <w:r>
        <w:t>c</w:t>
      </w:r>
      <w:r w:rsidRPr="003A31EC">
        <w:t>hannels</w:t>
      </w:r>
      <w:r w:rsidR="004D015D">
        <w:t>,</w:t>
      </w:r>
      <w:r w:rsidRPr="003A31EC">
        <w:t xml:space="preserve"> the </w:t>
      </w:r>
      <w:r w:rsidR="00FF284A">
        <w:t>Metering Service Provider</w:t>
      </w:r>
      <w:r w:rsidRPr="003A31EC">
        <w:t xml:space="preserve"> shall </w:t>
      </w:r>
      <w:bookmarkStart w:id="205" w:name="_Hlk66210693"/>
      <w:r w:rsidR="004D015D">
        <w:t>perform</w:t>
      </w:r>
      <w:r w:rsidR="004D015D" w:rsidRPr="003A31EC">
        <w:t xml:space="preserve"> </w:t>
      </w:r>
      <w:r>
        <w:t>Electronic</w:t>
      </w:r>
      <w:r w:rsidR="004D015D">
        <w:t xml:space="preserve"> </w:t>
      </w:r>
      <w:r w:rsidR="004D015D" w:rsidRPr="003A31EC">
        <w:t>Local Meter</w:t>
      </w:r>
      <w:r w:rsidR="004D015D">
        <w:t xml:space="preserve"> Reading</w:t>
      </w:r>
      <w:r w:rsidRPr="003A31EC">
        <w:t xml:space="preserve"> </w:t>
      </w:r>
      <w:r w:rsidR="00FF284A">
        <w:t>or Manual</w:t>
      </w:r>
      <w:r w:rsidR="004D015D">
        <w:t xml:space="preserve"> </w:t>
      </w:r>
      <w:r w:rsidR="00BC132E" w:rsidRPr="003A31EC">
        <w:t>Local Meter</w:t>
      </w:r>
      <w:r w:rsidR="00BC132E">
        <w:t xml:space="preserve"> Reading</w:t>
      </w:r>
      <w:r w:rsidR="00BC132E" w:rsidRPr="003A31EC">
        <w:t xml:space="preserve"> </w:t>
      </w:r>
      <w:r w:rsidR="004D015D">
        <w:t>to obtain the values from the Metering Point</w:t>
      </w:r>
      <w:r w:rsidR="00DF7376">
        <w:t xml:space="preserve"> as per provision</w:t>
      </w:r>
      <w:r w:rsidR="00BC132E">
        <w:t>s</w:t>
      </w:r>
      <w:r w:rsidR="00DF7376">
        <w:t xml:space="preserve"> of </w:t>
      </w:r>
      <w:r w:rsidR="00FD0A25">
        <w:t xml:space="preserve">Sub-Section </w:t>
      </w:r>
      <w:r w:rsidR="00FD0A25">
        <w:fldChar w:fldCharType="begin"/>
      </w:r>
      <w:r w:rsidR="00FD0A25">
        <w:instrText xml:space="preserve"> REF _Ref69926474 \w \h </w:instrText>
      </w:r>
      <w:r w:rsidR="00FD0A25">
        <w:fldChar w:fldCharType="separate"/>
      </w:r>
      <w:r w:rsidR="00FD0A25">
        <w:t>19.2.2</w:t>
      </w:r>
      <w:r w:rsidR="00FD0A25">
        <w:fldChar w:fldCharType="end"/>
      </w:r>
      <w:r w:rsidR="00FD0A25">
        <w:t xml:space="preserve"> </w:t>
      </w:r>
      <w:bookmarkEnd w:id="205"/>
      <w:r w:rsidR="00DF7376">
        <w:t xml:space="preserve">and the information obtained </w:t>
      </w:r>
      <w:r>
        <w:t xml:space="preserve">shall be </w:t>
      </w:r>
      <w:r w:rsidR="00BC132E">
        <w:t xml:space="preserve">marked </w:t>
      </w:r>
      <w:r>
        <w:t>as “</w:t>
      </w:r>
      <w:r w:rsidRPr="003A31EC">
        <w:t>complete and</w:t>
      </w:r>
      <w:r>
        <w:t xml:space="preserve"> accurate” or </w:t>
      </w:r>
      <w:r w:rsidRPr="003A31EC">
        <w:t>“incomplete but accurate”</w:t>
      </w:r>
      <w:r w:rsidR="00FD0A25">
        <w:t>, as the case may be</w:t>
      </w:r>
      <w:r w:rsidRPr="00D92E97">
        <w:t>.</w:t>
      </w:r>
    </w:p>
    <w:p w14:paraId="20DE1BD0" w14:textId="487F25E5" w:rsidR="004E6040" w:rsidRPr="00D92E97" w:rsidRDefault="004E6040" w:rsidP="005B295A">
      <w:pPr>
        <w:pStyle w:val="Heading4"/>
      </w:pPr>
      <w:bookmarkStart w:id="206" w:name="_Ref449382733"/>
      <w:r w:rsidRPr="00D92E97">
        <w:t xml:space="preserve">In case of failure of the </w:t>
      </w:r>
      <w:r w:rsidR="00300E29">
        <w:t>Main</w:t>
      </w:r>
      <w:r w:rsidR="00300E29" w:rsidRPr="00D92E97">
        <w:t xml:space="preserve"> </w:t>
      </w:r>
      <w:r w:rsidRPr="00D92E97">
        <w:t>Meter</w:t>
      </w:r>
      <w:r w:rsidR="00634BD8">
        <w:t xml:space="preserve"> or the</w:t>
      </w:r>
      <w:r w:rsidRPr="00D92E97">
        <w:t xml:space="preserve"> </w:t>
      </w:r>
      <w:r w:rsidR="00E459E0">
        <w:t>Back-Up</w:t>
      </w:r>
      <w:r w:rsidR="00E459E0" w:rsidRPr="00D92E97">
        <w:t xml:space="preserve"> </w:t>
      </w:r>
      <w:r w:rsidRPr="00D92E97">
        <w:t xml:space="preserve">Meter, the </w:t>
      </w:r>
      <w:r w:rsidR="00FF284A">
        <w:t>Metering Service Provider</w:t>
      </w:r>
      <w:r w:rsidRPr="00D92E97">
        <w:t xml:space="preserve"> </w:t>
      </w:r>
      <w:r w:rsidR="00FA3766">
        <w:t>shall</w:t>
      </w:r>
      <w:r w:rsidR="00FA3766" w:rsidRPr="00D92E97">
        <w:t xml:space="preserve"> </w:t>
      </w:r>
      <w:r w:rsidRPr="00D92E97">
        <w:t xml:space="preserve">retrieve all the data from </w:t>
      </w:r>
      <w:r w:rsidR="00DF7376">
        <w:t>any</w:t>
      </w:r>
      <w:r w:rsidR="00DF7376" w:rsidRPr="00D92E97">
        <w:t xml:space="preserve"> </w:t>
      </w:r>
      <w:r w:rsidRPr="00D92E97">
        <w:t>other</w:t>
      </w:r>
      <w:r w:rsidR="00634BD8">
        <w:t xml:space="preserve"> </w:t>
      </w:r>
      <w:r w:rsidR="00BC132E">
        <w:t>functional</w:t>
      </w:r>
      <w:r w:rsidRPr="00D92E97">
        <w:t xml:space="preserve"> mete</w:t>
      </w:r>
      <w:r w:rsidR="00DF7376">
        <w:t>r located at the Metering Point</w:t>
      </w:r>
      <w:r w:rsidR="007A1B76">
        <w:t xml:space="preserve"> and </w:t>
      </w:r>
      <w:r w:rsidR="00BC132E">
        <w:t>mark</w:t>
      </w:r>
      <w:r w:rsidR="007A1B76">
        <w:t xml:space="preserve"> it accordingly. </w:t>
      </w:r>
      <w:r w:rsidRPr="00D92E97">
        <w:t xml:space="preserve">The </w:t>
      </w:r>
      <w:r w:rsidR="007A1B76">
        <w:t xml:space="preserve">information obtained from the failed meter shall be </w:t>
      </w:r>
      <w:r w:rsidR="007A1B76" w:rsidRPr="00D92E97">
        <w:t xml:space="preserve"> </w:t>
      </w:r>
      <w:r w:rsidR="00BC132E">
        <w:t>marked</w:t>
      </w:r>
      <w:r w:rsidRPr="00D92E97">
        <w:t xml:space="preserve"> as “no data”.</w:t>
      </w:r>
      <w:bookmarkEnd w:id="206"/>
      <w:r w:rsidRPr="00D92E97">
        <w:t xml:space="preserve"> </w:t>
      </w:r>
    </w:p>
    <w:p w14:paraId="3F1DD161" w14:textId="684035CB" w:rsidR="003E3A86" w:rsidRPr="001C4A85" w:rsidRDefault="001C4A85" w:rsidP="00C173D0">
      <w:pPr>
        <w:pStyle w:val="Heading2"/>
        <w:rPr>
          <w:sz w:val="28"/>
          <w:szCs w:val="28"/>
        </w:rPr>
      </w:pPr>
      <w:bookmarkStart w:id="207" w:name="_Toc64846673"/>
      <w:bookmarkStart w:id="208" w:name="_Toc69476970"/>
      <w:r w:rsidRPr="001C4A85">
        <w:rPr>
          <w:sz w:val="28"/>
          <w:szCs w:val="28"/>
        </w:rPr>
        <w:t>Meter Reading Verifications</w:t>
      </w:r>
      <w:bookmarkEnd w:id="207"/>
      <w:bookmarkEnd w:id="208"/>
    </w:p>
    <w:p w14:paraId="3BD38AC7" w14:textId="47C45606" w:rsidR="00D57178" w:rsidRPr="006553D0" w:rsidRDefault="00D57178" w:rsidP="00C173D0">
      <w:pPr>
        <w:pStyle w:val="Heading3"/>
      </w:pPr>
      <w:r w:rsidRPr="006553D0">
        <w:t>Verifications performed by the Metering S</w:t>
      </w:r>
      <w:r w:rsidR="00621862">
        <w:t>ervice</w:t>
      </w:r>
      <w:r w:rsidRPr="006553D0">
        <w:t xml:space="preserve"> Provider</w:t>
      </w:r>
    </w:p>
    <w:p w14:paraId="01FB4884" w14:textId="37C82723" w:rsidR="003E3A86" w:rsidRPr="000C427C" w:rsidRDefault="007A1B76" w:rsidP="005B295A">
      <w:pPr>
        <w:pStyle w:val="Heading4"/>
      </w:pPr>
      <w:r>
        <w:t xml:space="preserve">The Metering Service Provider shall </w:t>
      </w:r>
      <w:r w:rsidR="00BC132E">
        <w:t xml:space="preserve">be </w:t>
      </w:r>
      <w:r>
        <w:t xml:space="preserve">responsible for checking the accuracy of the values obtained and </w:t>
      </w:r>
      <w:r w:rsidR="003E3A86" w:rsidRPr="000C427C">
        <w:t xml:space="preserve">shall process and validate </w:t>
      </w:r>
      <w:r w:rsidR="00BC132E">
        <w:t>such values,</w:t>
      </w:r>
      <w:r>
        <w:t xml:space="preserve"> </w:t>
      </w:r>
      <w:r w:rsidR="003E3A86" w:rsidRPr="000C427C">
        <w:t xml:space="preserve">in order to: </w:t>
      </w:r>
    </w:p>
    <w:p w14:paraId="20199E09" w14:textId="291FED23" w:rsidR="003E3A86" w:rsidRPr="00601519" w:rsidRDefault="00601519" w:rsidP="00B03234">
      <w:pPr>
        <w:pStyle w:val="Heading5"/>
      </w:pPr>
      <w:bookmarkStart w:id="209" w:name="_Ref76853758"/>
      <w:r>
        <w:t xml:space="preserve">refer </w:t>
      </w:r>
      <w:r w:rsidR="007A1B76">
        <w:t xml:space="preserve">the </w:t>
      </w:r>
      <w:r>
        <w:t>values</w:t>
      </w:r>
      <w:r w:rsidR="007A1B76">
        <w:t xml:space="preserve"> obtained from the Meter</w:t>
      </w:r>
      <w:r>
        <w:t xml:space="preserve"> </w:t>
      </w:r>
      <w:r w:rsidR="003E3A86" w:rsidRPr="00601519">
        <w:t xml:space="preserve">to the </w:t>
      </w:r>
      <w:r>
        <w:t>Metering Point</w:t>
      </w:r>
      <w:r w:rsidR="007A1B76">
        <w:t xml:space="preserve"> by making necessary adjustments</w:t>
      </w:r>
      <w:r w:rsidR="003E3A86" w:rsidRPr="00601519">
        <w:t xml:space="preserve">, </w:t>
      </w:r>
      <w:r w:rsidR="007A1B76">
        <w:t>where</w:t>
      </w:r>
      <w:r w:rsidR="003E3A86" w:rsidRPr="00601519">
        <w:t xml:space="preserve"> the</w:t>
      </w:r>
      <w:r w:rsidR="00174DA8">
        <w:t xml:space="preserve"> Commercial</w:t>
      </w:r>
      <w:r w:rsidR="003E3A86" w:rsidRPr="00601519">
        <w:t xml:space="preserve"> Metering System is installed at </w:t>
      </w:r>
      <w:r w:rsidR="002354C9">
        <w:t>a location different than the</w:t>
      </w:r>
      <w:r w:rsidR="002354C9" w:rsidRPr="00601519">
        <w:t xml:space="preserve"> </w:t>
      </w:r>
      <w:r>
        <w:t>Metering Point</w:t>
      </w:r>
      <w:r w:rsidR="003E3A86" w:rsidRPr="00601519">
        <w:t>. .</w:t>
      </w:r>
      <w:bookmarkEnd w:id="209"/>
      <w:r w:rsidR="00FF284A">
        <w:t xml:space="preserve"> </w:t>
      </w:r>
    </w:p>
    <w:p w14:paraId="11D08DF3" w14:textId="5235FB29" w:rsidR="003E3A86" w:rsidRDefault="002354C9" w:rsidP="00B03234">
      <w:pPr>
        <w:pStyle w:val="Heading5"/>
      </w:pPr>
      <w:r>
        <w:t>p</w:t>
      </w:r>
      <w:r w:rsidR="003E3A86" w:rsidRPr="00601519">
        <w:t xml:space="preserve">erform validity checks to determine the </w:t>
      </w:r>
      <w:r>
        <w:t>accuracy</w:t>
      </w:r>
      <w:r w:rsidRPr="00601519">
        <w:t xml:space="preserve"> </w:t>
      </w:r>
      <w:r w:rsidR="003E3A86" w:rsidRPr="00601519">
        <w:t xml:space="preserve">of the </w:t>
      </w:r>
      <w:r>
        <w:t>values obtained fr</w:t>
      </w:r>
      <w:r w:rsidR="009D102B">
        <w:t>o</w:t>
      </w:r>
      <w:r>
        <w:t>m the Meters. The Metering Ser</w:t>
      </w:r>
      <w:r w:rsidR="00AE6882">
        <w:t>vice Provider shall perform the v</w:t>
      </w:r>
      <w:r w:rsidR="003E3A86" w:rsidRPr="00601519">
        <w:t xml:space="preserve">alidation of metering data through a series of </w:t>
      </w:r>
      <w:bookmarkStart w:id="210" w:name="_Hlk66260080"/>
      <w:r w:rsidR="003E3A86" w:rsidRPr="00601519">
        <w:t xml:space="preserve">Validation Checks </w:t>
      </w:r>
      <w:bookmarkEnd w:id="210"/>
      <w:r w:rsidR="003E3A86" w:rsidRPr="00601519">
        <w:t xml:space="preserve">which </w:t>
      </w:r>
      <w:r w:rsidR="00AE6882">
        <w:t>are designed</w:t>
      </w:r>
      <w:r w:rsidR="00AE6882" w:rsidRPr="00601519">
        <w:t xml:space="preserve"> </w:t>
      </w:r>
      <w:r w:rsidR="003E3A86" w:rsidRPr="00601519">
        <w:t xml:space="preserve">to determine the coherence </w:t>
      </w:r>
      <w:r w:rsidR="003E3A86" w:rsidRPr="00601519">
        <w:lastRenderedPageBreak/>
        <w:t>and plausibility of each metered value or group of metered values</w:t>
      </w:r>
      <w:r w:rsidR="00AE6882">
        <w:t xml:space="preserve"> regardless the way such values are obtained: </w:t>
      </w:r>
      <w:r w:rsidR="003E3A86" w:rsidRPr="00FF284A">
        <w:t xml:space="preserve">Automatic Meter Reading, </w:t>
      </w:r>
      <w:r w:rsidR="003E3A86" w:rsidRPr="009D6EBF">
        <w:t xml:space="preserve">Electronic Local Meter Reading or </w:t>
      </w:r>
      <w:r w:rsidR="00FF284A" w:rsidRPr="009D6EBF">
        <w:t>Manual</w:t>
      </w:r>
      <w:r w:rsidR="003E3A86" w:rsidRPr="009D6EBF">
        <w:t xml:space="preserve"> Local Meter Reading. </w:t>
      </w:r>
      <w:r w:rsidR="003E3A86" w:rsidRPr="00601519">
        <w:t xml:space="preserve">. </w:t>
      </w:r>
    </w:p>
    <w:p w14:paraId="08E2631F" w14:textId="7DF44A6D" w:rsidR="003E3A86" w:rsidRPr="00D57178" w:rsidRDefault="003E3A86" w:rsidP="005B295A">
      <w:pPr>
        <w:pStyle w:val="Heading4"/>
      </w:pPr>
      <w:bookmarkStart w:id="211" w:name="_Ref76854117"/>
      <w:r w:rsidRPr="00D57178">
        <w:t>A</w:t>
      </w:r>
      <w:r w:rsidR="00AE6882">
        <w:t xml:space="preserve">fter the </w:t>
      </w:r>
      <w:r w:rsidRPr="00D57178">
        <w:t xml:space="preserve">verification and validation </w:t>
      </w:r>
      <w:r w:rsidR="00AE6882">
        <w:t>of the metering data, the Metering Service Provider shall classify each val</w:t>
      </w:r>
      <w:r w:rsidR="00637B1C">
        <w:t>u</w:t>
      </w:r>
      <w:r w:rsidR="00AE6882">
        <w:t>e as following:</w:t>
      </w:r>
      <w:bookmarkEnd w:id="211"/>
      <w:r w:rsidRPr="00D57178">
        <w:t xml:space="preserve"> </w:t>
      </w:r>
    </w:p>
    <w:p w14:paraId="70014672" w14:textId="74E51EA3" w:rsidR="003E3A86" w:rsidRPr="00D57178" w:rsidRDefault="003E3A86" w:rsidP="00B03234">
      <w:pPr>
        <w:pStyle w:val="Heading5"/>
      </w:pPr>
      <w:r w:rsidRPr="00D57178">
        <w:rPr>
          <w:u w:val="single"/>
        </w:rPr>
        <w:t>Valid</w:t>
      </w:r>
      <w:r w:rsidRPr="00D57178">
        <w:t>: It is the value</w:t>
      </w:r>
      <w:r w:rsidR="00D57178">
        <w:t xml:space="preserve">, </w:t>
      </w:r>
      <w:r w:rsidRPr="00D57178">
        <w:t>or group of values</w:t>
      </w:r>
      <w:r w:rsidR="00D57178">
        <w:t>,</w:t>
      </w:r>
      <w:r w:rsidRPr="00D57178">
        <w:t xml:space="preserve"> which pass all the </w:t>
      </w:r>
      <w:r w:rsidR="00AE6882">
        <w:t>V</w:t>
      </w:r>
      <w:r w:rsidRPr="00D57178">
        <w:t xml:space="preserve">alidation </w:t>
      </w:r>
      <w:r w:rsidR="00AE6882">
        <w:t>C</w:t>
      </w:r>
      <w:r w:rsidRPr="00D57178">
        <w:t xml:space="preserve">hecks. A </w:t>
      </w:r>
      <w:r w:rsidR="00D8404F">
        <w:t>V</w:t>
      </w:r>
      <w:r w:rsidRPr="00D57178">
        <w:t>alid metered value may</w:t>
      </w:r>
      <w:r w:rsidR="00D8404F">
        <w:t xml:space="preserve"> </w:t>
      </w:r>
      <w:r w:rsidR="00D8404F" w:rsidRPr="00D57178">
        <w:t>eventually</w:t>
      </w:r>
      <w:r w:rsidRPr="00D57178">
        <w:t xml:space="preserve"> </w:t>
      </w:r>
      <w:r w:rsidR="00AE6882">
        <w:t xml:space="preserve">become </w:t>
      </w:r>
      <w:r w:rsidR="00D8404F">
        <w:t>I</w:t>
      </w:r>
      <w:r w:rsidR="00AE6882">
        <w:t>nvalid</w:t>
      </w:r>
      <w:r w:rsidRPr="00D57178">
        <w:t xml:space="preserve"> as a result of the analysis and evaluation of an incident, having additional information about the </w:t>
      </w:r>
      <w:r w:rsidR="00D57178">
        <w:t>Metering Point</w:t>
      </w:r>
      <w:r w:rsidRPr="00D57178">
        <w:t xml:space="preserve"> or due to verifications or validations performed, at a later date. </w:t>
      </w:r>
    </w:p>
    <w:p w14:paraId="7BF8675D" w14:textId="4FD4F062" w:rsidR="003E3A86" w:rsidRPr="00D57178" w:rsidRDefault="003E3A86" w:rsidP="00B03234">
      <w:pPr>
        <w:pStyle w:val="Heading5"/>
      </w:pPr>
      <w:r w:rsidRPr="00D57178">
        <w:rPr>
          <w:u w:val="single"/>
        </w:rPr>
        <w:t>Invalid</w:t>
      </w:r>
      <w:r w:rsidRPr="00D57178">
        <w:t>: It is a value</w:t>
      </w:r>
      <w:r w:rsidR="00D57178">
        <w:t xml:space="preserve">, </w:t>
      </w:r>
      <w:r w:rsidRPr="00D57178">
        <w:t>or group of values</w:t>
      </w:r>
      <w:r w:rsidR="00D57178">
        <w:t>,</w:t>
      </w:r>
      <w:r w:rsidRPr="00D57178">
        <w:t xml:space="preserve"> which does do not pass </w:t>
      </w:r>
      <w:r w:rsidR="00D57178">
        <w:t>one or more</w:t>
      </w:r>
      <w:r w:rsidRPr="00D57178">
        <w:t xml:space="preserve"> of the </w:t>
      </w:r>
      <w:r w:rsidR="002057EE">
        <w:t>V</w:t>
      </w:r>
      <w:r w:rsidRPr="00D57178">
        <w:t>alidation</w:t>
      </w:r>
      <w:r w:rsidR="00E05294">
        <w:t xml:space="preserve"> </w:t>
      </w:r>
      <w:r w:rsidR="00D8404F">
        <w:t>C</w:t>
      </w:r>
      <w:r w:rsidR="00E05294">
        <w:t>heck</w:t>
      </w:r>
      <w:r w:rsidRPr="00D57178">
        <w:t xml:space="preserve">s. An </w:t>
      </w:r>
      <w:r w:rsidR="00D8404F">
        <w:t>I</w:t>
      </w:r>
      <w:r w:rsidRPr="00D57178">
        <w:t>nvalid metered value or group of metered values</w:t>
      </w:r>
      <w:r w:rsidR="00D8404F">
        <w:t xml:space="preserve"> may</w:t>
      </w:r>
      <w:r w:rsidRPr="00D57178">
        <w:t xml:space="preserve"> eventually </w:t>
      </w:r>
      <w:r w:rsidR="00D8404F">
        <w:t>become Valid</w:t>
      </w:r>
      <w:r w:rsidRPr="00D57178">
        <w:t xml:space="preserve"> as a result of further analysis performed by the Metering Service Provider.</w:t>
      </w:r>
    </w:p>
    <w:p w14:paraId="2C0F7D73" w14:textId="3AEB7DFA" w:rsidR="007C655A" w:rsidRDefault="007C655A" w:rsidP="007C655A">
      <w:pPr>
        <w:pStyle w:val="Heading4"/>
      </w:pPr>
      <w:bookmarkStart w:id="212" w:name="_Ref76853914"/>
      <w:r>
        <w:t>NTDC shall make a CCOP, and submit the same for concurrence of the Market Operator, which shall include:</w:t>
      </w:r>
      <w:bookmarkEnd w:id="212"/>
    </w:p>
    <w:p w14:paraId="694C740D" w14:textId="77777777" w:rsidR="007C655A" w:rsidRDefault="007C655A" w:rsidP="007C655A">
      <w:pPr>
        <w:pStyle w:val="Heading5"/>
      </w:pPr>
      <w:r>
        <w:t xml:space="preserve"> formulas for performing the necessary calculations to refer the values to the Metering Point pursuant to Clause </w:t>
      </w:r>
      <w:r>
        <w:fldChar w:fldCharType="begin"/>
      </w:r>
      <w:r>
        <w:instrText xml:space="preserve"> REF _Ref76853758 \r \h </w:instrText>
      </w:r>
      <w:r>
        <w:fldChar w:fldCharType="separate"/>
      </w:r>
      <w:r>
        <w:t>5.3.1.1.a)</w:t>
      </w:r>
      <w:r>
        <w:fldChar w:fldCharType="end"/>
      </w:r>
      <w:r>
        <w:t>;</w:t>
      </w:r>
    </w:p>
    <w:p w14:paraId="533A5B78" w14:textId="77777777" w:rsidR="007C655A" w:rsidRDefault="007C655A" w:rsidP="007C655A">
      <w:pPr>
        <w:pStyle w:val="Heading5"/>
      </w:pPr>
      <w:r w:rsidRPr="00601519">
        <w:t xml:space="preserve">the minimum set of </w:t>
      </w:r>
      <w:r>
        <w:t>V</w:t>
      </w:r>
      <w:r w:rsidRPr="00601519">
        <w:t xml:space="preserve">alidation </w:t>
      </w:r>
      <w:r>
        <w:t>C</w:t>
      </w:r>
      <w:r w:rsidRPr="00601519">
        <w:t>hecks that shall be performed</w:t>
      </w:r>
      <w:r>
        <w:t xml:space="preserve"> to determine the accuracy of the metered data;</w:t>
      </w:r>
    </w:p>
    <w:p w14:paraId="350CF74E" w14:textId="13367F5A" w:rsidR="007C655A" w:rsidRDefault="007C655A" w:rsidP="007C655A">
      <w:pPr>
        <w:pStyle w:val="Heading5"/>
      </w:pPr>
      <w:r>
        <w:t>t</w:t>
      </w:r>
      <w:bookmarkStart w:id="213" w:name="_Hlk78788507"/>
      <w:r>
        <w:t>he verification and tests to classify a metered value as Valid or Invalid</w:t>
      </w:r>
      <w:bookmarkEnd w:id="213"/>
      <w:r>
        <w:t xml:space="preserve"> pursuant to Clause </w:t>
      </w:r>
      <w:r w:rsidR="006C5602">
        <w:fldChar w:fldCharType="begin"/>
      </w:r>
      <w:r w:rsidR="006C5602">
        <w:instrText xml:space="preserve"> REF _Ref76854117 \r \h </w:instrText>
      </w:r>
      <w:r w:rsidR="006C5602">
        <w:fldChar w:fldCharType="separate"/>
      </w:r>
      <w:r w:rsidR="006C5602">
        <w:t>5.3.1.3</w:t>
      </w:r>
      <w:r w:rsidR="006C5602">
        <w:fldChar w:fldCharType="end"/>
      </w:r>
      <w:r w:rsidR="006C5602">
        <w:t>.</w:t>
      </w:r>
    </w:p>
    <w:p w14:paraId="5A6FECBE" w14:textId="774CB7A2" w:rsidR="006C5602" w:rsidRPr="00A73929" w:rsidRDefault="006C5602" w:rsidP="006C5602">
      <w:pPr>
        <w:pStyle w:val="Heading4"/>
      </w:pPr>
      <w:r>
        <w:t xml:space="preserve">The CCOP made by NTDC in accordance with Clause </w:t>
      </w:r>
      <w:r>
        <w:fldChar w:fldCharType="begin"/>
      </w:r>
      <w:r>
        <w:instrText xml:space="preserve"> REF _Ref76853914 \r \h </w:instrText>
      </w:r>
      <w:r>
        <w:fldChar w:fldCharType="separate"/>
      </w:r>
      <w:r>
        <w:t>5.3.1.3</w:t>
      </w:r>
      <w:r>
        <w:fldChar w:fldCharType="end"/>
      </w:r>
      <w:r>
        <w:t xml:space="preserve"> above shall be applicable on all Metering Service Providers.</w:t>
      </w:r>
    </w:p>
    <w:p w14:paraId="32BDF2FD" w14:textId="77777777" w:rsidR="00D57178" w:rsidRPr="006553D0" w:rsidRDefault="00D57178" w:rsidP="00C173D0">
      <w:pPr>
        <w:pStyle w:val="Heading3"/>
      </w:pPr>
      <w:r w:rsidRPr="006553D0">
        <w:t>Actions to be taken after invalidation of data</w:t>
      </w:r>
    </w:p>
    <w:p w14:paraId="085558F8" w14:textId="23C040F7" w:rsidR="003E3A86" w:rsidRPr="00414DF6" w:rsidRDefault="003E3A86" w:rsidP="005B295A">
      <w:pPr>
        <w:pStyle w:val="Heading4"/>
      </w:pPr>
      <w:bookmarkStart w:id="214" w:name="_Ref449455003"/>
      <w:r w:rsidRPr="00414DF6">
        <w:t xml:space="preserve">When any metered value or group of metered values </w:t>
      </w:r>
      <w:r w:rsidR="00D8404F">
        <w:t>is</w:t>
      </w:r>
      <w:r w:rsidR="00D8404F" w:rsidRPr="00414DF6">
        <w:t xml:space="preserve"> </w:t>
      </w:r>
      <w:r w:rsidR="00D8404F">
        <w:t>classified</w:t>
      </w:r>
      <w:r w:rsidR="00D8404F" w:rsidRPr="00414DF6">
        <w:t xml:space="preserve"> </w:t>
      </w:r>
      <w:r w:rsidR="00D8404F">
        <w:t>as</w:t>
      </w:r>
      <w:r w:rsidR="00440C71">
        <w:t xml:space="preserve"> </w:t>
      </w:r>
      <w:r w:rsidRPr="00414DF6">
        <w:t xml:space="preserve">“Invalid”, the Metering Service Provider shall </w:t>
      </w:r>
      <w:bookmarkEnd w:id="214"/>
      <w:r w:rsidR="00D8404F">
        <w:t>obtain new values from</w:t>
      </w:r>
      <w:r w:rsidRPr="00414DF6">
        <w:t xml:space="preserve"> the </w:t>
      </w:r>
      <w:r w:rsidR="00440C71">
        <w:t>Metering Point</w:t>
      </w:r>
      <w:r w:rsidRPr="00414DF6">
        <w:t xml:space="preserve"> </w:t>
      </w:r>
      <w:r w:rsidR="00D8404F">
        <w:t>including, if required, performing</w:t>
      </w:r>
      <w:r w:rsidRPr="00414DF6">
        <w:t xml:space="preserve"> </w:t>
      </w:r>
      <w:r w:rsidR="00D226BA">
        <w:t>L</w:t>
      </w:r>
      <w:r w:rsidRPr="00414DF6">
        <w:t xml:space="preserve">ocal </w:t>
      </w:r>
      <w:r w:rsidR="00D226BA">
        <w:t>M</w:t>
      </w:r>
      <w:r w:rsidRPr="00414DF6">
        <w:t xml:space="preserve">eter </w:t>
      </w:r>
      <w:r w:rsidR="00D226BA">
        <w:t>R</w:t>
      </w:r>
      <w:r w:rsidRPr="00414DF6">
        <w:t>eading.</w:t>
      </w:r>
    </w:p>
    <w:p w14:paraId="4D42D4E5" w14:textId="0E639568" w:rsidR="003E3A86" w:rsidRPr="00414DF6" w:rsidRDefault="00D8404F" w:rsidP="005B295A">
      <w:pPr>
        <w:pStyle w:val="Heading4"/>
      </w:pPr>
      <w:bookmarkStart w:id="215" w:name="_Ref64723056"/>
      <w:r>
        <w:t>Where</w:t>
      </w:r>
      <w:r w:rsidR="003E3A86" w:rsidRPr="00414DF6">
        <w:t xml:space="preserve"> </w:t>
      </w:r>
      <w:r>
        <w:t>the</w:t>
      </w:r>
      <w:r w:rsidRPr="00414DF6">
        <w:t xml:space="preserve"> </w:t>
      </w:r>
      <w:r w:rsidR="003E3A86" w:rsidRPr="00414DF6">
        <w:t xml:space="preserve">new </w:t>
      </w:r>
      <w:r>
        <w:t>values obtained</w:t>
      </w:r>
      <w:r w:rsidRPr="00414DF6">
        <w:t xml:space="preserve"> </w:t>
      </w:r>
      <w:r w:rsidR="003E3A86" w:rsidRPr="00414DF6">
        <w:t xml:space="preserve">confirms the </w:t>
      </w:r>
      <w:r w:rsidR="00D226BA">
        <w:t>in</w:t>
      </w:r>
      <w:r w:rsidR="003E3A86" w:rsidRPr="00414DF6">
        <w:t xml:space="preserve">adequacy of the data originally </w:t>
      </w:r>
      <w:r>
        <w:t>obtained</w:t>
      </w:r>
      <w:r w:rsidRPr="00414DF6">
        <w:t xml:space="preserve"> </w:t>
      </w:r>
      <w:r w:rsidR="003E3A86" w:rsidRPr="00414DF6">
        <w:t xml:space="preserve">or the new data still does not pass </w:t>
      </w:r>
      <w:r>
        <w:t xml:space="preserve">any of </w:t>
      </w:r>
      <w:r w:rsidR="003E3A86" w:rsidRPr="00414DF6">
        <w:t xml:space="preserve">the </w:t>
      </w:r>
      <w:r w:rsidR="002057EE">
        <w:t>V</w:t>
      </w:r>
      <w:r w:rsidR="003E3A86" w:rsidRPr="00414DF6">
        <w:t xml:space="preserve">alidation </w:t>
      </w:r>
      <w:r w:rsidR="002057EE">
        <w:t>C</w:t>
      </w:r>
      <w:r w:rsidR="003E3A86" w:rsidRPr="00414DF6">
        <w:t xml:space="preserve">hecks, the Metering Service Provider shall open a </w:t>
      </w:r>
      <w:r w:rsidR="00836CAC">
        <w:t xml:space="preserve">Metering </w:t>
      </w:r>
      <w:r w:rsidR="003E3A86" w:rsidRPr="00414DF6">
        <w:t xml:space="preserve">Incident Report and it </w:t>
      </w:r>
      <w:r>
        <w:t>shall</w:t>
      </w:r>
      <w:r w:rsidRPr="00414DF6">
        <w:t xml:space="preserve"> </w:t>
      </w:r>
      <w:r w:rsidR="003E3A86" w:rsidRPr="00414DF6">
        <w:t xml:space="preserve">proceed to test the Commercial Metering System of the </w:t>
      </w:r>
      <w:r>
        <w:t>relevant</w:t>
      </w:r>
      <w:r w:rsidRPr="00414DF6">
        <w:t xml:space="preserve"> </w:t>
      </w:r>
      <w:r w:rsidR="00440C71">
        <w:t>Metering Point</w:t>
      </w:r>
      <w:r w:rsidR="003E3A86" w:rsidRPr="00414DF6">
        <w:t>.</w:t>
      </w:r>
      <w:bookmarkEnd w:id="215"/>
      <w:r w:rsidR="003E3A86" w:rsidRPr="00414DF6">
        <w:t xml:space="preserve"> </w:t>
      </w:r>
    </w:p>
    <w:p w14:paraId="28B68B03" w14:textId="2B194C4D" w:rsidR="003E3A86" w:rsidRPr="00440C71" w:rsidRDefault="003E3A86" w:rsidP="00C173D0">
      <w:pPr>
        <w:pStyle w:val="Heading3"/>
      </w:pPr>
      <w:bookmarkStart w:id="216" w:name="_Ref76854568"/>
      <w:r w:rsidRPr="00440C71">
        <w:t xml:space="preserve">DATA VERIFICATION BY THE MARKET OPERATOR AND </w:t>
      </w:r>
      <w:r w:rsidR="00D8404F">
        <w:t xml:space="preserve">ITS </w:t>
      </w:r>
      <w:r w:rsidRPr="00440C71">
        <w:t>SUBSTITUTION</w:t>
      </w:r>
      <w:bookmarkEnd w:id="216"/>
    </w:p>
    <w:p w14:paraId="7DFFC21C" w14:textId="7F370220" w:rsidR="003E3A86" w:rsidRPr="00440C71" w:rsidRDefault="003E3A86" w:rsidP="005B295A">
      <w:pPr>
        <w:pStyle w:val="Heading4"/>
      </w:pPr>
      <w:r w:rsidRPr="00440C71">
        <w:t xml:space="preserve">The Market Operator may perform additional validation or plausibility checks on the metering information provided </w:t>
      </w:r>
      <w:r w:rsidR="00637B1C">
        <w:t xml:space="preserve">by </w:t>
      </w:r>
      <w:r w:rsidRPr="00440C71">
        <w:t xml:space="preserve">the Metering Service Provider before using it for settlement purposes. </w:t>
      </w:r>
    </w:p>
    <w:p w14:paraId="57C6AC13" w14:textId="1FABDDA4" w:rsidR="003E3A86" w:rsidRPr="00440C71" w:rsidRDefault="003E3A86" w:rsidP="005B295A">
      <w:pPr>
        <w:pStyle w:val="Heading4"/>
      </w:pPr>
      <w:r w:rsidRPr="00440C71">
        <w:t xml:space="preserve">If a metering problem or a failure is identified in a </w:t>
      </w:r>
      <w:bookmarkStart w:id="217" w:name="_Hlk66260139"/>
      <w:r w:rsidRPr="00440C71">
        <w:t>Main Meter</w:t>
      </w:r>
      <w:bookmarkEnd w:id="217"/>
      <w:r w:rsidR="00604F6F">
        <w:t xml:space="preserve"> during the validation process</w:t>
      </w:r>
      <w:r w:rsidRPr="00440C71">
        <w:t>, the Market Operator shall use</w:t>
      </w:r>
      <w:r w:rsidR="00604F6F">
        <w:t xml:space="preserve"> the following values for the </w:t>
      </w:r>
      <w:r w:rsidR="00D226BA">
        <w:t xml:space="preserve">settlement </w:t>
      </w:r>
      <w:r w:rsidR="00D226BA" w:rsidRPr="00D226BA">
        <w:t>purposes</w:t>
      </w:r>
      <w:r w:rsidRPr="00D226BA">
        <w:t>:</w:t>
      </w:r>
    </w:p>
    <w:p w14:paraId="7BC43123" w14:textId="21153362" w:rsidR="003E3A86" w:rsidRPr="002F4EDA" w:rsidRDefault="00604F6F" w:rsidP="00B03234">
      <w:pPr>
        <w:pStyle w:val="Heading5"/>
      </w:pPr>
      <w:r>
        <w:t>i</w:t>
      </w:r>
      <w:r w:rsidR="003E3A86" w:rsidRPr="00440C71">
        <w:t xml:space="preserve">f the </w:t>
      </w:r>
      <w:r w:rsidR="00440C71">
        <w:t>Metering</w:t>
      </w:r>
      <w:r w:rsidR="003E3A86" w:rsidRPr="00440C71">
        <w:t xml:space="preserve"> Point has a </w:t>
      </w:r>
      <w:r w:rsidR="00FA0AAE">
        <w:t>B</w:t>
      </w:r>
      <w:r w:rsidR="003E3A86" w:rsidRPr="00440C71">
        <w:t xml:space="preserve">ack-up </w:t>
      </w:r>
      <w:r w:rsidR="00FA0AAE">
        <w:t>M</w:t>
      </w:r>
      <w:r w:rsidR="003E3A86" w:rsidRPr="00440C71">
        <w:t xml:space="preserve">eter, the data </w:t>
      </w:r>
      <w:r>
        <w:t>obtained from</w:t>
      </w:r>
      <w:r w:rsidRPr="00440C71">
        <w:t xml:space="preserve"> </w:t>
      </w:r>
      <w:r w:rsidR="003E3A86" w:rsidRPr="00440C71">
        <w:t xml:space="preserve">the </w:t>
      </w:r>
      <w:r w:rsidR="002F4EDA">
        <w:t>B</w:t>
      </w:r>
      <w:r w:rsidR="003E3A86" w:rsidRPr="00440C71">
        <w:t xml:space="preserve">ack-up </w:t>
      </w:r>
      <w:r>
        <w:t>M</w:t>
      </w:r>
      <w:r w:rsidR="003E3A86" w:rsidRPr="00440C71">
        <w:t>eter</w:t>
      </w:r>
      <w:r w:rsidR="003E3A86" w:rsidRPr="002F4EDA">
        <w:t xml:space="preserve">; </w:t>
      </w:r>
    </w:p>
    <w:p w14:paraId="309DFC8F" w14:textId="12B844E3" w:rsidR="003E3A86" w:rsidRPr="002F4EDA" w:rsidRDefault="00604F6F" w:rsidP="00B03234">
      <w:pPr>
        <w:pStyle w:val="Heading5"/>
      </w:pPr>
      <w:r>
        <w:t>i</w:t>
      </w:r>
      <w:r w:rsidR="003E3A86" w:rsidRPr="002F4EDA">
        <w:t xml:space="preserve">f the </w:t>
      </w:r>
      <w:r w:rsidR="00440C71" w:rsidRPr="002F4EDA">
        <w:t>Metering</w:t>
      </w:r>
      <w:r w:rsidR="003E3A86" w:rsidRPr="002F4EDA">
        <w:t xml:space="preserve"> Point does not have </w:t>
      </w:r>
      <w:r>
        <w:t xml:space="preserve">a </w:t>
      </w:r>
      <w:r w:rsidR="00FA0AAE" w:rsidRPr="002F4EDA">
        <w:t>Back-up Meter</w:t>
      </w:r>
      <w:r w:rsidR="003E3A86" w:rsidRPr="002F4EDA">
        <w:t xml:space="preserve">, the </w:t>
      </w:r>
      <w:r w:rsidR="0046412E">
        <w:t>Energy</w:t>
      </w:r>
      <w:r w:rsidR="003E3A86" w:rsidRPr="002F4EDA">
        <w:t xml:space="preserve"> </w:t>
      </w:r>
      <w:r w:rsidR="00DE4372">
        <w:t>estimated</w:t>
      </w:r>
      <w:r w:rsidR="00DE4372" w:rsidRPr="002F4EDA">
        <w:t xml:space="preserve"> </w:t>
      </w:r>
      <w:r w:rsidR="00DE4372">
        <w:t>by the System Operator based on the records stored in the SCADA system</w:t>
      </w:r>
      <w:r>
        <w:t xml:space="preserve"> and the </w:t>
      </w:r>
      <w:r w:rsidR="00D41D45" w:rsidRPr="002F4EDA">
        <w:t xml:space="preserve">Market Operator shall </w:t>
      </w:r>
      <w:r w:rsidR="00637B1C">
        <w:t>request</w:t>
      </w:r>
      <w:r w:rsidR="00637B1C" w:rsidRPr="002F4EDA">
        <w:t xml:space="preserve"> </w:t>
      </w:r>
      <w:r w:rsidR="00D41D45" w:rsidRPr="002F4EDA">
        <w:t>the System Operator</w:t>
      </w:r>
      <w:r w:rsidR="002F4EDA" w:rsidRPr="002F4EDA">
        <w:t xml:space="preserve"> to provide</w:t>
      </w:r>
      <w:r w:rsidR="00D41D45" w:rsidRPr="002F4EDA">
        <w:t xml:space="preserve"> the necessary information</w:t>
      </w:r>
      <w:r>
        <w:t>; or</w:t>
      </w:r>
      <w:r w:rsidR="00D41D45" w:rsidRPr="002F4EDA">
        <w:t xml:space="preserve"> </w:t>
      </w:r>
    </w:p>
    <w:p w14:paraId="37EEC2B5" w14:textId="18B7C569" w:rsidR="003E3A86" w:rsidRPr="00440C71" w:rsidRDefault="00604F6F" w:rsidP="00B03234">
      <w:pPr>
        <w:pStyle w:val="Heading5"/>
      </w:pPr>
      <w:r>
        <w:lastRenderedPageBreak/>
        <w:t>i</w:t>
      </w:r>
      <w:r w:rsidR="003E3A86" w:rsidRPr="00440C71">
        <w:t xml:space="preserve">f the </w:t>
      </w:r>
      <w:r w:rsidR="00440C71">
        <w:t>Metering</w:t>
      </w:r>
      <w:r w:rsidR="003E3A86" w:rsidRPr="00440C71">
        <w:t xml:space="preserve"> Point does not have back-up meter and no information is available </w:t>
      </w:r>
      <w:r>
        <w:t>with</w:t>
      </w:r>
      <w:r w:rsidRPr="00440C71">
        <w:t xml:space="preserve"> </w:t>
      </w:r>
      <w:r w:rsidR="003E3A86" w:rsidRPr="00440C71">
        <w:t xml:space="preserve">the System Operator, </w:t>
      </w:r>
      <w:r>
        <w:t>an estimation</w:t>
      </w:r>
      <w:r w:rsidR="00637B1C">
        <w:t xml:space="preserve"> </w:t>
      </w:r>
      <w:r>
        <w:t>of</w:t>
      </w:r>
      <w:r w:rsidR="00FD5643">
        <w:t xml:space="preserve"> the required quantities</w:t>
      </w:r>
      <w:r w:rsidR="00637B1C">
        <w:t xml:space="preserve"> by the Market Operator</w:t>
      </w:r>
      <w:r w:rsidR="00FD5643">
        <w:t xml:space="preserve">, taking due consideration of any additional metering information that may be available. </w:t>
      </w:r>
    </w:p>
    <w:p w14:paraId="5DB05B8A" w14:textId="71F0AE52" w:rsidR="003E3A86" w:rsidRPr="00440C71" w:rsidRDefault="00604F6F" w:rsidP="005B295A">
      <w:pPr>
        <w:pStyle w:val="Heading4"/>
      </w:pPr>
      <w:bookmarkStart w:id="218" w:name="_Ref75608666"/>
      <w:r>
        <w:t xml:space="preserve">The Market Operator may substitute the </w:t>
      </w:r>
      <w:r w:rsidR="003E3A86" w:rsidRPr="00440C71">
        <w:t>metering data</w:t>
      </w:r>
      <w:r>
        <w:t xml:space="preserve"> provided by the Metering Service Provider</w:t>
      </w:r>
      <w:r w:rsidR="00637B1C">
        <w:t xml:space="preserve"> with estimated values,</w:t>
      </w:r>
      <w:r w:rsidR="003E3A86" w:rsidRPr="00440C71">
        <w:t xml:space="preserve"> in the following cases:</w:t>
      </w:r>
      <w:bookmarkEnd w:id="218"/>
    </w:p>
    <w:p w14:paraId="51B4A967" w14:textId="244884A4" w:rsidR="003E3A86" w:rsidRPr="00440C71" w:rsidRDefault="006C5602" w:rsidP="00B03234">
      <w:pPr>
        <w:pStyle w:val="Heading5"/>
      </w:pPr>
      <w:r>
        <w:t>w</w:t>
      </w:r>
      <w:r w:rsidR="003E3A86" w:rsidRPr="00440C71">
        <w:t>hen a metered value</w:t>
      </w:r>
      <w:r w:rsidR="00440C71">
        <w:t xml:space="preserve">, </w:t>
      </w:r>
      <w:r w:rsidR="003E3A86" w:rsidRPr="00440C71">
        <w:t>or group of metered values</w:t>
      </w:r>
      <w:r w:rsidR="00440C71">
        <w:t>,</w:t>
      </w:r>
      <w:r w:rsidR="003E3A86" w:rsidRPr="00440C71">
        <w:t xml:space="preserve"> have been </w:t>
      </w:r>
      <w:r w:rsidR="00637B1C">
        <w:t>marked</w:t>
      </w:r>
      <w:r w:rsidR="00637B1C" w:rsidRPr="00440C71">
        <w:t xml:space="preserve"> </w:t>
      </w:r>
      <w:r w:rsidR="003E3A86" w:rsidRPr="00440C71">
        <w:t xml:space="preserve">as “Invalid” by the Metering Service Provider, and it </w:t>
      </w:r>
      <w:r w:rsidR="00604F6F">
        <w:t>is</w:t>
      </w:r>
      <w:r w:rsidR="00604F6F" w:rsidRPr="00440C71">
        <w:t xml:space="preserve"> </w:t>
      </w:r>
      <w:r w:rsidR="003E3A86" w:rsidRPr="00440C71">
        <w:t>not possible</w:t>
      </w:r>
      <w:r w:rsidR="00604F6F">
        <w:t xml:space="preserve"> </w:t>
      </w:r>
      <w:r w:rsidR="00604F6F" w:rsidRPr="00440C71">
        <w:t xml:space="preserve">to obtain metered values which pass all the </w:t>
      </w:r>
      <w:r w:rsidR="00604F6F">
        <w:t>V</w:t>
      </w:r>
      <w:r w:rsidR="00604F6F" w:rsidRPr="00440C71">
        <w:t xml:space="preserve">alidation </w:t>
      </w:r>
      <w:r w:rsidR="00604F6F">
        <w:t>C</w:t>
      </w:r>
      <w:r w:rsidR="00604F6F" w:rsidRPr="00440C71">
        <w:t xml:space="preserve">hecks </w:t>
      </w:r>
      <w:r w:rsidR="003E3A86" w:rsidRPr="00440C71">
        <w:t xml:space="preserve">before the </w:t>
      </w:r>
      <w:r w:rsidR="00604F6F">
        <w:t xml:space="preserve">issuance date of the </w:t>
      </w:r>
      <w:r w:rsidR="003E3A86" w:rsidRPr="00440C71">
        <w:t>Preliminary Settlement Statement</w:t>
      </w:r>
      <w:r w:rsidR="003A2409">
        <w:t xml:space="preserve"> (</w:t>
      </w:r>
      <w:r w:rsidR="003A2409" w:rsidRPr="00440C71">
        <w:t>temporarily substitution)</w:t>
      </w:r>
      <w:r w:rsidR="003E3A86" w:rsidRPr="00440C71">
        <w:t>;</w:t>
      </w:r>
    </w:p>
    <w:p w14:paraId="1AD3C051" w14:textId="75FBD367" w:rsidR="003E3A86" w:rsidRPr="00440C71" w:rsidRDefault="006C5602" w:rsidP="00B03234">
      <w:pPr>
        <w:pStyle w:val="Heading5"/>
      </w:pPr>
      <w:r>
        <w:t>w</w:t>
      </w:r>
      <w:r w:rsidR="003E3A86" w:rsidRPr="00440C71">
        <w:t>hen a metered value</w:t>
      </w:r>
      <w:r w:rsidR="00440C71">
        <w:t xml:space="preserve">, </w:t>
      </w:r>
      <w:r w:rsidR="003E3A86" w:rsidRPr="00440C71">
        <w:t>or group of metered values</w:t>
      </w:r>
      <w:r w:rsidR="00440C71">
        <w:t>,</w:t>
      </w:r>
      <w:r w:rsidR="003E3A86" w:rsidRPr="00440C71">
        <w:t xml:space="preserve"> have been labelled as “Invalid” by the Metering Service Provider, and it </w:t>
      </w:r>
      <w:r w:rsidR="003A2409">
        <w:t>is</w:t>
      </w:r>
      <w:r w:rsidR="003A2409" w:rsidRPr="00440C71">
        <w:t xml:space="preserve"> </w:t>
      </w:r>
      <w:r w:rsidR="003E3A86" w:rsidRPr="00440C71">
        <w:t xml:space="preserve">not possible, to obtain metered values which pass all the </w:t>
      </w:r>
      <w:r w:rsidR="002057EE">
        <w:t>V</w:t>
      </w:r>
      <w:r w:rsidR="003E3A86" w:rsidRPr="00440C71">
        <w:t xml:space="preserve">alidation </w:t>
      </w:r>
      <w:r w:rsidR="002057EE">
        <w:t>C</w:t>
      </w:r>
      <w:r w:rsidR="003E3A86" w:rsidRPr="00440C71">
        <w:t xml:space="preserve">hecks </w:t>
      </w:r>
      <w:r w:rsidR="003A2409">
        <w:t xml:space="preserve"> </w:t>
      </w:r>
      <w:r w:rsidR="003A2409" w:rsidRPr="00440C71">
        <w:t xml:space="preserve">before the </w:t>
      </w:r>
      <w:r w:rsidR="003A2409">
        <w:t xml:space="preserve">issuance date of the </w:t>
      </w:r>
      <w:r w:rsidR="003A2409" w:rsidRPr="00440C71">
        <w:t xml:space="preserve">Final Settlement Statement </w:t>
      </w:r>
      <w:r w:rsidR="003E3A86" w:rsidRPr="00440C71">
        <w:t xml:space="preserve">(final substitution); </w:t>
      </w:r>
    </w:p>
    <w:p w14:paraId="4885AC7B" w14:textId="589E2CD3" w:rsidR="003E3A86" w:rsidRPr="00440C71" w:rsidRDefault="006C5602" w:rsidP="00B03234">
      <w:pPr>
        <w:pStyle w:val="Heading5"/>
      </w:pPr>
      <w:r>
        <w:t>w</w:t>
      </w:r>
      <w:r w:rsidR="003E3A86" w:rsidRPr="00440C71">
        <w:t xml:space="preserve">hen the resolution of a </w:t>
      </w:r>
      <w:r w:rsidR="00836CAC">
        <w:t xml:space="preserve">Metering </w:t>
      </w:r>
      <w:r w:rsidR="003E3A86" w:rsidRPr="00440C71">
        <w:t xml:space="preserve">Incident Report indicates a fault in </w:t>
      </w:r>
      <w:r w:rsidR="008E2B63">
        <w:t>the</w:t>
      </w:r>
      <w:r w:rsidR="003E3A86" w:rsidRPr="00440C71">
        <w:t xml:space="preserve"> equipment </w:t>
      </w:r>
      <w:r w:rsidR="003A2409">
        <w:t>of</w:t>
      </w:r>
      <w:r w:rsidR="003E3A86" w:rsidRPr="00440C71">
        <w:t xml:space="preserve"> the </w:t>
      </w:r>
      <w:r w:rsidR="00174DA8">
        <w:t xml:space="preserve">Commercial </w:t>
      </w:r>
      <w:r w:rsidR="003E3A86" w:rsidRPr="00440C71">
        <w:t xml:space="preserve">Metering System and it </w:t>
      </w:r>
      <w:r w:rsidR="003A2409">
        <w:t>is</w:t>
      </w:r>
      <w:r w:rsidR="003A2409" w:rsidRPr="00440C71">
        <w:t xml:space="preserve"> </w:t>
      </w:r>
      <w:r w:rsidR="003E3A86" w:rsidRPr="00440C71">
        <w:t xml:space="preserve">not possible to retrieve accurate data </w:t>
      </w:r>
      <w:r w:rsidR="008E2B63">
        <w:t xml:space="preserve">unless the faulty equipment is </w:t>
      </w:r>
      <w:r w:rsidR="003E3A86" w:rsidRPr="00440C71">
        <w:t xml:space="preserve"> </w:t>
      </w:r>
      <w:r w:rsidR="008E2B63">
        <w:t>replaced</w:t>
      </w:r>
      <w:r w:rsidR="008E2B63" w:rsidRPr="00440C71">
        <w:t xml:space="preserve"> </w:t>
      </w:r>
      <w:r w:rsidR="003E3A86" w:rsidRPr="00440C71">
        <w:t>or rep</w:t>
      </w:r>
      <w:r w:rsidR="008E2B63">
        <w:t>a</w:t>
      </w:r>
      <w:r w:rsidR="003E3A86" w:rsidRPr="00440C71">
        <w:t>ir</w:t>
      </w:r>
      <w:r w:rsidR="008E2B63">
        <w:t>ed</w:t>
      </w:r>
      <w:r w:rsidR="003E3A86" w:rsidRPr="00440C71">
        <w:t>; and</w:t>
      </w:r>
    </w:p>
    <w:p w14:paraId="4B36C858" w14:textId="1324FDB8" w:rsidR="003E3A86" w:rsidRPr="00440C71" w:rsidRDefault="006C5602" w:rsidP="00B03234">
      <w:pPr>
        <w:pStyle w:val="Heading5"/>
      </w:pPr>
      <w:r>
        <w:t>w</w:t>
      </w:r>
      <w:r w:rsidR="003E3A86" w:rsidRPr="00440C71">
        <w:t xml:space="preserve">hen </w:t>
      </w:r>
      <w:r w:rsidR="008E2B63">
        <w:t xml:space="preserve">it is impossible to obtain data from </w:t>
      </w:r>
      <w:r w:rsidR="003E3A86" w:rsidRPr="00440C71">
        <w:t xml:space="preserve">the </w:t>
      </w:r>
      <w:r w:rsidR="002E529E">
        <w:t xml:space="preserve">Commercial </w:t>
      </w:r>
      <w:r w:rsidR="003E3A86" w:rsidRPr="00440C71">
        <w:t xml:space="preserve">Metering System. </w:t>
      </w:r>
    </w:p>
    <w:p w14:paraId="0FB0B3C2" w14:textId="6D27DC5E" w:rsidR="003E3A86" w:rsidRPr="00CF2F3B" w:rsidRDefault="003E3A86" w:rsidP="005B295A">
      <w:pPr>
        <w:pStyle w:val="Heading4"/>
      </w:pPr>
      <w:r w:rsidRPr="00CF2F3B">
        <w:t xml:space="preserve">The Market Operator shall </w:t>
      </w:r>
      <w:r w:rsidR="008E2B63">
        <w:t xml:space="preserve">include in the Settlement Statements information </w:t>
      </w:r>
      <w:r w:rsidR="0054013F">
        <w:t xml:space="preserve">regarding </w:t>
      </w:r>
      <w:r w:rsidRPr="00CF2F3B">
        <w:t xml:space="preserve"> any </w:t>
      </w:r>
      <w:r w:rsidR="0054013F">
        <w:t>issues</w:t>
      </w:r>
      <w:r w:rsidRPr="00CF2F3B">
        <w:t xml:space="preserve">, errors or failures </w:t>
      </w:r>
      <w:r w:rsidR="0054013F">
        <w:t>identified during the verification and validation process</w:t>
      </w:r>
      <w:r w:rsidR="0054013F" w:rsidRPr="00CF2F3B">
        <w:t xml:space="preserve"> </w:t>
      </w:r>
      <w:r w:rsidRPr="00CF2F3B">
        <w:t xml:space="preserve">and the </w:t>
      </w:r>
      <w:r w:rsidR="0054013F">
        <w:t>substituted</w:t>
      </w:r>
      <w:r w:rsidR="0054013F" w:rsidRPr="00CF2F3B">
        <w:t xml:space="preserve"> </w:t>
      </w:r>
      <w:r w:rsidR="0054013F">
        <w:t>values</w:t>
      </w:r>
      <w:r w:rsidR="0054013F" w:rsidRPr="00CF2F3B">
        <w:t xml:space="preserve"> </w:t>
      </w:r>
      <w:r w:rsidRPr="00CF2F3B">
        <w:t xml:space="preserve">used to calculate the </w:t>
      </w:r>
      <w:r w:rsidR="0046412E">
        <w:t>Energy</w:t>
      </w:r>
      <w:r w:rsidRPr="00CF2F3B">
        <w:t xml:space="preserve"> for the Settlement Statement.</w:t>
      </w:r>
    </w:p>
    <w:p w14:paraId="08ECE083" w14:textId="460F1B80" w:rsidR="003E3A86" w:rsidRDefault="003E3A86" w:rsidP="005B295A">
      <w:pPr>
        <w:pStyle w:val="Heading4"/>
      </w:pPr>
      <w:r w:rsidRPr="00CF2F3B">
        <w:t xml:space="preserve">The Market </w:t>
      </w:r>
      <w:r w:rsidRPr="006C5602">
        <w:t xml:space="preserve">Operator shall </w:t>
      </w:r>
      <w:r w:rsidR="0054013F" w:rsidRPr="006C5602">
        <w:t xml:space="preserve">require </w:t>
      </w:r>
      <w:r w:rsidRPr="006C5602">
        <w:t xml:space="preserve">the </w:t>
      </w:r>
      <w:r w:rsidR="00CF2F3B" w:rsidRPr="006C5602">
        <w:t>Metering</w:t>
      </w:r>
      <w:r w:rsidRPr="006C5602">
        <w:t xml:space="preserve"> Service Provider </w:t>
      </w:r>
      <w:r w:rsidR="0054013F" w:rsidRPr="006C5602">
        <w:t xml:space="preserve">to take all necessary measures to </w:t>
      </w:r>
      <w:r w:rsidR="0054013F" w:rsidRPr="00B03C4A">
        <w:t>rectify the causes which led to the substitution of the metered data</w:t>
      </w:r>
      <w:r w:rsidR="0054013F" w:rsidRPr="006C5602">
        <w:t>.</w:t>
      </w:r>
    </w:p>
    <w:p w14:paraId="2BBDFF81" w14:textId="517415BA" w:rsidR="00CF2F3B" w:rsidRPr="00CF2F3B" w:rsidRDefault="001C4A85" w:rsidP="00C173D0">
      <w:pPr>
        <w:pStyle w:val="Heading2"/>
      </w:pPr>
      <w:bookmarkStart w:id="219" w:name="_Toc64846674"/>
      <w:bookmarkStart w:id="220" w:name="_Toc69476971"/>
      <w:r w:rsidRPr="00CF2F3B">
        <w:t>Storage And Custody Of Commercial Metering Data</w:t>
      </w:r>
      <w:bookmarkEnd w:id="219"/>
      <w:bookmarkEnd w:id="220"/>
    </w:p>
    <w:p w14:paraId="46E791EA" w14:textId="1DF31A83" w:rsidR="003E3A86" w:rsidRPr="00CF2F3B" w:rsidRDefault="003E3A86" w:rsidP="005B295A">
      <w:pPr>
        <w:pStyle w:val="Heading4"/>
      </w:pPr>
      <w:r w:rsidRPr="00CF2F3B">
        <w:t>The Metering Service Provider shall store commercial metering data</w:t>
      </w:r>
      <w:r w:rsidR="0054013F">
        <w:t xml:space="preserve"> in a secured manner for at least 5 years or any other longer period required</w:t>
      </w:r>
      <w:r w:rsidRPr="00CF2F3B">
        <w:t xml:space="preserve"> to resolve </w:t>
      </w:r>
      <w:r w:rsidR="0054013F">
        <w:t xml:space="preserve">any </w:t>
      </w:r>
      <w:r w:rsidRPr="00CF2F3B">
        <w:t xml:space="preserve">disputes </w:t>
      </w:r>
      <w:r w:rsidR="0054013F">
        <w:t>among</w:t>
      </w:r>
      <w:r w:rsidRPr="00CF2F3B">
        <w:t xml:space="preserve"> the Market Participants</w:t>
      </w:r>
      <w:r w:rsidR="007E038C">
        <w:t xml:space="preserve">. </w:t>
      </w:r>
    </w:p>
    <w:p w14:paraId="3CD5A14A" w14:textId="51C1C1C5" w:rsidR="003E3A86" w:rsidRPr="00CF2F3B" w:rsidRDefault="0054013F" w:rsidP="005B295A">
      <w:pPr>
        <w:pStyle w:val="Heading4"/>
      </w:pPr>
      <w:r>
        <w:t>While</w:t>
      </w:r>
      <w:r w:rsidRPr="00CF2F3B">
        <w:t xml:space="preserve"> </w:t>
      </w:r>
      <w:r w:rsidR="003E3A86" w:rsidRPr="00CF2F3B">
        <w:t>storing the commercial metering data, the</w:t>
      </w:r>
      <w:r w:rsidR="00D84BF0">
        <w:t xml:space="preserve"> Meter</w:t>
      </w:r>
      <w:r w:rsidR="00717F73">
        <w:t>ing</w:t>
      </w:r>
      <w:r w:rsidR="00D84BF0">
        <w:t xml:space="preserve"> Service Provider shall consider the </w:t>
      </w:r>
      <w:r w:rsidR="003E3A86" w:rsidRPr="00CF2F3B">
        <w:t>following aspects:</w:t>
      </w:r>
    </w:p>
    <w:p w14:paraId="6A997836" w14:textId="32789B37" w:rsidR="003E3A86" w:rsidRPr="00CF2F3B" w:rsidRDefault="003E3A86" w:rsidP="00B03234">
      <w:pPr>
        <w:pStyle w:val="Heading5"/>
      </w:pPr>
      <w:r w:rsidRPr="00CF2F3B">
        <w:t xml:space="preserve">Completeness of </w:t>
      </w:r>
      <w:r w:rsidR="0054013F">
        <w:t xml:space="preserve">the </w:t>
      </w:r>
      <w:r w:rsidRPr="00CF2F3B">
        <w:t>stored data</w:t>
      </w:r>
      <w:r w:rsidR="0054013F">
        <w:t>:</w:t>
      </w:r>
      <w:r w:rsidRPr="00CF2F3B">
        <w:t xml:space="preserve"> </w:t>
      </w:r>
      <w:r w:rsidR="0054013F">
        <w:t xml:space="preserve">The stored </w:t>
      </w:r>
      <w:r w:rsidRPr="00CF2F3B">
        <w:t xml:space="preserve"> metering </w:t>
      </w:r>
      <w:r w:rsidR="0054013F">
        <w:t>data shall</w:t>
      </w:r>
      <w:r w:rsidRPr="00CF2F3B">
        <w:t xml:space="preserve"> contain all </w:t>
      </w:r>
      <w:r w:rsidR="0054013F">
        <w:t>important</w:t>
      </w:r>
      <w:r w:rsidR="0054013F" w:rsidRPr="00CF2F3B">
        <w:t xml:space="preserve"> </w:t>
      </w:r>
      <w:r w:rsidRPr="00CF2F3B">
        <w:t xml:space="preserve">information which </w:t>
      </w:r>
      <w:r w:rsidR="0054013F">
        <w:t>may be</w:t>
      </w:r>
      <w:r w:rsidR="0054013F" w:rsidRPr="00CF2F3B">
        <w:t xml:space="preserve"> </w:t>
      </w:r>
      <w:r w:rsidR="0054013F">
        <w:t>required</w:t>
      </w:r>
      <w:r w:rsidR="0054013F" w:rsidRPr="00CF2F3B">
        <w:t xml:space="preserve"> </w:t>
      </w:r>
      <w:r w:rsidRPr="00CF2F3B">
        <w:t xml:space="preserve">to restore the primary metering </w:t>
      </w:r>
      <w:r w:rsidR="0054013F">
        <w:t>data</w:t>
      </w:r>
      <w:r w:rsidRPr="00CF2F3B">
        <w:t>.</w:t>
      </w:r>
    </w:p>
    <w:p w14:paraId="1CA591C7" w14:textId="10A64168" w:rsidR="003E3A86" w:rsidRPr="00CF2F3B" w:rsidRDefault="003E3A86" w:rsidP="00B03234">
      <w:pPr>
        <w:pStyle w:val="Heading5"/>
      </w:pPr>
      <w:r w:rsidRPr="00CF2F3B">
        <w:t>Protection of data</w:t>
      </w:r>
      <w:r w:rsidR="007B6445">
        <w:t>: The stored</w:t>
      </w:r>
      <w:r w:rsidRPr="00CF2F3B">
        <w:t xml:space="preserve"> metering data </w:t>
      </w:r>
      <w:r w:rsidR="007B6445">
        <w:t>shall</w:t>
      </w:r>
      <w:r w:rsidR="007B6445" w:rsidRPr="00CF2F3B">
        <w:t xml:space="preserve"> </w:t>
      </w:r>
      <w:r w:rsidRPr="00CF2F3B">
        <w:t>be protected against accidental</w:t>
      </w:r>
      <w:r w:rsidR="007B6445">
        <w:t>,</w:t>
      </w:r>
      <w:r w:rsidRPr="00CF2F3B">
        <w:t xml:space="preserve"> intentional or unintentional changes.</w:t>
      </w:r>
    </w:p>
    <w:p w14:paraId="16D630D3" w14:textId="7F012C93" w:rsidR="003E3A86" w:rsidRPr="00CF2F3B" w:rsidRDefault="003E3A86" w:rsidP="00B03234">
      <w:pPr>
        <w:pStyle w:val="Heading5"/>
      </w:pPr>
      <w:r w:rsidRPr="00CF2F3B">
        <w:t>Confidentiality of keys</w:t>
      </w:r>
      <w:r w:rsidR="007B6445">
        <w:t>:</w:t>
      </w:r>
      <w:r w:rsidRPr="00CF2F3B">
        <w:t xml:space="preserve"> Digital signature keys shall be kept secret and </w:t>
      </w:r>
      <w:r w:rsidR="007B6445">
        <w:t>secured</w:t>
      </w:r>
      <w:r w:rsidRPr="00CF2F3B">
        <w:t xml:space="preserve"> against </w:t>
      </w:r>
      <w:r w:rsidR="007B6445">
        <w:t xml:space="preserve">any </w:t>
      </w:r>
      <w:commentRangeStart w:id="221"/>
      <w:r w:rsidR="007B6445" w:rsidRPr="007B6445">
        <w:rPr>
          <w:highlight w:val="yellow"/>
        </w:rPr>
        <w:t>malware attacks</w:t>
      </w:r>
      <w:commentRangeEnd w:id="221"/>
      <w:r w:rsidR="006C5602">
        <w:rPr>
          <w:rStyle w:val="CommentReference"/>
          <w:rFonts w:eastAsiaTheme="minorHAnsi" w:cstheme="minorBidi"/>
          <w:color w:val="1C1C1C"/>
        </w:rPr>
        <w:commentReference w:id="221"/>
      </w:r>
      <w:r w:rsidRPr="00CF2F3B">
        <w:t>.</w:t>
      </w:r>
    </w:p>
    <w:p w14:paraId="321BC49A" w14:textId="3986DB61" w:rsidR="003E3A86" w:rsidRPr="00CF2F3B" w:rsidRDefault="003E3A86" w:rsidP="00B03234">
      <w:pPr>
        <w:pStyle w:val="Heading5"/>
      </w:pPr>
      <w:r w:rsidRPr="00CF2F3B">
        <w:t xml:space="preserve">Capacity of </w:t>
      </w:r>
      <w:r w:rsidR="00D84BF0">
        <w:t>the storage database</w:t>
      </w:r>
      <w:r w:rsidR="00717F73">
        <w:t>:</w:t>
      </w:r>
      <w:r w:rsidRPr="00CF2F3B">
        <w:t xml:space="preserve"> </w:t>
      </w:r>
      <w:r w:rsidR="00D84BF0">
        <w:t xml:space="preserve">Enough </w:t>
      </w:r>
      <w:r w:rsidR="00717F73">
        <w:t xml:space="preserve">storage </w:t>
      </w:r>
      <w:r w:rsidR="00D84BF0">
        <w:t xml:space="preserve">capacity </w:t>
      </w:r>
      <w:r w:rsidR="00717F73">
        <w:t>shall be maintained for</w:t>
      </w:r>
      <w:r w:rsidR="00D84BF0">
        <w:t xml:space="preserve"> the </w:t>
      </w:r>
      <w:r w:rsidR="00717F73">
        <w:t>metering</w:t>
      </w:r>
      <w:r w:rsidRPr="00CF2F3B">
        <w:t xml:space="preserve"> </w:t>
      </w:r>
      <w:r w:rsidR="00D84BF0">
        <w:t>dat</w:t>
      </w:r>
      <w:r w:rsidR="00717F73">
        <w:t>a</w:t>
      </w:r>
      <w:r w:rsidRPr="00CF2F3B">
        <w:t>.</w:t>
      </w:r>
    </w:p>
    <w:p w14:paraId="6E521964" w14:textId="7EBAD71A" w:rsidR="003E3A86" w:rsidRPr="00CF2F3B" w:rsidRDefault="001C4A85" w:rsidP="00C173D0">
      <w:pPr>
        <w:pStyle w:val="Heading2"/>
      </w:pPr>
      <w:bookmarkStart w:id="222" w:name="_Toc64846675"/>
      <w:bookmarkStart w:id="223" w:name="_Toc69476972"/>
      <w:r w:rsidRPr="00CF2F3B">
        <w:t>Commercial Metering Report</w:t>
      </w:r>
      <w:bookmarkEnd w:id="222"/>
      <w:bookmarkEnd w:id="223"/>
      <w:r w:rsidRPr="00CF2F3B">
        <w:t xml:space="preserve"> </w:t>
      </w:r>
    </w:p>
    <w:p w14:paraId="5EA4FC2D" w14:textId="75D6460B" w:rsidR="003E3A86" w:rsidRPr="00CF2F3B" w:rsidRDefault="003E3A86" w:rsidP="005B295A">
      <w:pPr>
        <w:pStyle w:val="Heading4"/>
      </w:pPr>
      <w:r w:rsidRPr="00CF2F3B">
        <w:t>Every year</w:t>
      </w:r>
      <w:r w:rsidR="00D84BF0">
        <w:t>, a</w:t>
      </w:r>
      <w:r w:rsidRPr="00CF2F3B">
        <w:t xml:space="preserve"> Metering Service Provider shall prepare</w:t>
      </w:r>
      <w:r w:rsidR="00D84BF0">
        <w:t>,</w:t>
      </w:r>
      <w:r w:rsidRPr="00CF2F3B">
        <w:t xml:space="preserve"> and submit to the Market Operator</w:t>
      </w:r>
      <w:r w:rsidR="00D84BF0">
        <w:t>,</w:t>
      </w:r>
      <w:r w:rsidRPr="00CF2F3B">
        <w:t xml:space="preserve"> a Commercial Metering Report. </w:t>
      </w:r>
    </w:p>
    <w:p w14:paraId="7A6B2515" w14:textId="65F3DF0D" w:rsidR="003E3A86" w:rsidRPr="00CF2F3B" w:rsidRDefault="00D84BF0" w:rsidP="005B295A">
      <w:pPr>
        <w:pStyle w:val="Heading4"/>
      </w:pPr>
      <w:r>
        <w:lastRenderedPageBreak/>
        <w:t>All relevant</w:t>
      </w:r>
      <w:r w:rsidRPr="00CF2F3B">
        <w:t xml:space="preserve"> </w:t>
      </w:r>
      <w:r w:rsidR="003E3A86" w:rsidRPr="00CF2F3B">
        <w:t xml:space="preserve">Market Participants </w:t>
      </w:r>
      <w:r w:rsidR="00717F73">
        <w:t xml:space="preserve">and Service Providers </w:t>
      </w:r>
      <w:r w:rsidR="003E3A86" w:rsidRPr="00CF2F3B">
        <w:t xml:space="preserve">shall </w:t>
      </w:r>
      <w:r w:rsidR="00717F73">
        <w:t xml:space="preserve">assist </w:t>
      </w:r>
      <w:r w:rsidR="003E3A86" w:rsidRPr="00CF2F3B">
        <w:t xml:space="preserve">the </w:t>
      </w:r>
      <w:r w:rsidR="00CF2F3B">
        <w:t>Metering Service Provider</w:t>
      </w:r>
      <w:r w:rsidR="003E3A86" w:rsidRPr="00CF2F3B">
        <w:t xml:space="preserve"> in the preparation of the Commercial Metering Report </w:t>
      </w:r>
      <w:r>
        <w:t xml:space="preserve">by </w:t>
      </w:r>
      <w:r w:rsidR="003E3A86" w:rsidRPr="00CF2F3B">
        <w:t>providing accurate information</w:t>
      </w:r>
      <w:r w:rsidR="00717F73">
        <w:t xml:space="preserve"> in a timely manner</w:t>
      </w:r>
      <w:r w:rsidR="003E3A86" w:rsidRPr="00CF2F3B">
        <w:t xml:space="preserve"> in relation </w:t>
      </w:r>
      <w:r w:rsidR="001904D8">
        <w:t>to</w:t>
      </w:r>
      <w:r w:rsidR="001904D8" w:rsidRPr="00CF2F3B">
        <w:t xml:space="preserve"> </w:t>
      </w:r>
      <w:r w:rsidR="003E3A86" w:rsidRPr="00CF2F3B">
        <w:t xml:space="preserve">the </w:t>
      </w:r>
      <w:r>
        <w:t xml:space="preserve">relevant </w:t>
      </w:r>
      <w:r w:rsidR="00FA0AAE">
        <w:t>M</w:t>
      </w:r>
      <w:r w:rsidR="003E3A86" w:rsidRPr="00CF2F3B">
        <w:t xml:space="preserve">etering </w:t>
      </w:r>
      <w:r w:rsidR="00FA0AAE">
        <w:t>P</w:t>
      </w:r>
      <w:r w:rsidR="003E3A86" w:rsidRPr="00CF2F3B">
        <w:t xml:space="preserve">oints. </w:t>
      </w:r>
    </w:p>
    <w:p w14:paraId="7B7A958E" w14:textId="1FF23EEB" w:rsidR="003E3A86" w:rsidRPr="00CF2F3B" w:rsidRDefault="003E3A86" w:rsidP="005B295A">
      <w:pPr>
        <w:pStyle w:val="Heading4"/>
      </w:pPr>
      <w:r w:rsidRPr="00CF2F3B">
        <w:t>The Commercial Metering Report</w:t>
      </w:r>
      <w:r w:rsidR="00D84BF0">
        <w:t xml:space="preserve"> shall, </w:t>
      </w:r>
      <w:r w:rsidR="00D84BF0" w:rsidRPr="00D84BF0">
        <w:rPr>
          <w:i/>
          <w:iCs w:val="0"/>
        </w:rPr>
        <w:t>inter alia</w:t>
      </w:r>
      <w:r w:rsidR="00D84BF0">
        <w:t>,</w:t>
      </w:r>
      <w:r w:rsidRPr="00CF2F3B">
        <w:t xml:space="preserve"> include:</w:t>
      </w:r>
    </w:p>
    <w:p w14:paraId="28C85D67" w14:textId="626B1C37" w:rsidR="003E3A86" w:rsidRPr="00CF2F3B" w:rsidRDefault="006C5602" w:rsidP="00B03234">
      <w:pPr>
        <w:pStyle w:val="Heading5"/>
      </w:pPr>
      <w:r>
        <w:t>l</w:t>
      </w:r>
      <w:r w:rsidR="003E3A86" w:rsidRPr="00CF2F3B">
        <w:t xml:space="preserve">ist of all </w:t>
      </w:r>
      <w:r w:rsidR="00D84BF0">
        <w:t>Metering Points</w:t>
      </w:r>
      <w:r w:rsidR="00D84BF0" w:rsidRPr="00CF2F3B">
        <w:t xml:space="preserve"> </w:t>
      </w:r>
      <w:r w:rsidR="003E3A86" w:rsidRPr="00CF2F3B">
        <w:t xml:space="preserve">which are </w:t>
      </w:r>
      <w:r w:rsidR="00BB3E70">
        <w:t>not equipped with the requisite Commercial Metering System according to the provisions</w:t>
      </w:r>
      <w:r w:rsidR="003E3A86" w:rsidRPr="00CF2F3B">
        <w:t xml:space="preserve"> of this Code</w:t>
      </w:r>
      <w:r w:rsidR="00BB3E70">
        <w:t>,</w:t>
      </w:r>
      <w:r w:rsidR="003E3A86" w:rsidRPr="00CF2F3B">
        <w:t xml:space="preserve"> the Grid Code or the Distribution Code, </w:t>
      </w:r>
      <w:r w:rsidR="00BB3E70">
        <w:t>along with</w:t>
      </w:r>
      <w:r w:rsidR="00BB3E70" w:rsidRPr="00CF2F3B">
        <w:t xml:space="preserve"> </w:t>
      </w:r>
      <w:r w:rsidR="003E3A86" w:rsidRPr="00CF2F3B">
        <w:t xml:space="preserve">plans or </w:t>
      </w:r>
      <w:r w:rsidR="00BB3E70">
        <w:t>measures to rectify this situation</w:t>
      </w:r>
      <w:r w:rsidR="003E3A86" w:rsidRPr="00CF2F3B">
        <w:t xml:space="preserve">; </w:t>
      </w:r>
    </w:p>
    <w:p w14:paraId="29B3F2CA" w14:textId="6E2EF255" w:rsidR="003E3A86" w:rsidRPr="001C4A85" w:rsidRDefault="006C5602" w:rsidP="00B03234">
      <w:pPr>
        <w:pStyle w:val="Heading5"/>
      </w:pPr>
      <w:r>
        <w:t>p</w:t>
      </w:r>
      <w:r w:rsidR="003E3A86" w:rsidRPr="00CF2F3B">
        <w:t xml:space="preserve">roblems identified in the implementation of </w:t>
      </w:r>
      <w:r w:rsidR="00BB3E70">
        <w:t>certain provisions</w:t>
      </w:r>
      <w:r w:rsidR="003E3A86" w:rsidRPr="00CF2F3B">
        <w:t xml:space="preserve"> of</w:t>
      </w:r>
      <w:r w:rsidR="001904D8">
        <w:t xml:space="preserve"> this Code, the Grid Code or the Distribution Code</w:t>
      </w:r>
      <w:r w:rsidR="003E3A86" w:rsidRPr="001C4A85">
        <w:t>;</w:t>
      </w:r>
    </w:p>
    <w:p w14:paraId="7775F5F6" w14:textId="1A43C127" w:rsidR="003E3A86" w:rsidRPr="00CF2F3B" w:rsidRDefault="006C5602" w:rsidP="00B03234">
      <w:pPr>
        <w:pStyle w:val="Heading5"/>
      </w:pPr>
      <w:r>
        <w:t>c</w:t>
      </w:r>
      <w:r w:rsidR="003E3A86" w:rsidRPr="001C4A85">
        <w:t xml:space="preserve">onflicts </w:t>
      </w:r>
      <w:r w:rsidR="001E223E" w:rsidRPr="001C4A85">
        <w:t>among the Market Operator</w:t>
      </w:r>
      <w:r w:rsidR="001E223E" w:rsidRPr="00CF2F3B">
        <w:t xml:space="preserve">, </w:t>
      </w:r>
      <w:r w:rsidR="001E223E">
        <w:t xml:space="preserve">the Metering Service Provider </w:t>
      </w:r>
      <w:r w:rsidR="001E223E" w:rsidRPr="00CF2F3B">
        <w:t>or Market Participants</w:t>
      </w:r>
      <w:r w:rsidR="001E223E">
        <w:t xml:space="preserve"> related to </w:t>
      </w:r>
      <w:r w:rsidR="003E3A86" w:rsidRPr="001C4A85">
        <w:t>interpretation</w:t>
      </w:r>
      <w:r w:rsidR="001E223E">
        <w:t xml:space="preserve"> of provisions of </w:t>
      </w:r>
      <w:r w:rsidR="003E3A86" w:rsidRPr="001C4A85">
        <w:t xml:space="preserve"> </w:t>
      </w:r>
      <w:r w:rsidR="001E223E">
        <w:t>this Code</w:t>
      </w:r>
      <w:r w:rsidR="001E223E" w:rsidRPr="00CF2F3B">
        <w:t xml:space="preserve">, the Grid Code or the Distribution Code, </w:t>
      </w:r>
      <w:r w:rsidR="001E223E">
        <w:t>and the relevant CCOP</w:t>
      </w:r>
      <w:r w:rsidR="003E3A86" w:rsidRPr="00CF2F3B">
        <w:t>;</w:t>
      </w:r>
    </w:p>
    <w:p w14:paraId="0369E29F" w14:textId="7BEDEFAD" w:rsidR="003E3A86" w:rsidRPr="00CF2F3B" w:rsidRDefault="006C5602" w:rsidP="00B03234">
      <w:pPr>
        <w:pStyle w:val="Heading5"/>
      </w:pPr>
      <w:r>
        <w:t>c</w:t>
      </w:r>
      <w:r w:rsidR="003E3A86" w:rsidRPr="00CF2F3B">
        <w:t xml:space="preserve">ompilation of all proposals </w:t>
      </w:r>
      <w:r w:rsidR="001904D8">
        <w:t xml:space="preserve">which were submitted to the Market Operator </w:t>
      </w:r>
      <w:r w:rsidR="003E3A86" w:rsidRPr="00CF2F3B">
        <w:t xml:space="preserve">for </w:t>
      </w:r>
      <w:r w:rsidR="001E223E">
        <w:t>A</w:t>
      </w:r>
      <w:r w:rsidR="003E3A86" w:rsidRPr="00CF2F3B">
        <w:t xml:space="preserve">mendment </w:t>
      </w:r>
      <w:r w:rsidR="001E223E">
        <w:t>in</w:t>
      </w:r>
      <w:r w:rsidR="003E3A86" w:rsidRPr="00CF2F3B">
        <w:t xml:space="preserve"> </w:t>
      </w:r>
      <w:r w:rsidR="00F05124">
        <w:t>this Code</w:t>
      </w:r>
      <w:r w:rsidR="003E3A86" w:rsidRPr="00CF2F3B">
        <w:t xml:space="preserve">, the Grid Code or the Distribution Code </w:t>
      </w:r>
      <w:r w:rsidR="001E223E">
        <w:t>regarding</w:t>
      </w:r>
      <w:r w:rsidR="003E3A86" w:rsidRPr="00CF2F3B">
        <w:t xml:space="preserve"> metering; </w:t>
      </w:r>
    </w:p>
    <w:p w14:paraId="102791CE" w14:textId="7210B4CF" w:rsidR="003E3A86" w:rsidRPr="00CF2F3B" w:rsidRDefault="006C5602" w:rsidP="00B03234">
      <w:pPr>
        <w:pStyle w:val="Heading5"/>
      </w:pPr>
      <w:r>
        <w:t>a</w:t>
      </w:r>
      <w:r w:rsidR="003E3A86" w:rsidRPr="00CF2F3B">
        <w:t>ny other relevant matter to identify any problems in the performance, feasibility, efficiency and design of the Commercial Metering System.</w:t>
      </w:r>
    </w:p>
    <w:p w14:paraId="59114D79" w14:textId="77777777" w:rsidR="003E3A86" w:rsidRDefault="003E3A86" w:rsidP="00A22D29">
      <w:pPr>
        <w:pStyle w:val="BodyText"/>
      </w:pPr>
    </w:p>
    <w:p w14:paraId="07D5F94C" w14:textId="77777777" w:rsidR="003E3A86" w:rsidRPr="006A0CE0" w:rsidRDefault="003E3A86" w:rsidP="00A22D29">
      <w:pPr>
        <w:pStyle w:val="BodyText"/>
      </w:pPr>
    </w:p>
    <w:p w14:paraId="13804AC0" w14:textId="77777777" w:rsidR="00722B47" w:rsidRDefault="00722B47">
      <w:pPr>
        <w:spacing w:line="240" w:lineRule="auto"/>
        <w:rPr>
          <w:rFonts w:eastAsiaTheme="majorEastAsia" w:cstheme="majorBidi"/>
          <w:b/>
          <w:bCs/>
          <w:smallCaps/>
          <w:color w:val="C2113A"/>
          <w:sz w:val="28"/>
          <w:szCs w:val="28"/>
        </w:rPr>
      </w:pPr>
      <w:bookmarkStart w:id="224" w:name="_Ref59727461"/>
      <w:r>
        <w:br w:type="page"/>
      </w:r>
    </w:p>
    <w:p w14:paraId="049BB774" w14:textId="05F557DF" w:rsidR="00293F8F" w:rsidRPr="001868FE" w:rsidRDefault="00293F8F" w:rsidP="00A40A5D">
      <w:pPr>
        <w:pStyle w:val="Heading1"/>
      </w:pPr>
      <w:bookmarkStart w:id="225" w:name="_Ref65937030"/>
      <w:bookmarkStart w:id="226" w:name="_Toc64846676"/>
      <w:bookmarkStart w:id="227" w:name="_Toc69476973"/>
      <w:r w:rsidRPr="001868FE">
        <w:lastRenderedPageBreak/>
        <w:t>BALANCING MECHANISM FOR ENERGY</w:t>
      </w:r>
      <w:bookmarkEnd w:id="224"/>
      <w:bookmarkEnd w:id="225"/>
      <w:bookmarkEnd w:id="226"/>
      <w:bookmarkEnd w:id="227"/>
    </w:p>
    <w:p w14:paraId="5A652469" w14:textId="2A1A6DD0" w:rsidR="001A04DD" w:rsidRDefault="001A04DD" w:rsidP="00C173D0">
      <w:pPr>
        <w:pStyle w:val="Heading2"/>
      </w:pPr>
      <w:bookmarkStart w:id="228" w:name="_Toc64846677"/>
      <w:bookmarkStart w:id="229" w:name="_Toc69476974"/>
      <w:r>
        <w:t>Balancing Mechanism</w:t>
      </w:r>
      <w:bookmarkEnd w:id="228"/>
      <w:bookmarkEnd w:id="229"/>
      <w:r w:rsidR="001E223E">
        <w:t xml:space="preserve"> for Energy</w:t>
      </w:r>
    </w:p>
    <w:p w14:paraId="64D98872" w14:textId="3038C46E" w:rsidR="00293F8F" w:rsidRDefault="001E223E" w:rsidP="00C173D0">
      <w:pPr>
        <w:pStyle w:val="Heading3"/>
      </w:pPr>
      <w:r>
        <w:t>Purpose</w:t>
      </w:r>
    </w:p>
    <w:p w14:paraId="7B10302E" w14:textId="3DC0C2B2" w:rsidR="00B932E3" w:rsidRDefault="00B932E3" w:rsidP="005B295A">
      <w:pPr>
        <w:pStyle w:val="Heading4"/>
      </w:pPr>
      <w:r w:rsidRPr="00844AEE">
        <w:t>The</w:t>
      </w:r>
      <w:r w:rsidR="001E223E">
        <w:t xml:space="preserve"> purpose of the</w:t>
      </w:r>
      <w:r w:rsidRPr="00844AEE">
        <w:t xml:space="preserve"> Balancing Mechanism </w:t>
      </w:r>
      <w:r w:rsidR="001A04DD" w:rsidRPr="00844AEE">
        <w:t xml:space="preserve">for Energy </w:t>
      </w:r>
      <w:r w:rsidR="001E223E">
        <w:t>shall be to</w:t>
      </w:r>
      <w:r w:rsidR="001E223E" w:rsidRPr="00844AEE">
        <w:t xml:space="preserve"> </w:t>
      </w:r>
      <w:r w:rsidRPr="00844AEE">
        <w:t xml:space="preserve">determine, for each Market Participant, the </w:t>
      </w:r>
      <w:r w:rsidR="00E7246D" w:rsidRPr="00844AEE">
        <w:t xml:space="preserve">Imbalance </w:t>
      </w:r>
      <w:r w:rsidR="00E7246D">
        <w:t xml:space="preserve">of </w:t>
      </w:r>
      <w:r w:rsidR="00EE72C0" w:rsidRPr="00844AEE">
        <w:t>E</w:t>
      </w:r>
      <w:r w:rsidR="00015D2E" w:rsidRPr="00844AEE">
        <w:t xml:space="preserve">nergy </w:t>
      </w:r>
      <w:r w:rsidR="00E7246D">
        <w:t>calculated as</w:t>
      </w:r>
      <w:r w:rsidR="00015D2E" w:rsidRPr="00844AEE">
        <w:t xml:space="preserve"> the </w:t>
      </w:r>
      <w:r w:rsidRPr="00844AEE">
        <w:t xml:space="preserve">difference between the </w:t>
      </w:r>
      <w:r w:rsidR="008E6C1A" w:rsidRPr="00844AEE">
        <w:t>E</w:t>
      </w:r>
      <w:r w:rsidRPr="00844AEE">
        <w:t xml:space="preserve">nergy </w:t>
      </w:r>
      <w:r w:rsidRPr="00B03C4A">
        <w:t>actually</w:t>
      </w:r>
      <w:r w:rsidRPr="00844AEE">
        <w:t xml:space="preserve"> injected</w:t>
      </w:r>
      <w:r w:rsidR="00F73C26">
        <w:t xml:space="preserve"> into</w:t>
      </w:r>
      <w:r w:rsidRPr="00844AEE">
        <w:t xml:space="preserve"> </w:t>
      </w:r>
      <w:r w:rsidR="00F73C26">
        <w:t xml:space="preserve">or </w:t>
      </w:r>
      <w:r w:rsidR="00E7246D">
        <w:t>withdrawn</w:t>
      </w:r>
      <w:r w:rsidR="00E7246D" w:rsidRPr="00844AEE">
        <w:t xml:space="preserve"> </w:t>
      </w:r>
      <w:r w:rsidRPr="00844AEE">
        <w:t xml:space="preserve">from </w:t>
      </w:r>
      <w:r w:rsidR="00E7246D">
        <w:t>the Grid System</w:t>
      </w:r>
      <w:r w:rsidR="00D71943">
        <w:t xml:space="preserve"> at </w:t>
      </w:r>
      <w:r w:rsidR="00E7246D">
        <w:t xml:space="preserve">the relevant </w:t>
      </w:r>
      <w:r w:rsidR="00D71943">
        <w:t>Trading Points</w:t>
      </w:r>
      <w:r w:rsidR="00E7246D">
        <w:t xml:space="preserve"> duly adjusted for the losses in the network </w:t>
      </w:r>
      <w:r w:rsidR="00015D2E">
        <w:t>and</w:t>
      </w:r>
      <w:r>
        <w:t xml:space="preserve"> the contracted </w:t>
      </w:r>
      <w:r w:rsidR="00E7246D">
        <w:t>quantities</w:t>
      </w:r>
      <w:r>
        <w:t xml:space="preserve"> registered in the Contract </w:t>
      </w:r>
      <w:r w:rsidR="002F4EDA">
        <w:t>Register</w:t>
      </w:r>
      <w:r>
        <w:t xml:space="preserve"> of the Market Operator. </w:t>
      </w:r>
    </w:p>
    <w:p w14:paraId="62761C1D" w14:textId="2A57E1DA" w:rsidR="001E223E" w:rsidRPr="001E223E" w:rsidRDefault="001E223E" w:rsidP="001E223E">
      <w:pPr>
        <w:pStyle w:val="Heading3"/>
      </w:pPr>
      <w:r>
        <w:t>Balancing Period and Settlement Period</w:t>
      </w:r>
    </w:p>
    <w:p w14:paraId="1BCB7DE1" w14:textId="5EE3F2B1" w:rsidR="00015D2E" w:rsidRDefault="00015D2E" w:rsidP="005B295A">
      <w:pPr>
        <w:pStyle w:val="Heading4"/>
      </w:pPr>
      <w:r>
        <w:t xml:space="preserve">The Market Operator shall </w:t>
      </w:r>
      <w:r w:rsidR="002F4EDA">
        <w:t>calculate the Imbalance of Energy</w:t>
      </w:r>
      <w:r>
        <w:t xml:space="preserve"> </w:t>
      </w:r>
      <w:r w:rsidR="00B932E3">
        <w:t xml:space="preserve">on hourly </w:t>
      </w:r>
      <w:r>
        <w:t xml:space="preserve">basis </w:t>
      </w:r>
      <w:r w:rsidR="00A7338D">
        <w:t xml:space="preserve">(the </w:t>
      </w:r>
      <w:r w:rsidR="008E6C1A">
        <w:t xml:space="preserve">Energy </w:t>
      </w:r>
      <w:r w:rsidR="00A7338D">
        <w:t>B</w:t>
      </w:r>
      <w:bookmarkStart w:id="230" w:name="_Hlk66297265"/>
      <w:r w:rsidR="00A7338D">
        <w:t>alancing Period</w:t>
      </w:r>
      <w:bookmarkEnd w:id="230"/>
      <w:r w:rsidR="00A7338D">
        <w:t xml:space="preserve">) </w:t>
      </w:r>
      <w:r>
        <w:t>and the results</w:t>
      </w:r>
      <w:r w:rsidR="00F73C26">
        <w:t xml:space="preserve"> thereof</w:t>
      </w:r>
      <w:r>
        <w:t xml:space="preserve"> </w:t>
      </w:r>
      <w:r w:rsidR="00E7246D">
        <w:t xml:space="preserve">shall </w:t>
      </w:r>
      <w:r>
        <w:t>be consolidated on monthly basis for settlement purposes</w:t>
      </w:r>
      <w:r w:rsidR="00A7338D">
        <w:t xml:space="preserve"> (the Settlement Period)</w:t>
      </w:r>
      <w:r>
        <w:t xml:space="preserve">. </w:t>
      </w:r>
    </w:p>
    <w:p w14:paraId="08547D2C" w14:textId="69E24D6F" w:rsidR="00293F8F" w:rsidRDefault="00293F8F" w:rsidP="00C173D0">
      <w:pPr>
        <w:pStyle w:val="Heading3"/>
      </w:pPr>
      <w:r>
        <w:t>required</w:t>
      </w:r>
      <w:r w:rsidR="00E7246D">
        <w:t xml:space="preserve"> Information</w:t>
      </w:r>
    </w:p>
    <w:p w14:paraId="0C8077F3" w14:textId="0C589F39" w:rsidR="001A04DD" w:rsidRDefault="00E7246D" w:rsidP="005B295A">
      <w:pPr>
        <w:pStyle w:val="Heading4"/>
      </w:pPr>
      <w:r>
        <w:t xml:space="preserve">Every month, the Market Operator shall use the </w:t>
      </w:r>
      <w:r w:rsidR="001A04DD">
        <w:t>following information</w:t>
      </w:r>
      <w:r>
        <w:t xml:space="preserve"> for </w:t>
      </w:r>
      <w:r w:rsidR="00602BE7" w:rsidRPr="00B03C4A">
        <w:t>administration of</w:t>
      </w:r>
      <w:r w:rsidRPr="006C5602">
        <w:t xml:space="preserve"> the Balancing Mechanism</w:t>
      </w:r>
      <w:r>
        <w:t xml:space="preserve"> for Energy</w:t>
      </w:r>
      <w:r w:rsidR="001A04DD">
        <w:t xml:space="preserve">: </w:t>
      </w:r>
    </w:p>
    <w:p w14:paraId="7AD07249" w14:textId="0A72953A" w:rsidR="001A04DD" w:rsidRDefault="00602BE7" w:rsidP="00B03234">
      <w:pPr>
        <w:pStyle w:val="Heading5"/>
      </w:pPr>
      <w:r>
        <w:t>i</w:t>
      </w:r>
      <w:r w:rsidR="001A04DD">
        <w:t xml:space="preserve">nformation </w:t>
      </w:r>
      <w:r w:rsidR="00E7246D">
        <w:t xml:space="preserve">provided by the Metering Service Provider </w:t>
      </w:r>
      <w:r w:rsidR="00BE2AE1">
        <w:t>for all Metering Points</w:t>
      </w:r>
      <w:r w:rsidR="001A04DD">
        <w:t xml:space="preserve">; </w:t>
      </w:r>
    </w:p>
    <w:p w14:paraId="5200E9AA" w14:textId="63E5B4F9" w:rsidR="00BE2AE1" w:rsidRDefault="00602BE7" w:rsidP="00BE2AE1">
      <w:pPr>
        <w:pStyle w:val="Heading5"/>
      </w:pPr>
      <w:r>
        <w:t>if applicable, t</w:t>
      </w:r>
      <w:r w:rsidR="00BE2AE1">
        <w:t>he substituted</w:t>
      </w:r>
      <w:r w:rsidR="006C5602">
        <w:t xml:space="preserve"> or estimated values</w:t>
      </w:r>
      <w:r w:rsidR="00BE2AE1">
        <w:t xml:space="preserve"> as per </w:t>
      </w:r>
      <w:r w:rsidR="006C5602">
        <w:t>Sub-Section</w:t>
      </w:r>
      <w:r w:rsidR="00BE2AE1">
        <w:t xml:space="preserve"> </w:t>
      </w:r>
      <w:r w:rsidR="006C5602">
        <w:fldChar w:fldCharType="begin"/>
      </w:r>
      <w:r w:rsidR="006C5602">
        <w:instrText xml:space="preserve"> REF _Ref76854568 \r \h </w:instrText>
      </w:r>
      <w:r w:rsidR="006C5602">
        <w:fldChar w:fldCharType="separate"/>
      </w:r>
      <w:r w:rsidR="006C5602">
        <w:t>5.3.3</w:t>
      </w:r>
      <w:r w:rsidR="006C5602">
        <w:fldChar w:fldCharType="end"/>
      </w:r>
      <w:r>
        <w:t>;</w:t>
      </w:r>
    </w:p>
    <w:p w14:paraId="603FAC1E" w14:textId="2907DE90" w:rsidR="001A04DD" w:rsidRDefault="00602BE7" w:rsidP="00B03234">
      <w:pPr>
        <w:pStyle w:val="Heading5"/>
      </w:pPr>
      <w:r>
        <w:t>i</w:t>
      </w:r>
      <w:r w:rsidR="001A04DD">
        <w:t>nformation</w:t>
      </w:r>
      <w:r w:rsidR="00BE2AE1">
        <w:t xml:space="preserve"> related to contracted quantities of each Market Participant</w:t>
      </w:r>
      <w:r w:rsidR="001A04DD">
        <w:t xml:space="preserve"> from the </w:t>
      </w:r>
      <w:r w:rsidR="00BE2AE1">
        <w:t>Contracts Register</w:t>
      </w:r>
      <w:r w:rsidR="001A04DD">
        <w:t>; and</w:t>
      </w:r>
    </w:p>
    <w:p w14:paraId="512B3106" w14:textId="2DF205EB" w:rsidR="001A04DD" w:rsidRPr="001A04DD" w:rsidRDefault="00D8076D" w:rsidP="00B03234">
      <w:pPr>
        <w:pStyle w:val="Heading5"/>
      </w:pPr>
      <w:r>
        <w:t>System Marginal Prices</w:t>
      </w:r>
      <w:r w:rsidR="001A04DD">
        <w:t xml:space="preserve"> </w:t>
      </w:r>
      <w:r w:rsidR="00BE2AE1">
        <w:t xml:space="preserve">provided </w:t>
      </w:r>
      <w:r w:rsidR="00782843">
        <w:t xml:space="preserve">by the System Operator </w:t>
      </w:r>
      <w:r w:rsidR="001A04DD">
        <w:t xml:space="preserve">for of each </w:t>
      </w:r>
      <w:r w:rsidR="00782843">
        <w:t>hour of the month.</w:t>
      </w:r>
    </w:p>
    <w:p w14:paraId="757EFF0A" w14:textId="005DDEA8" w:rsidR="00782843" w:rsidRDefault="00782843" w:rsidP="005B295A">
      <w:pPr>
        <w:pStyle w:val="Heading4"/>
      </w:pPr>
      <w:r>
        <w:t xml:space="preserve">The Market Operator shall collect, properly organize, </w:t>
      </w:r>
      <w:r w:rsidR="00246FF7">
        <w:t>maintain,</w:t>
      </w:r>
      <w:r>
        <w:t xml:space="preserve"> and </w:t>
      </w:r>
      <w:r w:rsidR="00BE2AE1">
        <w:t xml:space="preserve">keep </w:t>
      </w:r>
      <w:r>
        <w:t xml:space="preserve">custody </w:t>
      </w:r>
      <w:r w:rsidR="00BE2AE1">
        <w:t xml:space="preserve">of </w:t>
      </w:r>
      <w:r>
        <w:t xml:space="preserve">all the information used for the </w:t>
      </w:r>
      <w:r w:rsidR="00602BE7">
        <w:t>administration</w:t>
      </w:r>
      <w:r w:rsidR="00BE2AE1">
        <w:t xml:space="preserve"> of</w:t>
      </w:r>
      <w:r>
        <w:t xml:space="preserve"> the Balancing Mechanism for Energy</w:t>
      </w:r>
      <w:r w:rsidR="00602BE7">
        <w:t>, which</w:t>
      </w:r>
      <w:r>
        <w:t xml:space="preserve"> shall be kept for at least five [5] years </w:t>
      </w:r>
      <w:r w:rsidR="003019DC">
        <w:t>o</w:t>
      </w:r>
      <w:r w:rsidR="003019DC" w:rsidRPr="003019DC">
        <w:t xml:space="preserve">r any other </w:t>
      </w:r>
      <w:r w:rsidR="00246FF7">
        <w:t>longer</w:t>
      </w:r>
      <w:r w:rsidR="00246FF7" w:rsidRPr="003019DC">
        <w:t xml:space="preserve"> </w:t>
      </w:r>
      <w:r w:rsidR="003019DC" w:rsidRPr="003019DC">
        <w:t xml:space="preserve">period as </w:t>
      </w:r>
      <w:r w:rsidR="00602BE7">
        <w:t>may be required</w:t>
      </w:r>
      <w:r>
        <w:t xml:space="preserve">. </w:t>
      </w:r>
    </w:p>
    <w:p w14:paraId="0F3EDB76" w14:textId="5A9016BF" w:rsidR="00127CCF" w:rsidRPr="009248C2" w:rsidRDefault="009248C2" w:rsidP="00C173D0">
      <w:pPr>
        <w:pStyle w:val="Heading2"/>
      </w:pPr>
      <w:bookmarkStart w:id="231" w:name="_Toc64846678"/>
      <w:bookmarkStart w:id="232" w:name="_Toc69476975"/>
      <w:r>
        <w:t>Consideration of Distribution Losses</w:t>
      </w:r>
      <w:bookmarkEnd w:id="231"/>
      <w:bookmarkEnd w:id="232"/>
    </w:p>
    <w:p w14:paraId="792F0B0B" w14:textId="58D9BEB6" w:rsidR="00217D11" w:rsidRDefault="009248C2" w:rsidP="005B295A">
      <w:pPr>
        <w:pStyle w:val="Heading4"/>
      </w:pPr>
      <w:bookmarkStart w:id="233" w:name="_Ref76854660"/>
      <w:r>
        <w:t xml:space="preserve">For </w:t>
      </w:r>
      <w:r w:rsidR="00246FF7">
        <w:t xml:space="preserve">calculation of the Imbalances of </w:t>
      </w:r>
      <w:r>
        <w:t>Energy</w:t>
      </w:r>
      <w:r w:rsidR="00246FF7">
        <w:t>,</w:t>
      </w:r>
      <w:r>
        <w:t xml:space="preserve"> it </w:t>
      </w:r>
      <w:r w:rsidR="00246FF7">
        <w:t xml:space="preserve">shall be </w:t>
      </w:r>
      <w:r>
        <w:t>considered that all transactions take place at the Transmission Network</w:t>
      </w:r>
      <w:r w:rsidR="00217D11">
        <w:t xml:space="preserve">. </w:t>
      </w:r>
      <w:r w:rsidR="007A4739">
        <w:t xml:space="preserve">However, if a Trading Point is located in the Distribution Network, the values obtained from such Trading Point shall be adjusted </w:t>
      </w:r>
      <w:r w:rsidR="00127CCF" w:rsidRPr="00217D11">
        <w:t xml:space="preserve">to </w:t>
      </w:r>
      <w:r w:rsidR="008C1463">
        <w:t>take into account the losses in such network.</w:t>
      </w:r>
      <w:bookmarkEnd w:id="233"/>
      <w:r w:rsidR="008C1463">
        <w:t xml:space="preserve"> </w:t>
      </w:r>
    </w:p>
    <w:p w14:paraId="5B738CD9" w14:textId="291BB50B" w:rsidR="008C1463" w:rsidRDefault="00127CCF" w:rsidP="005B295A">
      <w:pPr>
        <w:pStyle w:val="Heading4"/>
      </w:pPr>
      <w:bookmarkStart w:id="234" w:name="_Ref59389993"/>
      <w:r w:rsidRPr="00217D11">
        <w:t>T</w:t>
      </w:r>
      <w:r w:rsidR="00246FF7">
        <w:t>he</w:t>
      </w:r>
      <w:r w:rsidR="008C1463">
        <w:t xml:space="preserve"> adjustment</w:t>
      </w:r>
      <w:r w:rsidR="007A4739">
        <w:t>,</w:t>
      </w:r>
      <w:r w:rsidR="008C1463">
        <w:t xml:space="preserve"> </w:t>
      </w:r>
      <w:r w:rsidR="007A4739">
        <w:t xml:space="preserve">referred to in Clause </w:t>
      </w:r>
      <w:r w:rsidR="006C5602">
        <w:fldChar w:fldCharType="begin"/>
      </w:r>
      <w:r w:rsidR="006C5602">
        <w:instrText xml:space="preserve"> REF _Ref76854660 \r \h </w:instrText>
      </w:r>
      <w:r w:rsidR="006C5602">
        <w:fldChar w:fldCharType="separate"/>
      </w:r>
      <w:r w:rsidR="006C5602">
        <w:t>6.2.1.1</w:t>
      </w:r>
      <w:r w:rsidR="006C5602">
        <w:fldChar w:fldCharType="end"/>
      </w:r>
      <w:r w:rsidR="006C5602">
        <w:t xml:space="preserve"> </w:t>
      </w:r>
      <w:r w:rsidR="007A4739">
        <w:t xml:space="preserve">above, </w:t>
      </w:r>
      <w:r w:rsidRPr="00217D11">
        <w:t xml:space="preserve">shall be </w:t>
      </w:r>
      <w:r w:rsidR="008C1463">
        <w:t xml:space="preserve">performed at all </w:t>
      </w:r>
      <w:r w:rsidR="00FA0AAE">
        <w:t>Trading Point</w:t>
      </w:r>
      <w:r w:rsidR="00217D11">
        <w:t>s</w:t>
      </w:r>
      <w:r w:rsidR="008C1463">
        <w:t xml:space="preserve"> located in the Distribution Network</w:t>
      </w:r>
      <w:r w:rsidR="00246FF7">
        <w:t xml:space="preserve"> where</w:t>
      </w:r>
      <w:r w:rsidR="00217D11">
        <w:t xml:space="preserve"> </w:t>
      </w:r>
      <w:r w:rsidR="0046412E">
        <w:t>Energy</w:t>
      </w:r>
      <w:r w:rsidR="008C1463">
        <w:t xml:space="preserve"> is </w:t>
      </w:r>
      <w:r w:rsidR="00246FF7">
        <w:t>withdrawn</w:t>
      </w:r>
      <w:r w:rsidR="00F54A87">
        <w:t>,</w:t>
      </w:r>
      <w:r w:rsidR="00246FF7">
        <w:t xml:space="preserve"> which shall include</w:t>
      </w:r>
      <w:r w:rsidR="008C1463">
        <w:t>:</w:t>
      </w:r>
      <w:bookmarkEnd w:id="234"/>
      <w:r w:rsidR="008C1463">
        <w:t xml:space="preserve"> </w:t>
      </w:r>
    </w:p>
    <w:p w14:paraId="3D7B860B" w14:textId="5D01EE29" w:rsidR="008C1463" w:rsidRPr="008C1463" w:rsidRDefault="008C1463" w:rsidP="00B03234">
      <w:pPr>
        <w:pStyle w:val="Heading5"/>
      </w:pPr>
      <w:r w:rsidRPr="008C1463">
        <w:t>BPCs</w:t>
      </w:r>
      <w:r w:rsidR="007A4739">
        <w:t xml:space="preserve"> registered as Market Participants or supplied electric power by Competitive </w:t>
      </w:r>
      <w:r w:rsidR="00BF564D">
        <w:t>Electric Power Supplier</w:t>
      </w:r>
      <w:r w:rsidR="007A4739">
        <w:t>s</w:t>
      </w:r>
      <w:r w:rsidRPr="008C1463">
        <w:t xml:space="preserve">; </w:t>
      </w:r>
    </w:p>
    <w:p w14:paraId="2BE16B1F" w14:textId="5C2EA91A" w:rsidR="008C1463" w:rsidRPr="008C1463" w:rsidRDefault="008C1463" w:rsidP="00B03234">
      <w:pPr>
        <w:pStyle w:val="Heading5"/>
      </w:pPr>
      <w:r w:rsidRPr="008C1463">
        <w:t xml:space="preserve">Distribution Networks connected to </w:t>
      </w:r>
      <w:r w:rsidR="00F1415E">
        <w:t>another</w:t>
      </w:r>
      <w:r w:rsidR="00F1415E" w:rsidRPr="008C1463">
        <w:t xml:space="preserve"> </w:t>
      </w:r>
      <w:r w:rsidRPr="008C1463">
        <w:t xml:space="preserve">Distribution Network; </w:t>
      </w:r>
    </w:p>
    <w:p w14:paraId="70DA9D7F" w14:textId="051A3FB6" w:rsidR="008C1463" w:rsidRDefault="008C1463" w:rsidP="00B03234">
      <w:pPr>
        <w:pStyle w:val="Heading5"/>
      </w:pPr>
      <w:r w:rsidRPr="008C1463">
        <w:t>Export points located in the Distribution Network</w:t>
      </w:r>
      <w:r w:rsidR="007A4739">
        <w:t xml:space="preserve">; </w:t>
      </w:r>
      <w:r w:rsidR="007A4739" w:rsidRPr="008C1463">
        <w:t>and</w:t>
      </w:r>
    </w:p>
    <w:p w14:paraId="40AE5AEA" w14:textId="6A607DB9" w:rsidR="007A4739" w:rsidRPr="007A4739" w:rsidRDefault="007A4739" w:rsidP="007A4739">
      <w:pPr>
        <w:pStyle w:val="Heading5"/>
      </w:pPr>
      <w:r>
        <w:t>A Generator receiving back-feed Energy</w:t>
      </w:r>
      <w:r w:rsidR="00E2159B">
        <w:t xml:space="preserve"> which is not supplied by a Supplier of Last Resort</w:t>
      </w:r>
      <w:r w:rsidR="00AD38B9">
        <w:t>.</w:t>
      </w:r>
    </w:p>
    <w:p w14:paraId="4084E010" w14:textId="5B0AE6DB" w:rsidR="00127CCF" w:rsidRDefault="004A01D3" w:rsidP="005B295A">
      <w:pPr>
        <w:pStyle w:val="Heading4"/>
      </w:pPr>
      <w:bookmarkStart w:id="235" w:name="_Ref68108993"/>
      <w:r w:rsidRPr="004A01D3">
        <w:lastRenderedPageBreak/>
        <w:t xml:space="preserve">The adjustment </w:t>
      </w:r>
      <w:r w:rsidR="00AD38B9">
        <w:t>provid</w:t>
      </w:r>
      <w:r w:rsidR="00F1415E">
        <w:t>ed</w:t>
      </w:r>
      <w:r w:rsidR="00F1415E" w:rsidRPr="004A01D3">
        <w:t xml:space="preserve"> </w:t>
      </w:r>
      <w:r w:rsidRPr="004A01D3">
        <w:t xml:space="preserve">in </w:t>
      </w:r>
      <w:r w:rsidR="00AD38B9">
        <w:t xml:space="preserve">Clause </w:t>
      </w:r>
      <w:r w:rsidRPr="004A01D3">
        <w:fldChar w:fldCharType="begin"/>
      </w:r>
      <w:r w:rsidRPr="004A01D3">
        <w:instrText xml:space="preserve"> REF _Ref59389993 \r \h  \* MERGEFORMAT </w:instrText>
      </w:r>
      <w:r w:rsidRPr="004A01D3">
        <w:fldChar w:fldCharType="separate"/>
      </w:r>
      <w:r w:rsidR="00251DBF">
        <w:t>6.2.1.2</w:t>
      </w:r>
      <w:r w:rsidRPr="004A01D3">
        <w:fldChar w:fldCharType="end"/>
      </w:r>
      <w:r w:rsidRPr="004A01D3">
        <w:t xml:space="preserve"> </w:t>
      </w:r>
      <w:r w:rsidR="00BB0B51">
        <w:t xml:space="preserve">above </w:t>
      </w:r>
      <w:r w:rsidRPr="004A01D3">
        <w:t>shall be calculated as:</w:t>
      </w:r>
      <w:bookmarkEnd w:id="235"/>
      <w:r w:rsidR="00127CCF" w:rsidRPr="004A01D3">
        <w:t xml:space="preserve">  </w:t>
      </w:r>
    </w:p>
    <w:p w14:paraId="1B810667" w14:textId="07523FE0" w:rsidR="007207BF" w:rsidRPr="007207BF" w:rsidRDefault="007207BF" w:rsidP="007207BF">
      <w:pPr>
        <w:pStyle w:val="Heading5"/>
      </w:pPr>
      <w:r>
        <w:t>Where</w:t>
      </w:r>
      <w:r>
        <w:rPr>
          <w:lang w:val="en-US"/>
        </w:rPr>
        <w:t xml:space="preserve"> the Trading Point is an interface of a BPC</w:t>
      </w:r>
      <w:r w:rsidR="00E2159B">
        <w:rPr>
          <w:lang w:val="en-US"/>
        </w:rPr>
        <w:t>,</w:t>
      </w:r>
      <w:r>
        <w:rPr>
          <w:lang w:val="en-US"/>
        </w:rPr>
        <w:t xml:space="preserve"> an Export</w:t>
      </w:r>
      <w:r w:rsidR="00E2159B">
        <w:rPr>
          <w:lang w:val="en-US"/>
        </w:rPr>
        <w:t xml:space="preserve"> or a Generator receiving back-feed Energy which is not supplied by a Supplier of Last Resort</w:t>
      </w:r>
      <w:r>
        <w:rPr>
          <w:lang w:val="en-US"/>
        </w:rPr>
        <w:t>, where the Energy is withdrawn from the network, the adjustment shall be</w:t>
      </w:r>
      <w:r w:rsidR="00DA2FC6">
        <w:rPr>
          <w:lang w:val="en-US"/>
        </w:rPr>
        <w:t xml:space="preserve"> calculated as following:</w:t>
      </w:r>
    </w:p>
    <w:tbl>
      <w:tblPr>
        <w:tblStyle w:val="TableGrid"/>
        <w:tblW w:w="8368" w:type="dxa"/>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9"/>
        <w:gridCol w:w="3969"/>
      </w:tblGrid>
      <w:tr w:rsidR="004A01D3" w14:paraId="1C068DE2" w14:textId="77777777" w:rsidTr="00FA0AAE">
        <w:tc>
          <w:tcPr>
            <w:tcW w:w="4399" w:type="dxa"/>
          </w:tcPr>
          <w:p w14:paraId="41E198A0" w14:textId="3F9F5039" w:rsidR="004A01D3" w:rsidRDefault="004D6075" w:rsidP="007207BF">
            <w:pPr>
              <w:pStyle w:val="BodyText"/>
              <w:ind w:left="720"/>
            </w:pPr>
            <m:oMath>
              <m:sSub>
                <m:sSubPr>
                  <m:ctrlPr>
                    <w:rPr>
                      <w:rFonts w:ascii="Cambria Math" w:hAnsi="Cambria Math"/>
                    </w:rPr>
                  </m:ctrlPr>
                </m:sSubPr>
                <m:e>
                  <m:r>
                    <w:rPr>
                      <w:rFonts w:ascii="Cambria Math" w:hAnsi="Cambria Math"/>
                    </w:rPr>
                    <m:t>Adj</m:t>
                  </m:r>
                  <m:r>
                    <m:rPr>
                      <m:sty m:val="p"/>
                    </m:rPr>
                    <w:rPr>
                      <w:rFonts w:ascii="Cambria Math" w:hAnsi="Cambria Math"/>
                      <w:lang w:val="en-US"/>
                    </w:rPr>
                    <m:t>_</m:t>
                  </m:r>
                  <m:r>
                    <w:rPr>
                      <w:rFonts w:ascii="Cambria Math" w:hAnsi="Cambria Math"/>
                    </w:rPr>
                    <m:t>E</m:t>
                  </m:r>
                </m:e>
                <m:sub>
                  <m:r>
                    <w:rPr>
                      <w:rFonts w:ascii="Cambria Math" w:hAnsi="Cambria Math"/>
                    </w:rPr>
                    <m:t>i</m:t>
                  </m:r>
                  <m:r>
                    <m:rPr>
                      <m:sty m:val="p"/>
                    </m:rPr>
                    <w:rPr>
                      <w:rFonts w:ascii="Cambria Math" w:hAnsi="Cambria Math"/>
                      <w:lang w:val="en-US"/>
                    </w:rPr>
                    <m:t>,d,</m:t>
                  </m:r>
                  <m:r>
                    <w:rPr>
                      <w:rFonts w:ascii="Cambria Math" w:hAnsi="Cambria Math"/>
                      <w:lang w:val="en-US"/>
                    </w:rPr>
                    <m:t>h</m:t>
                  </m:r>
                </m:sub>
              </m:sSub>
              <m:r>
                <m:rPr>
                  <m:sty m:val="p"/>
                </m:rPr>
                <w:rPr>
                  <w:rFonts w:ascii="Cambria Math" w:hAnsi="Cambria Math"/>
                  <w:lang w:val="en-US"/>
                </w:rPr>
                <m:t>=</m:t>
              </m:r>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MP</m:t>
                      </m:r>
                    </m:e>
                    <m:sub>
                      <m:r>
                        <w:rPr>
                          <w:rFonts w:ascii="Cambria Math" w:hAnsi="Cambria Math"/>
                        </w:rPr>
                        <m:t>i</m:t>
                      </m:r>
                      <m:r>
                        <m:rPr>
                          <m:sty m:val="p"/>
                        </m:rPr>
                        <w:rPr>
                          <w:rFonts w:ascii="Cambria Math" w:hAnsi="Cambria Math"/>
                          <w:lang w:val="en-US"/>
                        </w:rPr>
                        <m:t>,</m:t>
                      </m:r>
                      <m:r>
                        <w:rPr>
                          <w:rFonts w:ascii="Cambria Math" w:hAnsi="Cambria Math"/>
                          <w:lang w:val="en-US"/>
                        </w:rPr>
                        <m:t>d</m:t>
                      </m:r>
                      <m:r>
                        <m:rPr>
                          <m:sty m:val="p"/>
                        </m:rPr>
                        <w:rPr>
                          <w:rFonts w:ascii="Cambria Math" w:hAnsi="Cambria Math"/>
                          <w:lang w:val="en-US"/>
                        </w:rPr>
                        <m:t>,</m:t>
                      </m:r>
                      <m:r>
                        <w:rPr>
                          <w:rFonts w:ascii="Cambria Math" w:hAnsi="Cambria Math"/>
                          <w:lang w:val="en-US"/>
                        </w:rPr>
                        <m:t>h</m:t>
                      </m:r>
                    </m:sub>
                  </m:sSub>
                </m:sub>
              </m:sSub>
              <m:r>
                <m:rPr>
                  <m:sty m:val="p"/>
                </m:rPr>
                <w:rPr>
                  <w:rFonts w:ascii="Cambria Math" w:hAnsi="Cambria Math"/>
                  <w:lang w:val="en-US"/>
                </w:rPr>
                <m:t>/</m:t>
              </m:r>
              <m:d>
                <m:dPr>
                  <m:ctrlPr>
                    <w:rPr>
                      <w:rFonts w:ascii="Cambria Math" w:hAnsi="Cambria Math"/>
                    </w:rPr>
                  </m:ctrlPr>
                </m:dPr>
                <m:e>
                  <m:r>
                    <m:rPr>
                      <m:sty m:val="p"/>
                    </m:rPr>
                    <w:rPr>
                      <w:rFonts w:ascii="Cambria Math" w:hAnsi="Cambria Math"/>
                      <w:lang w:val="en-US"/>
                    </w:rPr>
                    <m:t>1-</m:t>
                  </m:r>
                  <m:sSub>
                    <m:sSubPr>
                      <m:ctrlPr>
                        <w:rPr>
                          <w:rFonts w:ascii="Cambria Math" w:hAnsi="Cambria Math"/>
                        </w:rPr>
                      </m:ctrlPr>
                    </m:sSubPr>
                    <m:e>
                      <m:r>
                        <w:rPr>
                          <w:rFonts w:ascii="Cambria Math" w:hAnsi="Cambria Math"/>
                        </w:rPr>
                        <m:t>DistLoss</m:t>
                      </m:r>
                    </m:e>
                    <m:sub>
                      <m:r>
                        <w:rPr>
                          <w:rFonts w:ascii="Cambria Math" w:hAnsi="Cambria Math"/>
                          <w:lang w:val="en-US"/>
                        </w:rPr>
                        <m:t>d</m:t>
                      </m:r>
                      <m:r>
                        <m:rPr>
                          <m:sty m:val="p"/>
                        </m:rPr>
                        <w:rPr>
                          <w:rFonts w:ascii="Cambria Math" w:hAnsi="Cambria Math"/>
                          <w:lang w:val="en-US"/>
                        </w:rPr>
                        <m:t>,</m:t>
                      </m:r>
                      <m:r>
                        <w:rPr>
                          <w:rFonts w:ascii="Cambria Math" w:hAnsi="Cambria Math"/>
                          <w:lang w:val="en-US"/>
                        </w:rPr>
                        <m:t>p</m:t>
                      </m:r>
                    </m:sub>
                  </m:sSub>
                </m:e>
              </m:d>
            </m:oMath>
            <w:r w:rsidR="004A01D3" w:rsidRPr="004A01D3">
              <w:rPr>
                <w:rFonts w:asciiTheme="minorHAnsi" w:eastAsiaTheme="minorEastAsia" w:hAnsiTheme="minorHAnsi"/>
                <w:lang w:val="en-US"/>
              </w:rPr>
              <w:t xml:space="preserve">  </w:t>
            </w:r>
          </w:p>
        </w:tc>
        <w:tc>
          <w:tcPr>
            <w:tcW w:w="3969" w:type="dxa"/>
          </w:tcPr>
          <w:p w14:paraId="06A8FD35" w14:textId="0DE0C80C" w:rsidR="004A01D3" w:rsidRPr="00F07601" w:rsidRDefault="004A01D3" w:rsidP="00FA0AAE">
            <w:pPr>
              <w:pStyle w:val="BodyText"/>
              <w:ind w:left="136"/>
              <w:rPr>
                <w:lang w:val="en-US"/>
              </w:rPr>
            </w:pPr>
          </w:p>
        </w:tc>
      </w:tr>
    </w:tbl>
    <w:p w14:paraId="127055DB" w14:textId="2A84FAD8" w:rsidR="00127CCF" w:rsidRPr="000C620A" w:rsidRDefault="00127CCF" w:rsidP="00127CCF">
      <w:pPr>
        <w:ind w:left="1276"/>
        <w:rPr>
          <w:rFonts w:eastAsiaTheme="minorEastAsia" w:cstheme="minorHAnsi"/>
          <w:color w:val="auto"/>
        </w:rPr>
      </w:pPr>
      <w:r w:rsidRPr="000C620A">
        <w:rPr>
          <w:rFonts w:eastAsiaTheme="minorEastAsia" w:cstheme="minorHAnsi"/>
          <w:color w:val="auto"/>
        </w:rPr>
        <w:t xml:space="preserve">Where: </w:t>
      </w:r>
    </w:p>
    <w:p w14:paraId="7A9A6668" w14:textId="2FA03472" w:rsidR="00127CCF" w:rsidRPr="000C620A" w:rsidRDefault="004A01D3" w:rsidP="00FF4826">
      <w:pPr>
        <w:pStyle w:val="ListParagraph"/>
        <w:numPr>
          <w:ilvl w:val="0"/>
          <w:numId w:val="23"/>
        </w:numPr>
        <w:rPr>
          <w:rFonts w:eastAsiaTheme="minorEastAsia" w:cstheme="minorHAnsi"/>
          <w:color w:val="auto"/>
        </w:rPr>
      </w:pPr>
      <w:r w:rsidRPr="000C620A">
        <w:rPr>
          <w:rFonts w:eastAsiaTheme="minorEastAsia" w:cstheme="minorHAnsi"/>
          <w:i/>
          <w:iCs/>
          <w:color w:val="auto"/>
        </w:rPr>
        <w:t>Adj_E</w:t>
      </w:r>
      <w:r w:rsidRPr="000C620A">
        <w:rPr>
          <w:rFonts w:eastAsiaTheme="minorEastAsia" w:cstheme="minorHAnsi"/>
          <w:i/>
          <w:iCs/>
          <w:color w:val="auto"/>
          <w:vertAlign w:val="subscript"/>
        </w:rPr>
        <w:t>i</w:t>
      </w:r>
      <w:r w:rsidR="00F07601" w:rsidRPr="000C620A">
        <w:rPr>
          <w:rFonts w:eastAsiaTheme="minorEastAsia" w:cstheme="minorHAnsi"/>
          <w:i/>
          <w:iCs/>
          <w:color w:val="auto"/>
          <w:vertAlign w:val="subscript"/>
        </w:rPr>
        <w:t>,</w:t>
      </w:r>
      <w:r w:rsidR="00F1415E">
        <w:rPr>
          <w:rFonts w:eastAsiaTheme="minorEastAsia" w:cstheme="minorHAnsi"/>
          <w:i/>
          <w:iCs/>
          <w:color w:val="auto"/>
          <w:vertAlign w:val="subscript"/>
        </w:rPr>
        <w:t>d,</w:t>
      </w:r>
      <w:r w:rsidR="00127CCF" w:rsidRPr="000C620A">
        <w:rPr>
          <w:rFonts w:eastAsiaTheme="minorEastAsia" w:cstheme="minorHAnsi"/>
          <w:i/>
          <w:iCs/>
          <w:color w:val="auto"/>
          <w:vertAlign w:val="subscript"/>
        </w:rPr>
        <w:t>h</w:t>
      </w:r>
      <w:r w:rsidR="00127CCF" w:rsidRPr="000C620A">
        <w:rPr>
          <w:rFonts w:eastAsiaTheme="minorEastAsia" w:cstheme="minorHAnsi"/>
          <w:i/>
          <w:iCs/>
          <w:color w:val="auto"/>
        </w:rPr>
        <w:t xml:space="preserve"> </w:t>
      </w:r>
      <w:r w:rsidR="00127CCF" w:rsidRPr="000C620A">
        <w:rPr>
          <w:rFonts w:eastAsiaTheme="minorEastAsia" w:cstheme="minorHAnsi"/>
          <w:color w:val="auto"/>
        </w:rPr>
        <w:t xml:space="preserve">is the </w:t>
      </w:r>
      <w:r w:rsidR="0046412E">
        <w:rPr>
          <w:rFonts w:eastAsiaTheme="minorEastAsia" w:cstheme="minorHAnsi"/>
          <w:color w:val="auto"/>
        </w:rPr>
        <w:t>Energy</w:t>
      </w:r>
      <w:r w:rsidR="00127CCF" w:rsidRPr="000C620A">
        <w:rPr>
          <w:rFonts w:eastAsiaTheme="minorEastAsia" w:cstheme="minorHAnsi"/>
          <w:color w:val="auto"/>
        </w:rPr>
        <w:t xml:space="preserve"> </w:t>
      </w:r>
      <w:r w:rsidR="00F07601" w:rsidRPr="000C620A">
        <w:rPr>
          <w:rFonts w:eastAsiaTheme="minorEastAsia" w:cstheme="minorHAnsi"/>
          <w:color w:val="auto"/>
        </w:rPr>
        <w:t xml:space="preserve">at the </w:t>
      </w:r>
      <w:r w:rsidR="00FA0AAE" w:rsidRPr="000C620A">
        <w:rPr>
          <w:rFonts w:eastAsiaTheme="minorEastAsia" w:cstheme="minorHAnsi"/>
          <w:color w:val="auto"/>
        </w:rPr>
        <w:t>Trading Point</w:t>
      </w:r>
      <w:r w:rsidR="00F07601" w:rsidRPr="000C620A">
        <w:rPr>
          <w:rFonts w:eastAsiaTheme="minorEastAsia" w:cstheme="minorHAnsi"/>
          <w:color w:val="auto"/>
        </w:rPr>
        <w:t xml:space="preserve"> </w:t>
      </w:r>
      <w:r w:rsidR="00F07601" w:rsidRPr="000C620A">
        <w:rPr>
          <w:rFonts w:eastAsiaTheme="minorEastAsia" w:cstheme="minorHAnsi"/>
          <w:i/>
          <w:iCs/>
          <w:color w:val="auto"/>
        </w:rPr>
        <w:t>“i”</w:t>
      </w:r>
      <w:r w:rsidR="00F07601" w:rsidRPr="000C620A">
        <w:rPr>
          <w:rFonts w:eastAsiaTheme="minorEastAsia" w:cstheme="minorHAnsi"/>
          <w:color w:val="auto"/>
        </w:rPr>
        <w:t xml:space="preserve">, at hour </w:t>
      </w:r>
      <w:r w:rsidR="00F07601" w:rsidRPr="000C620A">
        <w:rPr>
          <w:rFonts w:eastAsiaTheme="minorEastAsia" w:cstheme="minorHAnsi"/>
          <w:i/>
          <w:iCs/>
          <w:color w:val="auto"/>
        </w:rPr>
        <w:t>“h”</w:t>
      </w:r>
      <w:r w:rsidR="00F07601" w:rsidRPr="000C620A">
        <w:rPr>
          <w:rFonts w:eastAsiaTheme="minorEastAsia" w:cstheme="minorHAnsi"/>
          <w:color w:val="auto"/>
        </w:rPr>
        <w:t>,</w:t>
      </w:r>
      <w:r w:rsidR="00F1415E">
        <w:rPr>
          <w:rFonts w:eastAsiaTheme="minorEastAsia" w:cstheme="minorHAnsi"/>
          <w:color w:val="auto"/>
        </w:rPr>
        <w:t xml:space="preserve"> </w:t>
      </w:r>
      <w:r w:rsidR="00F1415E" w:rsidRPr="000C620A">
        <w:rPr>
          <w:rFonts w:eastAsiaTheme="minorEastAsia" w:cstheme="minorHAnsi"/>
          <w:color w:val="auto"/>
        </w:rPr>
        <w:t>located in the</w:t>
      </w:r>
      <w:r w:rsidR="00F1415E">
        <w:rPr>
          <w:rFonts w:eastAsiaTheme="minorEastAsia" w:cstheme="minorHAnsi"/>
          <w:color w:val="auto"/>
        </w:rPr>
        <w:t xml:space="preserve"> network of</w:t>
      </w:r>
      <w:r w:rsidR="00F1415E" w:rsidRPr="000C620A">
        <w:rPr>
          <w:rFonts w:eastAsiaTheme="minorEastAsia" w:cstheme="minorHAnsi"/>
          <w:color w:val="auto"/>
        </w:rPr>
        <w:t xml:space="preserve"> Distribution </w:t>
      </w:r>
      <w:r w:rsidR="00F1415E">
        <w:rPr>
          <w:rFonts w:eastAsiaTheme="minorEastAsia" w:cstheme="minorHAnsi"/>
          <w:color w:val="auto"/>
        </w:rPr>
        <w:t>Lice</w:t>
      </w:r>
      <w:r w:rsidR="00AD38B9">
        <w:rPr>
          <w:rFonts w:eastAsiaTheme="minorEastAsia" w:cstheme="minorHAnsi"/>
          <w:color w:val="auto"/>
        </w:rPr>
        <w:t>n</w:t>
      </w:r>
      <w:r w:rsidR="00F1415E">
        <w:rPr>
          <w:rFonts w:eastAsiaTheme="minorEastAsia" w:cstheme="minorHAnsi"/>
          <w:color w:val="auto"/>
        </w:rPr>
        <w:t>see</w:t>
      </w:r>
      <w:r w:rsidR="00F1415E" w:rsidRPr="000C620A">
        <w:rPr>
          <w:rFonts w:eastAsiaTheme="minorEastAsia" w:cstheme="minorHAnsi"/>
          <w:color w:val="auto"/>
        </w:rPr>
        <w:t xml:space="preserve"> “d”</w:t>
      </w:r>
      <w:r w:rsidR="00F1415E">
        <w:rPr>
          <w:rFonts w:eastAsiaTheme="minorEastAsia" w:cstheme="minorHAnsi"/>
          <w:color w:val="auto"/>
        </w:rPr>
        <w:t>,</w:t>
      </w:r>
      <w:r w:rsidR="00F07601" w:rsidRPr="000C620A">
        <w:rPr>
          <w:rFonts w:eastAsiaTheme="minorEastAsia" w:cstheme="minorHAnsi"/>
          <w:color w:val="auto"/>
        </w:rPr>
        <w:t xml:space="preserve"> </w:t>
      </w:r>
      <w:r w:rsidR="00F1415E">
        <w:rPr>
          <w:rFonts w:eastAsiaTheme="minorEastAsia" w:cstheme="minorHAnsi"/>
          <w:color w:val="auto"/>
        </w:rPr>
        <w:t>adjusted to</w:t>
      </w:r>
      <w:r w:rsidR="00F07601" w:rsidRPr="000C620A">
        <w:rPr>
          <w:rFonts w:eastAsiaTheme="minorEastAsia" w:cstheme="minorHAnsi"/>
          <w:color w:val="auto"/>
        </w:rPr>
        <w:t xml:space="preserve"> take into account losses in the Distribution Network.</w:t>
      </w:r>
    </w:p>
    <w:p w14:paraId="1057984C" w14:textId="345B8959" w:rsidR="00127CCF" w:rsidRPr="000C620A" w:rsidRDefault="00F07601" w:rsidP="00FF4826">
      <w:pPr>
        <w:pStyle w:val="ListParagraph"/>
        <w:numPr>
          <w:ilvl w:val="0"/>
          <w:numId w:val="23"/>
        </w:numPr>
        <w:rPr>
          <w:rFonts w:eastAsiaTheme="minorEastAsia" w:cstheme="minorHAnsi"/>
          <w:color w:val="auto"/>
        </w:rPr>
      </w:pPr>
      <w:r w:rsidRPr="000C620A">
        <w:rPr>
          <w:rFonts w:eastAsiaTheme="minorEastAsia" w:cstheme="minorHAnsi"/>
          <w:i/>
          <w:iCs/>
          <w:color w:val="auto"/>
        </w:rPr>
        <w:t>E</w:t>
      </w:r>
      <w:r w:rsidRPr="000C620A">
        <w:rPr>
          <w:rFonts w:eastAsiaTheme="minorEastAsia" w:cstheme="minorHAnsi"/>
          <w:i/>
          <w:iCs/>
          <w:color w:val="auto"/>
          <w:vertAlign w:val="subscript"/>
        </w:rPr>
        <w:t>MP i,d,h</w:t>
      </w:r>
      <w:r w:rsidR="00127CCF" w:rsidRPr="000C620A">
        <w:rPr>
          <w:rFonts w:eastAsiaTheme="minorEastAsia" w:cstheme="minorHAnsi"/>
          <w:i/>
          <w:iCs/>
          <w:color w:val="auto"/>
          <w:vertAlign w:val="subscript"/>
        </w:rPr>
        <w:t xml:space="preserve"> </w:t>
      </w:r>
      <w:r w:rsidR="00127CCF" w:rsidRPr="000C620A">
        <w:rPr>
          <w:rFonts w:eastAsiaTheme="minorEastAsia" w:cstheme="minorHAnsi"/>
          <w:color w:val="auto"/>
        </w:rPr>
        <w:t xml:space="preserve">is the </w:t>
      </w:r>
      <w:r w:rsidRPr="000C620A">
        <w:rPr>
          <w:rFonts w:eastAsiaTheme="minorEastAsia" w:cstheme="minorHAnsi"/>
          <w:color w:val="auto"/>
        </w:rPr>
        <w:t xml:space="preserve">value of </w:t>
      </w:r>
      <w:r w:rsidR="0046412E">
        <w:rPr>
          <w:rFonts w:eastAsiaTheme="minorEastAsia" w:cstheme="minorHAnsi"/>
          <w:color w:val="auto"/>
        </w:rPr>
        <w:t>Energy</w:t>
      </w:r>
      <w:r w:rsidR="00F54A87">
        <w:rPr>
          <w:rFonts w:eastAsiaTheme="minorEastAsia" w:cstheme="minorHAnsi"/>
          <w:color w:val="auto"/>
        </w:rPr>
        <w:t>,</w:t>
      </w:r>
      <w:r w:rsidR="00127CCF" w:rsidRPr="000C620A">
        <w:rPr>
          <w:rFonts w:eastAsiaTheme="minorEastAsia" w:cstheme="minorHAnsi"/>
          <w:color w:val="auto"/>
        </w:rPr>
        <w:t xml:space="preserve"> </w:t>
      </w:r>
      <w:r w:rsidR="00AD38B9">
        <w:rPr>
          <w:rFonts w:eastAsiaTheme="minorEastAsia" w:cstheme="minorHAnsi"/>
          <w:color w:val="auto"/>
        </w:rPr>
        <w:t>as considered by the Market Operator</w:t>
      </w:r>
      <w:r w:rsidR="00497D6E">
        <w:rPr>
          <w:rFonts w:eastAsiaTheme="minorEastAsia" w:cstheme="minorHAnsi"/>
          <w:color w:val="auto"/>
        </w:rPr>
        <w:t xml:space="preserve"> as per provisions of </w:t>
      </w:r>
      <w:r w:rsidR="00F54A87">
        <w:rPr>
          <w:rFonts w:eastAsiaTheme="minorEastAsia" w:cstheme="minorHAnsi"/>
          <w:color w:val="auto"/>
        </w:rPr>
        <w:fldChar w:fldCharType="begin"/>
      </w:r>
      <w:r w:rsidR="00F54A87">
        <w:rPr>
          <w:rFonts w:eastAsiaTheme="minorEastAsia" w:cstheme="minorHAnsi"/>
          <w:color w:val="auto"/>
        </w:rPr>
        <w:instrText xml:space="preserve"> REF _Ref76854808 \r \h </w:instrText>
      </w:r>
      <w:r w:rsidR="00F54A87">
        <w:rPr>
          <w:rFonts w:eastAsiaTheme="minorEastAsia" w:cstheme="minorHAnsi"/>
          <w:color w:val="auto"/>
        </w:rPr>
      </w:r>
      <w:r w:rsidR="00F54A87">
        <w:rPr>
          <w:rFonts w:eastAsiaTheme="minorEastAsia" w:cstheme="minorHAnsi"/>
          <w:color w:val="auto"/>
        </w:rPr>
        <w:fldChar w:fldCharType="separate"/>
      </w:r>
      <w:r w:rsidR="00F54A87">
        <w:rPr>
          <w:rFonts w:eastAsiaTheme="minorEastAsia" w:cstheme="minorHAnsi"/>
          <w:color w:val="auto"/>
        </w:rPr>
        <w:t>Chapter 5</w:t>
      </w:r>
      <w:r w:rsidR="00F54A87">
        <w:rPr>
          <w:rFonts w:eastAsiaTheme="minorEastAsia" w:cstheme="minorHAnsi"/>
          <w:color w:val="auto"/>
        </w:rPr>
        <w:fldChar w:fldCharType="end"/>
      </w:r>
      <w:r w:rsidR="00497D6E">
        <w:rPr>
          <w:rFonts w:eastAsiaTheme="minorEastAsia" w:cstheme="minorHAnsi"/>
          <w:color w:val="auto"/>
        </w:rPr>
        <w:t>,</w:t>
      </w:r>
      <w:r w:rsidR="00AD38B9">
        <w:rPr>
          <w:rFonts w:eastAsiaTheme="minorEastAsia" w:cstheme="minorHAnsi"/>
          <w:color w:val="auto"/>
        </w:rPr>
        <w:t xml:space="preserve"> </w:t>
      </w:r>
      <w:r w:rsidRPr="000C620A">
        <w:rPr>
          <w:rFonts w:eastAsiaTheme="minorEastAsia" w:cstheme="minorHAnsi"/>
          <w:color w:val="auto"/>
        </w:rPr>
        <w:t xml:space="preserve">at the </w:t>
      </w:r>
      <w:r w:rsidR="00127CCF" w:rsidRPr="000C620A">
        <w:rPr>
          <w:rFonts w:eastAsiaTheme="minorEastAsia" w:cstheme="minorHAnsi"/>
          <w:color w:val="auto"/>
        </w:rPr>
        <w:t xml:space="preserve"> </w:t>
      </w:r>
      <w:r w:rsidR="00FA0AAE" w:rsidRPr="000C620A">
        <w:rPr>
          <w:rFonts w:eastAsiaTheme="minorEastAsia" w:cstheme="minorHAnsi"/>
          <w:color w:val="auto"/>
        </w:rPr>
        <w:t>Trading Point</w:t>
      </w:r>
      <w:r w:rsidRPr="000C620A">
        <w:rPr>
          <w:rFonts w:eastAsiaTheme="minorEastAsia" w:cstheme="minorHAnsi"/>
          <w:color w:val="auto"/>
        </w:rPr>
        <w:t xml:space="preserve"> “</w:t>
      </w:r>
      <w:r w:rsidR="00FA0AAE" w:rsidRPr="000C620A">
        <w:rPr>
          <w:rFonts w:eastAsiaTheme="minorEastAsia" w:cstheme="minorHAnsi"/>
          <w:color w:val="auto"/>
        </w:rPr>
        <w:t>i</w:t>
      </w:r>
      <w:r w:rsidRPr="000C620A">
        <w:rPr>
          <w:rFonts w:eastAsiaTheme="minorEastAsia" w:cstheme="minorHAnsi"/>
          <w:color w:val="auto"/>
        </w:rPr>
        <w:t xml:space="preserve">”, located in the </w:t>
      </w:r>
      <w:r w:rsidR="00F1415E">
        <w:rPr>
          <w:rFonts w:eastAsiaTheme="minorEastAsia" w:cstheme="minorHAnsi"/>
          <w:color w:val="auto"/>
        </w:rPr>
        <w:t xml:space="preserve">network of </w:t>
      </w:r>
      <w:r w:rsidRPr="000C620A">
        <w:rPr>
          <w:rFonts w:eastAsiaTheme="minorEastAsia" w:cstheme="minorHAnsi"/>
          <w:color w:val="auto"/>
        </w:rPr>
        <w:t xml:space="preserve">Distribution </w:t>
      </w:r>
      <w:r w:rsidR="00F1415E">
        <w:rPr>
          <w:rFonts w:eastAsiaTheme="minorEastAsia" w:cstheme="minorHAnsi"/>
          <w:color w:val="auto"/>
        </w:rPr>
        <w:t>Licensee</w:t>
      </w:r>
      <w:r w:rsidR="00F1415E" w:rsidRPr="000C620A">
        <w:rPr>
          <w:rFonts w:eastAsiaTheme="minorEastAsia" w:cstheme="minorHAnsi"/>
          <w:color w:val="auto"/>
        </w:rPr>
        <w:t xml:space="preserve"> </w:t>
      </w:r>
      <w:r w:rsidRPr="000C620A">
        <w:rPr>
          <w:rFonts w:eastAsiaTheme="minorEastAsia" w:cstheme="minorHAnsi"/>
          <w:color w:val="auto"/>
        </w:rPr>
        <w:t>“d” at hour “h”</w:t>
      </w:r>
      <w:r w:rsidR="00127CCF" w:rsidRPr="000C620A">
        <w:rPr>
          <w:rFonts w:eastAsiaTheme="minorEastAsia" w:cstheme="minorHAnsi"/>
          <w:color w:val="auto"/>
        </w:rPr>
        <w:t xml:space="preserve">. </w:t>
      </w:r>
    </w:p>
    <w:p w14:paraId="0B7A6079" w14:textId="62F07C37" w:rsidR="00127CCF" w:rsidRDefault="00127CCF" w:rsidP="00FF4826">
      <w:pPr>
        <w:pStyle w:val="ListParagraph"/>
        <w:numPr>
          <w:ilvl w:val="0"/>
          <w:numId w:val="23"/>
        </w:numPr>
        <w:rPr>
          <w:rFonts w:eastAsiaTheme="minorEastAsia" w:cstheme="minorHAnsi"/>
          <w:color w:val="auto"/>
        </w:rPr>
      </w:pPr>
      <w:r w:rsidRPr="000C620A">
        <w:rPr>
          <w:rFonts w:eastAsiaTheme="minorEastAsia" w:cstheme="minorHAnsi"/>
          <w:i/>
          <w:iCs/>
          <w:color w:val="auto"/>
        </w:rPr>
        <w:t>DistLoss</w:t>
      </w:r>
      <w:r w:rsidR="00F07601" w:rsidRPr="000C620A">
        <w:rPr>
          <w:rFonts w:eastAsiaTheme="minorEastAsia" w:cstheme="minorHAnsi"/>
          <w:i/>
          <w:iCs/>
          <w:color w:val="auto"/>
          <w:vertAlign w:val="subscript"/>
        </w:rPr>
        <w:t>d,p</w:t>
      </w:r>
      <w:r w:rsidRPr="000C620A">
        <w:rPr>
          <w:rFonts w:eastAsiaTheme="minorEastAsia" w:cstheme="minorHAnsi"/>
          <w:color w:val="auto"/>
        </w:rPr>
        <w:t xml:space="preserve"> is </w:t>
      </w:r>
      <w:r w:rsidR="00F07601" w:rsidRPr="000C620A">
        <w:rPr>
          <w:rFonts w:eastAsiaTheme="minorEastAsia" w:cstheme="minorHAnsi"/>
          <w:color w:val="auto"/>
        </w:rPr>
        <w:t>a</w:t>
      </w:r>
      <w:r w:rsidRPr="000C620A">
        <w:rPr>
          <w:rFonts w:eastAsiaTheme="minorEastAsia" w:cstheme="minorHAnsi"/>
          <w:color w:val="auto"/>
        </w:rPr>
        <w:t xml:space="preserve"> standard distribution loss coefficient</w:t>
      </w:r>
      <w:r w:rsidR="007207BF">
        <w:rPr>
          <w:rFonts w:eastAsiaTheme="minorEastAsia" w:cstheme="minorHAnsi"/>
          <w:color w:val="auto"/>
        </w:rPr>
        <w:t xml:space="preserve"> of</w:t>
      </w:r>
      <w:r w:rsidR="00F07601" w:rsidRPr="000C620A">
        <w:rPr>
          <w:rFonts w:eastAsiaTheme="minorEastAsia" w:cstheme="minorHAnsi"/>
          <w:color w:val="auto"/>
        </w:rPr>
        <w:t xml:space="preserve"> Distribution Licensee “d” for the period “p” </w:t>
      </w:r>
      <w:r w:rsidR="007207BF">
        <w:rPr>
          <w:rFonts w:eastAsiaTheme="minorEastAsia" w:cstheme="minorHAnsi"/>
          <w:color w:val="auto"/>
        </w:rPr>
        <w:t>to</w:t>
      </w:r>
      <w:r w:rsidR="007207BF" w:rsidRPr="000C620A">
        <w:rPr>
          <w:rFonts w:eastAsiaTheme="minorEastAsia" w:cstheme="minorHAnsi"/>
          <w:color w:val="auto"/>
        </w:rPr>
        <w:t xml:space="preserve"> </w:t>
      </w:r>
      <w:r w:rsidR="00F07601" w:rsidRPr="000C620A">
        <w:rPr>
          <w:rFonts w:eastAsiaTheme="minorEastAsia" w:cstheme="minorHAnsi"/>
          <w:color w:val="auto"/>
        </w:rPr>
        <w:t>which the hour “h” belongs, as determined by the Authority</w:t>
      </w:r>
      <w:r w:rsidRPr="000C620A">
        <w:rPr>
          <w:rFonts w:eastAsiaTheme="minorEastAsia" w:cstheme="minorHAnsi"/>
          <w:color w:val="auto"/>
        </w:rPr>
        <w:t xml:space="preserve">, as per the latest </w:t>
      </w:r>
      <w:r w:rsidR="009A1F0D" w:rsidRPr="000C620A">
        <w:rPr>
          <w:rFonts w:eastAsiaTheme="minorEastAsia" w:cstheme="minorHAnsi"/>
          <w:color w:val="auto"/>
        </w:rPr>
        <w:t>Tariff Determination</w:t>
      </w:r>
      <w:r w:rsidR="00F07601" w:rsidRPr="000C620A">
        <w:rPr>
          <w:rFonts w:eastAsiaTheme="minorEastAsia" w:cstheme="minorHAnsi"/>
          <w:color w:val="auto"/>
        </w:rPr>
        <w:t xml:space="preserve"> for the </w:t>
      </w:r>
      <w:r w:rsidR="007207BF">
        <w:rPr>
          <w:rFonts w:eastAsiaTheme="minorEastAsia" w:cstheme="minorHAnsi"/>
          <w:color w:val="auto"/>
        </w:rPr>
        <w:t>relevant</w:t>
      </w:r>
      <w:r w:rsidR="007207BF" w:rsidRPr="000C620A">
        <w:rPr>
          <w:rFonts w:eastAsiaTheme="minorEastAsia" w:cstheme="minorHAnsi"/>
          <w:color w:val="auto"/>
        </w:rPr>
        <w:t xml:space="preserve"> </w:t>
      </w:r>
      <w:r w:rsidR="00F07601" w:rsidRPr="000C620A">
        <w:rPr>
          <w:rFonts w:eastAsiaTheme="minorEastAsia" w:cstheme="minorHAnsi"/>
          <w:color w:val="auto"/>
        </w:rPr>
        <w:t>Distribution Licensee</w:t>
      </w:r>
      <w:r w:rsidRPr="000C620A">
        <w:rPr>
          <w:rFonts w:eastAsiaTheme="minorEastAsia" w:cstheme="minorHAnsi"/>
          <w:color w:val="auto"/>
        </w:rPr>
        <w:t>.</w:t>
      </w:r>
    </w:p>
    <w:p w14:paraId="27AB366F" w14:textId="3B2F9084" w:rsidR="007207BF" w:rsidRDefault="007207BF" w:rsidP="007207BF">
      <w:pPr>
        <w:pStyle w:val="Heading5"/>
        <w:rPr>
          <w:lang w:val="en-US"/>
        </w:rPr>
      </w:pPr>
      <w:r>
        <w:t>Where</w:t>
      </w:r>
      <w:r>
        <w:rPr>
          <w:lang w:val="en-US"/>
        </w:rPr>
        <w:t xml:space="preserve"> the Trading Point is an interconnection between two Distribution </w:t>
      </w:r>
      <w:r w:rsidR="00DA2FC6">
        <w:rPr>
          <w:lang w:val="en-US"/>
        </w:rPr>
        <w:t>Licensees</w:t>
      </w:r>
      <w:r>
        <w:rPr>
          <w:lang w:val="en-US"/>
        </w:rPr>
        <w:t>, the adjustment shall be</w:t>
      </w:r>
      <w:r w:rsidR="00DA2FC6">
        <w:rPr>
          <w:lang w:val="en-US"/>
        </w:rPr>
        <w:t xml:space="preserve"> calculated as following:</w:t>
      </w:r>
    </w:p>
    <w:p w14:paraId="2AC7E7AE" w14:textId="3BFF6004" w:rsidR="00DA2FC6" w:rsidRPr="00DA2FC6" w:rsidRDefault="004D6075" w:rsidP="00DA2FC6">
      <w:pPr>
        <w:pStyle w:val="BodyText"/>
        <w:rPr>
          <w:rFonts w:eastAsiaTheme="minorEastAsia"/>
        </w:rPr>
      </w:pPr>
      <m:oMathPara>
        <m:oMath>
          <m:sSub>
            <m:sSubPr>
              <m:ctrlPr>
                <w:rPr>
                  <w:rFonts w:ascii="Cambria Math" w:hAnsi="Cambria Math"/>
                </w:rPr>
              </m:ctrlPr>
            </m:sSubPr>
            <m:e>
              <m:r>
                <w:rPr>
                  <w:rFonts w:ascii="Cambria Math" w:hAnsi="Cambria Math"/>
                </w:rPr>
                <m:t>Adj</m:t>
              </m:r>
              <m:r>
                <m:rPr>
                  <m:sty m:val="p"/>
                </m:rPr>
                <w:rPr>
                  <w:rFonts w:ascii="Cambria Math" w:hAnsi="Cambria Math"/>
                  <w:lang w:val="en-US"/>
                </w:rPr>
                <m:t>_</m:t>
              </m:r>
              <m:r>
                <w:rPr>
                  <w:rFonts w:ascii="Cambria Math" w:hAnsi="Cambria Math"/>
                </w:rPr>
                <m:t>E</m:t>
              </m:r>
            </m:e>
            <m:sub>
              <m:r>
                <w:rPr>
                  <w:rFonts w:ascii="Cambria Math" w:hAnsi="Cambria Math"/>
                </w:rPr>
                <m:t>i</m:t>
              </m:r>
              <m:r>
                <m:rPr>
                  <m:sty m:val="p"/>
                </m:rPr>
                <w:rPr>
                  <w:rFonts w:ascii="Cambria Math" w:hAnsi="Cambria Math"/>
                  <w:lang w:val="en-US"/>
                </w:rPr>
                <m:t>,d,</m:t>
              </m:r>
              <m:r>
                <w:rPr>
                  <w:rFonts w:ascii="Cambria Math" w:hAnsi="Cambria Math"/>
                  <w:lang w:val="en-US"/>
                </w:rPr>
                <m:t>h</m:t>
              </m:r>
            </m:sub>
          </m:sSub>
          <m:r>
            <m:rPr>
              <m:sty m:val="p"/>
            </m:rPr>
            <w:rPr>
              <w:rFonts w:ascii="Cambria Math" w:hAnsi="Cambria Math"/>
              <w:lang w:val="en-US"/>
            </w:rPr>
            <m:t>=</m:t>
          </m:r>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MP</m:t>
                  </m:r>
                </m:e>
                <m:sub>
                  <m:r>
                    <w:rPr>
                      <w:rFonts w:ascii="Cambria Math" w:hAnsi="Cambria Math"/>
                    </w:rPr>
                    <m:t>i</m:t>
                  </m:r>
                  <m:r>
                    <m:rPr>
                      <m:sty m:val="p"/>
                    </m:rPr>
                    <w:rPr>
                      <w:rFonts w:ascii="Cambria Math" w:hAnsi="Cambria Math"/>
                      <w:lang w:val="en-US"/>
                    </w:rPr>
                    <m:t>,</m:t>
                  </m:r>
                  <m:r>
                    <w:rPr>
                      <w:rFonts w:ascii="Cambria Math" w:hAnsi="Cambria Math"/>
                      <w:lang w:val="en-US"/>
                    </w:rPr>
                    <m:t>d</m:t>
                  </m:r>
                  <m:r>
                    <m:rPr>
                      <m:sty m:val="p"/>
                    </m:rPr>
                    <w:rPr>
                      <w:rFonts w:ascii="Cambria Math" w:hAnsi="Cambria Math"/>
                      <w:lang w:val="en-US"/>
                    </w:rPr>
                    <m:t>,</m:t>
                  </m:r>
                  <m:r>
                    <w:rPr>
                      <w:rFonts w:ascii="Cambria Math" w:hAnsi="Cambria Math"/>
                      <w:lang w:val="en-US"/>
                    </w:rPr>
                    <m:t>h</m:t>
                  </m:r>
                </m:sub>
              </m:sSub>
            </m:sub>
          </m:sSub>
          <m:r>
            <m:rPr>
              <m:sty m:val="p"/>
            </m:rPr>
            <w:rPr>
              <w:rFonts w:ascii="Cambria Math" w:hAnsi="Cambria Math"/>
              <w:lang w:val="en-US"/>
            </w:rPr>
            <m:t>/</m:t>
          </m:r>
          <m:d>
            <m:dPr>
              <m:ctrlPr>
                <w:rPr>
                  <w:rFonts w:ascii="Cambria Math" w:hAnsi="Cambria Math"/>
                </w:rPr>
              </m:ctrlPr>
            </m:dPr>
            <m:e>
              <m:r>
                <m:rPr>
                  <m:sty m:val="p"/>
                </m:rPr>
                <w:rPr>
                  <w:rFonts w:ascii="Cambria Math" w:hAnsi="Cambria Math"/>
                  <w:lang w:val="en-US"/>
                </w:rPr>
                <m:t>1-</m:t>
              </m:r>
              <m:sSub>
                <m:sSubPr>
                  <m:ctrlPr>
                    <w:rPr>
                      <w:rFonts w:ascii="Cambria Math" w:hAnsi="Cambria Math"/>
                    </w:rPr>
                  </m:ctrlPr>
                </m:sSubPr>
                <m:e>
                  <m:r>
                    <w:rPr>
                      <w:rFonts w:ascii="Cambria Math" w:hAnsi="Cambria Math"/>
                    </w:rPr>
                    <m:t>DistLoss</m:t>
                  </m:r>
                </m:e>
                <m:sub>
                  <m:r>
                    <w:rPr>
                      <w:rFonts w:ascii="Cambria Math" w:hAnsi="Cambria Math"/>
                      <w:lang w:val="en-US"/>
                    </w:rPr>
                    <m:t>d</m:t>
                  </m:r>
                  <m:r>
                    <m:rPr>
                      <m:sty m:val="p"/>
                    </m:rPr>
                    <w:rPr>
                      <w:rFonts w:ascii="Cambria Math" w:hAnsi="Cambria Math"/>
                      <w:lang w:val="en-US"/>
                    </w:rPr>
                    <m:t>,</m:t>
                  </m:r>
                  <m:r>
                    <w:rPr>
                      <w:rFonts w:ascii="Cambria Math" w:hAnsi="Cambria Math"/>
                      <w:lang w:val="en-US"/>
                    </w:rPr>
                    <m:t>p</m:t>
                  </m:r>
                </m:sub>
              </m:sSub>
            </m:e>
          </m:d>
        </m:oMath>
      </m:oMathPara>
    </w:p>
    <w:p w14:paraId="30B79537" w14:textId="77777777" w:rsidR="00DA2FC6" w:rsidRPr="000C620A" w:rsidRDefault="00DA2FC6" w:rsidP="00DA2FC6">
      <w:pPr>
        <w:ind w:left="1276"/>
        <w:rPr>
          <w:rFonts w:eastAsiaTheme="minorEastAsia" w:cstheme="minorHAnsi"/>
          <w:color w:val="auto"/>
        </w:rPr>
      </w:pPr>
      <w:r w:rsidRPr="000C620A">
        <w:rPr>
          <w:rFonts w:eastAsiaTheme="minorEastAsia" w:cstheme="minorHAnsi"/>
          <w:color w:val="auto"/>
        </w:rPr>
        <w:t xml:space="preserve">Where: </w:t>
      </w:r>
    </w:p>
    <w:p w14:paraId="0DE43839" w14:textId="77777777" w:rsidR="00DA2FC6" w:rsidRPr="000C620A" w:rsidRDefault="00DA2FC6" w:rsidP="00DA2FC6">
      <w:pPr>
        <w:pStyle w:val="ListParagraph"/>
        <w:numPr>
          <w:ilvl w:val="0"/>
          <w:numId w:val="23"/>
        </w:numPr>
        <w:rPr>
          <w:rFonts w:eastAsiaTheme="minorEastAsia" w:cstheme="minorHAnsi"/>
          <w:color w:val="auto"/>
        </w:rPr>
      </w:pPr>
      <w:r w:rsidRPr="000C620A">
        <w:rPr>
          <w:rFonts w:eastAsiaTheme="minorEastAsia" w:cstheme="minorHAnsi"/>
          <w:i/>
          <w:iCs/>
          <w:color w:val="auto"/>
        </w:rPr>
        <w:t>Adj_E</w:t>
      </w:r>
      <w:r w:rsidRPr="000C620A">
        <w:rPr>
          <w:rFonts w:eastAsiaTheme="minorEastAsia" w:cstheme="minorHAnsi"/>
          <w:i/>
          <w:iCs/>
          <w:color w:val="auto"/>
          <w:vertAlign w:val="subscript"/>
        </w:rPr>
        <w:t>i,</w:t>
      </w:r>
      <w:r>
        <w:rPr>
          <w:rFonts w:eastAsiaTheme="minorEastAsia" w:cstheme="minorHAnsi"/>
          <w:i/>
          <w:iCs/>
          <w:color w:val="auto"/>
          <w:vertAlign w:val="subscript"/>
        </w:rPr>
        <w:t>d,</w:t>
      </w:r>
      <w:r w:rsidRPr="000C620A">
        <w:rPr>
          <w:rFonts w:eastAsiaTheme="minorEastAsia" w:cstheme="minorHAnsi"/>
          <w:i/>
          <w:iCs/>
          <w:color w:val="auto"/>
          <w:vertAlign w:val="subscript"/>
        </w:rPr>
        <w:t>h</w:t>
      </w:r>
      <w:r w:rsidRPr="000C620A">
        <w:rPr>
          <w:rFonts w:eastAsiaTheme="minorEastAsia" w:cstheme="minorHAnsi"/>
          <w:i/>
          <w:iCs/>
          <w:color w:val="auto"/>
        </w:rPr>
        <w:t xml:space="preserve"> </w:t>
      </w:r>
      <w:r w:rsidRPr="000C620A">
        <w:rPr>
          <w:rFonts w:eastAsiaTheme="minorEastAsia" w:cstheme="minorHAnsi"/>
          <w:color w:val="auto"/>
        </w:rPr>
        <w:t xml:space="preserve">is the </w:t>
      </w:r>
      <w:r>
        <w:rPr>
          <w:rFonts w:eastAsiaTheme="minorEastAsia" w:cstheme="minorHAnsi"/>
          <w:color w:val="auto"/>
        </w:rPr>
        <w:t>Energy</w:t>
      </w:r>
      <w:r w:rsidRPr="000C620A">
        <w:rPr>
          <w:rFonts w:eastAsiaTheme="minorEastAsia" w:cstheme="minorHAnsi"/>
          <w:color w:val="auto"/>
        </w:rPr>
        <w:t xml:space="preserve"> at the Trading Point </w:t>
      </w:r>
      <w:r w:rsidRPr="000C620A">
        <w:rPr>
          <w:rFonts w:eastAsiaTheme="minorEastAsia" w:cstheme="minorHAnsi"/>
          <w:i/>
          <w:iCs/>
          <w:color w:val="auto"/>
        </w:rPr>
        <w:t>“i”</w:t>
      </w:r>
      <w:r w:rsidRPr="000C620A">
        <w:rPr>
          <w:rFonts w:eastAsiaTheme="minorEastAsia" w:cstheme="minorHAnsi"/>
          <w:color w:val="auto"/>
        </w:rPr>
        <w:t xml:space="preserve">, at hour </w:t>
      </w:r>
      <w:r w:rsidRPr="000C620A">
        <w:rPr>
          <w:rFonts w:eastAsiaTheme="minorEastAsia" w:cstheme="minorHAnsi"/>
          <w:i/>
          <w:iCs/>
          <w:color w:val="auto"/>
        </w:rPr>
        <w:t>“h”</w:t>
      </w:r>
      <w:r w:rsidRPr="000C620A">
        <w:rPr>
          <w:rFonts w:eastAsiaTheme="minorEastAsia" w:cstheme="minorHAnsi"/>
          <w:color w:val="auto"/>
        </w:rPr>
        <w:t>,</w:t>
      </w:r>
      <w:r>
        <w:rPr>
          <w:rFonts w:eastAsiaTheme="minorEastAsia" w:cstheme="minorHAnsi"/>
          <w:color w:val="auto"/>
        </w:rPr>
        <w:t xml:space="preserve"> </w:t>
      </w:r>
      <w:r w:rsidRPr="000C620A">
        <w:rPr>
          <w:rFonts w:eastAsiaTheme="minorEastAsia" w:cstheme="minorHAnsi"/>
          <w:color w:val="auto"/>
        </w:rPr>
        <w:t>located in the</w:t>
      </w:r>
      <w:r>
        <w:rPr>
          <w:rFonts w:eastAsiaTheme="minorEastAsia" w:cstheme="minorHAnsi"/>
          <w:color w:val="auto"/>
        </w:rPr>
        <w:t xml:space="preserve"> network of</w:t>
      </w:r>
      <w:r w:rsidRPr="000C620A">
        <w:rPr>
          <w:rFonts w:eastAsiaTheme="minorEastAsia" w:cstheme="minorHAnsi"/>
          <w:color w:val="auto"/>
        </w:rPr>
        <w:t xml:space="preserve"> Distribution </w:t>
      </w:r>
      <w:r>
        <w:rPr>
          <w:rFonts w:eastAsiaTheme="minorEastAsia" w:cstheme="minorHAnsi"/>
          <w:color w:val="auto"/>
        </w:rPr>
        <w:t>Licesee</w:t>
      </w:r>
      <w:r w:rsidRPr="000C620A">
        <w:rPr>
          <w:rFonts w:eastAsiaTheme="minorEastAsia" w:cstheme="minorHAnsi"/>
          <w:color w:val="auto"/>
        </w:rPr>
        <w:t xml:space="preserve"> “d”</w:t>
      </w:r>
      <w:r>
        <w:rPr>
          <w:rFonts w:eastAsiaTheme="minorEastAsia" w:cstheme="minorHAnsi"/>
          <w:color w:val="auto"/>
        </w:rPr>
        <w:t>,</w:t>
      </w:r>
      <w:r w:rsidRPr="000C620A">
        <w:rPr>
          <w:rFonts w:eastAsiaTheme="minorEastAsia" w:cstheme="minorHAnsi"/>
          <w:color w:val="auto"/>
        </w:rPr>
        <w:t xml:space="preserve"> </w:t>
      </w:r>
      <w:r>
        <w:rPr>
          <w:rFonts w:eastAsiaTheme="minorEastAsia" w:cstheme="minorHAnsi"/>
          <w:color w:val="auto"/>
        </w:rPr>
        <w:t>adjusted to</w:t>
      </w:r>
      <w:r w:rsidRPr="000C620A">
        <w:rPr>
          <w:rFonts w:eastAsiaTheme="minorEastAsia" w:cstheme="minorHAnsi"/>
          <w:color w:val="auto"/>
        </w:rPr>
        <w:t xml:space="preserve"> take into account losses in the Distribution Network.</w:t>
      </w:r>
    </w:p>
    <w:p w14:paraId="074DA300" w14:textId="3E39C119" w:rsidR="00DA2FC6" w:rsidRPr="000C620A" w:rsidRDefault="00DA2FC6" w:rsidP="00DA2FC6">
      <w:pPr>
        <w:pStyle w:val="ListParagraph"/>
        <w:numPr>
          <w:ilvl w:val="0"/>
          <w:numId w:val="23"/>
        </w:numPr>
        <w:rPr>
          <w:rFonts w:eastAsiaTheme="minorEastAsia" w:cstheme="minorHAnsi"/>
          <w:color w:val="auto"/>
        </w:rPr>
      </w:pPr>
      <w:r w:rsidRPr="000C620A">
        <w:rPr>
          <w:rFonts w:eastAsiaTheme="minorEastAsia" w:cstheme="minorHAnsi"/>
          <w:i/>
          <w:iCs/>
          <w:color w:val="auto"/>
        </w:rPr>
        <w:t>E</w:t>
      </w:r>
      <w:r w:rsidRPr="000C620A">
        <w:rPr>
          <w:rFonts w:eastAsiaTheme="minorEastAsia" w:cstheme="minorHAnsi"/>
          <w:i/>
          <w:iCs/>
          <w:color w:val="auto"/>
          <w:vertAlign w:val="subscript"/>
        </w:rPr>
        <w:t xml:space="preserve">MP i,d,h </w:t>
      </w:r>
      <w:r w:rsidRPr="000C620A">
        <w:rPr>
          <w:rFonts w:eastAsiaTheme="minorEastAsia" w:cstheme="minorHAnsi"/>
          <w:color w:val="auto"/>
        </w:rPr>
        <w:t xml:space="preserve">is the value of </w:t>
      </w:r>
      <w:r>
        <w:rPr>
          <w:rFonts w:eastAsiaTheme="minorEastAsia" w:cstheme="minorHAnsi"/>
          <w:color w:val="auto"/>
        </w:rPr>
        <w:t>Energy</w:t>
      </w:r>
      <w:r w:rsidRPr="000C620A">
        <w:rPr>
          <w:rFonts w:eastAsiaTheme="minorEastAsia" w:cstheme="minorHAnsi"/>
          <w:color w:val="auto"/>
        </w:rPr>
        <w:t xml:space="preserve"> </w:t>
      </w:r>
      <w:r w:rsidR="00497D6E">
        <w:rPr>
          <w:rFonts w:eastAsiaTheme="minorEastAsia" w:cstheme="minorHAnsi"/>
          <w:color w:val="auto"/>
        </w:rPr>
        <w:t xml:space="preserve">as considered by the Market Operator, as per provisions of </w:t>
      </w:r>
      <w:r w:rsidR="00F54A87">
        <w:rPr>
          <w:rFonts w:eastAsiaTheme="minorEastAsia" w:cstheme="minorHAnsi"/>
          <w:color w:val="auto"/>
        </w:rPr>
        <w:fldChar w:fldCharType="begin"/>
      </w:r>
      <w:r w:rsidR="00F54A87">
        <w:rPr>
          <w:rFonts w:eastAsiaTheme="minorEastAsia" w:cstheme="minorHAnsi"/>
          <w:color w:val="auto"/>
        </w:rPr>
        <w:instrText xml:space="preserve"> REF _Ref76854808 \r \h </w:instrText>
      </w:r>
      <w:r w:rsidR="00F54A87">
        <w:rPr>
          <w:rFonts w:eastAsiaTheme="minorEastAsia" w:cstheme="minorHAnsi"/>
          <w:color w:val="auto"/>
        </w:rPr>
      </w:r>
      <w:r w:rsidR="00F54A87">
        <w:rPr>
          <w:rFonts w:eastAsiaTheme="minorEastAsia" w:cstheme="minorHAnsi"/>
          <w:color w:val="auto"/>
        </w:rPr>
        <w:fldChar w:fldCharType="separate"/>
      </w:r>
      <w:r w:rsidR="00F54A87">
        <w:rPr>
          <w:rFonts w:eastAsiaTheme="minorEastAsia" w:cstheme="minorHAnsi"/>
          <w:color w:val="auto"/>
        </w:rPr>
        <w:t>Chapter 5</w:t>
      </w:r>
      <w:r w:rsidR="00F54A87">
        <w:rPr>
          <w:rFonts w:eastAsiaTheme="minorEastAsia" w:cstheme="minorHAnsi"/>
          <w:color w:val="auto"/>
        </w:rPr>
        <w:fldChar w:fldCharType="end"/>
      </w:r>
      <w:r w:rsidR="00497D6E">
        <w:rPr>
          <w:rFonts w:eastAsiaTheme="minorEastAsia" w:cstheme="minorHAnsi"/>
          <w:color w:val="auto"/>
        </w:rPr>
        <w:t>,</w:t>
      </w:r>
      <w:r w:rsidR="00497D6E" w:rsidRPr="000C620A">
        <w:rPr>
          <w:rFonts w:eastAsiaTheme="minorEastAsia" w:cstheme="minorHAnsi"/>
          <w:color w:val="auto"/>
        </w:rPr>
        <w:t xml:space="preserve"> </w:t>
      </w:r>
      <w:r w:rsidRPr="000C620A">
        <w:rPr>
          <w:rFonts w:eastAsiaTheme="minorEastAsia" w:cstheme="minorHAnsi"/>
          <w:color w:val="auto"/>
        </w:rPr>
        <w:t xml:space="preserve">at the  Trading Point “i”, located in the </w:t>
      </w:r>
      <w:r>
        <w:rPr>
          <w:rFonts w:eastAsiaTheme="minorEastAsia" w:cstheme="minorHAnsi"/>
          <w:color w:val="auto"/>
        </w:rPr>
        <w:t xml:space="preserve">network of </w:t>
      </w:r>
      <w:r w:rsidRPr="000C620A">
        <w:rPr>
          <w:rFonts w:eastAsiaTheme="minorEastAsia" w:cstheme="minorHAnsi"/>
          <w:color w:val="auto"/>
        </w:rPr>
        <w:t xml:space="preserve">Distribution </w:t>
      </w:r>
      <w:r>
        <w:rPr>
          <w:rFonts w:eastAsiaTheme="minorEastAsia" w:cstheme="minorHAnsi"/>
          <w:color w:val="auto"/>
        </w:rPr>
        <w:t>Licensee</w:t>
      </w:r>
      <w:r w:rsidRPr="000C620A">
        <w:rPr>
          <w:rFonts w:eastAsiaTheme="minorEastAsia" w:cstheme="minorHAnsi"/>
          <w:color w:val="auto"/>
        </w:rPr>
        <w:t xml:space="preserve"> “d” at hour “h”. </w:t>
      </w:r>
    </w:p>
    <w:p w14:paraId="4872E4A2" w14:textId="632A10EA" w:rsidR="00DA2FC6" w:rsidRDefault="00DA2FC6" w:rsidP="00DA2FC6">
      <w:pPr>
        <w:pStyle w:val="ListParagraph"/>
        <w:numPr>
          <w:ilvl w:val="0"/>
          <w:numId w:val="23"/>
        </w:numPr>
        <w:rPr>
          <w:rFonts w:eastAsiaTheme="minorEastAsia" w:cstheme="minorHAnsi"/>
          <w:color w:val="auto"/>
        </w:rPr>
      </w:pPr>
      <w:r w:rsidRPr="000C620A">
        <w:rPr>
          <w:rFonts w:eastAsiaTheme="minorEastAsia" w:cstheme="minorHAnsi"/>
          <w:i/>
          <w:iCs/>
          <w:color w:val="auto"/>
        </w:rPr>
        <w:t>DistLoss</w:t>
      </w:r>
      <w:r w:rsidRPr="000C620A">
        <w:rPr>
          <w:rFonts w:eastAsiaTheme="minorEastAsia" w:cstheme="minorHAnsi"/>
          <w:i/>
          <w:iCs/>
          <w:color w:val="auto"/>
          <w:vertAlign w:val="subscript"/>
        </w:rPr>
        <w:t>d,p</w:t>
      </w:r>
      <w:r w:rsidRPr="000C620A">
        <w:rPr>
          <w:rFonts w:eastAsiaTheme="minorEastAsia" w:cstheme="minorHAnsi"/>
          <w:color w:val="auto"/>
        </w:rPr>
        <w:t xml:space="preserve"> is a standard distribution loss coefficient</w:t>
      </w:r>
      <w:r>
        <w:rPr>
          <w:rFonts w:eastAsiaTheme="minorEastAsia" w:cstheme="minorHAnsi"/>
          <w:color w:val="auto"/>
        </w:rPr>
        <w:t xml:space="preserve"> of</w:t>
      </w:r>
      <w:r w:rsidRPr="000C620A">
        <w:rPr>
          <w:rFonts w:eastAsiaTheme="minorEastAsia" w:cstheme="minorHAnsi"/>
          <w:color w:val="auto"/>
        </w:rPr>
        <w:t xml:space="preserve"> Distribution Licensee “d” for the period “p” </w:t>
      </w:r>
      <w:r>
        <w:rPr>
          <w:rFonts w:eastAsiaTheme="minorEastAsia" w:cstheme="minorHAnsi"/>
          <w:color w:val="auto"/>
        </w:rPr>
        <w:t>to</w:t>
      </w:r>
      <w:r w:rsidRPr="000C620A">
        <w:rPr>
          <w:rFonts w:eastAsiaTheme="minorEastAsia" w:cstheme="minorHAnsi"/>
          <w:color w:val="auto"/>
        </w:rPr>
        <w:t xml:space="preserve"> which the hour “h” belongs, as determined by the Authority, as per the latest Tariff Determination for the </w:t>
      </w:r>
      <w:r>
        <w:rPr>
          <w:rFonts w:eastAsiaTheme="minorEastAsia" w:cstheme="minorHAnsi"/>
          <w:color w:val="auto"/>
        </w:rPr>
        <w:t>relevant</w:t>
      </w:r>
      <w:r w:rsidRPr="000C620A">
        <w:rPr>
          <w:rFonts w:eastAsiaTheme="minorEastAsia" w:cstheme="minorHAnsi"/>
          <w:color w:val="auto"/>
        </w:rPr>
        <w:t xml:space="preserve"> Distribution Licensee.</w:t>
      </w:r>
    </w:p>
    <w:p w14:paraId="3799F14D" w14:textId="77777777" w:rsidR="00DA2FC6" w:rsidRDefault="00DA2FC6" w:rsidP="00DA2FC6">
      <w:pPr>
        <w:pStyle w:val="Heading5"/>
      </w:pPr>
      <w:r>
        <w:t xml:space="preserve">For all other Trading Points, there will be no adjustment. </w:t>
      </w:r>
    </w:p>
    <w:p w14:paraId="27CADF48" w14:textId="0BBF7CB9" w:rsidR="00DA2FC6" w:rsidRPr="0040001C" w:rsidRDefault="004D6075" w:rsidP="00DA2FC6">
      <w:pPr>
        <w:pStyle w:val="BodyText"/>
      </w:pPr>
      <m:oMathPara>
        <m:oMath>
          <m:sSub>
            <m:sSubPr>
              <m:ctrlPr>
                <w:rPr>
                  <w:rFonts w:ascii="Cambria Math" w:hAnsi="Cambria Math"/>
                </w:rPr>
              </m:ctrlPr>
            </m:sSubPr>
            <m:e>
              <m:r>
                <w:rPr>
                  <w:rFonts w:ascii="Cambria Math" w:hAnsi="Cambria Math"/>
                </w:rPr>
                <m:t>Adj</m:t>
              </m:r>
              <m:r>
                <m:rPr>
                  <m:sty m:val="p"/>
                </m:rPr>
                <w:rPr>
                  <w:rFonts w:ascii="Cambria Math" w:hAnsi="Cambria Math"/>
                  <w:lang w:val="en-US"/>
                </w:rPr>
                <m:t>_</m:t>
              </m:r>
              <m:r>
                <w:rPr>
                  <w:rFonts w:ascii="Cambria Math" w:hAnsi="Cambria Math"/>
                </w:rPr>
                <m:t>E</m:t>
              </m:r>
            </m:e>
            <m:sub>
              <m:r>
                <w:rPr>
                  <w:rFonts w:ascii="Cambria Math" w:hAnsi="Cambria Math"/>
                </w:rPr>
                <m:t>i</m:t>
              </m:r>
              <m:r>
                <m:rPr>
                  <m:sty m:val="p"/>
                </m:rPr>
                <w:rPr>
                  <w:rFonts w:ascii="Cambria Math" w:hAnsi="Cambria Math"/>
                  <w:lang w:val="en-US"/>
                </w:rPr>
                <m:t>,d,</m:t>
              </m:r>
              <m:r>
                <w:rPr>
                  <w:rFonts w:ascii="Cambria Math" w:hAnsi="Cambria Math"/>
                  <w:lang w:val="en-US"/>
                </w:rPr>
                <m:t>h</m:t>
              </m:r>
            </m:sub>
          </m:sSub>
          <m:r>
            <m:rPr>
              <m:sty m:val="p"/>
            </m:rPr>
            <w:rPr>
              <w:rFonts w:ascii="Cambria Math" w:hAnsi="Cambria Math"/>
              <w:lang w:val="en-US"/>
            </w:rPr>
            <m:t>=</m:t>
          </m:r>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MP</m:t>
                  </m:r>
                </m:e>
                <m:sub>
                  <m:r>
                    <w:rPr>
                      <w:rFonts w:ascii="Cambria Math" w:hAnsi="Cambria Math"/>
                    </w:rPr>
                    <m:t>i</m:t>
                  </m:r>
                  <m:r>
                    <m:rPr>
                      <m:sty m:val="p"/>
                    </m:rPr>
                    <w:rPr>
                      <w:rFonts w:ascii="Cambria Math" w:hAnsi="Cambria Math"/>
                      <w:lang w:val="en-US"/>
                    </w:rPr>
                    <m:t>,</m:t>
                  </m:r>
                  <m:r>
                    <w:rPr>
                      <w:rFonts w:ascii="Cambria Math" w:hAnsi="Cambria Math"/>
                      <w:lang w:val="en-US"/>
                    </w:rPr>
                    <m:t>d</m:t>
                  </m:r>
                  <m:r>
                    <m:rPr>
                      <m:sty m:val="p"/>
                    </m:rPr>
                    <w:rPr>
                      <w:rFonts w:ascii="Cambria Math" w:hAnsi="Cambria Math"/>
                      <w:lang w:val="en-US"/>
                    </w:rPr>
                    <m:t>,</m:t>
                  </m:r>
                  <m:r>
                    <w:rPr>
                      <w:rFonts w:ascii="Cambria Math" w:hAnsi="Cambria Math"/>
                      <w:lang w:val="en-US"/>
                    </w:rPr>
                    <m:t>h</m:t>
                  </m:r>
                </m:sub>
              </m:sSub>
            </m:sub>
          </m:sSub>
        </m:oMath>
      </m:oMathPara>
    </w:p>
    <w:p w14:paraId="6597F641" w14:textId="35711EC6" w:rsidR="00DA2FC6" w:rsidRDefault="00DA2FC6" w:rsidP="00DA2FC6">
      <w:pPr>
        <w:pStyle w:val="BodyText"/>
        <w:rPr>
          <w:lang w:val="en-US"/>
        </w:rPr>
      </w:pPr>
      <w:r>
        <w:rPr>
          <w:lang w:val="en-US"/>
        </w:rPr>
        <w:t>Where:</w:t>
      </w:r>
    </w:p>
    <w:p w14:paraId="0FBAE132" w14:textId="77777777" w:rsidR="00DA2FC6" w:rsidRPr="000C620A" w:rsidRDefault="00DA2FC6" w:rsidP="00DA2FC6">
      <w:pPr>
        <w:pStyle w:val="ListParagraph"/>
        <w:numPr>
          <w:ilvl w:val="0"/>
          <w:numId w:val="23"/>
        </w:numPr>
        <w:rPr>
          <w:rFonts w:eastAsiaTheme="minorEastAsia" w:cstheme="minorHAnsi"/>
          <w:color w:val="auto"/>
        </w:rPr>
      </w:pPr>
      <w:r w:rsidRPr="000C620A">
        <w:rPr>
          <w:rFonts w:eastAsiaTheme="minorEastAsia" w:cstheme="minorHAnsi"/>
          <w:i/>
          <w:iCs/>
          <w:color w:val="auto"/>
        </w:rPr>
        <w:t>Adj_E</w:t>
      </w:r>
      <w:r w:rsidRPr="000C620A">
        <w:rPr>
          <w:rFonts w:eastAsiaTheme="minorEastAsia" w:cstheme="minorHAnsi"/>
          <w:i/>
          <w:iCs/>
          <w:color w:val="auto"/>
          <w:vertAlign w:val="subscript"/>
        </w:rPr>
        <w:t>i,</w:t>
      </w:r>
      <w:r>
        <w:rPr>
          <w:rFonts w:eastAsiaTheme="minorEastAsia" w:cstheme="minorHAnsi"/>
          <w:i/>
          <w:iCs/>
          <w:color w:val="auto"/>
          <w:vertAlign w:val="subscript"/>
        </w:rPr>
        <w:t>d,</w:t>
      </w:r>
      <w:r w:rsidRPr="000C620A">
        <w:rPr>
          <w:rFonts w:eastAsiaTheme="minorEastAsia" w:cstheme="minorHAnsi"/>
          <w:i/>
          <w:iCs/>
          <w:color w:val="auto"/>
          <w:vertAlign w:val="subscript"/>
        </w:rPr>
        <w:t>h</w:t>
      </w:r>
      <w:r w:rsidRPr="000C620A">
        <w:rPr>
          <w:rFonts w:eastAsiaTheme="minorEastAsia" w:cstheme="minorHAnsi"/>
          <w:i/>
          <w:iCs/>
          <w:color w:val="auto"/>
        </w:rPr>
        <w:t xml:space="preserve"> </w:t>
      </w:r>
      <w:r w:rsidRPr="000C620A">
        <w:rPr>
          <w:rFonts w:eastAsiaTheme="minorEastAsia" w:cstheme="minorHAnsi"/>
          <w:color w:val="auto"/>
        </w:rPr>
        <w:t xml:space="preserve">is the </w:t>
      </w:r>
      <w:r>
        <w:rPr>
          <w:rFonts w:eastAsiaTheme="minorEastAsia" w:cstheme="minorHAnsi"/>
          <w:color w:val="auto"/>
        </w:rPr>
        <w:t>Energy</w:t>
      </w:r>
      <w:r w:rsidRPr="000C620A">
        <w:rPr>
          <w:rFonts w:eastAsiaTheme="minorEastAsia" w:cstheme="minorHAnsi"/>
          <w:color w:val="auto"/>
        </w:rPr>
        <w:t xml:space="preserve"> at the Trading Point </w:t>
      </w:r>
      <w:r w:rsidRPr="000C620A">
        <w:rPr>
          <w:rFonts w:eastAsiaTheme="minorEastAsia" w:cstheme="minorHAnsi"/>
          <w:i/>
          <w:iCs/>
          <w:color w:val="auto"/>
        </w:rPr>
        <w:t>“i”</w:t>
      </w:r>
      <w:r w:rsidRPr="000C620A">
        <w:rPr>
          <w:rFonts w:eastAsiaTheme="minorEastAsia" w:cstheme="minorHAnsi"/>
          <w:color w:val="auto"/>
        </w:rPr>
        <w:t xml:space="preserve">, at hour </w:t>
      </w:r>
      <w:r w:rsidRPr="000C620A">
        <w:rPr>
          <w:rFonts w:eastAsiaTheme="minorEastAsia" w:cstheme="minorHAnsi"/>
          <w:i/>
          <w:iCs/>
          <w:color w:val="auto"/>
        </w:rPr>
        <w:t>“h”</w:t>
      </w:r>
      <w:r w:rsidRPr="000C620A">
        <w:rPr>
          <w:rFonts w:eastAsiaTheme="minorEastAsia" w:cstheme="minorHAnsi"/>
          <w:color w:val="auto"/>
        </w:rPr>
        <w:t>,</w:t>
      </w:r>
      <w:r>
        <w:rPr>
          <w:rFonts w:eastAsiaTheme="minorEastAsia" w:cstheme="minorHAnsi"/>
          <w:color w:val="auto"/>
        </w:rPr>
        <w:t xml:space="preserve"> </w:t>
      </w:r>
      <w:r w:rsidRPr="000C620A">
        <w:rPr>
          <w:rFonts w:eastAsiaTheme="minorEastAsia" w:cstheme="minorHAnsi"/>
          <w:color w:val="auto"/>
        </w:rPr>
        <w:t>located in the</w:t>
      </w:r>
      <w:r>
        <w:rPr>
          <w:rFonts w:eastAsiaTheme="minorEastAsia" w:cstheme="minorHAnsi"/>
          <w:color w:val="auto"/>
        </w:rPr>
        <w:t xml:space="preserve"> network of</w:t>
      </w:r>
      <w:r w:rsidRPr="000C620A">
        <w:rPr>
          <w:rFonts w:eastAsiaTheme="minorEastAsia" w:cstheme="minorHAnsi"/>
          <w:color w:val="auto"/>
        </w:rPr>
        <w:t xml:space="preserve"> Distribution </w:t>
      </w:r>
      <w:r>
        <w:rPr>
          <w:rFonts w:eastAsiaTheme="minorEastAsia" w:cstheme="minorHAnsi"/>
          <w:color w:val="auto"/>
        </w:rPr>
        <w:t>Licesee</w:t>
      </w:r>
      <w:r w:rsidRPr="000C620A">
        <w:rPr>
          <w:rFonts w:eastAsiaTheme="minorEastAsia" w:cstheme="minorHAnsi"/>
          <w:color w:val="auto"/>
        </w:rPr>
        <w:t xml:space="preserve"> “d”</w:t>
      </w:r>
      <w:r>
        <w:rPr>
          <w:rFonts w:eastAsiaTheme="minorEastAsia" w:cstheme="minorHAnsi"/>
          <w:color w:val="auto"/>
        </w:rPr>
        <w:t>,</w:t>
      </w:r>
      <w:r w:rsidRPr="000C620A">
        <w:rPr>
          <w:rFonts w:eastAsiaTheme="minorEastAsia" w:cstheme="minorHAnsi"/>
          <w:color w:val="auto"/>
        </w:rPr>
        <w:t xml:space="preserve"> </w:t>
      </w:r>
      <w:r>
        <w:rPr>
          <w:rFonts w:eastAsiaTheme="minorEastAsia" w:cstheme="minorHAnsi"/>
          <w:color w:val="auto"/>
        </w:rPr>
        <w:t>adjusted to</w:t>
      </w:r>
      <w:r w:rsidRPr="000C620A">
        <w:rPr>
          <w:rFonts w:eastAsiaTheme="minorEastAsia" w:cstheme="minorHAnsi"/>
          <w:color w:val="auto"/>
        </w:rPr>
        <w:t xml:space="preserve"> take into account losses in the Distribution Network.</w:t>
      </w:r>
    </w:p>
    <w:p w14:paraId="0F5E05F2" w14:textId="5396941C" w:rsidR="00DA2FC6" w:rsidRPr="000C620A" w:rsidRDefault="00DA2FC6" w:rsidP="00DA2FC6">
      <w:pPr>
        <w:pStyle w:val="ListParagraph"/>
        <w:numPr>
          <w:ilvl w:val="0"/>
          <w:numId w:val="23"/>
        </w:numPr>
        <w:rPr>
          <w:rFonts w:eastAsiaTheme="minorEastAsia" w:cstheme="minorHAnsi"/>
          <w:color w:val="auto"/>
        </w:rPr>
      </w:pPr>
      <w:r w:rsidRPr="000C620A">
        <w:rPr>
          <w:rFonts w:eastAsiaTheme="minorEastAsia" w:cstheme="minorHAnsi"/>
          <w:i/>
          <w:iCs/>
          <w:color w:val="auto"/>
        </w:rPr>
        <w:t>E</w:t>
      </w:r>
      <w:r w:rsidRPr="000C620A">
        <w:rPr>
          <w:rFonts w:eastAsiaTheme="minorEastAsia" w:cstheme="minorHAnsi"/>
          <w:i/>
          <w:iCs/>
          <w:color w:val="auto"/>
          <w:vertAlign w:val="subscript"/>
        </w:rPr>
        <w:t xml:space="preserve">MP i,d,h </w:t>
      </w:r>
      <w:r w:rsidRPr="000C620A">
        <w:rPr>
          <w:rFonts w:eastAsiaTheme="minorEastAsia" w:cstheme="minorHAnsi"/>
          <w:color w:val="auto"/>
        </w:rPr>
        <w:t xml:space="preserve">is the value of </w:t>
      </w:r>
      <w:r>
        <w:rPr>
          <w:rFonts w:eastAsiaTheme="minorEastAsia" w:cstheme="minorHAnsi"/>
          <w:color w:val="auto"/>
        </w:rPr>
        <w:t>Energy</w:t>
      </w:r>
      <w:r w:rsidR="00F54A87">
        <w:rPr>
          <w:rFonts w:eastAsiaTheme="minorEastAsia" w:cstheme="minorHAnsi"/>
          <w:color w:val="auto"/>
        </w:rPr>
        <w:t>,</w:t>
      </w:r>
      <w:r w:rsidRPr="000C620A">
        <w:rPr>
          <w:rFonts w:eastAsiaTheme="minorEastAsia" w:cstheme="minorHAnsi"/>
          <w:color w:val="auto"/>
        </w:rPr>
        <w:t xml:space="preserve"> </w:t>
      </w:r>
      <w:r w:rsidR="00497D6E">
        <w:rPr>
          <w:rFonts w:eastAsiaTheme="minorEastAsia" w:cstheme="minorHAnsi"/>
          <w:color w:val="auto"/>
        </w:rPr>
        <w:t xml:space="preserve">as considered by the Market Operator as per provisions of </w:t>
      </w:r>
      <w:r w:rsidR="00F54A87">
        <w:rPr>
          <w:rFonts w:eastAsiaTheme="minorEastAsia" w:cstheme="minorHAnsi"/>
          <w:color w:val="auto"/>
        </w:rPr>
        <w:fldChar w:fldCharType="begin"/>
      </w:r>
      <w:r w:rsidR="00F54A87">
        <w:rPr>
          <w:rFonts w:eastAsiaTheme="minorEastAsia" w:cstheme="minorHAnsi"/>
          <w:color w:val="auto"/>
        </w:rPr>
        <w:instrText xml:space="preserve"> REF _Ref76854808 \r \h </w:instrText>
      </w:r>
      <w:r w:rsidR="00F54A87">
        <w:rPr>
          <w:rFonts w:eastAsiaTheme="minorEastAsia" w:cstheme="minorHAnsi"/>
          <w:color w:val="auto"/>
        </w:rPr>
      </w:r>
      <w:r w:rsidR="00F54A87">
        <w:rPr>
          <w:rFonts w:eastAsiaTheme="minorEastAsia" w:cstheme="minorHAnsi"/>
          <w:color w:val="auto"/>
        </w:rPr>
        <w:fldChar w:fldCharType="separate"/>
      </w:r>
      <w:r w:rsidR="00F54A87">
        <w:rPr>
          <w:rFonts w:eastAsiaTheme="minorEastAsia" w:cstheme="minorHAnsi"/>
          <w:color w:val="auto"/>
        </w:rPr>
        <w:t>Chapter 5</w:t>
      </w:r>
      <w:r w:rsidR="00F54A87">
        <w:rPr>
          <w:rFonts w:eastAsiaTheme="minorEastAsia" w:cstheme="minorHAnsi"/>
          <w:color w:val="auto"/>
        </w:rPr>
        <w:fldChar w:fldCharType="end"/>
      </w:r>
      <w:r w:rsidR="00497D6E">
        <w:rPr>
          <w:rFonts w:eastAsiaTheme="minorEastAsia" w:cstheme="minorHAnsi"/>
          <w:color w:val="auto"/>
        </w:rPr>
        <w:t>,</w:t>
      </w:r>
      <w:r w:rsidR="00497D6E" w:rsidRPr="000C620A">
        <w:rPr>
          <w:rFonts w:eastAsiaTheme="minorEastAsia" w:cstheme="minorHAnsi"/>
          <w:color w:val="auto"/>
        </w:rPr>
        <w:t xml:space="preserve"> </w:t>
      </w:r>
      <w:r w:rsidRPr="000C620A">
        <w:rPr>
          <w:rFonts w:eastAsiaTheme="minorEastAsia" w:cstheme="minorHAnsi"/>
          <w:color w:val="auto"/>
        </w:rPr>
        <w:t xml:space="preserve">at the  Trading Point “i”, located in the </w:t>
      </w:r>
      <w:r>
        <w:rPr>
          <w:rFonts w:eastAsiaTheme="minorEastAsia" w:cstheme="minorHAnsi"/>
          <w:color w:val="auto"/>
        </w:rPr>
        <w:t xml:space="preserve">network of </w:t>
      </w:r>
      <w:r w:rsidRPr="000C620A">
        <w:rPr>
          <w:rFonts w:eastAsiaTheme="minorEastAsia" w:cstheme="minorHAnsi"/>
          <w:color w:val="auto"/>
        </w:rPr>
        <w:t xml:space="preserve">Distribution </w:t>
      </w:r>
      <w:r>
        <w:rPr>
          <w:rFonts w:eastAsiaTheme="minorEastAsia" w:cstheme="minorHAnsi"/>
          <w:color w:val="auto"/>
        </w:rPr>
        <w:t>Licensee</w:t>
      </w:r>
      <w:r w:rsidRPr="000C620A">
        <w:rPr>
          <w:rFonts w:eastAsiaTheme="minorEastAsia" w:cstheme="minorHAnsi"/>
          <w:color w:val="auto"/>
        </w:rPr>
        <w:t xml:space="preserve"> “d” at hour “h”. </w:t>
      </w:r>
    </w:p>
    <w:p w14:paraId="11AB20B8" w14:textId="1CCED1F2" w:rsidR="00E23C6D" w:rsidRDefault="00546184" w:rsidP="00C173D0">
      <w:pPr>
        <w:pStyle w:val="Heading2"/>
      </w:pPr>
      <w:bookmarkStart w:id="236" w:name="_Toc64846679"/>
      <w:bookmarkStart w:id="237" w:name="_Toc69476976"/>
      <w:r>
        <w:lastRenderedPageBreak/>
        <w:t>Consideration</w:t>
      </w:r>
      <w:r w:rsidR="00E23C6D">
        <w:t xml:space="preserve"> of the Transmission Losses</w:t>
      </w:r>
      <w:bookmarkEnd w:id="236"/>
      <w:bookmarkEnd w:id="237"/>
    </w:p>
    <w:p w14:paraId="1AA259DB" w14:textId="77E7B3AF" w:rsidR="00546184" w:rsidRPr="00546184" w:rsidRDefault="00546184" w:rsidP="00C173D0">
      <w:pPr>
        <w:pStyle w:val="Heading3"/>
      </w:pPr>
      <w:r>
        <w:t>Calculation of the Transmission Losses</w:t>
      </w:r>
    </w:p>
    <w:p w14:paraId="162AC48F" w14:textId="05D5F5DE" w:rsidR="00546184" w:rsidRDefault="00E2159B" w:rsidP="005B295A">
      <w:pPr>
        <w:pStyle w:val="Heading4"/>
      </w:pPr>
      <w:r>
        <w:t>T</w:t>
      </w:r>
      <w:r w:rsidR="00546184">
        <w:t xml:space="preserve">he Market Operator </w:t>
      </w:r>
      <w:r w:rsidR="002E103B">
        <w:t xml:space="preserve">shall </w:t>
      </w:r>
      <w:r w:rsidR="00546184">
        <w:t>determine</w:t>
      </w:r>
      <w:r>
        <w:t>, on hourly basis,</w:t>
      </w:r>
      <w:r w:rsidR="002E103B">
        <w:t xml:space="preserve"> the quantum of</w:t>
      </w:r>
      <w:r w:rsidR="00546184">
        <w:t xml:space="preserve"> losses in the </w:t>
      </w:r>
      <w:r w:rsidR="00546184" w:rsidRPr="00546184">
        <w:t xml:space="preserve">Transmission </w:t>
      </w:r>
      <w:r w:rsidR="00546184">
        <w:t xml:space="preserve">Network </w:t>
      </w:r>
      <w:r w:rsidR="002E103B">
        <w:t xml:space="preserve">by </w:t>
      </w:r>
      <w:r w:rsidR="00546184">
        <w:t xml:space="preserve">utilizing </w:t>
      </w:r>
      <w:r>
        <w:t xml:space="preserve">the </w:t>
      </w:r>
      <w:r w:rsidR="00546184">
        <w:t xml:space="preserve">metering information </w:t>
      </w:r>
      <w:r>
        <w:t xml:space="preserve">in accordance with </w:t>
      </w:r>
      <w:r w:rsidR="00F54A87">
        <w:rPr>
          <w:rFonts w:eastAsiaTheme="minorEastAsia" w:cstheme="minorHAnsi"/>
          <w:color w:val="auto"/>
        </w:rPr>
        <w:fldChar w:fldCharType="begin"/>
      </w:r>
      <w:r w:rsidR="00F54A87">
        <w:rPr>
          <w:rFonts w:eastAsiaTheme="minorEastAsia" w:cstheme="minorHAnsi"/>
          <w:color w:val="auto"/>
        </w:rPr>
        <w:instrText xml:space="preserve"> REF _Ref76854808 \r \h </w:instrText>
      </w:r>
      <w:r w:rsidR="00F54A87">
        <w:rPr>
          <w:rFonts w:eastAsiaTheme="minorEastAsia" w:cstheme="minorHAnsi"/>
          <w:color w:val="auto"/>
        </w:rPr>
      </w:r>
      <w:r w:rsidR="00F54A87">
        <w:rPr>
          <w:rFonts w:eastAsiaTheme="minorEastAsia" w:cstheme="minorHAnsi"/>
          <w:color w:val="auto"/>
        </w:rPr>
        <w:fldChar w:fldCharType="separate"/>
      </w:r>
      <w:r w:rsidR="00F54A87">
        <w:rPr>
          <w:rFonts w:eastAsiaTheme="minorEastAsia" w:cstheme="minorHAnsi"/>
          <w:color w:val="auto"/>
        </w:rPr>
        <w:t>Chapter 5</w:t>
      </w:r>
      <w:r w:rsidR="00F54A87">
        <w:rPr>
          <w:rFonts w:eastAsiaTheme="minorEastAsia" w:cstheme="minorHAnsi"/>
          <w:color w:val="auto"/>
        </w:rPr>
        <w:fldChar w:fldCharType="end"/>
      </w:r>
      <w:r w:rsidR="00546184">
        <w:t>.</w:t>
      </w:r>
    </w:p>
    <w:p w14:paraId="791303DB" w14:textId="3F7F98E8" w:rsidR="00546184" w:rsidRDefault="002E103B" w:rsidP="005B295A">
      <w:pPr>
        <w:pStyle w:val="Heading4"/>
      </w:pPr>
      <w:r>
        <w:t>The quantum of the losses in the Transmission Network</w:t>
      </w:r>
      <w:r w:rsidR="00546184">
        <w:t xml:space="preserve"> </w:t>
      </w:r>
      <w:r>
        <w:t xml:space="preserve">shall </w:t>
      </w:r>
      <w:r w:rsidR="00546184">
        <w:t>be calculated</w:t>
      </w:r>
      <w:r>
        <w:t xml:space="preserve"> individually for each Transmission License</w:t>
      </w:r>
      <w:r w:rsidR="00065BA4">
        <w:t>e</w:t>
      </w:r>
      <w:r w:rsidR="00546184">
        <w:t xml:space="preserve"> as the </w:t>
      </w:r>
      <w:r w:rsidR="00546184" w:rsidRPr="00546184">
        <w:t xml:space="preserve">difference between </w:t>
      </w:r>
      <w:r>
        <w:t xml:space="preserve">the </w:t>
      </w:r>
      <w:r w:rsidR="00546184" w:rsidRPr="00546184">
        <w:t xml:space="preserve">total </w:t>
      </w:r>
      <w:r w:rsidR="008E6C1A">
        <w:t>E</w:t>
      </w:r>
      <w:r w:rsidR="00546184" w:rsidRPr="00546184">
        <w:t xml:space="preserve">nergy injected </w:t>
      </w:r>
      <w:r w:rsidR="00546184">
        <w:t>into</w:t>
      </w:r>
      <w:r>
        <w:t xml:space="preserve"> </w:t>
      </w:r>
      <w:r w:rsidR="00065BA4">
        <w:t xml:space="preserve">and </w:t>
      </w:r>
      <w:r>
        <w:t>withdrawn</w:t>
      </w:r>
      <w:r w:rsidRPr="00546184">
        <w:t xml:space="preserve"> </w:t>
      </w:r>
      <w:r w:rsidR="00546184" w:rsidRPr="00546184">
        <w:t xml:space="preserve">from </w:t>
      </w:r>
      <w:r w:rsidR="00E2159B">
        <w:t>its</w:t>
      </w:r>
      <w:r w:rsidR="00E2159B" w:rsidRPr="00546184">
        <w:t xml:space="preserve"> </w:t>
      </w:r>
      <w:r w:rsidR="00546184">
        <w:t>T</w:t>
      </w:r>
      <w:r w:rsidR="00546184" w:rsidRPr="00546184">
        <w:t xml:space="preserve">ransmission </w:t>
      </w:r>
      <w:r w:rsidR="00546184">
        <w:t>N</w:t>
      </w:r>
      <w:r w:rsidR="00546184" w:rsidRPr="00546184">
        <w:t xml:space="preserve">etwork. </w:t>
      </w:r>
    </w:p>
    <w:p w14:paraId="2EBEC1AF" w14:textId="444B1213" w:rsidR="00546184" w:rsidRPr="00546184" w:rsidRDefault="00F43810" w:rsidP="005B295A">
      <w:pPr>
        <w:pStyle w:val="Heading4"/>
      </w:pPr>
      <w:bookmarkStart w:id="238" w:name="_Ref59362627"/>
      <w:r>
        <w:t xml:space="preserve">The </w:t>
      </w:r>
      <w:r w:rsidR="002E103B">
        <w:t xml:space="preserve">quantum of the </w:t>
      </w:r>
      <w:r w:rsidR="00135791">
        <w:t>l</w:t>
      </w:r>
      <w:r>
        <w:t xml:space="preserve">osses </w:t>
      </w:r>
      <w:r w:rsidR="002E103B">
        <w:t xml:space="preserve">in the Transmission Network </w:t>
      </w:r>
      <w:r>
        <w:t>shall be calculated as:</w:t>
      </w:r>
      <w:bookmarkEnd w:id="238"/>
    </w:p>
    <w:p w14:paraId="67191BE1" w14:textId="0B2EFD8F" w:rsidR="00546184" w:rsidRPr="00546184" w:rsidRDefault="004D6075" w:rsidP="00A22D29">
      <w:pPr>
        <w:pStyle w:val="BodyText"/>
      </w:pPr>
      <m:oMathPara>
        <m:oMath>
          <m:sSub>
            <m:sSubPr>
              <m:ctrlPr>
                <w:rPr>
                  <w:rFonts w:ascii="Cambria Math" w:hAnsi="Cambria Math"/>
                </w:rPr>
              </m:ctrlPr>
            </m:sSubPr>
            <m:e>
              <m:r>
                <w:rPr>
                  <w:rFonts w:ascii="Cambria Math" w:hAnsi="Cambria Math"/>
                </w:rPr>
                <m:t>TransLoss</m:t>
              </m:r>
            </m:e>
            <m:sub>
              <m:r>
                <w:rPr>
                  <w:rFonts w:ascii="Cambria Math" w:hAnsi="Cambria Math"/>
                </w:rPr>
                <m:t>k</m:t>
              </m:r>
              <m:r>
                <m:rPr>
                  <m:sty m:val="p"/>
                </m:rPr>
                <w:rPr>
                  <w:rFonts w:ascii="Cambria Math" w:hAnsi="Cambria Math"/>
                </w:rPr>
                <m:t>,</m:t>
              </m:r>
              <m:r>
                <w:rPr>
                  <w:rFonts w:ascii="Cambria Math" w:hAnsi="Cambria Math"/>
                </w:rPr>
                <m:t>h</m:t>
              </m:r>
            </m:sub>
          </m:sSub>
          <m:d>
            <m:dPr>
              <m:begChr m:val="["/>
              <m:endChr m:val="]"/>
              <m:ctrlPr>
                <w:rPr>
                  <w:rFonts w:ascii="Cambria Math" w:hAnsi="Cambria Math"/>
                </w:rPr>
              </m:ctrlPr>
            </m:dPr>
            <m:e>
              <m:r>
                <w:rPr>
                  <w:rFonts w:ascii="Cambria Math" w:hAnsi="Cambria Math"/>
                </w:rPr>
                <m:t>MWh</m:t>
              </m:r>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 xml:space="preserve">∀ </m:t>
              </m:r>
              <m:sSub>
                <m:sSubPr>
                  <m:ctrlPr>
                    <w:rPr>
                      <w:rFonts w:ascii="Cambria Math" w:hAnsi="Cambria Math"/>
                    </w:rPr>
                  </m:ctrlPr>
                </m:sSubPr>
                <m:e>
                  <m:r>
                    <w:rPr>
                      <w:rFonts w:ascii="Cambria Math" w:hAnsi="Cambria Math"/>
                    </w:rPr>
                    <m:t>i</m:t>
                  </m:r>
                  <m:r>
                    <m:rPr>
                      <m:sty m:val="p"/>
                    </m:rPr>
                    <w:rPr>
                      <w:rFonts w:ascii="Cambria Math" w:hAnsi="Cambria Math"/>
                    </w:rPr>
                    <m:t xml:space="preserve"> ∈ </m:t>
                  </m:r>
                  <m:r>
                    <w:rPr>
                      <w:rFonts w:ascii="Cambria Math" w:hAnsi="Cambria Math"/>
                    </w:rPr>
                    <m:t>MP</m:t>
                  </m:r>
                </m:e>
                <m:sub>
                  <m:r>
                    <w:rPr>
                      <w:rFonts w:ascii="Cambria Math" w:hAnsi="Cambria Math"/>
                    </w:rPr>
                    <m:t>k</m:t>
                  </m:r>
                </m:sub>
              </m:sSub>
            </m:sub>
            <m:sup/>
            <m:e>
              <m:sSub>
                <m:sSubPr>
                  <m:ctrlPr>
                    <w:rPr>
                      <w:rFonts w:ascii="Cambria Math" w:hAnsi="Cambria Math"/>
                    </w:rPr>
                  </m:ctrlPr>
                </m:sSubPr>
                <m:e>
                  <m:sSub>
                    <m:sSubPr>
                      <m:ctrlPr>
                        <w:rPr>
                          <w:rFonts w:ascii="Cambria Math" w:hAnsi="Cambria Math"/>
                        </w:rPr>
                      </m:ctrlPr>
                    </m:sSubPr>
                    <m:e>
                      <m:r>
                        <w:rPr>
                          <w:rFonts w:ascii="Cambria Math" w:hAnsi="Cambria Math"/>
                        </w:rPr>
                        <m:t>E</m:t>
                      </m:r>
                    </m:e>
                    <m:sub>
                      <m:r>
                        <w:rPr>
                          <w:rFonts w:ascii="Cambria Math" w:hAnsi="Cambria Math"/>
                        </w:rPr>
                        <m:t>MP</m:t>
                      </m:r>
                    </m:sub>
                  </m:sSub>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h</m:t>
                  </m:r>
                </m:sub>
              </m:sSub>
            </m:e>
          </m:nary>
        </m:oMath>
      </m:oMathPara>
    </w:p>
    <w:p w14:paraId="494F879D" w14:textId="77777777" w:rsidR="00546184" w:rsidRPr="00546184" w:rsidRDefault="00546184" w:rsidP="00A22D29">
      <w:pPr>
        <w:pStyle w:val="BodyText"/>
      </w:pPr>
      <w:r w:rsidRPr="00546184">
        <w:t xml:space="preserve">Where: </w:t>
      </w:r>
    </w:p>
    <w:p w14:paraId="0B127C10" w14:textId="737E91E2" w:rsidR="00546184" w:rsidRPr="00546184" w:rsidRDefault="00546184" w:rsidP="00FF4826">
      <w:pPr>
        <w:pStyle w:val="BodyText"/>
        <w:numPr>
          <w:ilvl w:val="0"/>
          <w:numId w:val="23"/>
        </w:numPr>
      </w:pPr>
      <w:r w:rsidRPr="00546184">
        <w:rPr>
          <w:i/>
          <w:iCs/>
        </w:rPr>
        <w:t>TransLoss</w:t>
      </w:r>
      <w:r w:rsidR="00F43810">
        <w:rPr>
          <w:i/>
          <w:iCs/>
          <w:vertAlign w:val="subscript"/>
        </w:rPr>
        <w:t>k,h</w:t>
      </w:r>
      <w:r w:rsidRPr="00546184">
        <w:t xml:space="preserve"> </w:t>
      </w:r>
      <w:r w:rsidR="002E103B">
        <w:t xml:space="preserve">is the quantum of </w:t>
      </w:r>
      <w:r w:rsidR="002E103B" w:rsidRPr="00546184">
        <w:t xml:space="preserve"> </w:t>
      </w:r>
      <w:r w:rsidRPr="00546184">
        <w:t xml:space="preserve">the </w:t>
      </w:r>
      <w:r w:rsidR="00135791">
        <w:t>l</w:t>
      </w:r>
      <w:r w:rsidRPr="00546184">
        <w:t>osses</w:t>
      </w:r>
      <w:r w:rsidR="002E103B">
        <w:t xml:space="preserve"> in the Transmission Network</w:t>
      </w:r>
      <w:r w:rsidRPr="00546184">
        <w:t xml:space="preserve"> </w:t>
      </w:r>
      <w:r w:rsidR="00F43810">
        <w:t xml:space="preserve">of the Transmission Licensee </w:t>
      </w:r>
      <w:r w:rsidR="00065BA4">
        <w:t>“</w:t>
      </w:r>
      <w:r w:rsidR="00F43810" w:rsidRPr="00F43810">
        <w:rPr>
          <w:i/>
          <w:iCs/>
        </w:rPr>
        <w:t>k</w:t>
      </w:r>
      <w:r w:rsidR="00065BA4">
        <w:rPr>
          <w:i/>
          <w:iCs/>
        </w:rPr>
        <w:t>”</w:t>
      </w:r>
      <w:r w:rsidR="00F43810">
        <w:t xml:space="preserve"> </w:t>
      </w:r>
      <w:r w:rsidRPr="00546184">
        <w:t xml:space="preserve">in the hour </w:t>
      </w:r>
      <w:r w:rsidR="00065BA4">
        <w:t>“</w:t>
      </w:r>
      <w:r w:rsidRPr="00546184">
        <w:rPr>
          <w:i/>
          <w:iCs/>
        </w:rPr>
        <w:t>h</w:t>
      </w:r>
      <w:r w:rsidR="00065BA4">
        <w:rPr>
          <w:i/>
          <w:iCs/>
        </w:rPr>
        <w:t>”</w:t>
      </w:r>
      <w:r w:rsidRPr="00546184">
        <w:t xml:space="preserve">, expressed in MWh </w:t>
      </w:r>
    </w:p>
    <w:p w14:paraId="5F2E261C" w14:textId="3EA33F74" w:rsidR="00546184" w:rsidRPr="00546184" w:rsidRDefault="00546184" w:rsidP="00FF4826">
      <w:pPr>
        <w:pStyle w:val="BodyText"/>
        <w:numPr>
          <w:ilvl w:val="0"/>
          <w:numId w:val="23"/>
        </w:numPr>
      </w:pPr>
      <w:r w:rsidRPr="00546184">
        <w:rPr>
          <w:i/>
          <w:iCs/>
        </w:rPr>
        <w:t>E</w:t>
      </w:r>
      <w:r w:rsidR="00A8269E">
        <w:rPr>
          <w:i/>
          <w:iCs/>
          <w:vertAlign w:val="subscript"/>
        </w:rPr>
        <w:t>MP</w:t>
      </w:r>
      <w:r w:rsidRPr="00546184">
        <w:rPr>
          <w:i/>
          <w:iCs/>
          <w:vertAlign w:val="subscript"/>
        </w:rPr>
        <w:t>i,</w:t>
      </w:r>
      <w:r w:rsidR="00A8269E">
        <w:rPr>
          <w:i/>
          <w:iCs/>
          <w:vertAlign w:val="subscript"/>
        </w:rPr>
        <w:t>k,</w:t>
      </w:r>
      <w:r w:rsidRPr="00546184">
        <w:rPr>
          <w:i/>
          <w:iCs/>
          <w:vertAlign w:val="subscript"/>
        </w:rPr>
        <w:t>h</w:t>
      </w:r>
      <w:r w:rsidRPr="00546184">
        <w:t xml:space="preserve"> is </w:t>
      </w:r>
      <w:r w:rsidR="006F067F">
        <w:t>the</w:t>
      </w:r>
      <w:r w:rsidR="002E103B">
        <w:t xml:space="preserve"> value of</w:t>
      </w:r>
      <w:r w:rsidRPr="00546184">
        <w:t xml:space="preserve"> </w:t>
      </w:r>
      <w:r w:rsidR="0046412E">
        <w:t>Energy</w:t>
      </w:r>
      <w:r w:rsidR="00F54A87">
        <w:t>,</w:t>
      </w:r>
      <w:r w:rsidRPr="00546184">
        <w:t xml:space="preserve"> </w:t>
      </w:r>
      <w:r w:rsidR="00F54A87">
        <w:t xml:space="preserve">as </w:t>
      </w:r>
      <w:r w:rsidR="00065BA4">
        <w:t xml:space="preserve">considered by the Market Operator according to the provisions of </w:t>
      </w:r>
      <w:r w:rsidR="00F54A87">
        <w:rPr>
          <w:rFonts w:eastAsiaTheme="minorEastAsia" w:cstheme="minorHAnsi"/>
          <w:color w:val="auto"/>
        </w:rPr>
        <w:fldChar w:fldCharType="begin"/>
      </w:r>
      <w:r w:rsidR="00F54A87">
        <w:rPr>
          <w:rFonts w:eastAsiaTheme="minorEastAsia" w:cstheme="minorHAnsi"/>
          <w:color w:val="auto"/>
        </w:rPr>
        <w:instrText xml:space="preserve"> REF _Ref76854808 \r \h </w:instrText>
      </w:r>
      <w:r w:rsidR="00F54A87">
        <w:rPr>
          <w:rFonts w:eastAsiaTheme="minorEastAsia" w:cstheme="minorHAnsi"/>
          <w:color w:val="auto"/>
        </w:rPr>
      </w:r>
      <w:r w:rsidR="00F54A87">
        <w:rPr>
          <w:rFonts w:eastAsiaTheme="minorEastAsia" w:cstheme="minorHAnsi"/>
          <w:color w:val="auto"/>
        </w:rPr>
        <w:fldChar w:fldCharType="separate"/>
      </w:r>
      <w:r w:rsidR="00F54A87">
        <w:rPr>
          <w:rFonts w:eastAsiaTheme="minorEastAsia" w:cstheme="minorHAnsi"/>
          <w:color w:val="auto"/>
        </w:rPr>
        <w:t>Chapter 5</w:t>
      </w:r>
      <w:r w:rsidR="00F54A87">
        <w:rPr>
          <w:rFonts w:eastAsiaTheme="minorEastAsia" w:cstheme="minorHAnsi"/>
          <w:color w:val="auto"/>
        </w:rPr>
        <w:fldChar w:fldCharType="end"/>
      </w:r>
      <w:r w:rsidR="00065BA4">
        <w:t xml:space="preserve">, </w:t>
      </w:r>
      <w:r w:rsidR="00576C59">
        <w:t>at</w:t>
      </w:r>
      <w:r w:rsidR="00A8269E">
        <w:t xml:space="preserve"> the Metering Point </w:t>
      </w:r>
      <w:r w:rsidR="00A8269E" w:rsidRPr="00A8269E">
        <w:rPr>
          <w:i/>
          <w:iCs/>
        </w:rPr>
        <w:t>i</w:t>
      </w:r>
      <w:r w:rsidR="00A8269E">
        <w:t xml:space="preserve">, corresponding to the Transmission Service Provider </w:t>
      </w:r>
      <w:r w:rsidR="00A8269E" w:rsidRPr="00A8269E">
        <w:rPr>
          <w:i/>
          <w:iCs/>
        </w:rPr>
        <w:t>k</w:t>
      </w:r>
      <w:r w:rsidR="00A8269E">
        <w:t xml:space="preserve"> </w:t>
      </w:r>
      <w:r w:rsidRPr="00546184">
        <w:t xml:space="preserve">in the hour </w:t>
      </w:r>
      <w:r w:rsidR="00065BA4">
        <w:t>“</w:t>
      </w:r>
      <w:r w:rsidRPr="00546184">
        <w:rPr>
          <w:i/>
          <w:iCs/>
        </w:rPr>
        <w:t>h</w:t>
      </w:r>
      <w:r w:rsidR="00065BA4">
        <w:rPr>
          <w:i/>
          <w:iCs/>
        </w:rPr>
        <w:t>”</w:t>
      </w:r>
      <w:r w:rsidR="002E103B">
        <w:rPr>
          <w:i/>
          <w:iCs/>
        </w:rPr>
        <w:t>,</w:t>
      </w:r>
    </w:p>
    <w:p w14:paraId="6EB3BB06" w14:textId="17C61551" w:rsidR="00A8269E" w:rsidRDefault="00546184" w:rsidP="00FF4826">
      <w:pPr>
        <w:pStyle w:val="BodyText"/>
        <w:numPr>
          <w:ilvl w:val="0"/>
          <w:numId w:val="23"/>
        </w:numPr>
      </w:pPr>
      <w:r w:rsidRPr="00546184">
        <w:rPr>
          <w:rFonts w:ascii="Cambria Math" w:hAnsi="Cambria Math" w:cs="Cambria Math"/>
          <w:i/>
          <w:iCs/>
        </w:rPr>
        <w:t>∀</w:t>
      </w:r>
      <w:r w:rsidRPr="00546184">
        <w:rPr>
          <w:i/>
          <w:iCs/>
        </w:rPr>
        <w:t xml:space="preserve"> i </w:t>
      </w:r>
      <w:r w:rsidRPr="00546184">
        <w:rPr>
          <w:rFonts w:ascii="Cambria Math" w:hAnsi="Cambria Math" w:cs="Cambria Math"/>
          <w:i/>
          <w:iCs/>
        </w:rPr>
        <w:t>∈</w:t>
      </w:r>
      <w:r w:rsidRPr="00546184">
        <w:rPr>
          <w:i/>
          <w:iCs/>
        </w:rPr>
        <w:t xml:space="preserve"> </w:t>
      </w:r>
      <w:r w:rsidR="00A8269E">
        <w:rPr>
          <w:i/>
          <w:iCs/>
        </w:rPr>
        <w:t>MP</w:t>
      </w:r>
      <w:r w:rsidR="00A8269E" w:rsidRPr="00A8269E">
        <w:rPr>
          <w:i/>
          <w:iCs/>
          <w:vertAlign w:val="subscript"/>
        </w:rPr>
        <w:t>k</w:t>
      </w:r>
      <w:r w:rsidRPr="00546184">
        <w:t xml:space="preserve"> means all those </w:t>
      </w:r>
      <w:r w:rsidR="00A8269E">
        <w:t xml:space="preserve">Metering Points </w:t>
      </w:r>
      <w:r w:rsidR="006F067F">
        <w:t>located at the boundaries of the</w:t>
      </w:r>
      <w:r w:rsidR="00A8269E">
        <w:t xml:space="preserve"> Transmission Licensee </w:t>
      </w:r>
      <w:r w:rsidR="00A8269E" w:rsidRPr="00A8269E">
        <w:rPr>
          <w:i/>
          <w:iCs/>
        </w:rPr>
        <w:t>k</w:t>
      </w:r>
      <w:r w:rsidR="00A8269E">
        <w:t xml:space="preserve"> </w:t>
      </w:r>
    </w:p>
    <w:p w14:paraId="5539EA2A" w14:textId="40B9965F" w:rsidR="00BA2942" w:rsidRPr="00806DF2" w:rsidRDefault="00A8269E" w:rsidP="00071FC2">
      <w:pPr>
        <w:pStyle w:val="Heading4"/>
      </w:pPr>
      <w:bookmarkStart w:id="239" w:name="_Ref59383007"/>
      <w:r>
        <w:t xml:space="preserve">Sign convention: For the application of the formula </w:t>
      </w:r>
      <w:r w:rsidR="00065BA4">
        <w:t xml:space="preserve">provided </w:t>
      </w:r>
      <w:r>
        <w:t xml:space="preserve">in Clause </w:t>
      </w:r>
      <w:r>
        <w:fldChar w:fldCharType="begin"/>
      </w:r>
      <w:r>
        <w:instrText xml:space="preserve"> REF _Ref59362627 \r \h </w:instrText>
      </w:r>
      <w:r>
        <w:fldChar w:fldCharType="separate"/>
      </w:r>
      <w:r w:rsidR="00251DBF">
        <w:t>6.3.1.3</w:t>
      </w:r>
      <w:r>
        <w:fldChar w:fldCharType="end"/>
      </w:r>
      <w:r>
        <w:t xml:space="preserve">, the </w:t>
      </w:r>
      <w:r w:rsidR="00B15F0C">
        <w:t>E</w:t>
      </w:r>
      <w:r>
        <w:t xml:space="preserve">nergy </w:t>
      </w:r>
      <w:r w:rsidR="006F067F">
        <w:t xml:space="preserve">recorded  </w:t>
      </w:r>
      <w:r>
        <w:t xml:space="preserve">at each Metering </w:t>
      </w:r>
      <w:r w:rsidR="00065BA4">
        <w:t>P</w:t>
      </w:r>
      <w:r>
        <w:t xml:space="preserve">oint </w:t>
      </w:r>
      <w:r w:rsidR="00C70E29">
        <w:t>at</w:t>
      </w:r>
      <w:r>
        <w:t xml:space="preserve"> each particular hour shall be considered positive if it is </w:t>
      </w:r>
      <w:r w:rsidR="006F067F">
        <w:t xml:space="preserve">injected </w:t>
      </w:r>
      <w:r>
        <w:t xml:space="preserve">into the Transmission Network </w:t>
      </w:r>
      <w:r w:rsidR="00ED5FBB">
        <w:t xml:space="preserve">of Transmission Licensee </w:t>
      </w:r>
      <w:r w:rsidR="00ED5FBB" w:rsidRPr="00806DF2">
        <w:rPr>
          <w:i/>
        </w:rPr>
        <w:t>“k”</w:t>
      </w:r>
      <w:r w:rsidR="00ED5FBB">
        <w:t xml:space="preserve"> </w:t>
      </w:r>
      <w:r>
        <w:t xml:space="preserve">and negative if it is </w:t>
      </w:r>
      <w:r w:rsidR="006F067F">
        <w:t>withdrawn</w:t>
      </w:r>
      <w:r>
        <w:t xml:space="preserve"> </w:t>
      </w:r>
      <w:r w:rsidR="00ED5FBB">
        <w:t>from such</w:t>
      </w:r>
      <w:r>
        <w:t xml:space="preserve"> Transmission Network.</w:t>
      </w:r>
      <w:bookmarkEnd w:id="239"/>
      <w:r w:rsidR="00806DF2">
        <w:t xml:space="preserve"> </w:t>
      </w:r>
      <w:r w:rsidR="00BA2942" w:rsidRPr="00806DF2">
        <w:t xml:space="preserve">In case </w:t>
      </w:r>
      <w:r w:rsidR="006F067F">
        <w:t>a</w:t>
      </w:r>
      <w:r w:rsidR="00BA2942" w:rsidRPr="00806DF2">
        <w:t xml:space="preserve"> Metering Point</w:t>
      </w:r>
      <w:r w:rsidR="006F067F">
        <w:t xml:space="preserve"> records separate values for Energy injected and withdrawn</w:t>
      </w:r>
      <w:r w:rsidR="00BA2942" w:rsidRPr="00806DF2">
        <w:t xml:space="preserve">, </w:t>
      </w:r>
      <w:r w:rsidR="006F067F">
        <w:t xml:space="preserve">the sign convention shall apply </w:t>
      </w:r>
      <w:r w:rsidR="00BA2942" w:rsidRPr="00806DF2">
        <w:t>accordingly for each</w:t>
      </w:r>
      <w:r w:rsidR="006F067F">
        <w:t xml:space="preserve"> recorded value at the</w:t>
      </w:r>
      <w:r w:rsidR="00BA2942" w:rsidRPr="00806DF2">
        <w:t xml:space="preserve"> particular hour.</w:t>
      </w:r>
    </w:p>
    <w:p w14:paraId="39F608CF" w14:textId="77777777" w:rsidR="00E22A64" w:rsidRPr="00E22A64" w:rsidRDefault="00E22A64" w:rsidP="00C173D0">
      <w:pPr>
        <w:pStyle w:val="Heading3"/>
      </w:pPr>
      <w:r w:rsidRPr="00E22A64">
        <w:t>Calculation of Total Demand</w:t>
      </w:r>
    </w:p>
    <w:p w14:paraId="57C1395B" w14:textId="0E7791EB" w:rsidR="00E22A64" w:rsidRPr="002D7128" w:rsidRDefault="00065BA4" w:rsidP="005B295A">
      <w:pPr>
        <w:pStyle w:val="Heading4"/>
      </w:pPr>
      <w:r>
        <w:t>T</w:t>
      </w:r>
      <w:r w:rsidR="00E22A64" w:rsidRPr="002D7128">
        <w:t xml:space="preserve">he Market Operator </w:t>
      </w:r>
      <w:r w:rsidR="006F067F">
        <w:t>shall</w:t>
      </w:r>
      <w:r w:rsidR="006F067F" w:rsidRPr="002D7128">
        <w:t xml:space="preserve"> </w:t>
      </w:r>
      <w:r w:rsidR="00E22A64" w:rsidRPr="002D7128">
        <w:t>determine</w:t>
      </w:r>
      <w:r>
        <w:t>,</w:t>
      </w:r>
      <w:r w:rsidRPr="00065BA4">
        <w:t xml:space="preserve"> </w:t>
      </w:r>
      <w:r>
        <w:t>on hourly basis,</w:t>
      </w:r>
      <w:r w:rsidR="00E22A64" w:rsidRPr="002D7128">
        <w:t xml:space="preserve"> the </w:t>
      </w:r>
      <w:bookmarkStart w:id="240" w:name="_Hlk66261081"/>
      <w:r w:rsidR="00E22A64" w:rsidRPr="002D7128">
        <w:t>Total Demand</w:t>
      </w:r>
      <w:bookmarkEnd w:id="240"/>
      <w:r w:rsidR="00E22A64" w:rsidRPr="002D7128">
        <w:t xml:space="preserve"> </w:t>
      </w:r>
      <w:r w:rsidR="00EA147A" w:rsidRPr="002D7128">
        <w:t xml:space="preserve">by adding the total </w:t>
      </w:r>
      <w:r w:rsidR="0046412E">
        <w:t>Energy</w:t>
      </w:r>
      <w:r w:rsidR="00EA147A" w:rsidRPr="002D7128">
        <w:t xml:space="preserve"> </w:t>
      </w:r>
      <w:r w:rsidR="009C273E">
        <w:t>withdrawn</w:t>
      </w:r>
      <w:r w:rsidR="009C273E" w:rsidRPr="002D7128">
        <w:t xml:space="preserve"> </w:t>
      </w:r>
      <w:r w:rsidR="00EA147A" w:rsidRPr="002D7128">
        <w:t>from the Transmission Network</w:t>
      </w:r>
      <w:r w:rsidR="009C273E">
        <w:t xml:space="preserve"> of all Transmission Licensees</w:t>
      </w:r>
      <w:r w:rsidR="00EA147A" w:rsidRPr="002D7128">
        <w:t xml:space="preserve"> and the total </w:t>
      </w:r>
      <w:r w:rsidR="009C273E">
        <w:t xml:space="preserve">Energy generated by </w:t>
      </w:r>
      <w:r w:rsidR="000D7D25">
        <w:t>G</w:t>
      </w:r>
      <w:r w:rsidR="000D7D25" w:rsidRPr="002D7128">
        <w:t>eneration</w:t>
      </w:r>
      <w:r w:rsidR="009C273E">
        <w:t xml:space="preserve"> Units or Generation Plants or Imports</w:t>
      </w:r>
      <w:r w:rsidR="000D7D25" w:rsidRPr="002D7128">
        <w:t xml:space="preserve"> </w:t>
      </w:r>
      <w:r w:rsidR="00EA147A" w:rsidRPr="002D7128">
        <w:t xml:space="preserve">connected at </w:t>
      </w:r>
      <w:r w:rsidR="009C273E">
        <w:t>Distribution Network</w:t>
      </w:r>
      <w:r>
        <w:t xml:space="preserve"> by utilizing the metering information considered by the Market Operator according to the provisions of </w:t>
      </w:r>
      <w:r w:rsidR="00F54A87">
        <w:rPr>
          <w:rFonts w:eastAsiaTheme="minorEastAsia" w:cstheme="minorHAnsi"/>
          <w:color w:val="auto"/>
        </w:rPr>
        <w:fldChar w:fldCharType="begin"/>
      </w:r>
      <w:r w:rsidR="00F54A87">
        <w:rPr>
          <w:rFonts w:eastAsiaTheme="minorEastAsia" w:cstheme="minorHAnsi"/>
          <w:color w:val="auto"/>
        </w:rPr>
        <w:instrText xml:space="preserve"> REF _Ref76854808 \r \h </w:instrText>
      </w:r>
      <w:r w:rsidR="00F54A87">
        <w:rPr>
          <w:rFonts w:eastAsiaTheme="minorEastAsia" w:cstheme="minorHAnsi"/>
          <w:color w:val="auto"/>
        </w:rPr>
      </w:r>
      <w:r w:rsidR="00F54A87">
        <w:rPr>
          <w:rFonts w:eastAsiaTheme="minorEastAsia" w:cstheme="minorHAnsi"/>
          <w:color w:val="auto"/>
        </w:rPr>
        <w:fldChar w:fldCharType="separate"/>
      </w:r>
      <w:r w:rsidR="00F54A87">
        <w:rPr>
          <w:rFonts w:eastAsiaTheme="minorEastAsia" w:cstheme="minorHAnsi"/>
          <w:color w:val="auto"/>
        </w:rPr>
        <w:t>Chapter 5</w:t>
      </w:r>
      <w:r w:rsidR="00F54A87">
        <w:rPr>
          <w:rFonts w:eastAsiaTheme="minorEastAsia" w:cstheme="minorHAnsi"/>
          <w:color w:val="auto"/>
        </w:rPr>
        <w:fldChar w:fldCharType="end"/>
      </w:r>
      <w:r w:rsidR="00EA147A" w:rsidRPr="002D7128">
        <w:t xml:space="preserve">. </w:t>
      </w:r>
    </w:p>
    <w:p w14:paraId="577A424B" w14:textId="170A3661" w:rsidR="00ED5FBB" w:rsidRPr="00ED5FBB" w:rsidRDefault="00E22A64" w:rsidP="00AE1AD1">
      <w:pPr>
        <w:pStyle w:val="Heading4"/>
      </w:pPr>
      <w:r>
        <w:t xml:space="preserve"> </w:t>
      </w:r>
      <w:bookmarkStart w:id="241" w:name="_Ref61214447"/>
      <w:r w:rsidR="009C273E">
        <w:t xml:space="preserve">The </w:t>
      </w:r>
      <w:r w:rsidR="00513213">
        <w:t>Total Demand for the whole system shall be calculated as:</w:t>
      </w:r>
      <w:bookmarkEnd w:id="241"/>
    </w:p>
    <w:p w14:paraId="10FDE1E6" w14:textId="55F3AD10" w:rsidR="00E22A64" w:rsidRPr="00DC3267" w:rsidRDefault="00E22A64" w:rsidP="005B295A">
      <w:pPr>
        <w:pStyle w:val="Heading4"/>
        <w:numPr>
          <w:ilvl w:val="0"/>
          <w:numId w:val="0"/>
        </w:numPr>
        <w:ind w:left="851"/>
        <w:rPr>
          <w:rFonts w:asciiTheme="minorHAnsi" w:eastAsiaTheme="minorEastAsia" w:hAnsiTheme="minorHAnsi"/>
        </w:rPr>
      </w:pPr>
      <m:oMathPara>
        <m:oMath>
          <m:r>
            <m:rPr>
              <m:sty m:val="p"/>
            </m:rPr>
            <w:rPr>
              <w:rFonts w:ascii="Cambria Math" w:eastAsiaTheme="minorEastAsia" w:hAnsi="Cambria Math"/>
            </w:rPr>
            <w:br/>
          </m:r>
        </m:oMath>
        <m:oMath>
          <m:sSub>
            <m:sSubPr>
              <m:ctrlPr>
                <w:rPr>
                  <w:rFonts w:ascii="Cambria Math" w:eastAsiaTheme="minorEastAsia" w:hAnsi="Cambria Math"/>
                </w:rPr>
              </m:ctrlPr>
            </m:sSubPr>
            <m:e>
              <m:r>
                <w:rPr>
                  <w:rFonts w:ascii="Cambria Math" w:hAnsi="Cambria Math"/>
                </w:rPr>
                <m:t>TotDem</m:t>
              </m:r>
            </m:e>
            <m:sub>
              <m:r>
                <w:rPr>
                  <w:rFonts w:ascii="Cambria Math" w:eastAsiaTheme="minorEastAsia" w:hAnsi="Cambria Math"/>
                </w:rPr>
                <m:t>h</m:t>
              </m:r>
            </m:sub>
          </m:sSub>
          <m:d>
            <m:dPr>
              <m:begChr m:val="["/>
              <m:endChr m:val="]"/>
              <m:ctrlPr>
                <w:rPr>
                  <w:rFonts w:ascii="Cambria Math" w:hAnsi="Cambria Math"/>
                </w:rPr>
              </m:ctrlPr>
            </m:dPr>
            <m:e>
              <m:r>
                <w:rPr>
                  <w:rFonts w:ascii="Cambria Math" w:hAnsi="Cambria Math"/>
                </w:rPr>
                <m:t>MWh</m:t>
              </m:r>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m:t>
              </m:r>
              <m:nary>
                <m:naryPr>
                  <m:chr m:val="∑"/>
                  <m:limLoc m:val="undOvr"/>
                  <m:supHide m:val="1"/>
                  <m:ctrlPr>
                    <w:rPr>
                      <w:rFonts w:ascii="Cambria Math" w:eastAsiaTheme="minorEastAsia" w:hAnsi="Cambria Math"/>
                    </w:rPr>
                  </m:ctrlPr>
                </m:naryPr>
                <m:sub>
                  <m:sSub>
                    <m:sSubPr>
                      <m:ctrlPr>
                        <w:rPr>
                          <w:rFonts w:ascii="Cambria Math" w:eastAsiaTheme="minorEastAsia" w:hAnsi="Cambria Math"/>
                        </w:rPr>
                      </m:ctrlPr>
                    </m:sSubPr>
                    <m:e>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 xml:space="preserve"> ∈ </m:t>
                      </m:r>
                      <m:sSub>
                        <m:sSubPr>
                          <m:ctrlPr>
                            <w:rPr>
                              <w:rFonts w:ascii="Cambria Math" w:eastAsiaTheme="minorEastAsia" w:hAnsi="Cambria Math"/>
                            </w:rPr>
                          </m:ctrlPr>
                        </m:sSubPr>
                        <m:e>
                          <m:r>
                            <w:rPr>
                              <w:rFonts w:ascii="Cambria Math" w:eastAsiaTheme="minorEastAsia" w:hAnsi="Cambria Math"/>
                            </w:rPr>
                            <m:t>MP</m:t>
                          </m:r>
                          <m:r>
                            <m:rPr>
                              <m:sty m:val="p"/>
                            </m:rPr>
                            <w:rPr>
                              <w:rFonts w:ascii="Cambria Math" w:eastAsiaTheme="minorEastAsia" w:hAnsi="Cambria Math"/>
                            </w:rPr>
                            <m:t xml:space="preserve"> </m:t>
                          </m:r>
                        </m:e>
                        <m:sub>
                          <m:r>
                            <w:rPr>
                              <w:rFonts w:ascii="Cambria Math" w:eastAsiaTheme="minorEastAsia" w:hAnsi="Cambria Math"/>
                            </w:rPr>
                            <m:t>T</m:t>
                          </m:r>
                          <m:r>
                            <m:rPr>
                              <m:sty m:val="p"/>
                            </m:rPr>
                            <w:rPr>
                              <w:rFonts w:ascii="Cambria Math" w:eastAsiaTheme="minorEastAsia" w:hAnsi="Cambria Math"/>
                            </w:rPr>
                            <m:t>→</m:t>
                          </m:r>
                          <m:r>
                            <w:rPr>
                              <w:rFonts w:ascii="Cambria Math" w:eastAsiaTheme="minorEastAsia" w:hAnsi="Cambria Math"/>
                            </w:rPr>
                            <m:t>D</m:t>
                          </m:r>
                        </m:sub>
                      </m:sSub>
                    </m:e>
                    <m:sub>
                      <m:r>
                        <m:rPr>
                          <m:sty m:val="p"/>
                        </m:rPr>
                        <w:rPr>
                          <w:rFonts w:ascii="Cambria Math" w:eastAsiaTheme="minorEastAsia" w:hAnsi="Cambria Math"/>
                        </w:rPr>
                        <m:t>(-)</m:t>
                      </m:r>
                    </m:sub>
                  </m:sSub>
                </m:sub>
                <m:sup/>
                <m:e>
                  <m:sSub>
                    <m:sSubPr>
                      <m:ctrlPr>
                        <w:rPr>
                          <w:rFonts w:ascii="Cambria Math" w:eastAsiaTheme="minorEastAsia" w:hAnsi="Cambria Math"/>
                        </w:rPr>
                      </m:ctrlPr>
                    </m:sSubPr>
                    <m:e>
                      <m:r>
                        <w:rPr>
                          <w:rFonts w:ascii="Cambria Math" w:eastAsiaTheme="minorEastAsia" w:hAnsi="Cambria Math"/>
                        </w:rPr>
                        <m:t>E</m:t>
                      </m:r>
                    </m:e>
                    <m:sub>
                      <m:sSub>
                        <m:sSubPr>
                          <m:ctrlPr>
                            <w:rPr>
                              <w:rFonts w:ascii="Cambria Math" w:eastAsiaTheme="minorEastAsia" w:hAnsi="Cambria Math"/>
                            </w:rPr>
                          </m:ctrlPr>
                        </m:sSubPr>
                        <m:e>
                          <m:r>
                            <w:rPr>
                              <w:rFonts w:ascii="Cambria Math" w:eastAsiaTheme="minorEastAsia" w:hAnsi="Cambria Math"/>
                            </w:rPr>
                            <m:t>MP</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h</m:t>
                          </m:r>
                        </m:sub>
                      </m:sSub>
                    </m:sub>
                  </m:sSub>
                </m:e>
              </m:nary>
            </m:e>
          </m:d>
          <m:r>
            <m:rPr>
              <m:sty m:val="p"/>
            </m:rPr>
            <w:rPr>
              <w:rFonts w:ascii="Cambria Math" w:eastAsiaTheme="minorEastAsia" w:hAnsi="Cambria Math"/>
            </w:rPr>
            <m:t>+</m:t>
          </m:r>
          <m:nary>
            <m:naryPr>
              <m:chr m:val="∑"/>
              <m:limLoc m:val="undOvr"/>
              <m:supHide m:val="1"/>
              <m:ctrlPr>
                <w:rPr>
                  <w:rFonts w:ascii="Cambria Math" w:eastAsiaTheme="minorEastAsia" w:hAnsi="Cambria Math"/>
                </w:rPr>
              </m:ctrlPr>
            </m:naryPr>
            <m:sub>
              <m:sSub>
                <m:sSubPr>
                  <m:ctrlPr>
                    <w:rPr>
                      <w:rFonts w:ascii="Cambria Math" w:eastAsiaTheme="minorEastAsia" w:hAnsi="Cambria Math"/>
                    </w:rPr>
                  </m:ctrlPr>
                </m:sSubPr>
                <m:e>
                  <m:r>
                    <m:rPr>
                      <m:sty m:val="p"/>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MP</m:t>
                      </m:r>
                      <m:r>
                        <m:rPr>
                          <m:sty m:val="p"/>
                        </m:rPr>
                        <w:rPr>
                          <w:rFonts w:ascii="Cambria Math" w:eastAsiaTheme="minorEastAsia" w:hAnsi="Cambria Math"/>
                        </w:rPr>
                        <m:t xml:space="preserve"> </m:t>
                      </m:r>
                    </m:e>
                    <m:sub>
                      <m:r>
                        <w:rPr>
                          <w:rFonts w:ascii="Cambria Math" w:eastAsiaTheme="minorEastAsia" w:hAnsi="Cambria Math"/>
                        </w:rPr>
                        <m:t>G</m:t>
                      </m:r>
                      <m:r>
                        <m:rPr>
                          <m:sty m:val="p"/>
                        </m:rPr>
                        <w:rPr>
                          <w:rFonts w:ascii="Cambria Math" w:eastAsiaTheme="minorEastAsia" w:hAnsi="Cambria Math"/>
                        </w:rPr>
                        <m:t>→</m:t>
                      </m:r>
                      <m:r>
                        <w:rPr>
                          <w:rFonts w:ascii="Cambria Math" w:eastAsiaTheme="minorEastAsia" w:hAnsi="Cambria Math"/>
                        </w:rPr>
                        <m:t>D</m:t>
                      </m:r>
                    </m:sub>
                  </m:sSub>
                </m:e>
                <m:sub>
                  <m:r>
                    <m:rPr>
                      <m:sty m:val="p"/>
                    </m:rPr>
                    <w:rPr>
                      <w:rFonts w:ascii="Cambria Math" w:eastAsiaTheme="minorEastAsia" w:hAnsi="Cambria Math"/>
                    </w:rPr>
                    <m:t>(+)</m:t>
                  </m:r>
                </m:sub>
              </m:sSub>
            </m:sub>
            <m:sup/>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MP</m:t>
                      </m:r>
                    </m:sub>
                  </m:sSub>
                </m:e>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h</m:t>
                  </m:r>
                </m:sub>
              </m:sSub>
            </m:e>
          </m:nary>
        </m:oMath>
      </m:oMathPara>
    </w:p>
    <w:p w14:paraId="76CFF092" w14:textId="77777777" w:rsidR="00E22A64" w:rsidRPr="00203FD2" w:rsidRDefault="00E22A64" w:rsidP="00E22A64">
      <w:pPr>
        <w:ind w:left="1276"/>
        <w:rPr>
          <w:rFonts w:eastAsiaTheme="minorEastAsia" w:cstheme="minorHAnsi"/>
        </w:rPr>
      </w:pPr>
      <w:r w:rsidRPr="00203FD2">
        <w:rPr>
          <w:rFonts w:eastAsiaTheme="minorEastAsia" w:cstheme="minorHAnsi"/>
        </w:rPr>
        <w:t xml:space="preserve">Where: </w:t>
      </w:r>
    </w:p>
    <w:p w14:paraId="224CFDD6" w14:textId="6D0525D0" w:rsidR="00E22A64" w:rsidRPr="00203FD2" w:rsidRDefault="00E22A64" w:rsidP="00FF4826">
      <w:pPr>
        <w:pStyle w:val="ListParagraph"/>
        <w:numPr>
          <w:ilvl w:val="0"/>
          <w:numId w:val="23"/>
        </w:numPr>
        <w:rPr>
          <w:rFonts w:eastAsiaTheme="minorEastAsia" w:cstheme="minorHAnsi"/>
        </w:rPr>
      </w:pPr>
      <w:r w:rsidRPr="00203FD2">
        <w:rPr>
          <w:rFonts w:eastAsiaTheme="minorEastAsia" w:cstheme="minorHAnsi"/>
          <w:i/>
          <w:iCs/>
        </w:rPr>
        <w:t>TotDem</w:t>
      </w:r>
      <w:r w:rsidRPr="00203FD2">
        <w:rPr>
          <w:rFonts w:eastAsiaTheme="minorEastAsia" w:cstheme="minorHAnsi"/>
          <w:i/>
          <w:iCs/>
          <w:vertAlign w:val="subscript"/>
        </w:rPr>
        <w:t>h</w:t>
      </w:r>
      <w:r w:rsidRPr="00203FD2">
        <w:rPr>
          <w:rFonts w:eastAsiaTheme="minorEastAsia" w:cstheme="minorHAnsi"/>
        </w:rPr>
        <w:t xml:space="preserve"> is the total </w:t>
      </w:r>
      <w:r w:rsidR="0046412E">
        <w:rPr>
          <w:rFonts w:eastAsiaTheme="minorEastAsia" w:cstheme="minorHAnsi"/>
        </w:rPr>
        <w:t>Energy</w:t>
      </w:r>
      <w:r w:rsidRPr="00203FD2">
        <w:rPr>
          <w:rFonts w:eastAsiaTheme="minorEastAsia" w:cstheme="minorHAnsi"/>
        </w:rPr>
        <w:t xml:space="preserve"> </w:t>
      </w:r>
      <w:r w:rsidR="00D90EBD">
        <w:rPr>
          <w:rFonts w:eastAsiaTheme="minorEastAsia" w:cstheme="minorHAnsi"/>
        </w:rPr>
        <w:t>withdrawn</w:t>
      </w:r>
      <w:r w:rsidR="00D90EBD" w:rsidRPr="00203FD2">
        <w:rPr>
          <w:rFonts w:eastAsiaTheme="minorEastAsia" w:cstheme="minorHAnsi"/>
        </w:rPr>
        <w:t xml:space="preserve"> </w:t>
      </w:r>
      <w:r w:rsidRPr="00203FD2">
        <w:rPr>
          <w:rFonts w:eastAsiaTheme="minorEastAsia" w:cstheme="minorHAnsi"/>
        </w:rPr>
        <w:t>by Market Participants</w:t>
      </w:r>
      <w:r w:rsidR="00D90EBD">
        <w:rPr>
          <w:rFonts w:eastAsiaTheme="minorEastAsia" w:cstheme="minorHAnsi"/>
        </w:rPr>
        <w:t xml:space="preserve"> in hour “h”</w:t>
      </w:r>
      <w:r w:rsidRPr="00203FD2">
        <w:rPr>
          <w:rFonts w:eastAsiaTheme="minorEastAsia" w:cstheme="minorHAnsi"/>
        </w:rPr>
        <w:t xml:space="preserve"> which shall be liable to cover the </w:t>
      </w:r>
      <w:r w:rsidR="009C273E">
        <w:rPr>
          <w:rFonts w:eastAsiaTheme="minorEastAsia" w:cstheme="minorHAnsi"/>
        </w:rPr>
        <w:t xml:space="preserve">losses in the </w:t>
      </w:r>
      <w:r w:rsidR="00C22F85">
        <w:rPr>
          <w:rFonts w:eastAsiaTheme="minorEastAsia" w:cstheme="minorHAnsi"/>
        </w:rPr>
        <w:t>T</w:t>
      </w:r>
      <w:r w:rsidRPr="00203FD2">
        <w:rPr>
          <w:rFonts w:eastAsiaTheme="minorEastAsia" w:cstheme="minorHAnsi"/>
        </w:rPr>
        <w:t>ransmission</w:t>
      </w:r>
      <w:r w:rsidR="009C273E">
        <w:rPr>
          <w:rFonts w:eastAsiaTheme="minorEastAsia" w:cstheme="minorHAnsi"/>
        </w:rPr>
        <w:t xml:space="preserve"> Network</w:t>
      </w:r>
      <w:r w:rsidRPr="00203FD2">
        <w:rPr>
          <w:rFonts w:eastAsiaTheme="minorEastAsia" w:cstheme="minorHAnsi"/>
        </w:rPr>
        <w:t xml:space="preserve">. </w:t>
      </w:r>
    </w:p>
    <w:p w14:paraId="7EB2CAB0" w14:textId="253AE81B" w:rsidR="00E22A64" w:rsidRPr="00203FD2" w:rsidRDefault="00E22A64" w:rsidP="00FF4826">
      <w:pPr>
        <w:pStyle w:val="ListParagraph"/>
        <w:numPr>
          <w:ilvl w:val="0"/>
          <w:numId w:val="23"/>
        </w:numPr>
        <w:rPr>
          <w:rFonts w:eastAsiaTheme="minorEastAsia" w:cstheme="minorHAnsi"/>
        </w:rPr>
      </w:pPr>
      <w:r w:rsidRPr="00203FD2">
        <w:rPr>
          <w:rFonts w:eastAsiaTheme="minorEastAsia" w:cstheme="minorHAnsi"/>
          <w:i/>
          <w:iCs/>
        </w:rPr>
        <w:lastRenderedPageBreak/>
        <w:t>E</w:t>
      </w:r>
      <w:r w:rsidR="008026ED" w:rsidRPr="00203FD2">
        <w:rPr>
          <w:rFonts w:eastAsiaTheme="minorEastAsia" w:cstheme="minorHAnsi"/>
          <w:i/>
          <w:iCs/>
          <w:vertAlign w:val="subscript"/>
        </w:rPr>
        <w:t>MP</w:t>
      </w:r>
      <w:r w:rsidRPr="00203FD2">
        <w:rPr>
          <w:rFonts w:eastAsiaTheme="minorEastAsia" w:cstheme="minorHAnsi"/>
          <w:i/>
          <w:iCs/>
          <w:vertAlign w:val="subscript"/>
        </w:rPr>
        <w:t>i,h</w:t>
      </w:r>
      <w:r w:rsidRPr="00203FD2">
        <w:rPr>
          <w:rFonts w:eastAsiaTheme="minorEastAsia" w:cstheme="minorHAnsi"/>
        </w:rPr>
        <w:t xml:space="preserve"> is the </w:t>
      </w:r>
      <w:r w:rsidR="00C22F85">
        <w:rPr>
          <w:rFonts w:eastAsiaTheme="minorEastAsia" w:cstheme="minorHAnsi"/>
        </w:rPr>
        <w:t>E</w:t>
      </w:r>
      <w:r w:rsidRPr="00203FD2">
        <w:rPr>
          <w:rFonts w:eastAsiaTheme="minorEastAsia" w:cstheme="minorHAnsi"/>
        </w:rPr>
        <w:t xml:space="preserve">nergy </w:t>
      </w:r>
      <w:r w:rsidR="009C273E">
        <w:rPr>
          <w:rFonts w:eastAsiaTheme="minorEastAsia" w:cstheme="minorHAnsi"/>
        </w:rPr>
        <w:t>withdrawn</w:t>
      </w:r>
      <w:r w:rsidR="009C273E" w:rsidRPr="00203FD2">
        <w:rPr>
          <w:rFonts w:eastAsiaTheme="minorEastAsia" w:cstheme="minorHAnsi"/>
        </w:rPr>
        <w:t xml:space="preserve"> </w:t>
      </w:r>
      <w:r w:rsidRPr="00203FD2">
        <w:rPr>
          <w:rFonts w:eastAsiaTheme="minorEastAsia" w:cstheme="minorHAnsi"/>
        </w:rPr>
        <w:t>(negative)</w:t>
      </w:r>
      <w:r w:rsidR="008026ED" w:rsidRPr="00203FD2">
        <w:rPr>
          <w:rFonts w:eastAsiaTheme="minorEastAsia" w:cstheme="minorHAnsi"/>
        </w:rPr>
        <w:t xml:space="preserve"> from the Transmission Network</w:t>
      </w:r>
      <w:r w:rsidRPr="00203FD2">
        <w:rPr>
          <w:rFonts w:eastAsiaTheme="minorEastAsia" w:cstheme="minorHAnsi"/>
        </w:rPr>
        <w:t xml:space="preserve">, at the </w:t>
      </w:r>
      <w:r w:rsidR="00924F9D">
        <w:rPr>
          <w:rFonts w:eastAsiaTheme="minorEastAsia" w:cstheme="minorHAnsi"/>
        </w:rPr>
        <w:t xml:space="preserve">Metering Point </w:t>
      </w:r>
      <w:r w:rsidR="00D90EBD">
        <w:rPr>
          <w:rFonts w:eastAsiaTheme="minorEastAsia" w:cstheme="minorHAnsi"/>
        </w:rPr>
        <w:t>“i”</w:t>
      </w:r>
      <w:r w:rsidR="00924F9D">
        <w:rPr>
          <w:rFonts w:eastAsiaTheme="minorEastAsia" w:cstheme="minorHAnsi"/>
        </w:rPr>
        <w:t xml:space="preserve"> located at the </w:t>
      </w:r>
      <w:r w:rsidR="008026ED" w:rsidRPr="00203FD2">
        <w:rPr>
          <w:rFonts w:eastAsiaTheme="minorEastAsia" w:cstheme="minorHAnsi"/>
        </w:rPr>
        <w:t xml:space="preserve">boundary </w:t>
      </w:r>
      <w:r w:rsidR="00924F9D">
        <w:rPr>
          <w:rFonts w:eastAsiaTheme="minorEastAsia" w:cstheme="minorHAnsi"/>
        </w:rPr>
        <w:t xml:space="preserve">of the </w:t>
      </w:r>
      <w:r w:rsidR="00924F9D" w:rsidRPr="00203FD2">
        <w:rPr>
          <w:rFonts w:eastAsiaTheme="minorEastAsia" w:cstheme="minorHAnsi"/>
        </w:rPr>
        <w:t xml:space="preserve"> </w:t>
      </w:r>
      <w:r w:rsidR="00D90EBD" w:rsidRPr="00D90EBD">
        <w:rPr>
          <w:rFonts w:eastAsiaTheme="minorEastAsia" w:cstheme="minorHAnsi"/>
        </w:rPr>
        <w:t>Transmission Network</w:t>
      </w:r>
      <w:r w:rsidR="00D90EBD" w:rsidRPr="00203FD2">
        <w:rPr>
          <w:rFonts w:eastAsiaTheme="minorEastAsia" w:cstheme="minorHAnsi"/>
        </w:rPr>
        <w:t xml:space="preserve"> </w:t>
      </w:r>
      <w:r w:rsidRPr="00203FD2">
        <w:rPr>
          <w:rFonts w:eastAsiaTheme="minorEastAsia" w:cstheme="minorHAnsi"/>
        </w:rPr>
        <w:t xml:space="preserve">in the hour </w:t>
      </w:r>
      <w:r w:rsidR="00D90EBD">
        <w:rPr>
          <w:rFonts w:eastAsiaTheme="minorEastAsia" w:cstheme="minorHAnsi"/>
        </w:rPr>
        <w:t>“</w:t>
      </w:r>
      <w:r w:rsidRPr="00203FD2">
        <w:rPr>
          <w:rFonts w:eastAsiaTheme="minorEastAsia" w:cstheme="minorHAnsi"/>
        </w:rPr>
        <w:t>h</w:t>
      </w:r>
      <w:r w:rsidR="00D90EBD">
        <w:rPr>
          <w:rFonts w:eastAsiaTheme="minorEastAsia" w:cstheme="minorHAnsi"/>
        </w:rPr>
        <w:t>”</w:t>
      </w:r>
      <w:r w:rsidRPr="00203FD2">
        <w:rPr>
          <w:rFonts w:eastAsiaTheme="minorEastAsia" w:cstheme="minorHAnsi"/>
        </w:rPr>
        <w:t>.</w:t>
      </w:r>
    </w:p>
    <w:p w14:paraId="5A658D9F" w14:textId="3DC6F5D9" w:rsidR="002E7BAC" w:rsidRPr="00203FD2" w:rsidRDefault="002E7BAC" w:rsidP="00FF4826">
      <w:pPr>
        <w:pStyle w:val="ListParagraph"/>
        <w:numPr>
          <w:ilvl w:val="0"/>
          <w:numId w:val="23"/>
        </w:numPr>
        <w:rPr>
          <w:rFonts w:eastAsiaTheme="minorEastAsia" w:cstheme="minorHAnsi"/>
        </w:rPr>
      </w:pPr>
      <w:r w:rsidRPr="00203FD2">
        <w:rPr>
          <w:rFonts w:eastAsiaTheme="minorEastAsia" w:cstheme="minorHAnsi"/>
          <w:i/>
          <w:iCs/>
        </w:rPr>
        <w:t>E</w:t>
      </w:r>
      <w:r w:rsidRPr="00203FD2">
        <w:rPr>
          <w:rFonts w:eastAsiaTheme="minorEastAsia" w:cstheme="minorHAnsi"/>
          <w:i/>
          <w:iCs/>
          <w:vertAlign w:val="subscript"/>
        </w:rPr>
        <w:t>MPj,h</w:t>
      </w:r>
      <w:r w:rsidRPr="00203FD2">
        <w:rPr>
          <w:rFonts w:eastAsiaTheme="minorEastAsia" w:cstheme="minorHAnsi"/>
        </w:rPr>
        <w:t xml:space="preserve"> is the </w:t>
      </w:r>
      <w:r w:rsidR="00C22F85">
        <w:rPr>
          <w:rFonts w:eastAsiaTheme="minorEastAsia" w:cstheme="minorHAnsi"/>
        </w:rPr>
        <w:t>E</w:t>
      </w:r>
      <w:r w:rsidRPr="00203FD2">
        <w:rPr>
          <w:rFonts w:eastAsiaTheme="minorEastAsia" w:cstheme="minorHAnsi"/>
        </w:rPr>
        <w:t xml:space="preserve">nergy injected (positive) into the </w:t>
      </w:r>
      <w:r w:rsidR="00356DEE" w:rsidRPr="00203FD2">
        <w:rPr>
          <w:rFonts w:eastAsiaTheme="minorEastAsia" w:cstheme="minorHAnsi"/>
        </w:rPr>
        <w:t>Distribution</w:t>
      </w:r>
      <w:r w:rsidRPr="00203FD2">
        <w:rPr>
          <w:rFonts w:eastAsiaTheme="minorEastAsia" w:cstheme="minorHAnsi"/>
        </w:rPr>
        <w:t xml:space="preserve"> Network by Embedded </w:t>
      </w:r>
      <w:r w:rsidR="000D7D25" w:rsidRPr="00203FD2">
        <w:rPr>
          <w:rFonts w:eastAsiaTheme="minorEastAsia" w:cstheme="minorHAnsi"/>
        </w:rPr>
        <w:t>Generat</w:t>
      </w:r>
      <w:r w:rsidR="000D7D25">
        <w:rPr>
          <w:rFonts w:eastAsiaTheme="minorEastAsia" w:cstheme="minorHAnsi"/>
        </w:rPr>
        <w:t>ion</w:t>
      </w:r>
      <w:r w:rsidR="009C273E">
        <w:rPr>
          <w:rFonts w:eastAsiaTheme="minorEastAsia" w:cstheme="minorHAnsi"/>
        </w:rPr>
        <w:t xml:space="preserve"> or Imports</w:t>
      </w:r>
      <w:r w:rsidRPr="00203FD2">
        <w:rPr>
          <w:rFonts w:eastAsiaTheme="minorEastAsia" w:cstheme="minorHAnsi"/>
        </w:rPr>
        <w:t xml:space="preserve">, at the </w:t>
      </w:r>
      <w:r w:rsidR="00D90EBD">
        <w:rPr>
          <w:rFonts w:eastAsiaTheme="minorEastAsia" w:cstheme="minorHAnsi"/>
        </w:rPr>
        <w:t xml:space="preserve">Metering Point located at the </w:t>
      </w:r>
      <w:r w:rsidRPr="00203FD2">
        <w:rPr>
          <w:rFonts w:eastAsiaTheme="minorEastAsia" w:cstheme="minorHAnsi"/>
        </w:rPr>
        <w:t xml:space="preserve">boundary point </w:t>
      </w:r>
      <w:r w:rsidR="00D90EBD">
        <w:rPr>
          <w:rFonts w:eastAsiaTheme="minorEastAsia" w:cstheme="minorHAnsi"/>
        </w:rPr>
        <w:t>“</w:t>
      </w:r>
      <w:r w:rsidRPr="00203FD2">
        <w:rPr>
          <w:rFonts w:eastAsiaTheme="minorEastAsia" w:cstheme="minorHAnsi"/>
          <w:i/>
          <w:iCs/>
        </w:rPr>
        <w:t>j</w:t>
      </w:r>
      <w:r w:rsidR="00D90EBD">
        <w:rPr>
          <w:rFonts w:eastAsiaTheme="minorEastAsia" w:cstheme="minorHAnsi"/>
          <w:i/>
          <w:iCs/>
        </w:rPr>
        <w:t>”</w:t>
      </w:r>
      <w:r w:rsidRPr="00203FD2">
        <w:rPr>
          <w:rFonts w:eastAsiaTheme="minorEastAsia" w:cstheme="minorHAnsi"/>
        </w:rPr>
        <w:t xml:space="preserve"> in the hour </w:t>
      </w:r>
      <w:r w:rsidR="00D90EBD">
        <w:rPr>
          <w:rFonts w:eastAsiaTheme="minorEastAsia" w:cstheme="minorHAnsi"/>
        </w:rPr>
        <w:t>“</w:t>
      </w:r>
      <w:r w:rsidRPr="00203FD2">
        <w:rPr>
          <w:rFonts w:eastAsiaTheme="minorEastAsia" w:cstheme="minorHAnsi"/>
        </w:rPr>
        <w:t>h</w:t>
      </w:r>
      <w:r w:rsidR="00D90EBD">
        <w:rPr>
          <w:rFonts w:eastAsiaTheme="minorEastAsia" w:cstheme="minorHAnsi"/>
        </w:rPr>
        <w:t>”</w:t>
      </w:r>
      <w:r w:rsidRPr="00203FD2">
        <w:rPr>
          <w:rFonts w:eastAsiaTheme="minorEastAsia" w:cstheme="minorHAnsi"/>
        </w:rPr>
        <w:t>.</w:t>
      </w:r>
    </w:p>
    <w:p w14:paraId="6EC16042" w14:textId="5FE72089" w:rsidR="008026ED" w:rsidRPr="00203FD2" w:rsidRDefault="00E22A64" w:rsidP="00FF4826">
      <w:pPr>
        <w:pStyle w:val="ListParagraph"/>
        <w:numPr>
          <w:ilvl w:val="0"/>
          <w:numId w:val="23"/>
        </w:numPr>
        <w:rPr>
          <w:rFonts w:eastAsiaTheme="minorEastAsia" w:cstheme="minorHAnsi"/>
        </w:rPr>
      </w:pPr>
      <w:r w:rsidRPr="00203FD2">
        <w:rPr>
          <w:rFonts w:ascii="Cambria Math" w:eastAsiaTheme="minorEastAsia" w:hAnsi="Cambria Math" w:cs="Cambria Math"/>
          <w:i/>
          <w:iCs/>
        </w:rPr>
        <w:t>∀</w:t>
      </w:r>
      <w:r w:rsidRPr="00203FD2">
        <w:rPr>
          <w:rFonts w:eastAsiaTheme="minorEastAsia" w:cstheme="minorHAnsi"/>
          <w:i/>
          <w:iCs/>
        </w:rPr>
        <w:t xml:space="preserve"> i </w:t>
      </w:r>
      <w:r w:rsidRPr="00203FD2">
        <w:rPr>
          <w:rFonts w:ascii="Cambria Math" w:eastAsiaTheme="minorEastAsia" w:hAnsi="Cambria Math" w:cs="Cambria Math"/>
          <w:i/>
          <w:iCs/>
        </w:rPr>
        <w:t>∈</w:t>
      </w:r>
      <w:r w:rsidRPr="00203FD2">
        <w:rPr>
          <w:rFonts w:eastAsiaTheme="minorEastAsia" w:cstheme="minorHAnsi"/>
          <w:i/>
          <w:iCs/>
        </w:rPr>
        <w:t xml:space="preserve"> </w:t>
      </w:r>
      <w:r w:rsidR="008026ED" w:rsidRPr="00203FD2">
        <w:rPr>
          <w:rFonts w:eastAsiaTheme="minorEastAsia" w:cstheme="minorHAnsi"/>
          <w:i/>
          <w:iCs/>
        </w:rPr>
        <w:t>MP</w:t>
      </w:r>
      <w:r w:rsidRPr="00203FD2">
        <w:rPr>
          <w:rFonts w:eastAsiaTheme="minorEastAsia" w:cstheme="minorHAnsi"/>
          <w:i/>
          <w:iCs/>
          <w:vertAlign w:val="subscript"/>
        </w:rPr>
        <w:t>T</w:t>
      </w:r>
      <w:r w:rsidR="008026ED" w:rsidRPr="00203FD2">
        <w:rPr>
          <w:rFonts w:ascii="Arial" w:eastAsiaTheme="minorEastAsia" w:hAnsi="Arial" w:cs="Arial"/>
          <w:i/>
          <w:iCs/>
          <w:vertAlign w:val="subscript"/>
        </w:rPr>
        <w:t>→</w:t>
      </w:r>
      <w:r w:rsidR="008026ED" w:rsidRPr="00203FD2">
        <w:rPr>
          <w:rFonts w:eastAsiaTheme="minorEastAsia" w:cstheme="minorHAnsi"/>
          <w:i/>
          <w:iCs/>
          <w:vertAlign w:val="subscript"/>
        </w:rPr>
        <w:t xml:space="preserve">D (-) </w:t>
      </w:r>
      <w:r w:rsidRPr="00203FD2">
        <w:rPr>
          <w:rFonts w:eastAsiaTheme="minorEastAsia" w:cstheme="minorHAnsi"/>
        </w:rPr>
        <w:t xml:space="preserve">means all those </w:t>
      </w:r>
      <w:r w:rsidR="00D90EBD">
        <w:rPr>
          <w:rFonts w:eastAsiaTheme="minorEastAsia" w:cstheme="minorHAnsi"/>
        </w:rPr>
        <w:t xml:space="preserve">Metering Points at the </w:t>
      </w:r>
      <w:r w:rsidR="008026ED" w:rsidRPr="00203FD2">
        <w:rPr>
          <w:rFonts w:eastAsiaTheme="minorEastAsia" w:cstheme="minorHAnsi"/>
        </w:rPr>
        <w:t>boundary between a Transmission Network and</w:t>
      </w:r>
    </w:p>
    <w:p w14:paraId="327FD04F" w14:textId="40D8019C" w:rsidR="008026ED" w:rsidRPr="00203FD2" w:rsidRDefault="008026ED" w:rsidP="00FF4826">
      <w:pPr>
        <w:pStyle w:val="ListParagraph"/>
        <w:numPr>
          <w:ilvl w:val="1"/>
          <w:numId w:val="23"/>
        </w:numPr>
        <w:rPr>
          <w:rFonts w:eastAsiaTheme="minorEastAsia" w:cstheme="minorHAnsi"/>
        </w:rPr>
      </w:pPr>
      <w:r w:rsidRPr="00203FD2">
        <w:rPr>
          <w:rFonts w:eastAsiaTheme="minorEastAsia" w:cstheme="minorHAnsi"/>
        </w:rPr>
        <w:t xml:space="preserve">a Distribution Network; </w:t>
      </w:r>
    </w:p>
    <w:p w14:paraId="7507E1C7" w14:textId="39C28F58" w:rsidR="008026ED" w:rsidRPr="00203FD2" w:rsidRDefault="008026ED" w:rsidP="00FF4826">
      <w:pPr>
        <w:pStyle w:val="ListParagraph"/>
        <w:numPr>
          <w:ilvl w:val="1"/>
          <w:numId w:val="23"/>
        </w:numPr>
        <w:rPr>
          <w:rFonts w:eastAsiaTheme="minorEastAsia" w:cstheme="minorHAnsi"/>
        </w:rPr>
      </w:pPr>
      <w:r w:rsidRPr="00203FD2">
        <w:rPr>
          <w:rFonts w:eastAsiaTheme="minorEastAsia" w:cstheme="minorHAnsi"/>
        </w:rPr>
        <w:t xml:space="preserve">a BPC; </w:t>
      </w:r>
    </w:p>
    <w:p w14:paraId="4CFFC31A" w14:textId="7801FC5B" w:rsidR="008026ED" w:rsidRPr="00203FD2" w:rsidRDefault="008026ED" w:rsidP="00FF4826">
      <w:pPr>
        <w:pStyle w:val="ListParagraph"/>
        <w:numPr>
          <w:ilvl w:val="1"/>
          <w:numId w:val="23"/>
        </w:numPr>
        <w:rPr>
          <w:rFonts w:eastAsiaTheme="minorEastAsia" w:cstheme="minorHAnsi"/>
        </w:rPr>
      </w:pPr>
      <w:r w:rsidRPr="00203FD2">
        <w:rPr>
          <w:rFonts w:eastAsiaTheme="minorEastAsia" w:cstheme="minorHAnsi"/>
        </w:rPr>
        <w:t>an Export;</w:t>
      </w:r>
      <w:r w:rsidR="002A5F9A" w:rsidRPr="00203FD2">
        <w:rPr>
          <w:rFonts w:eastAsiaTheme="minorEastAsia" w:cstheme="minorHAnsi"/>
        </w:rPr>
        <w:t xml:space="preserve"> or</w:t>
      </w:r>
    </w:p>
    <w:p w14:paraId="194EEEFC" w14:textId="3573FC0F" w:rsidR="002A5F9A" w:rsidRPr="00203FD2" w:rsidRDefault="002A5F9A" w:rsidP="00FF4826">
      <w:pPr>
        <w:pStyle w:val="ListParagraph"/>
        <w:numPr>
          <w:ilvl w:val="1"/>
          <w:numId w:val="23"/>
        </w:numPr>
        <w:rPr>
          <w:rFonts w:eastAsiaTheme="minorEastAsia" w:cstheme="minorHAnsi"/>
        </w:rPr>
      </w:pPr>
      <w:r w:rsidRPr="00203FD2">
        <w:rPr>
          <w:rFonts w:eastAsiaTheme="minorEastAsia" w:cstheme="minorHAnsi"/>
        </w:rPr>
        <w:t xml:space="preserve">A </w:t>
      </w:r>
      <w:r w:rsidR="006A08E0" w:rsidRPr="00203FD2">
        <w:rPr>
          <w:rFonts w:eastAsiaTheme="minorEastAsia" w:cstheme="minorHAnsi"/>
        </w:rPr>
        <w:t>Generat</w:t>
      </w:r>
      <w:r w:rsidR="006A08E0">
        <w:rPr>
          <w:rFonts w:eastAsiaTheme="minorEastAsia" w:cstheme="minorHAnsi"/>
        </w:rPr>
        <w:t>ion Plant</w:t>
      </w:r>
      <w:r w:rsidR="006A08E0" w:rsidRPr="00203FD2">
        <w:rPr>
          <w:rFonts w:eastAsiaTheme="minorEastAsia" w:cstheme="minorHAnsi"/>
        </w:rPr>
        <w:t xml:space="preserve"> </w:t>
      </w:r>
      <w:r w:rsidRPr="00203FD2">
        <w:rPr>
          <w:rFonts w:eastAsiaTheme="minorEastAsia" w:cstheme="minorHAnsi"/>
        </w:rPr>
        <w:t>which is receiving Back-feed Energy.</w:t>
      </w:r>
    </w:p>
    <w:p w14:paraId="7A0C8A72" w14:textId="0C6DDD19" w:rsidR="008026ED" w:rsidRPr="00203FD2" w:rsidRDefault="00D90EBD" w:rsidP="008026ED">
      <w:pPr>
        <w:pStyle w:val="ListParagraph"/>
        <w:ind w:left="1996"/>
        <w:rPr>
          <w:rFonts w:eastAsiaTheme="minorEastAsia" w:cstheme="minorHAnsi"/>
        </w:rPr>
      </w:pPr>
      <w:r>
        <w:rPr>
          <w:rFonts w:eastAsiaTheme="minorEastAsia" w:cstheme="minorHAnsi"/>
        </w:rPr>
        <w:t>where</w:t>
      </w:r>
      <w:r w:rsidR="008026ED" w:rsidRPr="00203FD2">
        <w:rPr>
          <w:rFonts w:eastAsiaTheme="minorEastAsia" w:cstheme="minorHAnsi"/>
        </w:rPr>
        <w:t xml:space="preserve"> the </w:t>
      </w:r>
      <w:r w:rsidR="0046412E">
        <w:rPr>
          <w:rFonts w:eastAsiaTheme="minorEastAsia" w:cstheme="minorHAnsi"/>
        </w:rPr>
        <w:t>Energy</w:t>
      </w:r>
      <w:r w:rsidR="008026ED" w:rsidRPr="00203FD2">
        <w:rPr>
          <w:rFonts w:eastAsiaTheme="minorEastAsia" w:cstheme="minorHAnsi"/>
        </w:rPr>
        <w:t xml:space="preserve"> is </w:t>
      </w:r>
      <w:r>
        <w:rPr>
          <w:rFonts w:eastAsiaTheme="minorEastAsia" w:cstheme="minorHAnsi"/>
        </w:rPr>
        <w:t>withdrawn from the</w:t>
      </w:r>
      <w:r w:rsidR="008026ED" w:rsidRPr="00203FD2">
        <w:rPr>
          <w:rFonts w:eastAsiaTheme="minorEastAsia" w:cstheme="minorHAnsi"/>
        </w:rPr>
        <w:t xml:space="preserve"> Transmission Network (negative value according </w:t>
      </w:r>
      <w:r>
        <w:rPr>
          <w:rFonts w:eastAsiaTheme="minorEastAsia" w:cstheme="minorHAnsi"/>
        </w:rPr>
        <w:t>to</w:t>
      </w:r>
      <w:r w:rsidRPr="00203FD2">
        <w:rPr>
          <w:rFonts w:eastAsiaTheme="minorEastAsia" w:cstheme="minorHAnsi"/>
        </w:rPr>
        <w:t xml:space="preserve"> </w:t>
      </w:r>
      <w:r w:rsidR="008026ED" w:rsidRPr="00203FD2">
        <w:rPr>
          <w:rFonts w:eastAsiaTheme="minorEastAsia" w:cstheme="minorHAnsi"/>
        </w:rPr>
        <w:t xml:space="preserve">the sign convention </w:t>
      </w:r>
      <w:r>
        <w:rPr>
          <w:rFonts w:eastAsiaTheme="minorEastAsia" w:cstheme="minorHAnsi"/>
        </w:rPr>
        <w:t>provided in Clause</w:t>
      </w:r>
      <w:r w:rsidRPr="00203FD2">
        <w:rPr>
          <w:rFonts w:eastAsiaTheme="minorEastAsia" w:cstheme="minorHAnsi"/>
        </w:rPr>
        <w:t xml:space="preserve"> </w:t>
      </w:r>
      <w:r w:rsidR="008026ED" w:rsidRPr="00203FD2">
        <w:rPr>
          <w:rFonts w:eastAsiaTheme="minorEastAsia" w:cstheme="minorHAnsi"/>
        </w:rPr>
        <w:fldChar w:fldCharType="begin"/>
      </w:r>
      <w:r w:rsidR="008026ED" w:rsidRPr="00203FD2">
        <w:rPr>
          <w:rFonts w:eastAsiaTheme="minorEastAsia" w:cstheme="minorHAnsi"/>
        </w:rPr>
        <w:instrText xml:space="preserve"> REF _Ref59383007 \r \h </w:instrText>
      </w:r>
      <w:r w:rsidR="00203FD2">
        <w:rPr>
          <w:rFonts w:eastAsiaTheme="minorEastAsia" w:cstheme="minorHAnsi"/>
        </w:rPr>
        <w:instrText xml:space="preserve"> \* MERGEFORMAT </w:instrText>
      </w:r>
      <w:r w:rsidR="008026ED" w:rsidRPr="00203FD2">
        <w:rPr>
          <w:rFonts w:eastAsiaTheme="minorEastAsia" w:cstheme="minorHAnsi"/>
        </w:rPr>
      </w:r>
      <w:r w:rsidR="008026ED" w:rsidRPr="00203FD2">
        <w:rPr>
          <w:rFonts w:eastAsiaTheme="minorEastAsia" w:cstheme="minorHAnsi"/>
        </w:rPr>
        <w:fldChar w:fldCharType="separate"/>
      </w:r>
      <w:r w:rsidR="00251DBF">
        <w:rPr>
          <w:rFonts w:eastAsiaTheme="minorEastAsia" w:cstheme="minorHAnsi"/>
        </w:rPr>
        <w:t>6.3.1.4</w:t>
      </w:r>
      <w:r w:rsidR="008026ED" w:rsidRPr="00203FD2">
        <w:rPr>
          <w:rFonts w:eastAsiaTheme="minorEastAsia" w:cstheme="minorHAnsi"/>
        </w:rPr>
        <w:fldChar w:fldCharType="end"/>
      </w:r>
      <w:r>
        <w:rPr>
          <w:rFonts w:eastAsiaTheme="minorEastAsia" w:cstheme="minorHAnsi"/>
        </w:rPr>
        <w:t xml:space="preserve"> above</w:t>
      </w:r>
      <w:r w:rsidR="008026ED" w:rsidRPr="00203FD2">
        <w:rPr>
          <w:rFonts w:eastAsiaTheme="minorEastAsia" w:cstheme="minorHAnsi"/>
        </w:rPr>
        <w:t>)</w:t>
      </w:r>
      <w:r w:rsidR="002E7BAC" w:rsidRPr="00203FD2">
        <w:rPr>
          <w:rFonts w:eastAsiaTheme="minorEastAsia" w:cstheme="minorHAnsi"/>
        </w:rPr>
        <w:t xml:space="preserve">, during hour </w:t>
      </w:r>
      <w:r>
        <w:rPr>
          <w:rFonts w:eastAsiaTheme="minorEastAsia" w:cstheme="minorHAnsi"/>
        </w:rPr>
        <w:t>“</w:t>
      </w:r>
      <w:r w:rsidR="002E7BAC" w:rsidRPr="00203FD2">
        <w:rPr>
          <w:rFonts w:eastAsiaTheme="minorEastAsia" w:cstheme="minorHAnsi"/>
          <w:i/>
          <w:iCs/>
        </w:rPr>
        <w:t>h</w:t>
      </w:r>
      <w:r>
        <w:rPr>
          <w:rFonts w:eastAsiaTheme="minorEastAsia" w:cstheme="minorHAnsi"/>
          <w:i/>
          <w:iCs/>
        </w:rPr>
        <w:t>”</w:t>
      </w:r>
      <w:r w:rsidR="008026ED" w:rsidRPr="00203FD2">
        <w:rPr>
          <w:rFonts w:eastAsiaTheme="minorEastAsia" w:cstheme="minorHAnsi"/>
          <w:i/>
          <w:iCs/>
        </w:rPr>
        <w:t>.</w:t>
      </w:r>
    </w:p>
    <w:p w14:paraId="4581E761" w14:textId="5A767984" w:rsidR="002E7BAC" w:rsidRDefault="002E7BAC" w:rsidP="00FF4826">
      <w:pPr>
        <w:pStyle w:val="ListParagraph"/>
        <w:numPr>
          <w:ilvl w:val="0"/>
          <w:numId w:val="23"/>
        </w:numPr>
        <w:rPr>
          <w:rFonts w:asciiTheme="minorHAnsi" w:eastAsiaTheme="minorEastAsia" w:hAnsiTheme="minorHAnsi" w:cstheme="minorHAnsi"/>
        </w:rPr>
      </w:pPr>
      <w:r w:rsidRPr="00203FD2">
        <w:rPr>
          <w:rFonts w:ascii="Cambria Math" w:eastAsiaTheme="minorEastAsia" w:hAnsi="Cambria Math" w:cs="Cambria Math"/>
          <w:i/>
          <w:iCs/>
        </w:rPr>
        <w:t>∀</w:t>
      </w:r>
      <w:r w:rsidRPr="00203FD2">
        <w:rPr>
          <w:rFonts w:eastAsiaTheme="minorEastAsia" w:cstheme="minorHAnsi"/>
          <w:i/>
          <w:iCs/>
        </w:rPr>
        <w:t xml:space="preserve"> i </w:t>
      </w:r>
      <w:r w:rsidRPr="00203FD2">
        <w:rPr>
          <w:rFonts w:ascii="Cambria Math" w:eastAsiaTheme="minorEastAsia" w:hAnsi="Cambria Math" w:cs="Cambria Math"/>
          <w:i/>
          <w:iCs/>
        </w:rPr>
        <w:t>∈</w:t>
      </w:r>
      <w:r w:rsidRPr="00203FD2">
        <w:rPr>
          <w:rFonts w:eastAsiaTheme="minorEastAsia" w:cstheme="minorHAnsi"/>
          <w:i/>
          <w:iCs/>
        </w:rPr>
        <w:t xml:space="preserve"> MP</w:t>
      </w:r>
      <w:r w:rsidRPr="00203FD2">
        <w:rPr>
          <w:rFonts w:eastAsiaTheme="minorEastAsia" w:cstheme="minorHAnsi"/>
          <w:i/>
          <w:iCs/>
          <w:vertAlign w:val="subscript"/>
        </w:rPr>
        <w:t>G</w:t>
      </w:r>
      <w:r w:rsidRPr="00203FD2">
        <w:rPr>
          <w:rFonts w:ascii="Arial" w:eastAsiaTheme="minorEastAsia" w:hAnsi="Arial" w:cs="Arial"/>
          <w:i/>
          <w:iCs/>
          <w:vertAlign w:val="subscript"/>
        </w:rPr>
        <w:t>→</w:t>
      </w:r>
      <w:r w:rsidRPr="00203FD2">
        <w:rPr>
          <w:rFonts w:eastAsiaTheme="minorEastAsia" w:cstheme="minorHAnsi"/>
          <w:i/>
          <w:iCs/>
          <w:vertAlign w:val="subscript"/>
        </w:rPr>
        <w:t xml:space="preserve">D (+) </w:t>
      </w:r>
      <w:r w:rsidR="00E22A64" w:rsidRPr="00203FD2">
        <w:rPr>
          <w:rFonts w:eastAsiaTheme="minorEastAsia" w:cstheme="minorHAnsi"/>
        </w:rPr>
        <w:t xml:space="preserve">means all those </w:t>
      </w:r>
      <w:r w:rsidR="00D90EBD">
        <w:rPr>
          <w:rFonts w:eastAsiaTheme="minorEastAsia" w:cstheme="minorHAnsi"/>
        </w:rPr>
        <w:t xml:space="preserve">Metering Points located at the </w:t>
      </w:r>
      <w:r w:rsidRPr="00203FD2">
        <w:rPr>
          <w:rFonts w:eastAsiaTheme="minorEastAsia" w:cstheme="minorHAnsi"/>
        </w:rPr>
        <w:t xml:space="preserve">boundary between the Distribution Network and </w:t>
      </w:r>
      <w:r w:rsidR="006A08E0">
        <w:rPr>
          <w:rFonts w:eastAsiaTheme="minorEastAsia" w:cstheme="minorHAnsi"/>
        </w:rPr>
        <w:t>E</w:t>
      </w:r>
      <w:r w:rsidRPr="00203FD2">
        <w:rPr>
          <w:rFonts w:eastAsiaTheme="minorEastAsia" w:cstheme="minorHAnsi"/>
        </w:rPr>
        <w:t>mbedded Generat</w:t>
      </w:r>
      <w:r w:rsidR="006A08E0">
        <w:rPr>
          <w:rFonts w:eastAsiaTheme="minorEastAsia" w:cstheme="minorHAnsi"/>
        </w:rPr>
        <w:t>ion</w:t>
      </w:r>
      <w:r w:rsidRPr="00203FD2">
        <w:rPr>
          <w:rFonts w:eastAsiaTheme="minorEastAsia" w:cstheme="minorHAnsi"/>
        </w:rPr>
        <w:t xml:space="preserve"> </w:t>
      </w:r>
      <w:r w:rsidR="00B15F0C">
        <w:rPr>
          <w:rFonts w:eastAsiaTheme="minorEastAsia" w:cstheme="minorHAnsi"/>
        </w:rPr>
        <w:t>or I</w:t>
      </w:r>
      <w:r w:rsidR="00AD65AD">
        <w:rPr>
          <w:rFonts w:eastAsiaTheme="minorEastAsia" w:cstheme="minorHAnsi"/>
        </w:rPr>
        <w:t xml:space="preserve">mports </w:t>
      </w:r>
      <w:r w:rsidR="00D90EBD">
        <w:rPr>
          <w:rFonts w:eastAsiaTheme="minorEastAsia" w:cstheme="minorHAnsi"/>
        </w:rPr>
        <w:t xml:space="preserve">where Energy </w:t>
      </w:r>
      <w:r w:rsidR="00D90EBD" w:rsidRPr="00203FD2">
        <w:rPr>
          <w:rFonts w:eastAsiaTheme="minorEastAsia" w:cstheme="minorHAnsi"/>
        </w:rPr>
        <w:t xml:space="preserve"> </w:t>
      </w:r>
      <w:r w:rsidRPr="00203FD2">
        <w:rPr>
          <w:rFonts w:eastAsiaTheme="minorEastAsia" w:cstheme="minorHAnsi"/>
        </w:rPr>
        <w:t xml:space="preserve">is </w:t>
      </w:r>
      <w:r w:rsidR="00D90EBD">
        <w:rPr>
          <w:rFonts w:eastAsiaTheme="minorEastAsia" w:cstheme="minorHAnsi"/>
        </w:rPr>
        <w:t xml:space="preserve">injected into the Distribution Network </w:t>
      </w:r>
      <w:r w:rsidRPr="00203FD2">
        <w:rPr>
          <w:rFonts w:eastAsiaTheme="minorEastAsia" w:cstheme="minorHAnsi"/>
        </w:rPr>
        <w:t xml:space="preserve">during the hour </w:t>
      </w:r>
      <w:r w:rsidR="00D90EBD">
        <w:rPr>
          <w:rFonts w:eastAsiaTheme="minorEastAsia" w:cstheme="minorHAnsi"/>
        </w:rPr>
        <w:t>“</w:t>
      </w:r>
      <w:r w:rsidRPr="00203FD2">
        <w:rPr>
          <w:rFonts w:eastAsiaTheme="minorEastAsia" w:cstheme="minorHAnsi"/>
          <w:i/>
          <w:iCs/>
        </w:rPr>
        <w:t>h</w:t>
      </w:r>
      <w:r w:rsidR="00D90EBD">
        <w:rPr>
          <w:rFonts w:eastAsiaTheme="minorEastAsia" w:cstheme="minorHAnsi"/>
          <w:i/>
          <w:iCs/>
        </w:rPr>
        <w:t>”</w:t>
      </w:r>
      <w:r w:rsidRPr="002E7BAC">
        <w:rPr>
          <w:rFonts w:asciiTheme="minorHAnsi" w:eastAsiaTheme="minorEastAsia" w:hAnsiTheme="minorHAnsi" w:cstheme="minorHAnsi"/>
          <w:i/>
          <w:iCs/>
        </w:rPr>
        <w:t>.</w:t>
      </w:r>
      <w:r>
        <w:rPr>
          <w:rFonts w:asciiTheme="minorHAnsi" w:eastAsiaTheme="minorEastAsia" w:hAnsiTheme="minorHAnsi" w:cstheme="minorHAnsi"/>
        </w:rPr>
        <w:t xml:space="preserve"> </w:t>
      </w:r>
    </w:p>
    <w:p w14:paraId="160F0E2B" w14:textId="64127478" w:rsidR="00584EAF" w:rsidRDefault="00584EAF" w:rsidP="00584EAF">
      <w:pPr>
        <w:pStyle w:val="Heading4"/>
        <w:rPr>
          <w:rFonts w:eastAsiaTheme="minorEastAsia"/>
        </w:rPr>
      </w:pPr>
      <w:r>
        <w:rPr>
          <w:rFonts w:eastAsiaTheme="minorEastAsia"/>
        </w:rPr>
        <w:t xml:space="preserve">While applying the formula given in Clause </w:t>
      </w:r>
      <w:r>
        <w:rPr>
          <w:rFonts w:eastAsiaTheme="minorEastAsia"/>
        </w:rPr>
        <w:fldChar w:fldCharType="begin"/>
      </w:r>
      <w:r>
        <w:rPr>
          <w:rFonts w:eastAsiaTheme="minorEastAsia"/>
        </w:rPr>
        <w:instrText xml:space="preserve"> REF _Ref61214447 \n \h </w:instrText>
      </w:r>
      <w:r>
        <w:rPr>
          <w:rFonts w:eastAsiaTheme="minorEastAsia"/>
        </w:rPr>
      </w:r>
      <w:r>
        <w:rPr>
          <w:rFonts w:eastAsiaTheme="minorEastAsia"/>
        </w:rPr>
        <w:fldChar w:fldCharType="separate"/>
      </w:r>
      <w:r>
        <w:rPr>
          <w:rFonts w:eastAsiaTheme="minorEastAsia"/>
        </w:rPr>
        <w:t>6.3.2.3</w:t>
      </w:r>
      <w:r>
        <w:rPr>
          <w:rFonts w:eastAsiaTheme="minorEastAsia"/>
        </w:rPr>
        <w:fldChar w:fldCharType="end"/>
      </w:r>
      <w:r>
        <w:rPr>
          <w:rFonts w:eastAsiaTheme="minorEastAsia"/>
        </w:rPr>
        <w:t xml:space="preserve"> above, the net value shall be used in case the Energy injected and withdrawn is recorded separately by the Commercial Metering System.</w:t>
      </w:r>
    </w:p>
    <w:p w14:paraId="2D1A3102" w14:textId="00FA80F8" w:rsidR="002E7BAC" w:rsidRPr="00E22A64" w:rsidRDefault="002E7BAC" w:rsidP="00C173D0">
      <w:pPr>
        <w:pStyle w:val="Heading3"/>
      </w:pPr>
      <w:bookmarkStart w:id="242" w:name="_Ref59456824"/>
      <w:r>
        <w:t>Uplift</w:t>
      </w:r>
      <w:r w:rsidRPr="00E22A64">
        <w:t xml:space="preserve"> </w:t>
      </w:r>
      <w:bookmarkEnd w:id="242"/>
      <w:r w:rsidR="00584EAF">
        <w:t>coefficient</w:t>
      </w:r>
    </w:p>
    <w:p w14:paraId="1F5127AD" w14:textId="7E690E1C" w:rsidR="00C64EC0" w:rsidRPr="00C64EC0" w:rsidRDefault="00584EAF" w:rsidP="00584EAF">
      <w:pPr>
        <w:pStyle w:val="Heading4"/>
        <w:rPr>
          <w:rFonts w:asciiTheme="minorHAnsi" w:hAnsiTheme="minorHAnsi" w:cstheme="minorHAnsi"/>
        </w:rPr>
      </w:pPr>
      <w:r>
        <w:t>An</w:t>
      </w:r>
      <w:r w:rsidRPr="004324D3">
        <w:t xml:space="preserve"> Uplift Coefficient</w:t>
      </w:r>
      <w:r>
        <w:t xml:space="preserve"> shall</w:t>
      </w:r>
      <w:r w:rsidRPr="004324D3">
        <w:t xml:space="preserve"> be applied to the Energy supplied to Market Participants supplying the </w:t>
      </w:r>
      <w:r w:rsidR="00F54A87">
        <w:t xml:space="preserve">demand </w:t>
      </w:r>
      <w:r>
        <w:t xml:space="preserve">which </w:t>
      </w:r>
      <w:r w:rsidRPr="004324D3">
        <w:t>shall be calculated as</w:t>
      </w:r>
      <w:r w:rsidR="00C64EC0">
        <w:t>.</w:t>
      </w:r>
    </w:p>
    <w:p w14:paraId="638C887E" w14:textId="331100C1" w:rsidR="00C64EC0" w:rsidRPr="00203FD2" w:rsidRDefault="004D6075" w:rsidP="00A22D29">
      <w:pPr>
        <w:pStyle w:val="BodyText"/>
      </w:pPr>
      <m:oMathPara>
        <m:oMath>
          <m:sSub>
            <m:sSubPr>
              <m:ctrlPr>
                <w:rPr>
                  <w:rFonts w:ascii="Cambria Math" w:hAnsi="Cambria Math"/>
                </w:rPr>
              </m:ctrlPr>
            </m:sSubPr>
            <m:e>
              <m:r>
                <w:rPr>
                  <w:rFonts w:ascii="Cambria Math" w:hAnsi="Cambria Math"/>
                </w:rPr>
                <m:t>Uplift</m:t>
              </m:r>
            </m:e>
            <m:sub>
              <m:r>
                <w:rPr>
                  <w:rFonts w:ascii="Cambria Math" w:hAnsi="Cambria Math"/>
                </w:rPr>
                <m:t>TransLoss</m:t>
              </m:r>
              <m:r>
                <m:rPr>
                  <m:sty m:val="p"/>
                </m:rPr>
                <w:rPr>
                  <w:rFonts w:ascii="Cambria Math" w:hAnsi="Cambria Math"/>
                </w:rPr>
                <m:t>,</m:t>
              </m:r>
              <m:r>
                <w:rPr>
                  <w:rFonts w:ascii="Cambria Math" w:hAnsi="Cambria Math"/>
                </w:rPr>
                <m:t>h</m:t>
              </m:r>
            </m:sub>
          </m:sSub>
          <m:r>
            <m:rPr>
              <m:sty m:val="p"/>
            </m:rPr>
            <w:rPr>
              <w:rFonts w:ascii="Cambria Math" w:hAnsi="Cambria Math"/>
            </w:rPr>
            <m:t xml:space="preserve">= </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k</m:t>
                  </m:r>
                </m:sub>
                <m:sup/>
                <m:e>
                  <m:sSub>
                    <m:sSubPr>
                      <m:ctrlPr>
                        <w:rPr>
                          <w:rFonts w:ascii="Cambria Math" w:hAnsi="Cambria Math"/>
                        </w:rPr>
                      </m:ctrlPr>
                    </m:sSubPr>
                    <m:e>
                      <m:r>
                        <w:rPr>
                          <w:rFonts w:ascii="Cambria Math" w:hAnsi="Cambria Math"/>
                        </w:rPr>
                        <m:t>TransLoss</m:t>
                      </m:r>
                    </m:e>
                    <m:sub>
                      <m:r>
                        <w:rPr>
                          <w:rFonts w:ascii="Cambria Math" w:hAnsi="Cambria Math"/>
                        </w:rPr>
                        <m:t>k</m:t>
                      </m:r>
                      <m:r>
                        <m:rPr>
                          <m:sty m:val="p"/>
                        </m:rPr>
                        <w:rPr>
                          <w:rFonts w:ascii="Cambria Math" w:hAnsi="Cambria Math"/>
                        </w:rPr>
                        <m:t>,</m:t>
                      </m:r>
                      <m:r>
                        <w:rPr>
                          <w:rFonts w:ascii="Cambria Math" w:hAnsi="Cambria Math"/>
                        </w:rPr>
                        <m:t>h</m:t>
                      </m:r>
                    </m:sub>
                  </m:sSub>
                  <m:d>
                    <m:dPr>
                      <m:begChr m:val="["/>
                      <m:endChr m:val="]"/>
                      <m:ctrlPr>
                        <w:rPr>
                          <w:rFonts w:ascii="Cambria Math" w:hAnsi="Cambria Math"/>
                        </w:rPr>
                      </m:ctrlPr>
                    </m:dPr>
                    <m:e>
                      <m:r>
                        <w:rPr>
                          <w:rFonts w:ascii="Cambria Math" w:hAnsi="Cambria Math"/>
                        </w:rPr>
                        <m:t>MWh</m:t>
                      </m:r>
                    </m:e>
                  </m:d>
                </m:e>
              </m:nary>
            </m:num>
            <m:den>
              <m:sSub>
                <m:sSubPr>
                  <m:ctrlPr>
                    <w:rPr>
                      <w:rFonts w:ascii="Cambria Math" w:eastAsiaTheme="minorEastAsia" w:hAnsi="Cambria Math"/>
                    </w:rPr>
                  </m:ctrlPr>
                </m:sSubPr>
                <m:e>
                  <m:r>
                    <w:rPr>
                      <w:rFonts w:ascii="Cambria Math" w:hAnsi="Cambria Math"/>
                    </w:rPr>
                    <m:t>TotDem</m:t>
                  </m:r>
                </m:e>
                <m:sub>
                  <m:r>
                    <w:rPr>
                      <w:rFonts w:ascii="Cambria Math" w:eastAsiaTheme="minorEastAsia" w:hAnsi="Cambria Math"/>
                    </w:rPr>
                    <m:t>h</m:t>
                  </m:r>
                </m:sub>
              </m:sSub>
              <m:d>
                <m:dPr>
                  <m:begChr m:val="["/>
                  <m:endChr m:val="]"/>
                  <m:ctrlPr>
                    <w:rPr>
                      <w:rFonts w:ascii="Cambria Math" w:hAnsi="Cambria Math"/>
                    </w:rPr>
                  </m:ctrlPr>
                </m:dPr>
                <m:e>
                  <m:r>
                    <w:rPr>
                      <w:rFonts w:ascii="Cambria Math" w:hAnsi="Cambria Math"/>
                    </w:rPr>
                    <m:t>MWh</m:t>
                  </m:r>
                </m:e>
              </m:d>
            </m:den>
          </m:f>
        </m:oMath>
      </m:oMathPara>
    </w:p>
    <w:p w14:paraId="2E4A546D" w14:textId="77777777" w:rsidR="00127CCF" w:rsidRPr="00203FD2" w:rsidRDefault="00127CCF" w:rsidP="00127CCF">
      <w:pPr>
        <w:ind w:left="1276"/>
        <w:rPr>
          <w:rFonts w:eastAsiaTheme="minorEastAsia" w:cstheme="minorHAnsi"/>
        </w:rPr>
      </w:pPr>
      <w:r w:rsidRPr="00203FD2">
        <w:rPr>
          <w:rFonts w:eastAsiaTheme="minorEastAsia" w:cstheme="minorHAnsi"/>
        </w:rPr>
        <w:t xml:space="preserve">Where: </w:t>
      </w:r>
    </w:p>
    <w:p w14:paraId="472A8320" w14:textId="155AA0CC" w:rsidR="00576F78" w:rsidRPr="00203FD2" w:rsidRDefault="00584EAF" w:rsidP="00FF4826">
      <w:pPr>
        <w:pStyle w:val="ListParagraph"/>
        <w:numPr>
          <w:ilvl w:val="0"/>
          <w:numId w:val="23"/>
        </w:numPr>
        <w:rPr>
          <w:rFonts w:eastAsiaTheme="minorEastAsia" w:cstheme="minorHAnsi"/>
        </w:rPr>
      </w:pPr>
      <w:r w:rsidRPr="004324D3">
        <w:rPr>
          <w:rFonts w:ascii="Symbol" w:eastAsiaTheme="minorEastAsia" w:hAnsi="Symbol" w:cstheme="minorHAnsi"/>
          <w:i/>
          <w:iCs/>
        </w:rPr>
        <w:t>S</w:t>
      </w:r>
      <w:r w:rsidRPr="00203FD2">
        <w:rPr>
          <w:rFonts w:eastAsiaTheme="minorEastAsia" w:cstheme="minorHAnsi"/>
          <w:i/>
          <w:iCs/>
          <w:vertAlign w:val="subscript"/>
        </w:rPr>
        <w:t>k</w:t>
      </w:r>
      <w:r w:rsidRPr="00203FD2" w:rsidDel="00584EAF">
        <w:rPr>
          <w:rFonts w:eastAsiaTheme="minorEastAsia" w:cstheme="minorHAnsi"/>
          <w:i/>
          <w:iCs/>
        </w:rPr>
        <w:t xml:space="preserve"> </w:t>
      </w:r>
      <w:r w:rsidR="00127CCF" w:rsidRPr="00203FD2">
        <w:rPr>
          <w:rFonts w:eastAsiaTheme="minorEastAsia" w:cstheme="minorHAnsi"/>
        </w:rPr>
        <w:t xml:space="preserve"> means the addition over all </w:t>
      </w:r>
      <w:r w:rsidR="00520202">
        <w:rPr>
          <w:rFonts w:eastAsiaTheme="minorEastAsia" w:cstheme="minorHAnsi"/>
        </w:rPr>
        <w:t>Transmission</w:t>
      </w:r>
      <w:r w:rsidR="00127CCF" w:rsidRPr="00203FD2">
        <w:rPr>
          <w:rFonts w:eastAsiaTheme="minorEastAsia" w:cstheme="minorHAnsi"/>
        </w:rPr>
        <w:t xml:space="preserve"> </w:t>
      </w:r>
      <w:r w:rsidR="00520202">
        <w:rPr>
          <w:rFonts w:eastAsiaTheme="minorEastAsia" w:cstheme="minorHAnsi"/>
        </w:rPr>
        <w:t>License</w:t>
      </w:r>
      <w:r w:rsidR="00127CCF" w:rsidRPr="00203FD2">
        <w:rPr>
          <w:rFonts w:eastAsiaTheme="minorEastAsia" w:cstheme="minorHAnsi"/>
        </w:rPr>
        <w:t>es</w:t>
      </w:r>
    </w:p>
    <w:p w14:paraId="7495A905" w14:textId="44B279D3" w:rsidR="00127CCF" w:rsidRPr="00203FD2" w:rsidRDefault="00576F78" w:rsidP="00FF4826">
      <w:pPr>
        <w:pStyle w:val="ListParagraph"/>
        <w:numPr>
          <w:ilvl w:val="0"/>
          <w:numId w:val="23"/>
        </w:numPr>
        <w:rPr>
          <w:rFonts w:eastAsiaTheme="minorEastAsia" w:cstheme="minorHAnsi"/>
        </w:rPr>
      </w:pPr>
      <w:r w:rsidRPr="00203FD2">
        <w:rPr>
          <w:rFonts w:eastAsiaTheme="minorEastAsia" w:cstheme="minorHAnsi"/>
        </w:rPr>
        <w:t xml:space="preserve">All other terms </w:t>
      </w:r>
      <w:r w:rsidR="00584EAF">
        <w:rPr>
          <w:rFonts w:eastAsiaTheme="minorEastAsia" w:cstheme="minorHAnsi"/>
        </w:rPr>
        <w:t>have the same meaning as defined above</w:t>
      </w:r>
      <w:r w:rsidR="00584EAF" w:rsidRPr="00203FD2">
        <w:rPr>
          <w:rFonts w:eastAsiaTheme="minorEastAsia" w:cstheme="minorHAnsi"/>
        </w:rPr>
        <w:t xml:space="preserve"> </w:t>
      </w:r>
    </w:p>
    <w:p w14:paraId="3EC62A2D" w14:textId="401885F9" w:rsidR="00BB0B51" w:rsidRDefault="00BB0B51" w:rsidP="00BB0B51">
      <w:pPr>
        <w:pStyle w:val="Heading3"/>
      </w:pPr>
      <w:bookmarkStart w:id="243" w:name="_Ref59456858"/>
      <w:r>
        <w:t>Calculation of the Energy Supplied by Each Market Participant</w:t>
      </w:r>
    </w:p>
    <w:p w14:paraId="534CC9A0" w14:textId="4A4D4754" w:rsidR="00BB0B51" w:rsidRPr="00A72A5A" w:rsidRDefault="00BB0B51" w:rsidP="00BB0B51">
      <w:pPr>
        <w:pStyle w:val="Heading4"/>
      </w:pPr>
      <w:bookmarkStart w:id="244" w:name="_Ref70766155"/>
      <w:r>
        <w:t>The calculation</w:t>
      </w:r>
      <w:r w:rsidRPr="00A72A5A">
        <w:t xml:space="preserve"> of the Energy supplied </w:t>
      </w:r>
      <w:r>
        <w:t>by</w:t>
      </w:r>
      <w:r w:rsidRPr="00A72A5A">
        <w:t xml:space="preserve"> </w:t>
      </w:r>
      <w:r w:rsidR="00890845">
        <w:t>a</w:t>
      </w:r>
      <w:r w:rsidRPr="00A72A5A">
        <w:t xml:space="preserve"> Market Participant registered as </w:t>
      </w:r>
      <w:r w:rsidR="00BF564D">
        <w:t>Electric Power Supplier</w:t>
      </w:r>
      <w:r w:rsidRPr="00A72A5A">
        <w:t xml:space="preserve"> or </w:t>
      </w:r>
      <w:r>
        <w:t>withdrawn</w:t>
      </w:r>
      <w:r w:rsidRPr="00A72A5A">
        <w:t xml:space="preserve"> by a BPC which is a Market Participant</w:t>
      </w:r>
      <w:r>
        <w:t xml:space="preserve"> shall be done as following:</w:t>
      </w:r>
      <w:bookmarkEnd w:id="244"/>
      <w:r>
        <w:t xml:space="preserve"> </w:t>
      </w:r>
    </w:p>
    <w:p w14:paraId="43DFF1B1" w14:textId="3006FAE5" w:rsidR="00BB0B51" w:rsidRPr="00A72A5A" w:rsidRDefault="00BB0B51" w:rsidP="00BB0B51">
      <w:pPr>
        <w:pStyle w:val="Heading5"/>
      </w:pPr>
      <w:r>
        <w:t>For a</w:t>
      </w:r>
      <w:r w:rsidRPr="00A72A5A">
        <w:t xml:space="preserve"> BPC which is a Market Participant, the Energy </w:t>
      </w:r>
      <w:r w:rsidR="00F57822">
        <w:t xml:space="preserve">supplied </w:t>
      </w:r>
      <w:r>
        <w:t>values</w:t>
      </w:r>
      <w:r w:rsidR="00890845">
        <w:t xml:space="preserve"> (to be used for calculation of the Imbalance) shall be </w:t>
      </w:r>
      <w:r w:rsidR="00DA198C">
        <w:t>adjusted/</w:t>
      </w:r>
      <w:r w:rsidR="00890845">
        <w:t xml:space="preserve">calculated as </w:t>
      </w:r>
      <w:r w:rsidR="00DA198C">
        <w:t>follows,</w:t>
      </w:r>
      <w:r w:rsidR="00890845">
        <w:t xml:space="preserve"> </w:t>
      </w:r>
      <w:r w:rsidR="00DA198C">
        <w:t xml:space="preserve">in order </w:t>
      </w:r>
      <w:r w:rsidR="00890845">
        <w:t>to take into account the losses in the Transmission Network</w:t>
      </w:r>
      <w:r>
        <w:t>,:</w:t>
      </w:r>
    </w:p>
    <w:p w14:paraId="0147E2BB" w14:textId="77777777" w:rsidR="00BB0B51" w:rsidRPr="00A72A5A" w:rsidRDefault="004D6075" w:rsidP="00BB0B51">
      <w:pPr>
        <w:ind w:left="1276"/>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ES</m:t>
              </m:r>
            </m:e>
            <m:sub>
              <m:r>
                <w:rPr>
                  <w:rFonts w:ascii="Cambria Math" w:hAnsi="Cambria Math"/>
                </w:rPr>
                <m:t>i,h</m:t>
              </m:r>
            </m:sub>
          </m:sSub>
          <m:d>
            <m:dPr>
              <m:begChr m:val="["/>
              <m:endChr m:val="]"/>
              <m:ctrlPr>
                <w:rPr>
                  <w:rFonts w:ascii="Cambria Math" w:hAnsi="Cambria Math"/>
                  <w:i/>
                </w:rPr>
              </m:ctrlPr>
            </m:dPr>
            <m:e>
              <m:r>
                <w:rPr>
                  <w:rFonts w:ascii="Cambria Math" w:hAnsi="Cambria Math"/>
                </w:rPr>
                <m:t>MWh</m:t>
              </m:r>
            </m:e>
          </m:d>
          <m:r>
            <w:rPr>
              <w:rFonts w:ascii="Cambria Math" w:hAnsi="Cambria Math"/>
            </w:rPr>
            <m:t>=</m:t>
          </m:r>
          <m:sSub>
            <m:sSubPr>
              <m:ctrlPr>
                <w:rPr>
                  <w:rFonts w:ascii="Cambria Math" w:hAnsi="Cambria Math"/>
                  <w:i/>
                </w:rPr>
              </m:ctrlPr>
            </m:sSubPr>
            <m:e>
              <m:r>
                <w:rPr>
                  <w:rFonts w:ascii="Cambria Math" w:hAnsi="Cambria Math"/>
                </w:rPr>
                <m:t>Act_E</m:t>
              </m:r>
            </m:e>
            <m:sub>
              <m:r>
                <w:rPr>
                  <w:rFonts w:ascii="Cambria Math" w:hAnsi="Cambria Math"/>
                </w:rPr>
                <m:t>i,h</m:t>
              </m:r>
            </m:sub>
          </m:sSub>
          <m:r>
            <w:rPr>
              <w:rFonts w:ascii="Cambria Math" w:eastAsiaTheme="minorEastAsia" w:hAnsi="Cambria Math"/>
            </w:rPr>
            <m:t>*</m:t>
          </m:r>
          <m:d>
            <m:dPr>
              <m:ctrlPr>
                <w:rPr>
                  <w:rFonts w:ascii="Cambria Math" w:eastAsiaTheme="minorEastAsia" w:hAnsi="Cambria Math"/>
                  <w:i/>
                </w:rPr>
              </m:ctrlPr>
            </m:dPr>
            <m:e>
              <m:r>
                <m:rPr>
                  <m:sty m:val="p"/>
                </m:rPr>
                <w:rPr>
                  <w:rFonts w:ascii="Cambria Math" w:hAnsi="Cambria Math"/>
                  <w:lang w:val="en-US"/>
                </w:rPr>
                <m:t>1+</m:t>
              </m:r>
              <m:sSub>
                <m:sSubPr>
                  <m:ctrlPr>
                    <w:rPr>
                      <w:rFonts w:ascii="Cambria Math" w:hAnsi="Cambria Math"/>
                    </w:rPr>
                  </m:ctrlPr>
                </m:sSubPr>
                <m:e>
                  <m:r>
                    <w:rPr>
                      <w:rFonts w:ascii="Cambria Math" w:hAnsi="Cambria Math"/>
                    </w:rPr>
                    <m:t>Uplift</m:t>
                  </m:r>
                </m:e>
                <m:sub>
                  <m:r>
                    <w:rPr>
                      <w:rFonts w:ascii="Cambria Math" w:hAnsi="Cambria Math"/>
                    </w:rPr>
                    <m:t>TrasnLoss</m:t>
                  </m:r>
                  <m:r>
                    <m:rPr>
                      <m:sty m:val="p"/>
                    </m:rPr>
                    <w:rPr>
                      <w:rFonts w:ascii="Cambria Math" w:hAnsi="Cambria Math"/>
                      <w:lang w:val="en-US"/>
                    </w:rPr>
                    <m:t>,</m:t>
                  </m:r>
                  <m:r>
                    <w:rPr>
                      <w:rFonts w:ascii="Cambria Math" w:hAnsi="Cambria Math"/>
                      <w:lang w:val="en-US"/>
                    </w:rPr>
                    <m:t>h</m:t>
                  </m:r>
                </m:sub>
              </m:sSub>
            </m:e>
          </m:d>
        </m:oMath>
      </m:oMathPara>
    </w:p>
    <w:p w14:paraId="3DD1C1BA" w14:textId="77777777" w:rsidR="00BB0B51" w:rsidRPr="00A72A5A" w:rsidRDefault="00BB0B51" w:rsidP="00BB0B51">
      <w:pPr>
        <w:jc w:val="center"/>
      </w:pPr>
    </w:p>
    <w:p w14:paraId="3301D357" w14:textId="77777777" w:rsidR="00BB0B51" w:rsidRPr="00A72A5A" w:rsidRDefault="00BB0B51" w:rsidP="00BB0B51">
      <w:pPr>
        <w:pStyle w:val="BodyText"/>
        <w:ind w:left="2835" w:hanging="992"/>
      </w:pPr>
      <w:r w:rsidRPr="00A72A5A">
        <w:t xml:space="preserve">Where: </w:t>
      </w:r>
    </w:p>
    <w:p w14:paraId="68157C95" w14:textId="342CD079" w:rsidR="00BB0B51" w:rsidRPr="00A72A5A" w:rsidRDefault="004D6075" w:rsidP="00BB0B51">
      <w:pPr>
        <w:pStyle w:val="BodyText"/>
        <w:numPr>
          <w:ilvl w:val="0"/>
          <w:numId w:val="47"/>
        </w:numPr>
        <w:ind w:left="2410"/>
      </w:pPr>
      <m:oMath>
        <m:sSub>
          <m:sSubPr>
            <m:ctrlPr>
              <w:rPr>
                <w:rFonts w:ascii="Cambria Math" w:hAnsi="Cambria Math"/>
                <w:i/>
              </w:rPr>
            </m:ctrlPr>
          </m:sSubPr>
          <m:e>
            <m:r>
              <w:rPr>
                <w:rFonts w:ascii="Cambria Math" w:hAnsi="Cambria Math"/>
              </w:rPr>
              <m:t>ES</m:t>
            </m:r>
          </m:e>
          <m:sub>
            <m:r>
              <w:rPr>
                <w:rFonts w:ascii="Cambria Math" w:hAnsi="Cambria Math"/>
              </w:rPr>
              <m:t>i,h</m:t>
            </m:r>
          </m:sub>
        </m:sSub>
      </m:oMath>
      <w:r w:rsidR="00BB0B51" w:rsidRPr="00A72A5A">
        <w:rPr>
          <w:i/>
          <w:iCs/>
        </w:rPr>
        <w:t xml:space="preserve"> is</w:t>
      </w:r>
      <w:r w:rsidR="00BB0B51" w:rsidRPr="00A72A5A">
        <w:t xml:space="preserve"> the total Energy supplied to </w:t>
      </w:r>
      <w:r w:rsidR="00BB0B51">
        <w:t xml:space="preserve">a </w:t>
      </w:r>
      <w:r w:rsidR="00BB0B51" w:rsidRPr="00A72A5A">
        <w:t xml:space="preserve">BPC </w:t>
      </w:r>
      <w:r w:rsidR="00BB0B51" w:rsidRPr="00A72A5A">
        <w:rPr>
          <w:i/>
          <w:iCs/>
        </w:rPr>
        <w:t>“i”,</w:t>
      </w:r>
      <w:r w:rsidR="00BB0B51" w:rsidRPr="00A72A5A">
        <w:t xml:space="preserve"> </w:t>
      </w:r>
      <w:r w:rsidR="00BB0B51">
        <w:t xml:space="preserve"> in hour </w:t>
      </w:r>
      <w:r w:rsidR="00BB0B51" w:rsidRPr="00F10A3F">
        <w:rPr>
          <w:i/>
          <w:iCs/>
        </w:rPr>
        <w:t>“h”</w:t>
      </w:r>
      <w:r w:rsidR="00BB0B51">
        <w:t>, which will be used for calculation of the Imbalance;</w:t>
      </w:r>
    </w:p>
    <w:p w14:paraId="1B594104" w14:textId="23E26227" w:rsidR="00BB0B51" w:rsidRPr="00A72A5A" w:rsidRDefault="00BB0B51" w:rsidP="00BB0B51">
      <w:pPr>
        <w:pStyle w:val="BodyText"/>
        <w:numPr>
          <w:ilvl w:val="0"/>
          <w:numId w:val="47"/>
        </w:numPr>
        <w:ind w:left="2410"/>
        <w:rPr>
          <w:iCs/>
        </w:rPr>
      </w:pPr>
      <m:oMath>
        <m:r>
          <w:rPr>
            <w:rFonts w:ascii="Cambria Math" w:hAnsi="Cambria Math"/>
          </w:rPr>
          <w:lastRenderedPageBreak/>
          <m:t>Act_</m:t>
        </m:r>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i,h</m:t>
            </m:r>
          </m:sub>
        </m:sSub>
      </m:oMath>
      <w:r w:rsidRPr="00A72A5A">
        <w:rPr>
          <w:rFonts w:ascii="Cambria Math" w:hAnsi="Cambria Math"/>
          <w:i/>
        </w:rPr>
        <w:tab/>
      </w:r>
      <w:r w:rsidRPr="00A72A5A">
        <w:rPr>
          <w:iCs/>
        </w:rPr>
        <w:t xml:space="preserve">is the Energy, </w:t>
      </w:r>
      <w:r>
        <w:rPr>
          <w:iCs/>
        </w:rPr>
        <w:t>withdrawn</w:t>
      </w:r>
      <w:r w:rsidRPr="00A72A5A">
        <w:rPr>
          <w:iCs/>
        </w:rPr>
        <w:t xml:space="preserve"> by </w:t>
      </w:r>
      <w:r>
        <w:rPr>
          <w:iCs/>
        </w:rPr>
        <w:t xml:space="preserve">a </w:t>
      </w:r>
      <w:r w:rsidRPr="00A72A5A">
        <w:rPr>
          <w:iCs/>
        </w:rPr>
        <w:t xml:space="preserve">BPC </w:t>
      </w:r>
      <w:r w:rsidRPr="00A72A5A">
        <w:rPr>
          <w:i/>
        </w:rPr>
        <w:t xml:space="preserve">“i”, </w:t>
      </w:r>
      <w:r w:rsidRPr="00A72A5A">
        <w:rPr>
          <w:iCs/>
        </w:rPr>
        <w:t xml:space="preserve">in hour </w:t>
      </w:r>
      <w:r w:rsidRPr="00A72A5A">
        <w:rPr>
          <w:i/>
        </w:rPr>
        <w:t>“h”</w:t>
      </w:r>
      <w:r w:rsidRPr="00A72A5A">
        <w:rPr>
          <w:iCs/>
        </w:rPr>
        <w:t>, calculated pursuant</w:t>
      </w:r>
      <w:r>
        <w:rPr>
          <w:iCs/>
        </w:rPr>
        <w:t xml:space="preserve"> to</w:t>
      </w:r>
      <w:r w:rsidRPr="001A7D29">
        <w:t xml:space="preserve"> Clause</w:t>
      </w:r>
      <w:r>
        <w:t xml:space="preserve"> </w:t>
      </w:r>
      <w:r>
        <w:fldChar w:fldCharType="begin"/>
      </w:r>
      <w:r>
        <w:instrText xml:space="preserve"> REF _Ref68108993 \r \h </w:instrText>
      </w:r>
      <w:r>
        <w:fldChar w:fldCharType="separate"/>
      </w:r>
      <w:r>
        <w:t>6.2.1.3</w:t>
      </w:r>
      <w:r>
        <w:fldChar w:fldCharType="end"/>
      </w:r>
      <w:r w:rsidRPr="00A72A5A">
        <w:rPr>
          <w:iCs/>
        </w:rPr>
        <w:t>.</w:t>
      </w:r>
    </w:p>
    <w:p w14:paraId="4A1FE49C" w14:textId="6A162261" w:rsidR="00BB0B51" w:rsidRPr="00A72A5A" w:rsidRDefault="004D6075" w:rsidP="00BB0B51">
      <w:pPr>
        <w:pStyle w:val="BodyText"/>
        <w:numPr>
          <w:ilvl w:val="0"/>
          <w:numId w:val="47"/>
        </w:numPr>
        <w:ind w:left="2410"/>
      </w:pPr>
      <m:oMath>
        <m:sSub>
          <m:sSubPr>
            <m:ctrlPr>
              <w:rPr>
                <w:rFonts w:ascii="Cambria Math" w:hAnsi="Cambria Math"/>
              </w:rPr>
            </m:ctrlPr>
          </m:sSubPr>
          <m:e>
            <m:r>
              <w:rPr>
                <w:rFonts w:ascii="Cambria Math" w:hAnsi="Cambria Math"/>
              </w:rPr>
              <m:t>Uplift</m:t>
            </m:r>
          </m:e>
          <m:sub>
            <m:r>
              <w:rPr>
                <w:rFonts w:ascii="Cambria Math" w:hAnsi="Cambria Math"/>
              </w:rPr>
              <m:t>TrasnLoss</m:t>
            </m:r>
            <m:r>
              <m:rPr>
                <m:sty m:val="p"/>
              </m:rPr>
              <w:rPr>
                <w:rFonts w:ascii="Cambria Math" w:hAnsi="Cambria Math"/>
                <w:lang w:val="en-US"/>
              </w:rPr>
              <m:t>,</m:t>
            </m:r>
            <m:r>
              <w:rPr>
                <w:rFonts w:ascii="Cambria Math" w:hAnsi="Cambria Math"/>
                <w:lang w:val="en-US"/>
              </w:rPr>
              <m:t>h</m:t>
            </m:r>
          </m:sub>
        </m:sSub>
      </m:oMath>
      <w:r w:rsidR="00BB0B51" w:rsidRPr="00A72A5A">
        <w:rPr>
          <w:i/>
          <w:iCs/>
        </w:rPr>
        <w:tab/>
      </w:r>
      <w:r w:rsidR="00BB0B51" w:rsidRPr="00A72A5A">
        <w:t xml:space="preserve">is the </w:t>
      </w:r>
      <w:r w:rsidR="00BB0B51">
        <w:t xml:space="preserve">Uplift Coefficient for hour “h”, calculated as </w:t>
      </w:r>
      <w:r w:rsidR="00F57822">
        <w:t>pursuant to</w:t>
      </w:r>
      <w:r w:rsidR="00BB0B51">
        <w:t xml:space="preserve"> Clause </w:t>
      </w:r>
      <w:r w:rsidR="00BB0B51">
        <w:fldChar w:fldCharType="begin"/>
      </w:r>
      <w:r w:rsidR="00BB0B51">
        <w:instrText xml:space="preserve"> REF _Ref70630951 \r \h </w:instrText>
      </w:r>
      <w:r w:rsidR="00BB0B51">
        <w:fldChar w:fldCharType="separate"/>
      </w:r>
      <w:r w:rsidR="00BB0B51">
        <w:t>6.3.3.1</w:t>
      </w:r>
      <w:r w:rsidR="00BB0B51">
        <w:fldChar w:fldCharType="end"/>
      </w:r>
      <w:r w:rsidR="00BB0B51">
        <w:t>.</w:t>
      </w:r>
    </w:p>
    <w:p w14:paraId="44920A51" w14:textId="4FA5EDC7" w:rsidR="00BB0B51" w:rsidRPr="00A72A5A" w:rsidRDefault="00F57822" w:rsidP="00BB0B51">
      <w:pPr>
        <w:pStyle w:val="Heading5"/>
      </w:pPr>
      <w:r>
        <w:t>For a</w:t>
      </w:r>
      <w:r w:rsidR="00BB0B51" w:rsidRPr="00A72A5A">
        <w:t xml:space="preserve"> Competitive </w:t>
      </w:r>
      <w:r w:rsidR="00BF564D">
        <w:t>Electric Power Supplier</w:t>
      </w:r>
      <w:r w:rsidR="00BB0B51" w:rsidRPr="00A72A5A">
        <w:t xml:space="preserve">, the Energy </w:t>
      </w:r>
      <w:r>
        <w:t>supplied values</w:t>
      </w:r>
      <w:r w:rsidR="00DA198C">
        <w:t xml:space="preserve"> (to </w:t>
      </w:r>
      <w:r w:rsidR="00BB0B51">
        <w:t xml:space="preserve">be used for </w:t>
      </w:r>
      <w:r>
        <w:t>calculation of the Imbalance</w:t>
      </w:r>
      <w:r w:rsidR="00DA198C">
        <w:t>)</w:t>
      </w:r>
      <w:r>
        <w:t xml:space="preserve"> </w:t>
      </w:r>
      <w:r w:rsidR="00BB0B51" w:rsidRPr="00A72A5A">
        <w:t>shall be</w:t>
      </w:r>
      <w:r>
        <w:t xml:space="preserve"> calculated</w:t>
      </w:r>
      <w:r w:rsidR="00BB0B51" w:rsidRPr="00A72A5A">
        <w:t xml:space="preserve"> </w:t>
      </w:r>
      <w:r>
        <w:t xml:space="preserve">as </w:t>
      </w:r>
      <w:r w:rsidR="00BB0B51" w:rsidRPr="00A72A5A">
        <w:t xml:space="preserve">the addition of the Energy </w:t>
      </w:r>
      <w:r>
        <w:t>withdr</w:t>
      </w:r>
      <w:r w:rsidR="00806B80">
        <w:t>a</w:t>
      </w:r>
      <w:r>
        <w:t>wn</w:t>
      </w:r>
      <w:r w:rsidR="00BB0B51" w:rsidRPr="00A72A5A">
        <w:t xml:space="preserve"> at the corresponding Metering Point</w:t>
      </w:r>
      <w:r w:rsidR="00BB0B51">
        <w:t xml:space="preserve"> of each BPC served by the Competitive </w:t>
      </w:r>
      <w:r w:rsidR="00BF564D">
        <w:t>Electric Power Supplier</w:t>
      </w:r>
      <w:r w:rsidR="00BB0B51">
        <w:t xml:space="preserve"> through a</w:t>
      </w:r>
      <w:r w:rsidR="00806B80">
        <w:t xml:space="preserve"> Standardized</w:t>
      </w:r>
      <w:r w:rsidR="00BB0B51">
        <w:t xml:space="preserve"> Load Following </w:t>
      </w:r>
      <w:r w:rsidR="00806B80">
        <w:t xml:space="preserve">Supply </w:t>
      </w:r>
      <w:r w:rsidR="00BB0B51">
        <w:t>Contract</w:t>
      </w:r>
      <w:r w:rsidR="00DA198C">
        <w:t xml:space="preserve"> adjusted/</w:t>
      </w:r>
      <w:r w:rsidR="00806B80">
        <w:t xml:space="preserve">calculated as </w:t>
      </w:r>
      <w:r w:rsidR="00DA198C">
        <w:t>follows in order</w:t>
      </w:r>
      <w:r w:rsidR="00BB0B51">
        <w:t xml:space="preserve"> to take into account the losses in the Transmission Network</w:t>
      </w:r>
      <w:r w:rsidR="00BB0B51" w:rsidRPr="00A72A5A">
        <w:t>:</w:t>
      </w:r>
    </w:p>
    <w:p w14:paraId="31A29081" w14:textId="77777777" w:rsidR="00BB0B51" w:rsidRPr="00A72A5A" w:rsidRDefault="004D6075" w:rsidP="00BB0B51">
      <w:pPr>
        <w:jc w:val="center"/>
        <w:rPr>
          <w:rFonts w:eastAsia="Times New Roman" w:cs="Times New Roman"/>
        </w:rPr>
      </w:pPr>
      <m:oMathPara>
        <m:oMath>
          <m:sSub>
            <m:sSubPr>
              <m:ctrlPr>
                <w:rPr>
                  <w:rFonts w:ascii="Cambria Math" w:hAnsi="Cambria Math"/>
                  <w:i/>
                </w:rPr>
              </m:ctrlPr>
            </m:sSubPr>
            <m:e>
              <m:r>
                <w:rPr>
                  <w:rFonts w:ascii="Cambria Math" w:hAnsi="Cambria Math"/>
                </w:rPr>
                <m:t>ES</m:t>
              </m:r>
            </m:e>
            <m:sub>
              <m:r>
                <w:rPr>
                  <w:rFonts w:ascii="Cambria Math" w:hAnsi="Cambria Math"/>
                </w:rPr>
                <m:t>j,h</m:t>
              </m:r>
            </m:sub>
          </m:sSub>
          <m:d>
            <m:dPr>
              <m:begChr m:val="["/>
              <m:endChr m:val="]"/>
              <m:ctrlPr>
                <w:rPr>
                  <w:rFonts w:ascii="Cambria Math" w:hAnsi="Cambria Math"/>
                  <w:i/>
                </w:rPr>
              </m:ctrlPr>
            </m:dPr>
            <m:e>
              <m:r>
                <w:rPr>
                  <w:rFonts w:ascii="Cambria Math" w:hAnsi="Cambria Math"/>
                </w:rPr>
                <m:t>MWh</m:t>
              </m:r>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BPC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CS</m:t>
                      </m:r>
                    </m:e>
                    <m:sub>
                      <m:r>
                        <w:rPr>
                          <w:rFonts w:ascii="Cambria Math" w:hAnsi="Cambria Math"/>
                        </w:rPr>
                        <m:t>j</m:t>
                      </m:r>
                    </m:sub>
                  </m:sSub>
                </m:sub>
                <m:sup/>
                <m:e>
                  <m:r>
                    <w:rPr>
                      <w:rFonts w:ascii="Cambria Math" w:hAnsi="Cambria Math"/>
                    </w:rPr>
                    <m:t>Act_</m:t>
                  </m:r>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i,h</m:t>
                      </m:r>
                    </m:sub>
                  </m:sSub>
                </m:e>
              </m:nary>
            </m:e>
          </m:d>
          <m:r>
            <w:rPr>
              <w:rFonts w:ascii="Cambria Math" w:hAnsi="Cambria Math"/>
            </w:rPr>
            <m:t xml:space="preserve">*  </m:t>
          </m:r>
          <m:d>
            <m:dPr>
              <m:ctrlPr>
                <w:rPr>
                  <w:rFonts w:ascii="Cambria Math" w:eastAsiaTheme="minorEastAsia" w:hAnsi="Cambria Math"/>
                  <w:i/>
                </w:rPr>
              </m:ctrlPr>
            </m:dPr>
            <m:e>
              <m:r>
                <m:rPr>
                  <m:sty m:val="p"/>
                </m:rPr>
                <w:rPr>
                  <w:rFonts w:ascii="Cambria Math" w:hAnsi="Cambria Math"/>
                  <w:lang w:val="en-US"/>
                </w:rPr>
                <m:t>1+</m:t>
              </m:r>
              <m:sSub>
                <m:sSubPr>
                  <m:ctrlPr>
                    <w:rPr>
                      <w:rFonts w:ascii="Cambria Math" w:hAnsi="Cambria Math"/>
                    </w:rPr>
                  </m:ctrlPr>
                </m:sSubPr>
                <m:e>
                  <m:r>
                    <w:rPr>
                      <w:rFonts w:ascii="Cambria Math" w:hAnsi="Cambria Math"/>
                    </w:rPr>
                    <m:t>Uplift</m:t>
                  </m:r>
                </m:e>
                <m:sub>
                  <m:r>
                    <w:rPr>
                      <w:rFonts w:ascii="Cambria Math" w:hAnsi="Cambria Math"/>
                    </w:rPr>
                    <m:t>TrasnLoss</m:t>
                  </m:r>
                  <m:r>
                    <m:rPr>
                      <m:sty m:val="p"/>
                    </m:rPr>
                    <w:rPr>
                      <w:rFonts w:ascii="Cambria Math" w:hAnsi="Cambria Math"/>
                      <w:lang w:val="en-US"/>
                    </w:rPr>
                    <m:t>,</m:t>
                  </m:r>
                  <m:r>
                    <w:rPr>
                      <w:rFonts w:ascii="Cambria Math" w:hAnsi="Cambria Math"/>
                      <w:lang w:val="en-US"/>
                    </w:rPr>
                    <m:t>h</m:t>
                  </m:r>
                </m:sub>
              </m:sSub>
            </m:e>
          </m:d>
        </m:oMath>
      </m:oMathPara>
    </w:p>
    <w:p w14:paraId="448E7EDA" w14:textId="77777777" w:rsidR="00BB0B51" w:rsidRPr="00A72A5A" w:rsidRDefault="00BB0B51" w:rsidP="00BB0B51">
      <w:pPr>
        <w:pStyle w:val="BodyText"/>
        <w:ind w:left="3544" w:hanging="992"/>
      </w:pPr>
      <w:r w:rsidRPr="00A72A5A">
        <w:t xml:space="preserve">Where: </w:t>
      </w:r>
    </w:p>
    <w:p w14:paraId="29A550CE" w14:textId="2CBEEAFD" w:rsidR="00BB0B51" w:rsidRPr="00A72A5A" w:rsidRDefault="004D6075" w:rsidP="00BB0B51">
      <w:pPr>
        <w:pStyle w:val="BodyText"/>
        <w:ind w:left="3544" w:hanging="992"/>
      </w:pPr>
      <m:oMath>
        <m:sSub>
          <m:sSubPr>
            <m:ctrlPr>
              <w:rPr>
                <w:rFonts w:ascii="Cambria Math" w:hAnsi="Cambria Math"/>
                <w:i/>
              </w:rPr>
            </m:ctrlPr>
          </m:sSubPr>
          <m:e>
            <m:r>
              <w:rPr>
                <w:rFonts w:ascii="Cambria Math" w:hAnsi="Cambria Math"/>
              </w:rPr>
              <m:t>ES</m:t>
            </m:r>
          </m:e>
          <m:sub>
            <m:r>
              <w:rPr>
                <w:rFonts w:ascii="Cambria Math" w:hAnsi="Cambria Math"/>
              </w:rPr>
              <m:t>j,h</m:t>
            </m:r>
          </m:sub>
        </m:sSub>
      </m:oMath>
      <w:r w:rsidR="00BB0B51" w:rsidRPr="00A72A5A">
        <w:rPr>
          <w:i/>
          <w:iCs/>
        </w:rPr>
        <w:t xml:space="preserve"> is</w:t>
      </w:r>
      <w:r w:rsidR="00BB0B51" w:rsidRPr="00A72A5A">
        <w:t xml:space="preserve"> the total Energy supplied by the Competitive </w:t>
      </w:r>
      <w:r w:rsidR="00BF564D">
        <w:t>Electric Power Supplier</w:t>
      </w:r>
      <w:r w:rsidR="00BB0B51" w:rsidRPr="00A72A5A">
        <w:t xml:space="preserve"> </w:t>
      </w:r>
      <w:r w:rsidR="00BB0B51" w:rsidRPr="00A72A5A">
        <w:rPr>
          <w:i/>
          <w:iCs/>
        </w:rPr>
        <w:t>“j”</w:t>
      </w:r>
      <w:r w:rsidR="00BB0B51" w:rsidRPr="00A72A5A">
        <w:t xml:space="preserve"> to its customers</w:t>
      </w:r>
      <w:r w:rsidR="00BB0B51">
        <w:t xml:space="preserve"> in hour </w:t>
      </w:r>
      <w:r w:rsidR="00BB0B51" w:rsidRPr="00B85277">
        <w:rPr>
          <w:i/>
          <w:iCs/>
        </w:rPr>
        <w:t>“h”</w:t>
      </w:r>
      <w:r w:rsidR="00BB0B51" w:rsidRPr="00A72A5A">
        <w:t>,</w:t>
      </w:r>
      <w:r w:rsidR="00806B80" w:rsidRPr="00806B80">
        <w:t xml:space="preserve"> </w:t>
      </w:r>
      <w:r w:rsidR="00806B80">
        <w:t>in MWh</w:t>
      </w:r>
      <w:r w:rsidR="00BB0B51" w:rsidRPr="00A72A5A">
        <w:t xml:space="preserve"> </w:t>
      </w:r>
      <w:r w:rsidR="00BB0B51">
        <w:t xml:space="preserve">which will be used for </w:t>
      </w:r>
      <w:r w:rsidR="00806B80">
        <w:t>calculation of Imbalances</w:t>
      </w:r>
      <w:r w:rsidR="00BB0B51">
        <w:t xml:space="preserve">; </w:t>
      </w:r>
    </w:p>
    <w:p w14:paraId="4619BFFC" w14:textId="2E4B7E69" w:rsidR="00BB0B51" w:rsidRPr="00A72A5A" w:rsidRDefault="00BB0B51" w:rsidP="00BB0B51">
      <w:pPr>
        <w:pStyle w:val="BodyText"/>
        <w:ind w:left="3544" w:hanging="992"/>
        <w:rPr>
          <w:iCs/>
        </w:rPr>
      </w:pPr>
      <m:oMath>
        <m:r>
          <w:rPr>
            <w:rFonts w:ascii="Cambria Math" w:hAnsi="Cambria Math"/>
          </w:rPr>
          <m:t>Act_</m:t>
        </m:r>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i,h</m:t>
            </m:r>
          </m:sub>
        </m:sSub>
      </m:oMath>
      <w:r w:rsidRPr="00A72A5A">
        <w:rPr>
          <w:i/>
          <w:iCs/>
        </w:rPr>
        <w:tab/>
      </w:r>
      <w:r w:rsidRPr="00A72A5A">
        <w:t xml:space="preserve">is the Energy supplied to BPC </w:t>
      </w:r>
      <w:r w:rsidRPr="00A72A5A">
        <w:rPr>
          <w:i/>
          <w:iCs/>
        </w:rPr>
        <w:t>“i”,</w:t>
      </w:r>
      <w:r w:rsidRPr="00A72A5A">
        <w:t xml:space="preserve"> </w:t>
      </w:r>
      <w:r>
        <w:t xml:space="preserve">which has a </w:t>
      </w:r>
      <w:r w:rsidR="00806B80">
        <w:t xml:space="preserve">Standardized </w:t>
      </w:r>
      <w:r>
        <w:t xml:space="preserve">Load Following </w:t>
      </w:r>
      <w:r w:rsidR="00806B80">
        <w:t xml:space="preserve">Supply </w:t>
      </w:r>
      <w:r>
        <w:t xml:space="preserve">Contract with the Competitive </w:t>
      </w:r>
      <w:r w:rsidR="00BF564D">
        <w:t>Electric Power Supplier</w:t>
      </w:r>
      <w:r>
        <w:t xml:space="preserve"> </w:t>
      </w:r>
      <w:r w:rsidRPr="00A26DE3">
        <w:rPr>
          <w:i/>
          <w:iCs/>
        </w:rPr>
        <w:t>“j”</w:t>
      </w:r>
      <w:r>
        <w:t xml:space="preserve"> </w:t>
      </w:r>
      <w:r w:rsidRPr="00A72A5A">
        <w:t xml:space="preserve">in hour </w:t>
      </w:r>
      <w:r w:rsidRPr="00A72A5A">
        <w:rPr>
          <w:i/>
          <w:iCs/>
        </w:rPr>
        <w:t>“h”,</w:t>
      </w:r>
      <w:r w:rsidRPr="00A72A5A">
        <w:t xml:space="preserve"> </w:t>
      </w:r>
      <w:r w:rsidRPr="00A72A5A">
        <w:rPr>
          <w:iCs/>
        </w:rPr>
        <w:t>calculated pursuant</w:t>
      </w:r>
      <w:r w:rsidR="00806B80">
        <w:rPr>
          <w:iCs/>
        </w:rPr>
        <w:t xml:space="preserve"> to</w:t>
      </w:r>
      <w:r w:rsidRPr="001A7D29">
        <w:t xml:space="preserve"> Clause</w:t>
      </w:r>
      <w:r>
        <w:t xml:space="preserve"> </w:t>
      </w:r>
      <w:r>
        <w:fldChar w:fldCharType="begin"/>
      </w:r>
      <w:r>
        <w:instrText xml:space="preserve"> REF _Ref68108993 \r \h </w:instrText>
      </w:r>
      <w:r>
        <w:fldChar w:fldCharType="separate"/>
      </w:r>
      <w:r>
        <w:t>6.2.1.3</w:t>
      </w:r>
      <w:r>
        <w:fldChar w:fldCharType="end"/>
      </w:r>
      <w:r w:rsidR="00806B80">
        <w:t xml:space="preserve"> provided that BPCs which are Market Participants shall be excluded from such calculation</w:t>
      </w:r>
      <w:r w:rsidRPr="00A72A5A">
        <w:rPr>
          <w:iCs/>
        </w:rPr>
        <w:t>.</w:t>
      </w:r>
    </w:p>
    <w:p w14:paraId="64E6F585" w14:textId="45AED5E1" w:rsidR="00BB0B51" w:rsidRDefault="004D6075" w:rsidP="00BB0B51">
      <w:pPr>
        <w:pStyle w:val="BodyText"/>
        <w:ind w:left="3544" w:hanging="992"/>
        <w:rPr>
          <w:rFonts w:eastAsiaTheme="minorEastAsia"/>
          <w:i/>
          <w:iCs/>
          <w:sz w:val="24"/>
          <w:szCs w:val="24"/>
        </w:rPr>
      </w:pPr>
      <m:oMath>
        <m:nary>
          <m:naryPr>
            <m:chr m:val="∑"/>
            <m:limLoc m:val="undOvr"/>
            <m:supHide m:val="1"/>
            <m:ctrlPr>
              <w:rPr>
                <w:rFonts w:ascii="Cambria Math" w:hAnsi="Cambria Math"/>
                <w:i/>
              </w:rPr>
            </m:ctrlPr>
          </m:naryPr>
          <m:sub>
            <m:eqArr>
              <m:eqArrPr>
                <m:ctrlPr>
                  <w:rPr>
                    <w:rFonts w:ascii="Cambria Math" w:hAnsi="Cambria Math"/>
                    <w:i/>
                  </w:rPr>
                </m:ctrlPr>
              </m:eqArrPr>
              <m:e/>
              <m:e>
                <m:r>
                  <w:rPr>
                    <w:rFonts w:ascii="Cambria Math" w:hAnsi="Cambria Math"/>
                  </w:rPr>
                  <m:t>∀</m:t>
                </m:r>
                <m:sSub>
                  <m:sSubPr>
                    <m:ctrlPr>
                      <w:rPr>
                        <w:rFonts w:ascii="Cambria Math" w:hAnsi="Cambria Math"/>
                        <w:i/>
                      </w:rPr>
                    </m:ctrlPr>
                  </m:sSubPr>
                  <m:e>
                    <m:r>
                      <w:rPr>
                        <w:rFonts w:ascii="Cambria Math" w:hAnsi="Cambria Math"/>
                      </w:rPr>
                      <m:t>BPC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CS</m:t>
                    </m:r>
                  </m:e>
                  <m:sub>
                    <m:r>
                      <w:rPr>
                        <w:rFonts w:ascii="Cambria Math" w:hAnsi="Cambria Math"/>
                      </w:rPr>
                      <m:t>j</m:t>
                    </m:r>
                  </m:sub>
                </m:sSub>
              </m:e>
            </m:eqArr>
          </m:sub>
          <m:sup/>
          <m:e/>
        </m:nary>
      </m:oMath>
      <w:r w:rsidR="00BB0B51" w:rsidRPr="00A72A5A">
        <w:rPr>
          <w:rFonts w:ascii="Cambria Math" w:eastAsiaTheme="minorEastAsia" w:hAnsi="Cambria Math"/>
          <w:sz w:val="24"/>
          <w:szCs w:val="24"/>
        </w:rPr>
        <w:t xml:space="preserve"> </w:t>
      </w:r>
      <w:r w:rsidR="00BB0B51" w:rsidRPr="00A72A5A">
        <w:rPr>
          <w:rFonts w:eastAsiaTheme="minorEastAsia"/>
          <w:sz w:val="24"/>
          <w:szCs w:val="24"/>
        </w:rPr>
        <w:t xml:space="preserve">means the addition over all BPCs </w:t>
      </w:r>
      <w:r w:rsidR="00BB0B51" w:rsidRPr="00A26DE3">
        <w:rPr>
          <w:rFonts w:eastAsiaTheme="minorEastAsia"/>
          <w:i/>
          <w:iCs/>
          <w:sz w:val="24"/>
          <w:szCs w:val="24"/>
        </w:rPr>
        <w:t>“i”</w:t>
      </w:r>
      <w:r w:rsidR="00BB0B51">
        <w:rPr>
          <w:rFonts w:eastAsiaTheme="minorEastAsia"/>
          <w:sz w:val="24"/>
          <w:szCs w:val="24"/>
        </w:rPr>
        <w:t xml:space="preserve"> which are </w:t>
      </w:r>
      <w:r w:rsidR="00BB0B51" w:rsidRPr="00A72A5A">
        <w:rPr>
          <w:rFonts w:eastAsiaTheme="minorEastAsia"/>
          <w:sz w:val="24"/>
          <w:szCs w:val="24"/>
        </w:rPr>
        <w:t xml:space="preserve">supplied by the Competitive </w:t>
      </w:r>
      <w:r w:rsidR="00BF564D">
        <w:rPr>
          <w:rFonts w:eastAsiaTheme="minorEastAsia"/>
          <w:sz w:val="24"/>
          <w:szCs w:val="24"/>
        </w:rPr>
        <w:t>Electric Power Supplier</w:t>
      </w:r>
      <w:r w:rsidR="00BB0B51" w:rsidRPr="00A72A5A">
        <w:rPr>
          <w:rFonts w:eastAsiaTheme="minorEastAsia"/>
          <w:sz w:val="24"/>
          <w:szCs w:val="24"/>
        </w:rPr>
        <w:t xml:space="preserve"> </w:t>
      </w:r>
      <w:r w:rsidR="00BB0B51" w:rsidRPr="00A72A5A">
        <w:rPr>
          <w:rFonts w:eastAsiaTheme="minorEastAsia"/>
          <w:i/>
          <w:iCs/>
          <w:sz w:val="24"/>
          <w:szCs w:val="24"/>
        </w:rPr>
        <w:t>“j”</w:t>
      </w:r>
      <w:r w:rsidR="00806B80">
        <w:rPr>
          <w:rFonts w:eastAsiaTheme="minorEastAsia"/>
          <w:i/>
          <w:iCs/>
          <w:sz w:val="24"/>
          <w:szCs w:val="24"/>
        </w:rPr>
        <w:t xml:space="preserve"> </w:t>
      </w:r>
      <w:r w:rsidR="00806B80" w:rsidRPr="00806B80">
        <w:rPr>
          <w:rFonts w:eastAsiaTheme="minorEastAsia"/>
          <w:sz w:val="24"/>
          <w:szCs w:val="24"/>
        </w:rPr>
        <w:t>through a Standardized Load Following Contract</w:t>
      </w:r>
    </w:p>
    <w:p w14:paraId="0B65DA64" w14:textId="72B1E4E9" w:rsidR="00BB0B51" w:rsidRPr="00A72A5A" w:rsidRDefault="004D6075" w:rsidP="00BB0B51">
      <w:pPr>
        <w:pStyle w:val="BodyText"/>
        <w:ind w:left="3544" w:hanging="992"/>
      </w:pPr>
      <m:oMath>
        <m:sSub>
          <m:sSubPr>
            <m:ctrlPr>
              <w:rPr>
                <w:rFonts w:ascii="Cambria Math" w:hAnsi="Cambria Math"/>
              </w:rPr>
            </m:ctrlPr>
          </m:sSubPr>
          <m:e>
            <m:r>
              <w:rPr>
                <w:rFonts w:ascii="Cambria Math" w:hAnsi="Cambria Math"/>
              </w:rPr>
              <m:t>Uplift</m:t>
            </m:r>
          </m:e>
          <m:sub>
            <m:r>
              <w:rPr>
                <w:rFonts w:ascii="Cambria Math" w:hAnsi="Cambria Math"/>
              </w:rPr>
              <m:t>TrasnLoss</m:t>
            </m:r>
            <m:r>
              <m:rPr>
                <m:sty m:val="p"/>
              </m:rPr>
              <w:rPr>
                <w:rFonts w:ascii="Cambria Math" w:hAnsi="Cambria Math"/>
                <w:lang w:val="en-US"/>
              </w:rPr>
              <m:t>,</m:t>
            </m:r>
            <m:r>
              <w:rPr>
                <w:rFonts w:ascii="Cambria Math" w:hAnsi="Cambria Math"/>
                <w:lang w:val="en-US"/>
              </w:rPr>
              <m:t>h</m:t>
            </m:r>
          </m:sub>
        </m:sSub>
      </m:oMath>
      <w:r w:rsidR="00BB0B51" w:rsidRPr="00A72A5A">
        <w:rPr>
          <w:i/>
          <w:iCs/>
        </w:rPr>
        <w:tab/>
      </w:r>
      <w:r w:rsidR="00BB0B51" w:rsidRPr="00A72A5A">
        <w:t xml:space="preserve">is the total </w:t>
      </w:r>
      <w:r w:rsidR="00BB0B51">
        <w:t xml:space="preserve">Uplift Coefficient for hour “h”, calculated </w:t>
      </w:r>
      <w:r w:rsidR="005D1A75">
        <w:t>pursuant to</w:t>
      </w:r>
      <w:r w:rsidR="00BB0B51">
        <w:t xml:space="preserve"> Clause </w:t>
      </w:r>
      <w:r w:rsidR="00BB0B51">
        <w:fldChar w:fldCharType="begin"/>
      </w:r>
      <w:r w:rsidR="00BB0B51">
        <w:instrText xml:space="preserve"> REF _Ref70630951 \r \h </w:instrText>
      </w:r>
      <w:r w:rsidR="00BB0B51">
        <w:fldChar w:fldCharType="separate"/>
      </w:r>
      <w:r w:rsidR="00BB0B51">
        <w:t>6.3.3.1</w:t>
      </w:r>
      <w:r w:rsidR="00BB0B51">
        <w:fldChar w:fldCharType="end"/>
      </w:r>
      <w:r w:rsidR="00BB0B51">
        <w:t>.</w:t>
      </w:r>
    </w:p>
    <w:p w14:paraId="5D77F775" w14:textId="1A7899AA" w:rsidR="00BB0B51" w:rsidRPr="00A72A5A" w:rsidRDefault="00BB0B51" w:rsidP="00BB0B51">
      <w:pPr>
        <w:pStyle w:val="Heading5"/>
      </w:pPr>
      <w:r w:rsidRPr="00A72A5A">
        <w:rPr>
          <w:rFonts w:eastAsiaTheme="minorEastAsia"/>
          <w:i/>
          <w:iCs/>
          <w:sz w:val="24"/>
        </w:rPr>
        <w:t xml:space="preserve"> </w:t>
      </w:r>
      <w:r w:rsidR="005D1A75">
        <w:t>For</w:t>
      </w:r>
      <w:r w:rsidRPr="00A72A5A">
        <w:t xml:space="preserve"> </w:t>
      </w:r>
      <w:r>
        <w:t>Default Supplier</w:t>
      </w:r>
      <w:r w:rsidRPr="00A72A5A">
        <w:t>s, the Energy supplied</w:t>
      </w:r>
      <w:r w:rsidR="00DA198C">
        <w:t xml:space="preserve"> (</w:t>
      </w:r>
      <w:r w:rsidR="005D1A75">
        <w:t>to</w:t>
      </w:r>
      <w:r>
        <w:t xml:space="preserve"> be used for </w:t>
      </w:r>
      <w:r w:rsidR="005D1A75">
        <w:t>calculation of Imbalances</w:t>
      </w:r>
      <w:r w:rsidR="00DA198C">
        <w:t>)</w:t>
      </w:r>
      <w:r>
        <w:t xml:space="preserve">, </w:t>
      </w:r>
      <w:r w:rsidRPr="00A72A5A">
        <w:t xml:space="preserve">shall be calculated through an appropriate balance of the total Energy taken by the </w:t>
      </w:r>
      <w:r>
        <w:t>Default Supplier</w:t>
      </w:r>
      <w:r w:rsidRPr="00A72A5A">
        <w:t xml:space="preserve"> from the Transmission Network or Imports </w:t>
      </w:r>
      <w:r>
        <w:t xml:space="preserve">minus the Energy supplied by the Competitive </w:t>
      </w:r>
      <w:r w:rsidR="00BF564D">
        <w:t>Electric Power Supplier</w:t>
      </w:r>
      <w:r>
        <w:t>s</w:t>
      </w:r>
      <w:r w:rsidR="00BC561E">
        <w:t>,</w:t>
      </w:r>
      <w:r w:rsidR="005D1A75">
        <w:t xml:space="preserve"> </w:t>
      </w:r>
      <w:r w:rsidR="00BC561E">
        <w:t>Energy withdrawn by</w:t>
      </w:r>
      <w:r w:rsidR="005D1A75">
        <w:t xml:space="preserve"> </w:t>
      </w:r>
      <w:r w:rsidR="00BC561E">
        <w:t>BPCs which are Market Participant and Energy</w:t>
      </w:r>
      <w:r>
        <w:t xml:space="preserve"> supplied to other Default  Suppliers, </w:t>
      </w:r>
      <w:r w:rsidRPr="00A72A5A">
        <w:t>plus the Energy injected by Embedded  Generation</w:t>
      </w:r>
      <w:r w:rsidR="008E7C54">
        <w:t xml:space="preserve"> </w:t>
      </w:r>
      <w:r w:rsidR="008E7C54" w:rsidRPr="00A72A5A">
        <w:t xml:space="preserve">owned by the </w:t>
      </w:r>
      <w:r w:rsidR="008E7C54">
        <w:t xml:space="preserve">Default Supplier </w:t>
      </w:r>
      <w:r w:rsidR="00BC561E">
        <w:t>into the Distribution Network</w:t>
      </w:r>
      <w:r>
        <w:t xml:space="preserve">,  </w:t>
      </w:r>
      <w:r w:rsidR="00DA198C">
        <w:t>adjusted/</w:t>
      </w:r>
      <w:r w:rsidR="00BC561E">
        <w:t xml:space="preserve">calculated as </w:t>
      </w:r>
      <w:r w:rsidR="00DA198C">
        <w:t>follows</w:t>
      </w:r>
      <w:r w:rsidRPr="00A72A5A">
        <w:t xml:space="preserve"> to take into account the losses in the Transmission Network</w:t>
      </w:r>
      <w:r>
        <w:t xml:space="preserve"> </w:t>
      </w:r>
      <w:r w:rsidR="00E43BDA">
        <w:t>p</w:t>
      </w:r>
      <w:r>
        <w:t>rovided that any</w:t>
      </w:r>
      <w:r w:rsidR="008E7C54">
        <w:t xml:space="preserve"> Energy</w:t>
      </w:r>
      <w:r>
        <w:t xml:space="preserve"> Demand, Generation or Imports located in an area which is not connected directly or indirectly to the Transmission Network shall</w:t>
      </w:r>
      <w:r w:rsidR="008E7C54">
        <w:t xml:space="preserve"> </w:t>
      </w:r>
      <w:r>
        <w:t>be excluded from the calculation.</w:t>
      </w:r>
    </w:p>
    <w:p w14:paraId="5E5D2822" w14:textId="77777777" w:rsidR="00BB0B51" w:rsidRPr="00A72A5A" w:rsidRDefault="004D6075" w:rsidP="00BB0B51">
      <w:pPr>
        <w:pStyle w:val="Heading4"/>
        <w:numPr>
          <w:ilvl w:val="0"/>
          <w:numId w:val="0"/>
        </w:numPr>
        <w:ind w:left="851"/>
        <w:rPr>
          <w:rFonts w:asciiTheme="minorHAnsi" w:eastAsiaTheme="minorEastAsia" w:hAnsiTheme="minorHAnsi"/>
        </w:rPr>
      </w:pPr>
      <m:oMathPara>
        <m:oMath>
          <m:sSub>
            <m:sSubPr>
              <m:ctrlPr>
                <w:rPr>
                  <w:rFonts w:ascii="Cambria Math" w:eastAsiaTheme="minorHAnsi" w:hAnsi="Cambria Math" w:cstheme="minorBidi"/>
                  <w:color w:val="1C1C1C"/>
                  <w:szCs w:val="22"/>
                </w:rPr>
              </m:ctrlPr>
            </m:sSubPr>
            <m:e>
              <m:r>
                <w:rPr>
                  <w:rFonts w:ascii="Cambria Math" w:hAnsi="Cambria Math"/>
                </w:rPr>
                <m:t>ES</m:t>
              </m:r>
            </m:e>
            <m:sub>
              <m:r>
                <w:rPr>
                  <w:rFonts w:ascii="Cambria Math" w:hAnsi="Cambria Math"/>
                </w:rPr>
                <m:t>k,h</m:t>
              </m:r>
            </m:sub>
          </m:sSub>
          <m:d>
            <m:dPr>
              <m:begChr m:val="["/>
              <m:endChr m:val="]"/>
              <m:ctrlPr>
                <w:rPr>
                  <w:rFonts w:ascii="Cambria Math" w:hAnsi="Cambria Math"/>
                </w:rPr>
              </m:ctrlPr>
            </m:dPr>
            <m:e>
              <m:r>
                <w:rPr>
                  <w:rFonts w:ascii="Cambria Math" w:hAnsi="Cambria Math"/>
                </w:rPr>
                <m:t>MWh</m:t>
              </m:r>
            </m:e>
          </m:d>
          <m:r>
            <m:rPr>
              <m:sty m:val="p"/>
            </m:rPr>
            <w:rPr>
              <w:rFonts w:ascii="Cambria Math" w:eastAsiaTheme="minorEastAsia" w:hAnsi="Cambria Math"/>
            </w:rPr>
            <m:t>=</m:t>
          </m:r>
          <m:d>
            <m:dPr>
              <m:begChr m:val="["/>
              <m:endChr m:val="]"/>
              <m:ctrlPr>
                <w:rPr>
                  <w:rFonts w:ascii="Cambria Math" w:eastAsiaTheme="minorEastAsia" w:hAnsi="Cambria Math"/>
                </w:rPr>
              </m:ctrlPr>
            </m:dPr>
            <m:e>
              <m:d>
                <m:dPr>
                  <m:ctrlPr>
                    <w:rPr>
                      <w:rFonts w:ascii="Cambria Math" w:eastAsiaTheme="minorEastAsia" w:hAnsi="Cambria Math"/>
                    </w:rPr>
                  </m:ctrlPr>
                </m:dPr>
                <m:e>
                  <m:nary>
                    <m:naryPr>
                      <m:chr m:val="∑"/>
                      <m:limLoc m:val="undOvr"/>
                      <m:supHide m:val="1"/>
                      <m:ctrlPr>
                        <w:rPr>
                          <w:rFonts w:ascii="Cambria Math" w:eastAsiaTheme="minorEastAsia" w:hAnsi="Cambria Math"/>
                        </w:rPr>
                      </m:ctrlPr>
                    </m:naryPr>
                    <m:sub>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 xml:space="preserve"> ∈ k</m:t>
                      </m:r>
                    </m:sub>
                    <m:sup/>
                    <m:e>
                      <m:sSub>
                        <m:sSubPr>
                          <m:ctrlPr>
                            <w:rPr>
                              <w:rFonts w:ascii="Cambria Math" w:eastAsiaTheme="minorEastAsia" w:hAnsi="Cambria Math"/>
                            </w:rPr>
                          </m:ctrlPr>
                        </m:sSubPr>
                        <m:e>
                          <m:r>
                            <w:rPr>
                              <w:rFonts w:ascii="Cambria Math" w:eastAsiaTheme="minorEastAsia" w:hAnsi="Cambria Math"/>
                            </w:rPr>
                            <m:t>Act</m:t>
                          </m:r>
                          <m:r>
                            <m:rPr>
                              <m:sty m:val="p"/>
                            </m:rPr>
                            <w:rPr>
                              <w:rFonts w:ascii="Cambria Math" w:eastAsiaTheme="minorEastAsia" w:hAnsi="Cambria Math"/>
                            </w:rPr>
                            <m:t>_</m:t>
                          </m:r>
                          <m:r>
                            <w:rPr>
                              <w:rFonts w:ascii="Cambria Math" w:eastAsiaTheme="minorEastAsia" w:hAnsi="Cambria Math"/>
                            </w:rPr>
                            <m:t>E</m:t>
                          </m:r>
                        </m:e>
                        <m:sub>
                          <m:r>
                            <w:rPr>
                              <w:rFonts w:ascii="Cambria Math" w:eastAsiaTheme="minorEastAsia" w:hAnsi="Cambria Math"/>
                            </w:rPr>
                            <m:t>i,h</m:t>
                          </m:r>
                        </m:sub>
                      </m:sSub>
                    </m:e>
                  </m:nary>
                  <m:r>
                    <m:rPr>
                      <m:sty m:val="p"/>
                    </m:rPr>
                    <w:rPr>
                      <w:rFonts w:ascii="Cambria Math" w:eastAsiaTheme="minorEastAsia" w:hAnsi="Cambria Math"/>
                    </w:rPr>
                    <m:t>+</m:t>
                  </m:r>
                  <m:nary>
                    <m:naryPr>
                      <m:chr m:val="∑"/>
                      <m:limLoc m:val="undOvr"/>
                      <m:supHide m:val="1"/>
                      <m:ctrlPr>
                        <w:rPr>
                          <w:rFonts w:ascii="Cambria Math" w:eastAsiaTheme="minorEastAsia" w:hAnsi="Cambria Math"/>
                        </w:rPr>
                      </m:ctrlPr>
                    </m:naryPr>
                    <m:sub>
                      <m:r>
                        <w:rPr>
                          <w:rFonts w:ascii="Cambria Math" w:eastAsiaTheme="minorEastAsia" w:hAnsi="Cambria Math"/>
                        </w:rPr>
                        <m:t>∀j∈MPk</m:t>
                      </m:r>
                    </m:sub>
                    <m:sup/>
                    <m:e>
                      <m:sSub>
                        <m:sSubPr>
                          <m:ctrlPr>
                            <w:rPr>
                              <w:rFonts w:ascii="Cambria Math" w:eastAsiaTheme="minorEastAsia" w:hAnsi="Cambria Math"/>
                              <w:i/>
                            </w:rPr>
                          </m:ctrlPr>
                        </m:sSubPr>
                        <m:e>
                          <m:r>
                            <w:rPr>
                              <w:rFonts w:ascii="Cambria Math" w:eastAsiaTheme="minorEastAsia" w:hAnsi="Cambria Math"/>
                            </w:rPr>
                            <m:t>EMP</m:t>
                          </m:r>
                        </m:e>
                        <m:sub>
                          <m:r>
                            <w:rPr>
                              <w:rFonts w:ascii="Cambria Math" w:eastAsiaTheme="minorEastAsia" w:hAnsi="Cambria Math"/>
                            </w:rPr>
                            <m:t>j,h</m:t>
                          </m:r>
                        </m:sub>
                      </m:sSub>
                    </m:e>
                  </m:nary>
                </m:e>
              </m:d>
            </m:e>
          </m:d>
          <m:r>
            <w:rPr>
              <w:rFonts w:ascii="Cambria Math" w:eastAsiaTheme="minorEastAsia" w:hAnsi="Cambria Math"/>
            </w:rPr>
            <m:t>*</m:t>
          </m:r>
          <m:d>
            <m:dPr>
              <m:ctrlPr>
                <w:rPr>
                  <w:rFonts w:ascii="Cambria Math" w:eastAsiaTheme="minorEastAsia" w:hAnsi="Cambria Math"/>
                  <w:i/>
                </w:rPr>
              </m:ctrlPr>
            </m:dPr>
            <m:e>
              <m:r>
                <m:rPr>
                  <m:sty m:val="p"/>
                </m:rPr>
                <w:rPr>
                  <w:rFonts w:ascii="Cambria Math" w:hAnsi="Cambria Math"/>
                  <w:lang w:val="en-US"/>
                </w:rPr>
                <m:t>1+</m:t>
              </m:r>
              <m:sSub>
                <m:sSubPr>
                  <m:ctrlPr>
                    <w:rPr>
                      <w:rFonts w:ascii="Cambria Math" w:hAnsi="Cambria Math"/>
                    </w:rPr>
                  </m:ctrlPr>
                </m:sSubPr>
                <m:e>
                  <m:r>
                    <w:rPr>
                      <w:rFonts w:ascii="Cambria Math" w:hAnsi="Cambria Math"/>
                    </w:rPr>
                    <m:t>Uplift</m:t>
                  </m:r>
                </m:e>
                <m:sub>
                  <m:r>
                    <w:rPr>
                      <w:rFonts w:ascii="Cambria Math" w:hAnsi="Cambria Math"/>
                    </w:rPr>
                    <m:t>TrasnLoss</m:t>
                  </m:r>
                  <m:r>
                    <m:rPr>
                      <m:sty m:val="p"/>
                    </m:rPr>
                    <w:rPr>
                      <w:rFonts w:ascii="Cambria Math" w:hAnsi="Cambria Math"/>
                      <w:lang w:val="en-US"/>
                    </w:rPr>
                    <m:t>,</m:t>
                  </m:r>
                  <m:r>
                    <w:rPr>
                      <w:rFonts w:ascii="Cambria Math" w:hAnsi="Cambria Math"/>
                      <w:lang w:val="en-US"/>
                    </w:rPr>
                    <m:t>h</m:t>
                  </m:r>
                </m:sub>
              </m:sSub>
            </m:e>
          </m:d>
        </m:oMath>
      </m:oMathPara>
    </w:p>
    <w:p w14:paraId="36D97805" w14:textId="77777777" w:rsidR="00BB0B51" w:rsidRPr="00A72A5A" w:rsidRDefault="00BB0B51" w:rsidP="00BB0B51">
      <w:pPr>
        <w:pStyle w:val="BodyText"/>
        <w:ind w:left="3544" w:hanging="992"/>
      </w:pPr>
      <w:r w:rsidRPr="00A72A5A">
        <w:t xml:space="preserve">Where: </w:t>
      </w:r>
    </w:p>
    <w:p w14:paraId="4FDE1F39" w14:textId="2710BBF0" w:rsidR="00BB0B51" w:rsidRPr="00A72A5A" w:rsidRDefault="004D6075" w:rsidP="00BB0B51">
      <w:pPr>
        <w:pStyle w:val="BodyText"/>
        <w:ind w:left="3544" w:hanging="992"/>
      </w:pPr>
      <m:oMath>
        <m:sSub>
          <m:sSubPr>
            <m:ctrlPr>
              <w:rPr>
                <w:rFonts w:ascii="Cambria Math" w:hAnsi="Cambria Math"/>
                <w:i/>
              </w:rPr>
            </m:ctrlPr>
          </m:sSubPr>
          <m:e>
            <m:r>
              <w:rPr>
                <w:rFonts w:ascii="Cambria Math" w:hAnsi="Cambria Math"/>
              </w:rPr>
              <m:t>ES</m:t>
            </m:r>
          </m:e>
          <m:sub>
            <m:r>
              <w:rPr>
                <w:rFonts w:ascii="Cambria Math" w:hAnsi="Cambria Math"/>
              </w:rPr>
              <m:t>k,h</m:t>
            </m:r>
          </m:sub>
        </m:sSub>
      </m:oMath>
      <w:r w:rsidR="00BB0B51" w:rsidRPr="00A72A5A">
        <w:rPr>
          <w:i/>
          <w:iCs/>
        </w:rPr>
        <w:t xml:space="preserve"> is</w:t>
      </w:r>
      <w:r w:rsidR="00BB0B51" w:rsidRPr="00A72A5A">
        <w:t xml:space="preserve"> the total Energy supplied by the </w:t>
      </w:r>
      <w:r w:rsidR="00BB0B51">
        <w:t>Default Supplier</w:t>
      </w:r>
      <w:r w:rsidR="00BB0B51" w:rsidRPr="00A72A5A">
        <w:t xml:space="preserve"> </w:t>
      </w:r>
      <w:r w:rsidR="00BB0B51" w:rsidRPr="00A72A5A">
        <w:rPr>
          <w:i/>
          <w:iCs/>
        </w:rPr>
        <w:t>“k”</w:t>
      </w:r>
      <w:r w:rsidR="00BB0B51" w:rsidRPr="00A72A5A">
        <w:t xml:space="preserve">, to its </w:t>
      </w:r>
      <w:r w:rsidR="00DA198C">
        <w:t>consumers</w:t>
      </w:r>
      <w:r w:rsidR="00BB0B51" w:rsidRPr="00A72A5A">
        <w:t xml:space="preserve"> </w:t>
      </w:r>
      <w:r w:rsidR="00BB0B51">
        <w:t xml:space="preserve">in hour </w:t>
      </w:r>
      <w:r w:rsidR="00BB0B51" w:rsidRPr="0040001C">
        <w:rPr>
          <w:i/>
          <w:iCs/>
        </w:rPr>
        <w:t>“h”</w:t>
      </w:r>
      <w:r w:rsidR="00BB0B51" w:rsidRPr="00A72A5A">
        <w:t>, in MWh</w:t>
      </w:r>
      <w:r w:rsidR="008E7C54">
        <w:t>, which will be used for calculation of Imbalances</w:t>
      </w:r>
      <w:r w:rsidR="00BB0B51" w:rsidRPr="00A72A5A">
        <w:t>;</w:t>
      </w:r>
    </w:p>
    <w:p w14:paraId="1760AB85" w14:textId="3D268416" w:rsidR="00BB0B51" w:rsidRPr="00A72A5A" w:rsidRDefault="004D6075" w:rsidP="00BB0B51">
      <w:pPr>
        <w:pStyle w:val="BodyText"/>
        <w:ind w:left="3544" w:hanging="992"/>
        <w:rPr>
          <w:iCs/>
        </w:rPr>
      </w:pPr>
      <m:oMath>
        <m:sSub>
          <m:sSubPr>
            <m:ctrlPr>
              <w:rPr>
                <w:rFonts w:ascii="Cambria Math" w:eastAsiaTheme="minorEastAsia" w:hAnsi="Cambria Math"/>
              </w:rPr>
            </m:ctrlPr>
          </m:sSubPr>
          <m:e>
            <m:r>
              <w:rPr>
                <w:rFonts w:ascii="Cambria Math" w:eastAsiaTheme="minorEastAsia" w:hAnsi="Cambria Math"/>
              </w:rPr>
              <m:t>Act_E</m:t>
            </m:r>
          </m:e>
          <m:sub>
            <m:r>
              <w:rPr>
                <w:rFonts w:ascii="Cambria Math" w:eastAsiaTheme="minorEastAsia" w:hAnsi="Cambria Math"/>
              </w:rPr>
              <m:t>i,h</m:t>
            </m:r>
          </m:sub>
        </m:sSub>
      </m:oMath>
      <w:r w:rsidR="00BB0B51" w:rsidRPr="00A72A5A">
        <w:rPr>
          <w:i/>
          <w:iCs/>
        </w:rPr>
        <w:tab/>
      </w:r>
      <w:r w:rsidR="00BB0B51" w:rsidRPr="00BE3DA8">
        <w:t xml:space="preserve">is the Energy </w:t>
      </w:r>
      <w:r w:rsidR="008E7C54">
        <w:rPr>
          <w:rStyle w:val="NoSpacingChar"/>
        </w:rPr>
        <w:t>Injected/withdrawn</w:t>
      </w:r>
      <w:r w:rsidR="00BB0B51" w:rsidRPr="00BE3DA8">
        <w:rPr>
          <w:rStyle w:val="NoSpacingChar"/>
        </w:rPr>
        <w:t xml:space="preserve"> at the Trading Point “</w:t>
      </w:r>
      <w:r w:rsidR="00BB0B51" w:rsidRPr="00BE3DA8">
        <w:rPr>
          <w:i/>
          <w:iCs/>
        </w:rPr>
        <w:t>i”</w:t>
      </w:r>
      <w:r w:rsidR="00BB0B51" w:rsidRPr="00BE3DA8">
        <w:rPr>
          <w:iCs/>
        </w:rPr>
        <w:t xml:space="preserve">, which is a boundary of </w:t>
      </w:r>
      <w:r w:rsidR="00BB0B51" w:rsidRPr="00BE3DA8">
        <w:t xml:space="preserve">Default Supplier </w:t>
      </w:r>
      <w:r w:rsidR="00BB0B51" w:rsidRPr="00BE3DA8">
        <w:rPr>
          <w:i/>
          <w:iCs/>
        </w:rPr>
        <w:t>“k”</w:t>
      </w:r>
      <w:r w:rsidR="00BB0B51" w:rsidRPr="00BE3DA8">
        <w:t xml:space="preserve">, in hour </w:t>
      </w:r>
      <w:r w:rsidR="00BB0B51" w:rsidRPr="00BE3DA8">
        <w:rPr>
          <w:i/>
          <w:iCs/>
        </w:rPr>
        <w:t>“h”,</w:t>
      </w:r>
      <w:r w:rsidR="00BB0B51" w:rsidRPr="00BE3DA8">
        <w:t xml:space="preserve"> </w:t>
      </w:r>
      <w:r w:rsidR="00BB0B51" w:rsidRPr="00BE3DA8">
        <w:rPr>
          <w:iCs/>
        </w:rPr>
        <w:t>calculated pursuant</w:t>
      </w:r>
      <w:r w:rsidR="008E7C54">
        <w:rPr>
          <w:iCs/>
        </w:rPr>
        <w:t xml:space="preserve"> to</w:t>
      </w:r>
      <w:r w:rsidR="00BB0B51" w:rsidRPr="00BE3DA8">
        <w:t xml:space="preserve"> Clause </w:t>
      </w:r>
      <w:r w:rsidR="00BB0B51" w:rsidRPr="00BE3DA8">
        <w:fldChar w:fldCharType="begin"/>
      </w:r>
      <w:r w:rsidR="00BB0B51" w:rsidRPr="00BE3DA8">
        <w:instrText xml:space="preserve"> REF _Ref68108993 \r \h  \* MERGEFORMAT </w:instrText>
      </w:r>
      <w:r w:rsidR="00BB0B51" w:rsidRPr="00BE3DA8">
        <w:fldChar w:fldCharType="separate"/>
      </w:r>
      <w:r w:rsidR="00BB0B51" w:rsidRPr="00BE3DA8">
        <w:t>6.2.1.3</w:t>
      </w:r>
      <w:r w:rsidR="00BB0B51" w:rsidRPr="00BE3DA8">
        <w:fldChar w:fldCharType="end"/>
      </w:r>
      <w:r w:rsidR="00BB0B51" w:rsidRPr="00BE3DA8">
        <w:rPr>
          <w:iCs/>
        </w:rPr>
        <w:t>.</w:t>
      </w:r>
    </w:p>
    <w:p w14:paraId="72A0D0AD" w14:textId="59D429C6" w:rsidR="00BB0B51" w:rsidRPr="00A72A5A" w:rsidRDefault="008E7C54" w:rsidP="00BB0B51">
      <w:pPr>
        <w:pStyle w:val="BodyText"/>
        <w:ind w:left="3544"/>
      </w:pPr>
      <w:r>
        <w:t xml:space="preserve">The Energy injected into the Distribution Network </w:t>
      </w:r>
      <w:r w:rsidR="005654A5">
        <w:t>in the service territory of</w:t>
      </w:r>
      <w:r>
        <w:t xml:space="preserve"> the Default Supplier “k” shall be</w:t>
      </w:r>
      <w:r w:rsidR="00BB0B51" w:rsidRPr="00A72A5A">
        <w:t xml:space="preserve"> considered positive and </w:t>
      </w:r>
      <w:r>
        <w:t xml:space="preserve">Energy withdrawn from such network shall be considered </w:t>
      </w:r>
      <w:r w:rsidR="00BB0B51" w:rsidRPr="00A72A5A">
        <w:t>negative.</w:t>
      </w:r>
    </w:p>
    <w:p w14:paraId="54CDE1A2" w14:textId="44093A57" w:rsidR="00E43BDA" w:rsidRDefault="004D6075" w:rsidP="00BB0B51">
      <w:pPr>
        <w:pStyle w:val="BodyText"/>
        <w:ind w:left="3544" w:hanging="992"/>
      </w:pPr>
      <m:oMath>
        <m:sSub>
          <m:sSubPr>
            <m:ctrlPr>
              <w:rPr>
                <w:rFonts w:ascii="Cambria Math" w:eastAsiaTheme="minorEastAsia" w:hAnsi="Cambria Math" w:cstheme="majorBidi"/>
                <w:bCs/>
                <w:i/>
                <w:iCs/>
                <w:color w:val="000000" w:themeColor="text1"/>
                <w:szCs w:val="24"/>
              </w:rPr>
            </m:ctrlPr>
          </m:sSubPr>
          <m:e>
            <m:r>
              <w:rPr>
                <w:rFonts w:ascii="Cambria Math" w:eastAsiaTheme="minorEastAsia" w:hAnsi="Cambria Math"/>
              </w:rPr>
              <m:t>EMP</m:t>
            </m:r>
          </m:e>
          <m:sub>
            <m:r>
              <w:rPr>
                <w:rFonts w:ascii="Cambria Math" w:eastAsiaTheme="minorEastAsia" w:hAnsi="Cambria Math"/>
              </w:rPr>
              <m:t>j,h</m:t>
            </m:r>
          </m:sub>
        </m:sSub>
      </m:oMath>
      <w:r w:rsidR="00BB0B51" w:rsidRPr="00A72A5A">
        <w:rPr>
          <w:i/>
          <w:iCs/>
        </w:rPr>
        <w:tab/>
      </w:r>
      <w:r w:rsidR="00BB0B51" w:rsidRPr="00A72A5A">
        <w:t xml:space="preserve">is the Energy </w:t>
      </w:r>
      <w:r w:rsidR="00E43BDA">
        <w:rPr>
          <w:rStyle w:val="NoSpacingChar"/>
        </w:rPr>
        <w:t>injected/withdrawn</w:t>
      </w:r>
      <w:r w:rsidR="00BB0B51" w:rsidRPr="00A72A5A">
        <w:rPr>
          <w:rStyle w:val="NoSpacingChar"/>
        </w:rPr>
        <w:t xml:space="preserve"> at the Metering Point “</w:t>
      </w:r>
      <w:r w:rsidR="00BB0B51" w:rsidRPr="00A72A5A">
        <w:rPr>
          <w:i/>
          <w:iCs/>
          <w:lang w:val="en-US"/>
        </w:rPr>
        <w:t>j</w:t>
      </w:r>
      <w:r w:rsidR="00BB0B51" w:rsidRPr="00A72A5A">
        <w:rPr>
          <w:i/>
          <w:iCs/>
        </w:rPr>
        <w:t>”</w:t>
      </w:r>
      <w:r w:rsidR="00BB0B51" w:rsidRPr="00A72A5A">
        <w:t xml:space="preserve">, which is not a Trading Point, belonging to the </w:t>
      </w:r>
      <w:r w:rsidR="00BB0B51">
        <w:t>Default Supplier</w:t>
      </w:r>
      <w:r w:rsidR="00BB0B51" w:rsidRPr="00A72A5A">
        <w:t xml:space="preserve"> </w:t>
      </w:r>
      <w:r w:rsidR="00BB0B51" w:rsidRPr="00A72A5A">
        <w:rPr>
          <w:i/>
          <w:iCs/>
        </w:rPr>
        <w:t>“k”</w:t>
      </w:r>
      <w:r w:rsidR="00BB0B51" w:rsidRPr="00A72A5A">
        <w:t xml:space="preserve">, in hour </w:t>
      </w:r>
      <w:r w:rsidR="00BB0B51" w:rsidRPr="00A72A5A">
        <w:rPr>
          <w:i/>
          <w:iCs/>
        </w:rPr>
        <w:t>“h”,</w:t>
      </w:r>
      <w:r w:rsidR="00BB0B51" w:rsidRPr="00A72A5A">
        <w:t xml:space="preserve"> </w:t>
      </w:r>
      <w:r w:rsidR="00DA198C">
        <w:t xml:space="preserve">considered by the Market Operator in accordance with the Provisions of </w:t>
      </w:r>
      <w:r w:rsidR="00F54A87">
        <w:rPr>
          <w:rFonts w:eastAsiaTheme="minorEastAsia" w:cstheme="minorHAnsi"/>
          <w:color w:val="auto"/>
        </w:rPr>
        <w:fldChar w:fldCharType="begin"/>
      </w:r>
      <w:r w:rsidR="00F54A87">
        <w:rPr>
          <w:rFonts w:eastAsiaTheme="minorEastAsia" w:cstheme="minorHAnsi"/>
          <w:color w:val="auto"/>
        </w:rPr>
        <w:instrText xml:space="preserve"> REF _Ref76854808 \r \h </w:instrText>
      </w:r>
      <w:r w:rsidR="00F54A87">
        <w:rPr>
          <w:rFonts w:eastAsiaTheme="minorEastAsia" w:cstheme="minorHAnsi"/>
          <w:color w:val="auto"/>
        </w:rPr>
      </w:r>
      <w:r w:rsidR="00F54A87">
        <w:rPr>
          <w:rFonts w:eastAsiaTheme="minorEastAsia" w:cstheme="minorHAnsi"/>
          <w:color w:val="auto"/>
        </w:rPr>
        <w:fldChar w:fldCharType="separate"/>
      </w:r>
      <w:r w:rsidR="00F54A87">
        <w:rPr>
          <w:rFonts w:eastAsiaTheme="minorEastAsia" w:cstheme="minorHAnsi"/>
          <w:color w:val="auto"/>
        </w:rPr>
        <w:t>Chapter 5</w:t>
      </w:r>
      <w:r w:rsidR="00F54A87">
        <w:rPr>
          <w:rFonts w:eastAsiaTheme="minorEastAsia" w:cstheme="minorHAnsi"/>
          <w:color w:val="auto"/>
        </w:rPr>
        <w:fldChar w:fldCharType="end"/>
      </w:r>
      <w:r w:rsidR="00BB0B51" w:rsidRPr="00A72A5A">
        <w:t xml:space="preserve">. </w:t>
      </w:r>
    </w:p>
    <w:p w14:paraId="1E726201" w14:textId="70264C6F" w:rsidR="00BB0B51" w:rsidRPr="00A72A5A" w:rsidRDefault="005654A5" w:rsidP="00E43BDA">
      <w:pPr>
        <w:pStyle w:val="BodyText"/>
        <w:ind w:left="3544"/>
      </w:pPr>
      <w:r>
        <w:t xml:space="preserve">The </w:t>
      </w:r>
      <w:r w:rsidR="00BB0B51" w:rsidRPr="00A72A5A">
        <w:t xml:space="preserve">Energy </w:t>
      </w:r>
      <w:r w:rsidR="00E43BDA">
        <w:t>injected</w:t>
      </w:r>
      <w:r w:rsidR="00BB0B51" w:rsidRPr="00A72A5A">
        <w:t xml:space="preserve"> into the Distribution Network </w:t>
      </w:r>
      <w:r w:rsidR="00E43BDA">
        <w:t>in the service territory of</w:t>
      </w:r>
      <w:r w:rsidR="00BB0B51" w:rsidRPr="00A72A5A">
        <w:t xml:space="preserve"> the </w:t>
      </w:r>
      <w:r w:rsidR="00BB0B51">
        <w:t>Default Supplier</w:t>
      </w:r>
      <w:r w:rsidR="00BB0B51" w:rsidRPr="00A72A5A">
        <w:t xml:space="preserve"> “k” </w:t>
      </w:r>
      <w:r>
        <w:t xml:space="preserve">shall be considered positive </w:t>
      </w:r>
      <w:r w:rsidR="00BB0B51" w:rsidRPr="00A72A5A">
        <w:t xml:space="preserve">and </w:t>
      </w:r>
      <w:r>
        <w:t xml:space="preserve">the Energy withdrawn from such network shall be considered </w:t>
      </w:r>
      <w:r w:rsidR="00BB0B51" w:rsidRPr="00A72A5A">
        <w:t>negative. Only positive values shall be used in the calculation.</w:t>
      </w:r>
    </w:p>
    <w:p w14:paraId="25267C3C" w14:textId="3BA3043F" w:rsidR="00BB0B51" w:rsidRPr="00B03C4A" w:rsidRDefault="004D6075" w:rsidP="00BB0B51">
      <w:pPr>
        <w:pStyle w:val="BodyText"/>
        <w:ind w:left="3544" w:hanging="992"/>
        <w:rPr>
          <w:rFonts w:eastAsiaTheme="minorEastAsia"/>
          <w:i/>
          <w:iCs/>
        </w:rPr>
      </w:pPr>
      <m:oMath>
        <m:nary>
          <m:naryPr>
            <m:chr m:val="∑"/>
            <m:limLoc m:val="undOvr"/>
            <m:supHide m:val="1"/>
            <m:ctrlPr>
              <w:rPr>
                <w:rFonts w:ascii="Cambria Math" w:eastAsiaTheme="minorEastAsia" w:hAnsi="Cambria Math"/>
              </w:rPr>
            </m:ctrlPr>
          </m:naryPr>
          <m:sub>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 xml:space="preserve"> ∈ k</m:t>
            </m:r>
          </m:sub>
          <m:sup/>
          <m:e/>
        </m:nary>
      </m:oMath>
      <w:r w:rsidR="00BB0B51">
        <w:rPr>
          <w:rFonts w:eastAsiaTheme="minorEastAsia"/>
        </w:rPr>
        <w:tab/>
      </w:r>
      <w:r w:rsidR="00BB0B51" w:rsidRPr="00B03C4A">
        <w:rPr>
          <w:rFonts w:eastAsiaTheme="minorEastAsia"/>
        </w:rPr>
        <w:t xml:space="preserve">means the addition over all Trading Points </w:t>
      </w:r>
      <w:r w:rsidR="00BB0B51" w:rsidRPr="00B03C4A">
        <w:rPr>
          <w:rFonts w:eastAsiaTheme="minorEastAsia"/>
          <w:i/>
          <w:iCs/>
        </w:rPr>
        <w:t>“i”</w:t>
      </w:r>
      <w:r w:rsidR="00BB0B51" w:rsidRPr="00B03C4A">
        <w:rPr>
          <w:rFonts w:eastAsiaTheme="minorEastAsia"/>
        </w:rPr>
        <w:t xml:space="preserve"> which are </w:t>
      </w:r>
      <w:r w:rsidR="005654A5" w:rsidRPr="00B03C4A">
        <w:rPr>
          <w:rFonts w:eastAsiaTheme="minorEastAsia"/>
        </w:rPr>
        <w:t xml:space="preserve">located at the </w:t>
      </w:r>
      <w:r w:rsidR="00BB0B51" w:rsidRPr="00B03C4A">
        <w:rPr>
          <w:rFonts w:eastAsiaTheme="minorEastAsia"/>
        </w:rPr>
        <w:t>boundaries of the Default Supplier “k”.</w:t>
      </w:r>
    </w:p>
    <w:p w14:paraId="5078C24B" w14:textId="036BE6CC" w:rsidR="00BB0B51" w:rsidRPr="00B03C4A" w:rsidRDefault="004D6075" w:rsidP="00BB0B51">
      <w:pPr>
        <w:pStyle w:val="BodyText"/>
        <w:ind w:left="3544" w:hanging="992"/>
        <w:rPr>
          <w:rFonts w:eastAsiaTheme="minorEastAsia"/>
          <w:i/>
          <w:iCs/>
        </w:rPr>
      </w:pPr>
      <m:oMath>
        <m:nary>
          <m:naryPr>
            <m:chr m:val="∑"/>
            <m:limLoc m:val="undOvr"/>
            <m:supHide m:val="1"/>
            <m:ctrlPr>
              <w:rPr>
                <w:rFonts w:ascii="Cambria Math" w:eastAsiaTheme="minorEastAsia" w:hAnsi="Cambria Math"/>
              </w:rPr>
            </m:ctrlPr>
          </m:naryPr>
          <m:sub>
            <m:r>
              <w:rPr>
                <w:rFonts w:ascii="Cambria Math" w:eastAsiaTheme="minorEastAsia" w:hAnsi="Cambria Math"/>
              </w:rPr>
              <m:t>∀j∈MPk</m:t>
            </m:r>
          </m:sub>
          <m:sup/>
          <m:e/>
        </m:nary>
      </m:oMath>
      <w:r w:rsidR="00BB0B51" w:rsidRPr="00B03C4A">
        <w:rPr>
          <w:rFonts w:eastAsiaTheme="minorEastAsia"/>
        </w:rPr>
        <w:t>means the addition over all Metering Points which are not Trading Points, which are</w:t>
      </w:r>
      <w:r w:rsidR="005654A5" w:rsidRPr="00B03C4A">
        <w:rPr>
          <w:rFonts w:eastAsiaTheme="minorEastAsia"/>
        </w:rPr>
        <w:t xml:space="preserve"> located </w:t>
      </w:r>
      <w:r w:rsidR="0006445A" w:rsidRPr="00B03C4A">
        <w:rPr>
          <w:rFonts w:eastAsiaTheme="minorEastAsia"/>
        </w:rPr>
        <w:t>in the service territory</w:t>
      </w:r>
      <w:r w:rsidR="00BB0B51" w:rsidRPr="00B03C4A">
        <w:rPr>
          <w:rFonts w:eastAsiaTheme="minorEastAsia"/>
        </w:rPr>
        <w:t xml:space="preserve"> of the Default Supplier </w:t>
      </w:r>
      <w:r w:rsidR="00BB0B51" w:rsidRPr="00B03C4A">
        <w:rPr>
          <w:rFonts w:eastAsiaTheme="minorEastAsia"/>
          <w:i/>
          <w:iCs/>
        </w:rPr>
        <w:t>“k”</w:t>
      </w:r>
      <w:r w:rsidR="00BB0B51" w:rsidRPr="00B03C4A">
        <w:rPr>
          <w:rFonts w:eastAsiaTheme="minorEastAsia"/>
        </w:rPr>
        <w:t>.</w:t>
      </w:r>
    </w:p>
    <w:p w14:paraId="43C28F70" w14:textId="60828AA3" w:rsidR="00BB0B51" w:rsidRPr="0089002A" w:rsidRDefault="004D6075" w:rsidP="00BB0B51">
      <w:pPr>
        <w:pStyle w:val="BodyText"/>
        <w:ind w:left="3544" w:hanging="992"/>
      </w:pPr>
      <m:oMath>
        <m:sSub>
          <m:sSubPr>
            <m:ctrlPr>
              <w:rPr>
                <w:rFonts w:ascii="Cambria Math" w:hAnsi="Cambria Math"/>
              </w:rPr>
            </m:ctrlPr>
          </m:sSubPr>
          <m:e>
            <m:r>
              <w:rPr>
                <w:rFonts w:ascii="Cambria Math" w:hAnsi="Cambria Math"/>
              </w:rPr>
              <m:t>Uplift</m:t>
            </m:r>
          </m:e>
          <m:sub>
            <m:r>
              <w:rPr>
                <w:rFonts w:ascii="Cambria Math" w:hAnsi="Cambria Math"/>
              </w:rPr>
              <m:t>TrasnLoss</m:t>
            </m:r>
            <m:r>
              <m:rPr>
                <m:sty m:val="p"/>
              </m:rPr>
              <w:rPr>
                <w:rFonts w:ascii="Cambria Math" w:hAnsi="Cambria Math"/>
                <w:lang w:val="en-US"/>
              </w:rPr>
              <m:t>,</m:t>
            </m:r>
            <m:r>
              <w:rPr>
                <w:rFonts w:ascii="Cambria Math" w:hAnsi="Cambria Math"/>
                <w:lang w:val="en-US"/>
              </w:rPr>
              <m:t>h</m:t>
            </m:r>
          </m:sub>
        </m:sSub>
      </m:oMath>
      <w:r w:rsidR="00BB0B51" w:rsidRPr="0089002A">
        <w:rPr>
          <w:i/>
          <w:iCs/>
        </w:rPr>
        <w:tab/>
      </w:r>
      <w:r w:rsidR="00BB0B51" w:rsidRPr="0089002A">
        <w:t xml:space="preserve">is the total Uplift Coefficient for hour “h”, calculated </w:t>
      </w:r>
      <w:r w:rsidR="005654A5" w:rsidRPr="0089002A">
        <w:t>pursuant to</w:t>
      </w:r>
      <w:r w:rsidR="00BB0B51" w:rsidRPr="0089002A">
        <w:t xml:space="preserve"> Clause </w:t>
      </w:r>
      <w:r w:rsidR="00BB0B51" w:rsidRPr="000E633F">
        <w:fldChar w:fldCharType="begin"/>
      </w:r>
      <w:r w:rsidR="00BB0B51" w:rsidRPr="0089002A">
        <w:instrText xml:space="preserve"> REF _Ref70630951 \r \h </w:instrText>
      </w:r>
      <w:r w:rsidR="0089002A">
        <w:instrText xml:space="preserve"> \* MERGEFORMAT </w:instrText>
      </w:r>
      <w:r w:rsidR="00BB0B51" w:rsidRPr="000E633F">
        <w:fldChar w:fldCharType="separate"/>
      </w:r>
      <w:r w:rsidR="00BB0B51" w:rsidRPr="0089002A">
        <w:t>6.3.3.1</w:t>
      </w:r>
      <w:r w:rsidR="00BB0B51" w:rsidRPr="000E633F">
        <w:fldChar w:fldCharType="end"/>
      </w:r>
      <w:r w:rsidR="00BB0B51" w:rsidRPr="0089002A">
        <w:t>.</w:t>
      </w:r>
    </w:p>
    <w:p w14:paraId="1A058D83" w14:textId="19DDBE73" w:rsidR="00BB0B51" w:rsidRPr="00A72A5A" w:rsidRDefault="005654A5" w:rsidP="00BB0B51">
      <w:pPr>
        <w:pStyle w:val="Heading5"/>
      </w:pPr>
      <w:r>
        <w:t>For</w:t>
      </w:r>
      <w:r w:rsidR="00BB0B51" w:rsidRPr="00A72A5A">
        <w:t xml:space="preserve"> Exports, the Energy </w:t>
      </w:r>
      <w:r w:rsidR="00BB0B51">
        <w:t xml:space="preserve">exported (supplied) </w:t>
      </w:r>
      <w:r w:rsidR="0006445A">
        <w:t>(</w:t>
      </w:r>
      <w:r w:rsidR="00BB0B51">
        <w:t xml:space="preserve">which </w:t>
      </w:r>
      <w:r>
        <w:t>shall</w:t>
      </w:r>
      <w:r w:rsidR="00BB0B51">
        <w:t xml:space="preserve"> be used for </w:t>
      </w:r>
      <w:r>
        <w:t>calculation of Imbalances</w:t>
      </w:r>
      <w:r w:rsidR="0006445A">
        <w:t>)</w:t>
      </w:r>
      <w:r w:rsidR="00BB0B51" w:rsidRPr="00A72A5A">
        <w:t xml:space="preserve"> </w:t>
      </w:r>
      <w:r w:rsidR="00BB0B51">
        <w:t>s</w:t>
      </w:r>
      <w:r w:rsidR="00BB0B51" w:rsidRPr="00A72A5A">
        <w:t xml:space="preserve">hall be </w:t>
      </w:r>
      <w:r w:rsidR="0006445A">
        <w:t>adjusted/</w:t>
      </w:r>
      <w:r>
        <w:t xml:space="preserve">calculated as following to </w:t>
      </w:r>
      <w:r w:rsidR="00BB0B51">
        <w:t>take into account the losses in the Transmission Network:</w:t>
      </w:r>
    </w:p>
    <w:p w14:paraId="62129B8D" w14:textId="77777777" w:rsidR="00BB0B51" w:rsidRPr="00A72A5A" w:rsidRDefault="004D6075" w:rsidP="00BB0B51">
      <w:pPr>
        <w:ind w:left="1276"/>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ES</m:t>
              </m:r>
            </m:e>
            <m:sub>
              <m:r>
                <w:rPr>
                  <w:rFonts w:ascii="Cambria Math" w:hAnsi="Cambria Math"/>
                </w:rPr>
                <m:t>l,h</m:t>
              </m:r>
            </m:sub>
          </m:sSub>
          <m:d>
            <m:dPr>
              <m:begChr m:val="["/>
              <m:endChr m:val="]"/>
              <m:ctrlPr>
                <w:rPr>
                  <w:rFonts w:ascii="Cambria Math" w:hAnsi="Cambria Math"/>
                  <w:i/>
                </w:rPr>
              </m:ctrlPr>
            </m:dPr>
            <m:e>
              <m:r>
                <w:rPr>
                  <w:rFonts w:ascii="Cambria Math" w:hAnsi="Cambria Math"/>
                </w:rPr>
                <m:t>MWh</m:t>
              </m:r>
            </m:e>
          </m:d>
          <m:r>
            <w:rPr>
              <w:rFonts w:ascii="Cambria Math" w:hAnsi="Cambria Math"/>
            </w:rPr>
            <m:t>=</m:t>
          </m:r>
          <m:sSub>
            <m:sSubPr>
              <m:ctrlPr>
                <w:rPr>
                  <w:rFonts w:ascii="Cambria Math" w:hAnsi="Cambria Math"/>
                  <w:i/>
                </w:rPr>
              </m:ctrlPr>
            </m:sSubPr>
            <m:e>
              <m:r>
                <w:rPr>
                  <w:rFonts w:ascii="Cambria Math" w:hAnsi="Cambria Math"/>
                </w:rPr>
                <m:t>Act_E</m:t>
              </m:r>
            </m:e>
            <m:sub>
              <m:r>
                <w:rPr>
                  <w:rFonts w:ascii="Cambria Math" w:hAnsi="Cambria Math"/>
                </w:rPr>
                <m:t>l,h</m:t>
              </m:r>
            </m:sub>
          </m:sSub>
          <m:r>
            <w:rPr>
              <w:rFonts w:ascii="Cambria Math" w:eastAsiaTheme="minorEastAsia" w:hAnsi="Cambria Math"/>
            </w:rPr>
            <m:t>*</m:t>
          </m:r>
          <m:d>
            <m:dPr>
              <m:ctrlPr>
                <w:rPr>
                  <w:rFonts w:ascii="Cambria Math" w:eastAsiaTheme="minorEastAsia" w:hAnsi="Cambria Math"/>
                  <w:i/>
                </w:rPr>
              </m:ctrlPr>
            </m:dPr>
            <m:e>
              <m:r>
                <m:rPr>
                  <m:sty m:val="p"/>
                </m:rPr>
                <w:rPr>
                  <w:rFonts w:ascii="Cambria Math" w:hAnsi="Cambria Math"/>
                  <w:lang w:val="en-US"/>
                </w:rPr>
                <m:t>1+</m:t>
              </m:r>
              <m:sSub>
                <m:sSubPr>
                  <m:ctrlPr>
                    <w:rPr>
                      <w:rFonts w:ascii="Cambria Math" w:hAnsi="Cambria Math"/>
                    </w:rPr>
                  </m:ctrlPr>
                </m:sSubPr>
                <m:e>
                  <m:r>
                    <w:rPr>
                      <w:rFonts w:ascii="Cambria Math" w:hAnsi="Cambria Math"/>
                    </w:rPr>
                    <m:t>Uplift</m:t>
                  </m:r>
                </m:e>
                <m:sub>
                  <m:r>
                    <w:rPr>
                      <w:rFonts w:ascii="Cambria Math" w:hAnsi="Cambria Math"/>
                    </w:rPr>
                    <m:t>TrasnLoss</m:t>
                  </m:r>
                  <m:r>
                    <m:rPr>
                      <m:sty m:val="p"/>
                    </m:rPr>
                    <w:rPr>
                      <w:rFonts w:ascii="Cambria Math" w:hAnsi="Cambria Math"/>
                      <w:lang w:val="en-US"/>
                    </w:rPr>
                    <m:t>,</m:t>
                  </m:r>
                  <m:r>
                    <w:rPr>
                      <w:rFonts w:ascii="Cambria Math" w:hAnsi="Cambria Math"/>
                      <w:lang w:val="en-US"/>
                    </w:rPr>
                    <m:t>h</m:t>
                  </m:r>
                </m:sub>
              </m:sSub>
            </m:e>
          </m:d>
        </m:oMath>
      </m:oMathPara>
    </w:p>
    <w:p w14:paraId="667A198A" w14:textId="77777777" w:rsidR="00BB0B51" w:rsidRPr="00A72A5A" w:rsidRDefault="00BB0B51" w:rsidP="00BB0B51">
      <w:pPr>
        <w:pStyle w:val="BodyText"/>
        <w:ind w:left="3544" w:hanging="992"/>
      </w:pPr>
      <w:r w:rsidRPr="00A72A5A">
        <w:t xml:space="preserve">Where: </w:t>
      </w:r>
    </w:p>
    <w:p w14:paraId="7532AE81" w14:textId="61DFBB3F" w:rsidR="00BB0B51" w:rsidRPr="00A72A5A" w:rsidRDefault="004D6075" w:rsidP="00BB0B51">
      <w:pPr>
        <w:pStyle w:val="BodyText"/>
        <w:ind w:left="3544" w:hanging="992"/>
      </w:pPr>
      <m:oMath>
        <m:sSub>
          <m:sSubPr>
            <m:ctrlPr>
              <w:rPr>
                <w:rFonts w:ascii="Cambria Math" w:hAnsi="Cambria Math"/>
                <w:i/>
              </w:rPr>
            </m:ctrlPr>
          </m:sSubPr>
          <m:e>
            <m:r>
              <w:rPr>
                <w:rFonts w:ascii="Cambria Math" w:hAnsi="Cambria Math"/>
              </w:rPr>
              <m:t>ES</m:t>
            </m:r>
          </m:e>
          <m:sub>
            <m:r>
              <w:rPr>
                <w:rFonts w:ascii="Cambria Math" w:hAnsi="Cambria Math"/>
              </w:rPr>
              <m:t>l,h</m:t>
            </m:r>
          </m:sub>
        </m:sSub>
      </m:oMath>
      <w:r w:rsidR="00BB0B51" w:rsidRPr="00A72A5A">
        <w:rPr>
          <w:i/>
          <w:iCs/>
        </w:rPr>
        <w:t xml:space="preserve"> </w:t>
      </w:r>
      <w:r w:rsidR="0089002A">
        <w:rPr>
          <w:i/>
          <w:iCs/>
        </w:rPr>
        <w:t xml:space="preserve">        </w:t>
      </w:r>
      <w:r w:rsidR="00BB0B51" w:rsidRPr="00A72A5A">
        <w:rPr>
          <w:i/>
          <w:iCs/>
        </w:rPr>
        <w:t>is</w:t>
      </w:r>
      <w:r w:rsidR="00BB0B51" w:rsidRPr="00A72A5A">
        <w:t xml:space="preserve"> the total Energy </w:t>
      </w:r>
      <w:r w:rsidR="00BB0B51">
        <w:t>exported (</w:t>
      </w:r>
      <w:r w:rsidR="00BB0B51" w:rsidRPr="00A72A5A">
        <w:t>supplied</w:t>
      </w:r>
      <w:r w:rsidR="00BB0B51">
        <w:t>)</w:t>
      </w:r>
      <w:r w:rsidR="00BB0B51" w:rsidRPr="00A72A5A">
        <w:t xml:space="preserve"> </w:t>
      </w:r>
      <w:r w:rsidR="00BB0B51">
        <w:t xml:space="preserve">by </w:t>
      </w:r>
      <w:r w:rsidR="006C14E8">
        <w:t>a</w:t>
      </w:r>
      <w:r w:rsidR="00BF564D">
        <w:t>n</w:t>
      </w:r>
      <w:r w:rsidR="00BB0B51" w:rsidRPr="00A72A5A">
        <w:t xml:space="preserve"> </w:t>
      </w:r>
      <w:r w:rsidR="00BF564D">
        <w:t>Electric Power Trader</w:t>
      </w:r>
      <w:r w:rsidR="00BB0B51" w:rsidRPr="00A72A5A">
        <w:t xml:space="preserve"> </w:t>
      </w:r>
      <w:r w:rsidR="00BB0B51" w:rsidRPr="00A72A5A">
        <w:rPr>
          <w:i/>
          <w:iCs/>
        </w:rPr>
        <w:t>“</w:t>
      </w:r>
      <w:r w:rsidR="00BB0B51">
        <w:rPr>
          <w:i/>
          <w:iCs/>
        </w:rPr>
        <w:t>l</w:t>
      </w:r>
      <w:r w:rsidR="00BB0B51" w:rsidRPr="00A72A5A">
        <w:rPr>
          <w:i/>
          <w:iCs/>
        </w:rPr>
        <w:t>”,</w:t>
      </w:r>
      <w:r w:rsidR="00BB0B51" w:rsidRPr="00A72A5A">
        <w:t xml:space="preserve"> </w:t>
      </w:r>
      <w:r w:rsidR="00BB0B51">
        <w:t xml:space="preserve"> in hour </w:t>
      </w:r>
      <w:r w:rsidR="00BB0B51" w:rsidRPr="00F10A3F">
        <w:rPr>
          <w:i/>
          <w:iCs/>
        </w:rPr>
        <w:t>“h”</w:t>
      </w:r>
      <w:r w:rsidR="006C14E8">
        <w:rPr>
          <w:i/>
          <w:iCs/>
        </w:rPr>
        <w:t xml:space="preserve"> </w:t>
      </w:r>
      <w:r w:rsidR="006C14E8" w:rsidRPr="006C14E8">
        <w:t>in MWh</w:t>
      </w:r>
      <w:r w:rsidR="00BB0B51">
        <w:t xml:space="preserve">, which will be used for </w:t>
      </w:r>
      <w:r w:rsidR="006C14E8">
        <w:t>calculation of Imbalances</w:t>
      </w:r>
      <w:r w:rsidR="00BB0B51">
        <w:t>;</w:t>
      </w:r>
    </w:p>
    <w:p w14:paraId="345D6FDE" w14:textId="277E582B" w:rsidR="00BB0B51" w:rsidRPr="00A72A5A" w:rsidRDefault="00BB0B51" w:rsidP="00BB0B51">
      <w:pPr>
        <w:pStyle w:val="BodyText"/>
        <w:ind w:left="3544" w:hanging="992"/>
        <w:rPr>
          <w:iCs/>
        </w:rPr>
      </w:pPr>
      <m:oMath>
        <m:r>
          <w:rPr>
            <w:rFonts w:ascii="Cambria Math" w:hAnsi="Cambria Math"/>
          </w:rPr>
          <m:t>Act_</m:t>
        </m:r>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l,h</m:t>
            </m:r>
          </m:sub>
        </m:sSub>
      </m:oMath>
      <w:r w:rsidRPr="00A72A5A">
        <w:rPr>
          <w:rFonts w:ascii="Cambria Math" w:hAnsi="Cambria Math"/>
          <w:i/>
        </w:rPr>
        <w:tab/>
      </w:r>
      <w:r w:rsidRPr="00A72A5A">
        <w:rPr>
          <w:iCs/>
        </w:rPr>
        <w:t xml:space="preserve">is the Energy, </w:t>
      </w:r>
      <w:r>
        <w:rPr>
          <w:iCs/>
        </w:rPr>
        <w:t xml:space="preserve">Exported by </w:t>
      </w:r>
      <w:r w:rsidR="00BF564D">
        <w:rPr>
          <w:iCs/>
        </w:rPr>
        <w:t>Electric Power Trader</w:t>
      </w:r>
      <w:r w:rsidRPr="00A72A5A">
        <w:rPr>
          <w:iCs/>
        </w:rPr>
        <w:t xml:space="preserve"> </w:t>
      </w:r>
      <w:r w:rsidRPr="00A72A5A">
        <w:rPr>
          <w:i/>
        </w:rPr>
        <w:t>“</w:t>
      </w:r>
      <w:r>
        <w:rPr>
          <w:i/>
        </w:rPr>
        <w:t>l</w:t>
      </w:r>
      <w:r w:rsidRPr="00A72A5A">
        <w:rPr>
          <w:i/>
        </w:rPr>
        <w:t xml:space="preserve">”, </w:t>
      </w:r>
      <w:r w:rsidRPr="00A72A5A">
        <w:rPr>
          <w:iCs/>
        </w:rPr>
        <w:t xml:space="preserve">in hour </w:t>
      </w:r>
      <w:r w:rsidRPr="00A72A5A">
        <w:rPr>
          <w:i/>
        </w:rPr>
        <w:t>“h”</w:t>
      </w:r>
      <w:r w:rsidRPr="00A72A5A">
        <w:rPr>
          <w:iCs/>
        </w:rPr>
        <w:t>, calculated pursuant</w:t>
      </w:r>
      <w:r w:rsidRPr="001A7D29">
        <w:t xml:space="preserve"> </w:t>
      </w:r>
      <w:r w:rsidR="006C14E8">
        <w:t xml:space="preserve">to </w:t>
      </w:r>
      <w:r w:rsidRPr="001A7D29">
        <w:t>Clause</w:t>
      </w:r>
      <w:r>
        <w:t xml:space="preserve"> </w:t>
      </w:r>
      <w:r>
        <w:fldChar w:fldCharType="begin"/>
      </w:r>
      <w:r>
        <w:instrText xml:space="preserve"> REF _Ref68108993 \r \h </w:instrText>
      </w:r>
      <w:r>
        <w:fldChar w:fldCharType="separate"/>
      </w:r>
      <w:r>
        <w:t>6.2.1.3</w:t>
      </w:r>
      <w:r>
        <w:fldChar w:fldCharType="end"/>
      </w:r>
      <w:r w:rsidRPr="00A72A5A">
        <w:rPr>
          <w:iCs/>
        </w:rPr>
        <w:t>.</w:t>
      </w:r>
    </w:p>
    <w:p w14:paraId="7F996BCA" w14:textId="3020D0AB" w:rsidR="00BB0B51" w:rsidRPr="00A72A5A" w:rsidRDefault="004D6075">
      <w:pPr>
        <w:pStyle w:val="BodyText"/>
        <w:ind w:left="3544" w:hanging="992"/>
      </w:pPr>
      <m:oMath>
        <m:sSub>
          <m:sSubPr>
            <m:ctrlPr>
              <w:rPr>
                <w:rFonts w:ascii="Cambria Math" w:hAnsi="Cambria Math"/>
              </w:rPr>
            </m:ctrlPr>
          </m:sSubPr>
          <m:e>
            <m:r>
              <w:rPr>
                <w:rFonts w:ascii="Cambria Math" w:hAnsi="Cambria Math"/>
              </w:rPr>
              <m:t>Uplift</m:t>
            </m:r>
          </m:e>
          <m:sub>
            <m:r>
              <w:rPr>
                <w:rFonts w:ascii="Cambria Math" w:hAnsi="Cambria Math"/>
              </w:rPr>
              <m:t>TrasnLoss</m:t>
            </m:r>
            <m:r>
              <m:rPr>
                <m:sty m:val="p"/>
              </m:rPr>
              <w:rPr>
                <w:rFonts w:ascii="Cambria Math" w:hAnsi="Cambria Math"/>
                <w:lang w:val="en-US"/>
              </w:rPr>
              <m:t>,</m:t>
            </m:r>
            <m:r>
              <w:rPr>
                <w:rFonts w:ascii="Cambria Math" w:hAnsi="Cambria Math"/>
                <w:lang w:val="en-US"/>
              </w:rPr>
              <m:t>h</m:t>
            </m:r>
          </m:sub>
        </m:sSub>
      </m:oMath>
      <w:r w:rsidR="00BB0B51" w:rsidRPr="00A72A5A">
        <w:rPr>
          <w:i/>
          <w:iCs/>
        </w:rPr>
        <w:tab/>
      </w:r>
      <w:r w:rsidR="00BB0B51" w:rsidRPr="00A72A5A">
        <w:t xml:space="preserve">is the total </w:t>
      </w:r>
      <w:r w:rsidR="00BB0B51">
        <w:t xml:space="preserve">Uplift Coefficient for hour “h”, calculated </w:t>
      </w:r>
      <w:r w:rsidR="006C14E8">
        <w:t>pursuant to</w:t>
      </w:r>
      <w:r w:rsidR="00BB0B51">
        <w:t xml:space="preserve"> Clause </w:t>
      </w:r>
      <w:r w:rsidR="00BB0B51">
        <w:fldChar w:fldCharType="begin"/>
      </w:r>
      <w:r w:rsidR="00BB0B51">
        <w:instrText xml:space="preserve"> REF _Ref70630951 \r \h </w:instrText>
      </w:r>
      <w:r w:rsidR="00BB0B51">
        <w:fldChar w:fldCharType="separate"/>
      </w:r>
      <w:r w:rsidR="00BB0B51">
        <w:t>6.3.3.1</w:t>
      </w:r>
      <w:r w:rsidR="00BB0B51">
        <w:fldChar w:fldCharType="end"/>
      </w:r>
      <w:r w:rsidR="00BB0B51">
        <w:t>.</w:t>
      </w:r>
    </w:p>
    <w:p w14:paraId="3BC923E9" w14:textId="77777777" w:rsidR="00BB0B51" w:rsidRDefault="00BB0B51" w:rsidP="00BB0B51">
      <w:pPr>
        <w:pStyle w:val="Heading2"/>
      </w:pPr>
      <w:r>
        <w:t xml:space="preserve">Determination of the Imbalance Amounts </w:t>
      </w:r>
    </w:p>
    <w:p w14:paraId="2E73817B" w14:textId="77777777" w:rsidR="00BB0B51" w:rsidRDefault="00BB0B51" w:rsidP="00BB0B51">
      <w:pPr>
        <w:pStyle w:val="Heading3"/>
      </w:pPr>
      <w:r>
        <w:t xml:space="preserve">Determination of Market Participants’ Contracted Quantities </w:t>
      </w:r>
    </w:p>
    <w:p w14:paraId="203B0B60" w14:textId="0FD36B4C" w:rsidR="00BB0B51" w:rsidRDefault="00BB0B51" w:rsidP="00BB0B51">
      <w:pPr>
        <w:pStyle w:val="Heading4"/>
      </w:pPr>
      <w:r>
        <w:t xml:space="preserve">The Market Operator shall calculate the energy bought and sold through </w:t>
      </w:r>
      <w:r w:rsidR="0006445A">
        <w:t xml:space="preserve">registered </w:t>
      </w:r>
      <w:r>
        <w:t xml:space="preserve">Contracts among Market Participant at each </w:t>
      </w:r>
      <w:r w:rsidR="006C14E8">
        <w:t xml:space="preserve">Energy </w:t>
      </w:r>
      <w:r>
        <w:t xml:space="preserve">Balancing Period (one hour) using the information contained in the Contracts Register. </w:t>
      </w:r>
    </w:p>
    <w:p w14:paraId="1430247D" w14:textId="22D80056" w:rsidR="00BB0B51" w:rsidRDefault="00967C56" w:rsidP="00BB0B51">
      <w:pPr>
        <w:pStyle w:val="Heading4"/>
      </w:pPr>
      <w:r>
        <w:t>For each Market Participant, t</w:t>
      </w:r>
      <w:r w:rsidR="00BB0B51">
        <w:t xml:space="preserve">he Market Operator </w:t>
      </w:r>
      <w:r w:rsidR="006C14E8">
        <w:t>shall</w:t>
      </w:r>
      <w:r w:rsidR="00BB0B51">
        <w:t xml:space="preserve"> determine the Energy bought and sold</w:t>
      </w:r>
      <w:r>
        <w:t xml:space="preserve"> through Contracts</w:t>
      </w:r>
      <w:r w:rsidR="00BB0B51">
        <w:t xml:space="preserve"> from/to other Market Participants </w:t>
      </w:r>
      <w:r>
        <w:t>on hourly basis</w:t>
      </w:r>
      <w:r w:rsidR="00BB0B51">
        <w:t xml:space="preserve"> as: </w:t>
      </w:r>
    </w:p>
    <w:p w14:paraId="15F4953F" w14:textId="77777777" w:rsidR="00BB0B51" w:rsidRPr="00785044" w:rsidRDefault="004D6075" w:rsidP="00BB0B51">
      <w:pPr>
        <w:pStyle w:val="BodyText"/>
        <w:rPr>
          <w:rFonts w:eastAsiaTheme="minorEastAsia"/>
        </w:rPr>
      </w:pPr>
      <m:oMathPara>
        <m:oMath>
          <m:sSub>
            <m:sSubPr>
              <m:ctrlPr>
                <w:rPr>
                  <w:rFonts w:ascii="Cambria Math" w:hAnsi="Cambria Math"/>
                </w:rPr>
              </m:ctrlPr>
            </m:sSubPr>
            <m:e>
              <m:r>
                <w:rPr>
                  <w:rFonts w:ascii="Cambria Math" w:hAnsi="Cambria Math"/>
                </w:rPr>
                <m:t>ET</m:t>
              </m:r>
            </m:e>
            <m:sub>
              <m:r>
                <w:rPr>
                  <w:rFonts w:ascii="Cambria Math" w:hAnsi="Cambria Math"/>
                </w:rPr>
                <m:t>mp</m:t>
              </m:r>
              <m:r>
                <m:rPr>
                  <m:sty m:val="p"/>
                </m:rPr>
                <w:rPr>
                  <w:rFonts w:ascii="Cambria Math" w:hAnsi="Cambria Math"/>
                </w:rPr>
                <m:t>,</m:t>
              </m:r>
              <m:r>
                <w:rPr>
                  <w:rFonts w:ascii="Cambria Math" w:hAnsi="Cambria Math"/>
                </w:rPr>
                <m:t>h</m:t>
              </m:r>
            </m:sub>
          </m:sSub>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 xml:space="preserve">∀ </m:t>
              </m:r>
              <m:r>
                <w:rPr>
                  <w:rFonts w:ascii="Cambria Math" w:hAnsi="Cambria Math"/>
                </w:rPr>
                <m:t>kϵ</m:t>
              </m:r>
              <m:sSub>
                <m:sSubPr>
                  <m:ctrlPr>
                    <w:rPr>
                      <w:rFonts w:ascii="Cambria Math" w:hAnsi="Cambria Math"/>
                    </w:rPr>
                  </m:ctrlPr>
                </m:sSubPr>
                <m:e>
                  <m:r>
                    <w:rPr>
                      <w:rFonts w:ascii="Cambria Math" w:hAnsi="Cambria Math"/>
                    </w:rPr>
                    <m:t>C</m:t>
                  </m:r>
                </m:e>
                <m:sub>
                  <m:r>
                    <w:rPr>
                      <w:rFonts w:ascii="Cambria Math" w:hAnsi="Cambria Math"/>
                    </w:rPr>
                    <m:t>mp</m:t>
                  </m:r>
                </m:sub>
              </m:sSub>
            </m:sub>
            <m:sup/>
            <m:e>
              <m:sSub>
                <m:sSubPr>
                  <m:ctrlPr>
                    <w:rPr>
                      <w:rFonts w:ascii="Cambria Math" w:hAnsi="Cambria Math" w:cstheme="minorHAnsi"/>
                    </w:rPr>
                  </m:ctrlPr>
                </m:sSubPr>
                <m:e>
                  <m:r>
                    <w:rPr>
                      <w:rFonts w:ascii="Cambria Math" w:hAnsi="Cambria Math" w:cstheme="minorHAnsi"/>
                      <w:lang w:val="en-US"/>
                    </w:rPr>
                    <m:t>ETC</m:t>
                  </m:r>
                </m:e>
                <m:sub>
                  <m:r>
                    <w:rPr>
                      <w:rFonts w:ascii="Cambria Math" w:hAnsi="Cambria Math" w:cstheme="minorHAnsi"/>
                    </w:rPr>
                    <m:t>mp</m:t>
                  </m:r>
                  <m:r>
                    <m:rPr>
                      <m:sty m:val="p"/>
                    </m:rPr>
                    <w:rPr>
                      <w:rFonts w:ascii="Cambria Math" w:hAnsi="Cambria Math" w:cstheme="minorHAnsi"/>
                    </w:rPr>
                    <m:t>,</m:t>
                  </m:r>
                  <m:r>
                    <w:rPr>
                      <w:rFonts w:ascii="Cambria Math" w:hAnsi="Cambria Math" w:cstheme="minorHAnsi"/>
                    </w:rPr>
                    <m:t>k</m:t>
                  </m:r>
                  <m:r>
                    <m:rPr>
                      <m:sty m:val="p"/>
                    </m:rPr>
                    <w:rPr>
                      <w:rFonts w:ascii="Cambria Math" w:hAnsi="Cambria Math" w:cstheme="minorHAnsi"/>
                      <w:lang w:val="en-US"/>
                    </w:rPr>
                    <m:t>,</m:t>
                  </m:r>
                  <m:r>
                    <w:rPr>
                      <w:rFonts w:ascii="Cambria Math" w:hAnsi="Cambria Math" w:cstheme="minorHAnsi"/>
                      <w:lang w:val="en-US"/>
                    </w:rPr>
                    <m:t>h</m:t>
                  </m:r>
                </m:sub>
              </m:sSub>
            </m:e>
          </m:nary>
        </m:oMath>
      </m:oMathPara>
    </w:p>
    <w:p w14:paraId="630E5073" w14:textId="77777777" w:rsidR="00BB0B51" w:rsidRPr="007279F9" w:rsidRDefault="00BB0B51" w:rsidP="00BB0B51">
      <w:pPr>
        <w:ind w:left="1276"/>
        <w:rPr>
          <w:rFonts w:eastAsiaTheme="minorEastAsia" w:cstheme="minorHAnsi"/>
        </w:rPr>
      </w:pPr>
      <w:r w:rsidRPr="007279F9">
        <w:rPr>
          <w:rFonts w:eastAsiaTheme="minorEastAsia" w:cstheme="minorHAnsi"/>
        </w:rPr>
        <w:t xml:space="preserve">Where: </w:t>
      </w:r>
    </w:p>
    <w:p w14:paraId="37313F51" w14:textId="570A5214" w:rsidR="00BB0B51" w:rsidRPr="007279F9" w:rsidRDefault="00BB0B51" w:rsidP="00BB0B51">
      <w:pPr>
        <w:pStyle w:val="ListParagraph"/>
        <w:numPr>
          <w:ilvl w:val="0"/>
          <w:numId w:val="23"/>
        </w:numPr>
        <w:rPr>
          <w:rFonts w:eastAsiaTheme="minorEastAsia" w:cstheme="minorHAnsi"/>
        </w:rPr>
      </w:pPr>
      <w:r w:rsidRPr="007279F9">
        <w:rPr>
          <w:rFonts w:eastAsiaTheme="minorEastAsia" w:cstheme="minorHAnsi"/>
          <w:i/>
          <w:iCs/>
        </w:rPr>
        <w:t>ET</w:t>
      </w:r>
      <w:r w:rsidRPr="007279F9">
        <w:rPr>
          <w:rFonts w:eastAsiaTheme="minorEastAsia" w:cstheme="minorHAnsi"/>
          <w:i/>
          <w:iCs/>
          <w:vertAlign w:val="subscript"/>
        </w:rPr>
        <w:t>mp,h</w:t>
      </w:r>
      <w:r w:rsidRPr="007279F9">
        <w:rPr>
          <w:rFonts w:eastAsiaTheme="minorEastAsia" w:cstheme="minorHAnsi"/>
        </w:rPr>
        <w:t xml:space="preserve"> is the </w:t>
      </w:r>
      <w:r>
        <w:rPr>
          <w:rFonts w:eastAsiaTheme="minorEastAsia" w:cstheme="minorHAnsi"/>
        </w:rPr>
        <w:t>Energy</w:t>
      </w:r>
      <w:r w:rsidRPr="007279F9">
        <w:rPr>
          <w:rFonts w:eastAsiaTheme="minorEastAsia" w:cstheme="minorHAnsi"/>
        </w:rPr>
        <w:t xml:space="preserve"> </w:t>
      </w:r>
      <w:r>
        <w:rPr>
          <w:rFonts w:eastAsiaTheme="minorEastAsia" w:cstheme="minorHAnsi"/>
        </w:rPr>
        <w:t>bought and sold</w:t>
      </w:r>
      <w:r w:rsidRPr="007279F9">
        <w:rPr>
          <w:rFonts w:eastAsiaTheme="minorEastAsia" w:cstheme="minorHAnsi"/>
        </w:rPr>
        <w:t xml:space="preserve"> by the Market Participant </w:t>
      </w:r>
      <w:r w:rsidR="00967C56">
        <w:rPr>
          <w:rFonts w:eastAsiaTheme="minorEastAsia" w:cstheme="minorHAnsi"/>
        </w:rPr>
        <w:t>“</w:t>
      </w:r>
      <w:r w:rsidRPr="007279F9">
        <w:rPr>
          <w:rFonts w:eastAsiaTheme="minorEastAsia" w:cstheme="minorHAnsi"/>
          <w:i/>
          <w:iCs/>
        </w:rPr>
        <w:t>m</w:t>
      </w:r>
      <w:r>
        <w:rPr>
          <w:rFonts w:eastAsiaTheme="minorEastAsia" w:cstheme="minorHAnsi"/>
          <w:i/>
          <w:iCs/>
        </w:rPr>
        <w:t>p</w:t>
      </w:r>
      <w:r w:rsidR="00967C56">
        <w:rPr>
          <w:rFonts w:eastAsiaTheme="minorEastAsia" w:cstheme="minorHAnsi"/>
          <w:i/>
          <w:iCs/>
        </w:rPr>
        <w:t>”</w:t>
      </w:r>
      <w:r w:rsidRPr="00970AC0">
        <w:rPr>
          <w:rFonts w:eastAsiaTheme="minorEastAsia" w:cstheme="minorHAnsi"/>
        </w:rPr>
        <w:t xml:space="preserve"> </w:t>
      </w:r>
      <w:r w:rsidRPr="007279F9">
        <w:rPr>
          <w:rFonts w:eastAsiaTheme="minorEastAsia" w:cstheme="minorHAnsi"/>
        </w:rPr>
        <w:t xml:space="preserve">through Contracts </w:t>
      </w:r>
      <w:r>
        <w:rPr>
          <w:rFonts w:eastAsiaTheme="minorEastAsia" w:cstheme="minorHAnsi"/>
        </w:rPr>
        <w:t xml:space="preserve">with other Market Participants </w:t>
      </w:r>
      <w:r w:rsidRPr="007279F9">
        <w:rPr>
          <w:rFonts w:eastAsiaTheme="minorEastAsia" w:cstheme="minorHAnsi"/>
        </w:rPr>
        <w:t xml:space="preserve">during hour </w:t>
      </w:r>
      <w:r w:rsidRPr="007279F9">
        <w:rPr>
          <w:rFonts w:eastAsiaTheme="minorEastAsia" w:cstheme="minorHAnsi"/>
          <w:i/>
          <w:iCs/>
        </w:rPr>
        <w:t>h</w:t>
      </w:r>
    </w:p>
    <w:p w14:paraId="7756E3B5" w14:textId="3EC3C6FD" w:rsidR="00BB0B51" w:rsidRPr="007279F9" w:rsidRDefault="00BB0B51" w:rsidP="00BB0B51">
      <w:pPr>
        <w:pStyle w:val="ListParagraph"/>
        <w:numPr>
          <w:ilvl w:val="0"/>
          <w:numId w:val="23"/>
        </w:numPr>
        <w:rPr>
          <w:rFonts w:eastAsiaTheme="minorEastAsia" w:cstheme="minorHAnsi"/>
        </w:rPr>
      </w:pPr>
      <w:r w:rsidRPr="007279F9">
        <w:rPr>
          <w:rFonts w:eastAsiaTheme="minorEastAsia" w:cstheme="minorHAnsi"/>
          <w:i/>
          <w:iCs/>
        </w:rPr>
        <w:t>ETCmp,</w:t>
      </w:r>
      <w:r w:rsidRPr="007279F9">
        <w:rPr>
          <w:rFonts w:eastAsiaTheme="minorEastAsia" w:cstheme="minorHAnsi"/>
          <w:i/>
          <w:iCs/>
          <w:vertAlign w:val="subscript"/>
        </w:rPr>
        <w:t>k,h</w:t>
      </w:r>
      <w:r w:rsidRPr="007279F9">
        <w:rPr>
          <w:rFonts w:eastAsiaTheme="minorEastAsia" w:cstheme="minorHAnsi"/>
        </w:rPr>
        <w:t xml:space="preserve"> is the </w:t>
      </w:r>
      <w:r>
        <w:rPr>
          <w:rFonts w:eastAsiaTheme="minorEastAsia" w:cstheme="minorHAnsi"/>
        </w:rPr>
        <w:t>Energy</w:t>
      </w:r>
      <w:r w:rsidRPr="007279F9">
        <w:rPr>
          <w:rFonts w:eastAsiaTheme="minorEastAsia" w:cstheme="minorHAnsi"/>
        </w:rPr>
        <w:t xml:space="preserve"> purchased or sold by the Market Participant </w:t>
      </w:r>
      <w:r w:rsidR="00967C56">
        <w:rPr>
          <w:rFonts w:eastAsiaTheme="minorEastAsia" w:cstheme="minorHAnsi"/>
        </w:rPr>
        <w:t>“</w:t>
      </w:r>
      <w:r w:rsidRPr="007279F9">
        <w:rPr>
          <w:rFonts w:eastAsiaTheme="minorEastAsia" w:cstheme="minorHAnsi"/>
          <w:i/>
          <w:iCs/>
        </w:rPr>
        <w:t>mp</w:t>
      </w:r>
      <w:r w:rsidR="00967C56">
        <w:rPr>
          <w:rFonts w:eastAsiaTheme="minorEastAsia" w:cstheme="minorHAnsi"/>
          <w:i/>
          <w:iCs/>
        </w:rPr>
        <w:t>”</w:t>
      </w:r>
      <w:r w:rsidRPr="007279F9">
        <w:rPr>
          <w:rFonts w:eastAsiaTheme="minorEastAsia" w:cstheme="minorHAnsi"/>
        </w:rPr>
        <w:t xml:space="preserve"> </w:t>
      </w:r>
      <w:r w:rsidR="00967C56">
        <w:rPr>
          <w:rFonts w:eastAsiaTheme="minorEastAsia" w:cstheme="minorHAnsi"/>
        </w:rPr>
        <w:t>through</w:t>
      </w:r>
      <w:r w:rsidRPr="007279F9">
        <w:rPr>
          <w:rFonts w:eastAsiaTheme="minorEastAsia" w:cstheme="minorHAnsi"/>
        </w:rPr>
        <w:t xml:space="preserve"> the Contract </w:t>
      </w:r>
      <w:r w:rsidR="00967C56">
        <w:rPr>
          <w:rFonts w:eastAsiaTheme="minorEastAsia" w:cstheme="minorHAnsi"/>
        </w:rPr>
        <w:t>“</w:t>
      </w:r>
      <w:r w:rsidRPr="007279F9">
        <w:rPr>
          <w:rFonts w:eastAsiaTheme="minorEastAsia" w:cstheme="minorHAnsi"/>
          <w:i/>
          <w:iCs/>
        </w:rPr>
        <w:t>k</w:t>
      </w:r>
      <w:r w:rsidR="00967C56">
        <w:rPr>
          <w:rFonts w:eastAsiaTheme="minorEastAsia" w:cstheme="minorHAnsi"/>
          <w:i/>
          <w:iCs/>
        </w:rPr>
        <w:t>”</w:t>
      </w:r>
      <w:r w:rsidRPr="007279F9">
        <w:rPr>
          <w:rFonts w:eastAsiaTheme="minorEastAsia" w:cstheme="minorHAnsi"/>
        </w:rPr>
        <w:t xml:space="preserve"> </w:t>
      </w:r>
      <w:r w:rsidR="00967C56">
        <w:rPr>
          <w:rFonts w:eastAsiaTheme="minorEastAsia" w:cstheme="minorHAnsi"/>
        </w:rPr>
        <w:t xml:space="preserve">during </w:t>
      </w:r>
      <w:r w:rsidRPr="007279F9">
        <w:rPr>
          <w:rFonts w:eastAsiaTheme="minorEastAsia" w:cstheme="minorHAnsi"/>
        </w:rPr>
        <w:t xml:space="preserve"> hour </w:t>
      </w:r>
      <w:r w:rsidR="00967C56">
        <w:rPr>
          <w:rFonts w:eastAsiaTheme="minorEastAsia" w:cstheme="minorHAnsi"/>
        </w:rPr>
        <w:t>“</w:t>
      </w:r>
      <w:r w:rsidRPr="007279F9">
        <w:rPr>
          <w:rFonts w:eastAsiaTheme="minorEastAsia" w:cstheme="minorHAnsi"/>
          <w:i/>
          <w:iCs/>
        </w:rPr>
        <w:t>h</w:t>
      </w:r>
      <w:r w:rsidR="00967C56">
        <w:rPr>
          <w:rFonts w:eastAsiaTheme="minorEastAsia" w:cstheme="minorHAnsi"/>
          <w:i/>
          <w:iCs/>
        </w:rPr>
        <w:t>”</w:t>
      </w:r>
    </w:p>
    <w:p w14:paraId="5B6A9C6D" w14:textId="0C62C6EB" w:rsidR="00BB0B51" w:rsidRPr="007279F9" w:rsidRDefault="00BB0B51" w:rsidP="00BB0B51">
      <w:pPr>
        <w:pStyle w:val="ListParagraph"/>
        <w:numPr>
          <w:ilvl w:val="0"/>
          <w:numId w:val="23"/>
        </w:numPr>
        <w:rPr>
          <w:rFonts w:eastAsiaTheme="minorEastAsia" w:cstheme="minorHAnsi"/>
        </w:rPr>
      </w:pPr>
      <w:r w:rsidRPr="007279F9">
        <w:rPr>
          <w:rFonts w:ascii="Cambria Math" w:eastAsiaTheme="minorEastAsia" w:hAnsi="Cambria Math" w:cs="Cambria Math"/>
          <w:i/>
          <w:iCs/>
        </w:rPr>
        <w:t>∀</w:t>
      </w:r>
      <w:r w:rsidRPr="007279F9">
        <w:rPr>
          <w:rFonts w:eastAsiaTheme="minorEastAsia" w:cstheme="minorHAnsi"/>
          <w:i/>
          <w:iCs/>
        </w:rPr>
        <w:t xml:space="preserve"> k </w:t>
      </w:r>
      <w:r w:rsidRPr="007279F9">
        <w:rPr>
          <w:rFonts w:ascii="Cambria Math" w:eastAsiaTheme="minorEastAsia" w:hAnsi="Cambria Math" w:cs="Cambria Math"/>
          <w:i/>
          <w:iCs/>
        </w:rPr>
        <w:t>∈</w:t>
      </w:r>
      <w:r w:rsidRPr="007279F9">
        <w:rPr>
          <w:rFonts w:eastAsiaTheme="minorEastAsia" w:cstheme="minorHAnsi"/>
          <w:i/>
          <w:iCs/>
        </w:rPr>
        <w:t xml:space="preserve"> C</w:t>
      </w:r>
      <w:r w:rsidRPr="007279F9">
        <w:rPr>
          <w:rFonts w:eastAsiaTheme="minorEastAsia" w:cstheme="minorHAnsi"/>
          <w:i/>
          <w:iCs/>
          <w:vertAlign w:val="subscript"/>
        </w:rPr>
        <w:t xml:space="preserve">mp </w:t>
      </w:r>
      <w:r w:rsidRPr="007279F9">
        <w:rPr>
          <w:rFonts w:eastAsiaTheme="minorEastAsia" w:cstheme="minorHAnsi"/>
        </w:rPr>
        <w:t xml:space="preserve">means </w:t>
      </w:r>
      <w:r w:rsidR="00967C56">
        <w:rPr>
          <w:rFonts w:eastAsiaTheme="minorEastAsia" w:cstheme="minorHAnsi"/>
        </w:rPr>
        <w:t>all the Contracts of the Market Participant “mp” with other Market Participants through which it has bought or sold Energy</w:t>
      </w:r>
      <w:r w:rsidRPr="007279F9">
        <w:rPr>
          <w:rFonts w:eastAsiaTheme="minorEastAsia" w:cstheme="minorHAnsi"/>
        </w:rPr>
        <w:t xml:space="preserve">. </w:t>
      </w:r>
    </w:p>
    <w:p w14:paraId="23FFDD3D" w14:textId="0960F0DF" w:rsidR="00BB0B51" w:rsidRDefault="00BB0B51" w:rsidP="00BB0B51">
      <w:pPr>
        <w:pStyle w:val="Heading4"/>
      </w:pPr>
      <w:r>
        <w:t xml:space="preserve">Sign </w:t>
      </w:r>
      <w:r w:rsidRPr="0068061A">
        <w:t xml:space="preserve">convention: For the application of the formula </w:t>
      </w:r>
      <w:r w:rsidR="00967C56">
        <w:t>provided</w:t>
      </w:r>
      <w:r w:rsidRPr="0068061A">
        <w:t xml:space="preserve"> in Clause </w:t>
      </w:r>
      <w:r w:rsidRPr="0068061A">
        <w:fldChar w:fldCharType="begin"/>
      </w:r>
      <w:r w:rsidRPr="0068061A">
        <w:instrText xml:space="preserve"> REF _Ref59458106 \r \h </w:instrText>
      </w:r>
      <w:r>
        <w:instrText xml:space="preserve"> \* MERGEFORMAT </w:instrText>
      </w:r>
      <w:r w:rsidRPr="0068061A">
        <w:fldChar w:fldCharType="separate"/>
      </w:r>
      <w:r>
        <w:t>6.4.1.2</w:t>
      </w:r>
      <w:r w:rsidRPr="0068061A">
        <w:fldChar w:fldCharType="end"/>
      </w:r>
      <w:r w:rsidRPr="0068061A">
        <w:t>, the Energy bought and sold in each</w:t>
      </w:r>
      <w:r>
        <w:t xml:space="preserve"> </w:t>
      </w:r>
      <w:r w:rsidR="00967C56">
        <w:t xml:space="preserve">registered </w:t>
      </w:r>
      <w:r>
        <w:t xml:space="preserve">Contract shall be considered positive if </w:t>
      </w:r>
      <w:r w:rsidR="00967C56">
        <w:t xml:space="preserve">the </w:t>
      </w:r>
      <w:r>
        <w:t xml:space="preserve">Market Participant is the buyer of such Energy and negative if the Market Participant is a seller. </w:t>
      </w:r>
    </w:p>
    <w:p w14:paraId="29D72642" w14:textId="77777777" w:rsidR="00BB0B51" w:rsidRDefault="00BB0B51" w:rsidP="00BB0B51">
      <w:pPr>
        <w:pStyle w:val="Heading3"/>
      </w:pPr>
      <w:r>
        <w:t xml:space="preserve">Determination of Market Participants’ Energy Imbalances </w:t>
      </w:r>
    </w:p>
    <w:p w14:paraId="5A1389A7" w14:textId="21573408" w:rsidR="00BB0B51" w:rsidRDefault="00BB0B51" w:rsidP="00BB0B51">
      <w:pPr>
        <w:pStyle w:val="Heading4"/>
      </w:pPr>
      <w:r>
        <w:t xml:space="preserve">The Market Operator shall </w:t>
      </w:r>
      <w:r w:rsidR="00967C56">
        <w:t>calculate</w:t>
      </w:r>
      <w:r>
        <w:t xml:space="preserve"> the </w:t>
      </w:r>
      <w:r w:rsidR="00967C56">
        <w:t xml:space="preserve">Imbalance of </w:t>
      </w:r>
      <w:r>
        <w:t xml:space="preserve">Energy of each Market Participant </w:t>
      </w:r>
      <w:r w:rsidR="00967C56">
        <w:t>on hourly basis</w:t>
      </w:r>
      <w:r>
        <w:t xml:space="preserve"> as the difference between the Energy </w:t>
      </w:r>
      <w:r w:rsidR="00986DFE">
        <w:t>injected</w:t>
      </w:r>
      <w:r>
        <w:t xml:space="preserve"> by the Market Participant</w:t>
      </w:r>
      <w:r w:rsidR="00986DFE">
        <w:t xml:space="preserve"> into the Grid System</w:t>
      </w:r>
      <w:r>
        <w:t xml:space="preserve"> </w:t>
      </w:r>
      <w:r w:rsidR="00986DFE">
        <w:t>plus</w:t>
      </w:r>
      <w:r>
        <w:t xml:space="preserve"> the Energy bought and sold through </w:t>
      </w:r>
      <w:r w:rsidR="00986DFE">
        <w:t xml:space="preserve">registered </w:t>
      </w:r>
      <w:r w:rsidR="0006445A">
        <w:t xml:space="preserve">Contracts </w:t>
      </w:r>
      <w:r w:rsidR="00986DFE">
        <w:t>and the Energy supplied by such Market Participant which shall be calculated as:</w:t>
      </w:r>
      <w:r>
        <w:t xml:space="preserve"> </w:t>
      </w:r>
    </w:p>
    <w:p w14:paraId="3A94B5FE" w14:textId="77777777" w:rsidR="00BB0B51" w:rsidRPr="00785044" w:rsidRDefault="004D6075" w:rsidP="00BB0B51">
      <w:pPr>
        <w:pStyle w:val="BodyText"/>
        <w:rPr>
          <w:rFonts w:eastAsiaTheme="minorEastAsia"/>
        </w:rPr>
      </w:pPr>
      <m:oMathPara>
        <m:oMath>
          <m:sSub>
            <m:sSubPr>
              <m:ctrlPr>
                <w:rPr>
                  <w:rFonts w:ascii="Cambria Math" w:hAnsi="Cambria Math"/>
                </w:rPr>
              </m:ctrlPr>
            </m:sSubPr>
            <m:e>
              <m:r>
                <w:rPr>
                  <w:rFonts w:ascii="Cambria Math" w:hAnsi="Cambria Math"/>
                </w:rPr>
                <m:t>Imb</m:t>
              </m:r>
              <m:r>
                <m:rPr>
                  <m:sty m:val="p"/>
                </m:rPr>
                <w:rPr>
                  <w:rFonts w:ascii="Cambria Math" w:hAnsi="Cambria Math"/>
                </w:rPr>
                <m:t>_</m:t>
              </m:r>
              <m:r>
                <w:rPr>
                  <w:rFonts w:ascii="Cambria Math" w:hAnsi="Cambria Math"/>
                </w:rPr>
                <m:t>E</m:t>
              </m:r>
            </m:e>
            <m:sub>
              <m:r>
                <w:rPr>
                  <w:rFonts w:ascii="Cambria Math" w:hAnsi="Cambria Math"/>
                </w:rPr>
                <m:t>mp</m:t>
              </m:r>
              <m:r>
                <m:rPr>
                  <m:sty m:val="p"/>
                </m:rPr>
                <w:rPr>
                  <w:rFonts w:ascii="Cambria Math" w:hAnsi="Cambria Math"/>
                </w:rPr>
                <m:t>,</m:t>
              </m:r>
              <m:r>
                <w:rPr>
                  <w:rFonts w:ascii="Cambria Math" w:hAnsi="Cambria Math"/>
                </w:rPr>
                <m:t>h</m:t>
              </m:r>
            </m:sub>
          </m:sSub>
          <m:d>
            <m:dPr>
              <m:begChr m:val="["/>
              <m:endChr m:val="]"/>
              <m:ctrlPr>
                <w:rPr>
                  <w:rFonts w:ascii="Cambria Math" w:hAnsi="Cambria Math"/>
                </w:rPr>
              </m:ctrlPr>
            </m:dPr>
            <m:e>
              <m:r>
                <w:rPr>
                  <w:rFonts w:ascii="Cambria Math" w:hAnsi="Cambria Math"/>
                </w:rPr>
                <m:t>MWh</m:t>
              </m:r>
            </m:e>
          </m:d>
          <m:r>
            <m:rPr>
              <m:sty m:val="p"/>
            </m:rPr>
            <w:rPr>
              <w:rFonts w:ascii="Cambria Math" w:hAnsi="Cambria Math"/>
            </w:rPr>
            <m:t>=</m:t>
          </m:r>
          <m:sSub>
            <m:sSubPr>
              <m:ctrlPr>
                <w:rPr>
                  <w:rFonts w:ascii="Cambria Math" w:hAnsi="Cambria Math"/>
                </w:rPr>
              </m:ctrlPr>
            </m:sSubPr>
            <m:e>
              <m:sSub>
                <m:sSubPr>
                  <m:ctrlPr>
                    <w:rPr>
                      <w:rFonts w:ascii="Cambria Math" w:hAnsi="Cambria Math"/>
                      <w:i/>
                    </w:rPr>
                  </m:ctrlPr>
                </m:sSubPr>
                <m:e>
                  <m:r>
                    <w:rPr>
                      <w:rFonts w:ascii="Cambria Math" w:hAnsi="Cambria Math"/>
                    </w:rPr>
                    <m:t>Gen</m:t>
                  </m:r>
                </m:e>
                <m:sub>
                  <m:r>
                    <w:rPr>
                      <w:rFonts w:ascii="Cambria Math" w:hAnsi="Cambria Math"/>
                    </w:rPr>
                    <m:t>mp,h</m:t>
                  </m:r>
                </m:sub>
              </m:sSub>
              <m:d>
                <m:dPr>
                  <m:begChr m:val="["/>
                  <m:endChr m:val="]"/>
                  <m:ctrlPr>
                    <w:rPr>
                      <w:rFonts w:ascii="Cambria Math" w:hAnsi="Cambria Math"/>
                    </w:rPr>
                  </m:ctrlPr>
                </m:dPr>
                <m:e>
                  <m:r>
                    <w:rPr>
                      <w:rFonts w:ascii="Cambria Math" w:hAnsi="Cambria Math"/>
                    </w:rPr>
                    <m:t>MWh</m:t>
                  </m:r>
                </m:e>
              </m:d>
              <m:r>
                <w:rPr>
                  <w:rFonts w:ascii="Cambria Math" w:hAnsi="Cambria Math"/>
                </w:rPr>
                <m:t>+</m:t>
              </m:r>
              <m:sSub>
                <m:sSubPr>
                  <m:ctrlPr>
                    <w:rPr>
                      <w:rFonts w:ascii="Cambria Math" w:hAnsi="Cambria Math"/>
                    </w:rPr>
                  </m:ctrlPr>
                </m:sSubPr>
                <m:e>
                  <m:sSub>
                    <m:sSubPr>
                      <m:ctrlPr>
                        <w:rPr>
                          <w:rFonts w:ascii="Cambria Math" w:hAnsi="Cambria Math"/>
                          <w:i/>
                        </w:rPr>
                      </m:ctrlPr>
                    </m:sSubPr>
                    <m:e>
                      <m:r>
                        <w:rPr>
                          <w:rFonts w:ascii="Cambria Math" w:hAnsi="Cambria Math"/>
                        </w:rPr>
                        <m:t>Imp</m:t>
                      </m:r>
                    </m:e>
                    <m:sub>
                      <m:r>
                        <w:rPr>
                          <w:rFonts w:ascii="Cambria Math" w:hAnsi="Cambria Math"/>
                        </w:rPr>
                        <m:t>mp,h</m:t>
                      </m:r>
                    </m:sub>
                  </m:sSub>
                  <m:d>
                    <m:dPr>
                      <m:begChr m:val="["/>
                      <m:endChr m:val="]"/>
                      <m:ctrlPr>
                        <w:rPr>
                          <w:rFonts w:ascii="Cambria Math" w:hAnsi="Cambria Math"/>
                        </w:rPr>
                      </m:ctrlPr>
                    </m:dPr>
                    <m:e>
                      <m:r>
                        <w:rPr>
                          <w:rFonts w:ascii="Cambria Math" w:hAnsi="Cambria Math"/>
                        </w:rPr>
                        <m:t>MWh</m:t>
                      </m:r>
                    </m:e>
                  </m:d>
                  <m:r>
                    <w:rPr>
                      <w:rFonts w:ascii="Cambria Math" w:hAnsi="Cambria Math"/>
                    </w:rPr>
                    <m:t>+ET</m:t>
                  </m:r>
                </m:e>
                <m:sub>
                  <m:r>
                    <w:rPr>
                      <w:rFonts w:ascii="Cambria Math" w:hAnsi="Cambria Math"/>
                    </w:rPr>
                    <m:t>mp</m:t>
                  </m:r>
                  <m:r>
                    <m:rPr>
                      <m:sty m:val="p"/>
                    </m:rPr>
                    <w:rPr>
                      <w:rFonts w:ascii="Cambria Math" w:hAnsi="Cambria Math"/>
                    </w:rPr>
                    <m:t>,</m:t>
                  </m:r>
                  <m:r>
                    <w:rPr>
                      <w:rFonts w:ascii="Cambria Math" w:hAnsi="Cambria Math"/>
                    </w:rPr>
                    <m:t>h</m:t>
                  </m:r>
                </m:sub>
              </m:sSub>
              <m:d>
                <m:dPr>
                  <m:begChr m:val="["/>
                  <m:endChr m:val="]"/>
                  <m:ctrlPr>
                    <w:rPr>
                      <w:rFonts w:ascii="Cambria Math" w:hAnsi="Cambria Math"/>
                    </w:rPr>
                  </m:ctrlPr>
                </m:dPr>
                <m:e>
                  <m:r>
                    <w:rPr>
                      <w:rFonts w:ascii="Cambria Math" w:hAnsi="Cambria Math"/>
                    </w:rPr>
                    <m:t>MWh</m:t>
                  </m:r>
                </m:e>
              </m:d>
              <m:r>
                <w:rPr>
                  <w:rFonts w:ascii="Cambria Math" w:hAnsi="Cambria Math"/>
                </w:rPr>
                <m:t>-ES</m:t>
              </m:r>
            </m:e>
            <m:sub>
              <m:r>
                <w:rPr>
                  <w:rFonts w:ascii="Cambria Math" w:hAnsi="Cambria Math"/>
                </w:rPr>
                <m:t>mp</m:t>
              </m:r>
              <m:r>
                <m:rPr>
                  <m:sty m:val="p"/>
                </m:rPr>
                <w:rPr>
                  <w:rFonts w:ascii="Cambria Math" w:hAnsi="Cambria Math"/>
                </w:rPr>
                <m:t>,</m:t>
              </m:r>
              <m:r>
                <w:rPr>
                  <w:rFonts w:ascii="Cambria Math" w:hAnsi="Cambria Math"/>
                </w:rPr>
                <m:t>h</m:t>
              </m:r>
            </m:sub>
          </m:sSub>
          <m:d>
            <m:dPr>
              <m:begChr m:val="["/>
              <m:endChr m:val="]"/>
              <m:ctrlPr>
                <w:rPr>
                  <w:rFonts w:ascii="Cambria Math" w:hAnsi="Cambria Math"/>
                </w:rPr>
              </m:ctrlPr>
            </m:dPr>
            <m:e>
              <m:r>
                <w:rPr>
                  <w:rFonts w:ascii="Cambria Math" w:hAnsi="Cambria Math"/>
                </w:rPr>
                <m:t>MWh</m:t>
              </m:r>
            </m:e>
          </m:d>
        </m:oMath>
      </m:oMathPara>
    </w:p>
    <w:p w14:paraId="7616A172" w14:textId="77777777" w:rsidR="00BB0B51" w:rsidRPr="00D312FE" w:rsidRDefault="00BB0B51" w:rsidP="00BB0B51">
      <w:pPr>
        <w:ind w:left="1276"/>
        <w:rPr>
          <w:rFonts w:eastAsiaTheme="minorEastAsia" w:cstheme="minorHAnsi"/>
        </w:rPr>
      </w:pPr>
      <w:r w:rsidRPr="00D312FE">
        <w:rPr>
          <w:rFonts w:eastAsiaTheme="minorEastAsia" w:cstheme="minorHAnsi"/>
        </w:rPr>
        <w:t xml:space="preserve">Where: </w:t>
      </w:r>
    </w:p>
    <w:p w14:paraId="5D3C79E3" w14:textId="0B4F3017" w:rsidR="00BB0B51" w:rsidRPr="00D312FE" w:rsidRDefault="00BB0B51" w:rsidP="00BB0B51">
      <w:pPr>
        <w:pStyle w:val="ListParagraph"/>
        <w:numPr>
          <w:ilvl w:val="0"/>
          <w:numId w:val="23"/>
        </w:numPr>
        <w:rPr>
          <w:rFonts w:eastAsiaTheme="minorEastAsia" w:cstheme="minorHAnsi"/>
        </w:rPr>
      </w:pPr>
      <w:r w:rsidRPr="00D312FE">
        <w:rPr>
          <w:rFonts w:eastAsiaTheme="minorEastAsia" w:cstheme="minorHAnsi"/>
          <w:i/>
          <w:iCs/>
        </w:rPr>
        <w:t>Imb_E</w:t>
      </w:r>
      <w:r w:rsidRPr="00D312FE">
        <w:rPr>
          <w:rFonts w:eastAsiaTheme="minorEastAsia" w:cstheme="minorHAnsi"/>
          <w:i/>
          <w:iCs/>
          <w:vertAlign w:val="subscript"/>
        </w:rPr>
        <w:t>mp,h</w:t>
      </w:r>
      <w:r w:rsidRPr="00D312FE">
        <w:rPr>
          <w:rFonts w:eastAsiaTheme="minorEastAsia" w:cstheme="minorHAnsi"/>
        </w:rPr>
        <w:t xml:space="preserve"> is the </w:t>
      </w:r>
      <w:r w:rsidR="00986DFE">
        <w:rPr>
          <w:rFonts w:eastAsiaTheme="minorEastAsia" w:cstheme="minorHAnsi"/>
        </w:rPr>
        <w:t>I</w:t>
      </w:r>
      <w:r w:rsidRPr="00D312FE">
        <w:rPr>
          <w:rFonts w:eastAsiaTheme="minorEastAsia" w:cstheme="minorHAnsi"/>
        </w:rPr>
        <w:t xml:space="preserve">mbalance </w:t>
      </w:r>
      <w:r w:rsidR="00986DFE">
        <w:rPr>
          <w:rFonts w:eastAsiaTheme="minorEastAsia" w:cstheme="minorHAnsi"/>
        </w:rPr>
        <w:t xml:space="preserve">of Energy </w:t>
      </w:r>
      <w:r w:rsidRPr="00D312FE">
        <w:rPr>
          <w:rFonts w:eastAsiaTheme="minorEastAsia" w:cstheme="minorHAnsi"/>
        </w:rPr>
        <w:t xml:space="preserve">of Market Participant </w:t>
      </w:r>
      <w:r>
        <w:rPr>
          <w:rFonts w:eastAsiaTheme="minorEastAsia" w:cstheme="minorHAnsi"/>
        </w:rPr>
        <w:t>“</w:t>
      </w:r>
      <w:r w:rsidRPr="00D312FE">
        <w:rPr>
          <w:rFonts w:eastAsiaTheme="minorEastAsia" w:cstheme="minorHAnsi"/>
          <w:i/>
          <w:iCs/>
        </w:rPr>
        <w:t>mp</w:t>
      </w:r>
      <w:r>
        <w:rPr>
          <w:rFonts w:eastAsiaTheme="minorEastAsia" w:cstheme="minorHAnsi"/>
          <w:i/>
          <w:iCs/>
        </w:rPr>
        <w:t>”</w:t>
      </w:r>
      <w:r w:rsidRPr="00D312FE">
        <w:rPr>
          <w:rFonts w:eastAsiaTheme="minorEastAsia" w:cstheme="minorHAnsi"/>
        </w:rPr>
        <w:t xml:space="preserve"> during hour </w:t>
      </w:r>
      <w:r>
        <w:rPr>
          <w:rFonts w:eastAsiaTheme="minorEastAsia" w:cstheme="minorHAnsi"/>
        </w:rPr>
        <w:t>“</w:t>
      </w:r>
      <w:r w:rsidRPr="00D312FE">
        <w:rPr>
          <w:rFonts w:eastAsiaTheme="minorEastAsia" w:cstheme="minorHAnsi"/>
          <w:i/>
          <w:iCs/>
        </w:rPr>
        <w:t>h</w:t>
      </w:r>
      <w:r>
        <w:rPr>
          <w:rFonts w:eastAsiaTheme="minorEastAsia" w:cstheme="minorHAnsi"/>
          <w:i/>
          <w:iCs/>
        </w:rPr>
        <w:t>”</w:t>
      </w:r>
      <w:r w:rsidR="0006445A">
        <w:rPr>
          <w:rFonts w:eastAsiaTheme="minorEastAsia" w:cstheme="minorHAnsi"/>
          <w:i/>
          <w:iCs/>
        </w:rPr>
        <w:t xml:space="preserve"> in MWh</w:t>
      </w:r>
    </w:p>
    <w:p w14:paraId="741CF3D2" w14:textId="25AEC669" w:rsidR="00BB0B51" w:rsidRPr="00B31224" w:rsidRDefault="00BB0B51" w:rsidP="00BB0B51">
      <w:pPr>
        <w:pStyle w:val="ListParagraph"/>
        <w:numPr>
          <w:ilvl w:val="0"/>
          <w:numId w:val="23"/>
        </w:numPr>
        <w:rPr>
          <w:rFonts w:eastAsiaTheme="minorEastAsia" w:cstheme="minorHAnsi"/>
        </w:rPr>
      </w:pPr>
      <w:r w:rsidRPr="00B31224">
        <w:rPr>
          <w:rFonts w:eastAsiaTheme="minorEastAsia" w:cstheme="minorHAnsi"/>
          <w:i/>
          <w:iCs/>
        </w:rPr>
        <w:t>Gen</w:t>
      </w:r>
      <w:r w:rsidRPr="00B31224">
        <w:rPr>
          <w:rFonts w:eastAsiaTheme="minorEastAsia" w:cstheme="minorHAnsi"/>
          <w:i/>
          <w:iCs/>
          <w:vertAlign w:val="subscript"/>
        </w:rPr>
        <w:t>mp,h</w:t>
      </w:r>
      <w:r>
        <w:rPr>
          <w:rFonts w:eastAsiaTheme="minorEastAsia" w:cstheme="minorHAnsi"/>
        </w:rPr>
        <w:t xml:space="preserve"> is  the </w:t>
      </w:r>
      <w:r w:rsidR="00986DFE">
        <w:rPr>
          <w:rFonts w:eastAsiaTheme="minorEastAsia" w:cstheme="minorHAnsi"/>
        </w:rPr>
        <w:t>Energy</w:t>
      </w:r>
      <w:r>
        <w:rPr>
          <w:rFonts w:eastAsiaTheme="minorEastAsia" w:cstheme="minorHAnsi"/>
        </w:rPr>
        <w:t xml:space="preserve"> injected into the </w:t>
      </w:r>
      <w:r w:rsidR="00986DFE">
        <w:rPr>
          <w:rFonts w:eastAsiaTheme="minorEastAsia" w:cstheme="minorHAnsi"/>
        </w:rPr>
        <w:t>Grid System</w:t>
      </w:r>
      <w:r>
        <w:rPr>
          <w:rFonts w:eastAsiaTheme="minorEastAsia" w:cstheme="minorHAnsi"/>
        </w:rPr>
        <w:t xml:space="preserve"> by Market Participant “mp” during hour “h”, </w:t>
      </w:r>
      <w:r>
        <w:rPr>
          <w:iCs/>
        </w:rPr>
        <w:t>in MWh</w:t>
      </w:r>
    </w:p>
    <w:p w14:paraId="15C2B0E2" w14:textId="230304BB" w:rsidR="00BB0B51" w:rsidRPr="00B31224" w:rsidRDefault="00BB0B51" w:rsidP="00BB0B51">
      <w:pPr>
        <w:pStyle w:val="ListParagraph"/>
        <w:numPr>
          <w:ilvl w:val="0"/>
          <w:numId w:val="23"/>
        </w:numPr>
        <w:rPr>
          <w:rFonts w:eastAsiaTheme="minorEastAsia" w:cstheme="minorHAnsi"/>
        </w:rPr>
      </w:pPr>
      <w:r>
        <w:rPr>
          <w:rFonts w:eastAsiaTheme="minorEastAsia" w:cstheme="minorHAnsi"/>
          <w:i/>
          <w:iCs/>
        </w:rPr>
        <w:t>Imp</w:t>
      </w:r>
      <w:r w:rsidRPr="00B31224">
        <w:rPr>
          <w:rFonts w:eastAsiaTheme="minorEastAsia" w:cstheme="minorHAnsi"/>
          <w:i/>
          <w:iCs/>
          <w:vertAlign w:val="subscript"/>
        </w:rPr>
        <w:t>mp,h</w:t>
      </w:r>
      <w:r>
        <w:rPr>
          <w:rFonts w:eastAsiaTheme="minorEastAsia" w:cstheme="minorHAnsi"/>
        </w:rPr>
        <w:t xml:space="preserve"> is  the actual energy Imported (injected into the </w:t>
      </w:r>
      <w:r w:rsidR="00986DFE">
        <w:rPr>
          <w:rFonts w:eastAsiaTheme="minorEastAsia" w:cstheme="minorHAnsi"/>
        </w:rPr>
        <w:t>Gird System</w:t>
      </w:r>
      <w:r>
        <w:rPr>
          <w:rFonts w:eastAsiaTheme="minorEastAsia" w:cstheme="minorHAnsi"/>
        </w:rPr>
        <w:t xml:space="preserve">), by Market Participant “mp” during hour “h”, </w:t>
      </w:r>
      <w:r>
        <w:rPr>
          <w:iCs/>
        </w:rPr>
        <w:t>in MWh</w:t>
      </w:r>
    </w:p>
    <w:p w14:paraId="69088FA9" w14:textId="383EDE5E" w:rsidR="00BB0B51" w:rsidRPr="00D312FE" w:rsidRDefault="00BB0B51" w:rsidP="00BB0B51">
      <w:pPr>
        <w:pStyle w:val="ListParagraph"/>
        <w:numPr>
          <w:ilvl w:val="0"/>
          <w:numId w:val="23"/>
        </w:numPr>
        <w:rPr>
          <w:rFonts w:eastAsiaTheme="minorEastAsia" w:cstheme="minorHAnsi"/>
        </w:rPr>
      </w:pPr>
      <w:r w:rsidRPr="00D312FE">
        <w:rPr>
          <w:rFonts w:eastAsiaTheme="minorEastAsia" w:cstheme="minorHAnsi"/>
          <w:i/>
          <w:iCs/>
        </w:rPr>
        <w:t>ET</w:t>
      </w:r>
      <w:r w:rsidRPr="00D312FE">
        <w:rPr>
          <w:rFonts w:eastAsiaTheme="minorEastAsia" w:cstheme="minorHAnsi"/>
          <w:i/>
          <w:iCs/>
          <w:vertAlign w:val="subscript"/>
        </w:rPr>
        <w:t>mp,h</w:t>
      </w:r>
      <w:r w:rsidRPr="00D312FE">
        <w:rPr>
          <w:rFonts w:eastAsiaTheme="minorEastAsia" w:cstheme="minorHAnsi"/>
        </w:rPr>
        <w:t xml:space="preserve"> is the </w:t>
      </w:r>
      <w:r>
        <w:rPr>
          <w:rFonts w:eastAsiaTheme="minorEastAsia" w:cstheme="minorHAnsi"/>
        </w:rPr>
        <w:t>Energy</w:t>
      </w:r>
      <w:r w:rsidRPr="00D312FE">
        <w:rPr>
          <w:rFonts w:eastAsiaTheme="minorEastAsia" w:cstheme="minorHAnsi"/>
        </w:rPr>
        <w:t xml:space="preserve"> </w:t>
      </w:r>
      <w:r>
        <w:rPr>
          <w:rFonts w:eastAsiaTheme="minorEastAsia" w:cstheme="minorHAnsi"/>
        </w:rPr>
        <w:t>bought and sold</w:t>
      </w:r>
      <w:r w:rsidRPr="00D312FE">
        <w:rPr>
          <w:rFonts w:eastAsiaTheme="minorEastAsia" w:cstheme="minorHAnsi"/>
        </w:rPr>
        <w:t xml:space="preserve"> through Contracts </w:t>
      </w:r>
      <w:r>
        <w:rPr>
          <w:rFonts w:eastAsiaTheme="minorEastAsia" w:cstheme="minorHAnsi"/>
        </w:rPr>
        <w:t xml:space="preserve">with other Market Participants, </w:t>
      </w:r>
      <w:r w:rsidRPr="00D312FE">
        <w:rPr>
          <w:rFonts w:eastAsiaTheme="minorEastAsia" w:cstheme="minorHAnsi"/>
        </w:rPr>
        <w:t xml:space="preserve">by the Market Participant </w:t>
      </w:r>
      <w:r w:rsidRPr="00B31224">
        <w:rPr>
          <w:rFonts w:eastAsiaTheme="minorEastAsia" w:cstheme="minorHAnsi"/>
          <w:i/>
          <w:iCs/>
        </w:rPr>
        <w:t>“mp”</w:t>
      </w:r>
      <w:r w:rsidRPr="00D312FE">
        <w:rPr>
          <w:rFonts w:eastAsiaTheme="minorEastAsia" w:cstheme="minorHAnsi"/>
        </w:rPr>
        <w:t xml:space="preserve"> during hour </w:t>
      </w:r>
      <w:r w:rsidRPr="00B31224">
        <w:rPr>
          <w:rFonts w:eastAsiaTheme="minorEastAsia" w:cstheme="minorHAnsi"/>
          <w:i/>
          <w:iCs/>
        </w:rPr>
        <w:t>“h”</w:t>
      </w:r>
      <w:r w:rsidRPr="00D312FE">
        <w:rPr>
          <w:rFonts w:eastAsiaTheme="minorEastAsia" w:cstheme="minorHAnsi"/>
        </w:rPr>
        <w:t xml:space="preserve">, calculated </w:t>
      </w:r>
      <w:r w:rsidR="00525182">
        <w:rPr>
          <w:rFonts w:eastAsiaTheme="minorEastAsia" w:cstheme="minorHAnsi"/>
        </w:rPr>
        <w:t>pursuant to</w:t>
      </w:r>
      <w:r w:rsidRPr="00D312FE">
        <w:rPr>
          <w:rFonts w:eastAsiaTheme="minorEastAsia" w:cstheme="minorHAnsi"/>
        </w:rPr>
        <w:t xml:space="preserve"> Clause </w:t>
      </w:r>
      <w:r w:rsidRPr="00D312FE">
        <w:rPr>
          <w:rFonts w:eastAsiaTheme="minorEastAsia" w:cstheme="minorHAnsi"/>
        </w:rPr>
        <w:fldChar w:fldCharType="begin"/>
      </w:r>
      <w:r w:rsidRPr="00D312FE">
        <w:rPr>
          <w:rFonts w:eastAsiaTheme="minorEastAsia" w:cstheme="minorHAnsi"/>
        </w:rPr>
        <w:instrText xml:space="preserve"> REF _Ref59458106 \r \h </w:instrText>
      </w:r>
      <w:r>
        <w:rPr>
          <w:rFonts w:eastAsiaTheme="minorEastAsia" w:cstheme="minorHAnsi"/>
        </w:rPr>
        <w:instrText xml:space="preserve"> \* MERGEFORMAT </w:instrText>
      </w:r>
      <w:r w:rsidRPr="00D312FE">
        <w:rPr>
          <w:rFonts w:eastAsiaTheme="minorEastAsia" w:cstheme="minorHAnsi"/>
        </w:rPr>
      </w:r>
      <w:r w:rsidRPr="00D312FE">
        <w:rPr>
          <w:rFonts w:eastAsiaTheme="minorEastAsia" w:cstheme="minorHAnsi"/>
        </w:rPr>
        <w:fldChar w:fldCharType="separate"/>
      </w:r>
      <w:r>
        <w:rPr>
          <w:rFonts w:eastAsiaTheme="minorEastAsia" w:cstheme="minorHAnsi"/>
        </w:rPr>
        <w:t>6.4.1.2</w:t>
      </w:r>
      <w:r w:rsidRPr="00D312FE">
        <w:rPr>
          <w:rFonts w:eastAsiaTheme="minorEastAsia" w:cstheme="minorHAnsi"/>
        </w:rPr>
        <w:fldChar w:fldCharType="end"/>
      </w:r>
      <w:r w:rsidRPr="00D312FE">
        <w:rPr>
          <w:rFonts w:eastAsiaTheme="minorEastAsia" w:cstheme="minorHAnsi"/>
        </w:rPr>
        <w:t>.</w:t>
      </w:r>
    </w:p>
    <w:p w14:paraId="087C4421" w14:textId="77CC6B7F" w:rsidR="00BB0B51" w:rsidRPr="00D312FE" w:rsidRDefault="00BB0B51" w:rsidP="00BB0B51">
      <w:pPr>
        <w:pStyle w:val="ListParagraph"/>
        <w:numPr>
          <w:ilvl w:val="0"/>
          <w:numId w:val="23"/>
        </w:numPr>
        <w:rPr>
          <w:rFonts w:eastAsiaTheme="minorEastAsia" w:cstheme="minorHAnsi"/>
        </w:rPr>
      </w:pPr>
      <w:r w:rsidRPr="00D312FE">
        <w:rPr>
          <w:rFonts w:eastAsiaTheme="minorEastAsia" w:cstheme="minorHAnsi"/>
          <w:i/>
          <w:iCs/>
        </w:rPr>
        <w:t>E</w:t>
      </w:r>
      <w:r>
        <w:rPr>
          <w:rFonts w:eastAsiaTheme="minorEastAsia" w:cstheme="minorHAnsi"/>
          <w:i/>
          <w:iCs/>
        </w:rPr>
        <w:t>S</w:t>
      </w:r>
      <w:r w:rsidRPr="00D312FE">
        <w:rPr>
          <w:rFonts w:eastAsiaTheme="minorEastAsia" w:cstheme="minorHAnsi"/>
          <w:i/>
          <w:iCs/>
          <w:vertAlign w:val="subscript"/>
        </w:rPr>
        <w:t>mp,h</w:t>
      </w:r>
      <w:r w:rsidRPr="00D312FE">
        <w:rPr>
          <w:rFonts w:eastAsiaTheme="minorEastAsia" w:cstheme="minorHAnsi"/>
        </w:rPr>
        <w:t xml:space="preserve"> is the </w:t>
      </w:r>
      <w:r>
        <w:rPr>
          <w:rFonts w:eastAsiaTheme="minorEastAsia" w:cstheme="minorHAnsi"/>
        </w:rPr>
        <w:t>Energy</w:t>
      </w:r>
      <w:r w:rsidRPr="00D312FE">
        <w:rPr>
          <w:rFonts w:eastAsiaTheme="minorEastAsia" w:cstheme="minorHAnsi"/>
        </w:rPr>
        <w:t xml:space="preserve"> actually </w:t>
      </w:r>
      <w:r>
        <w:rPr>
          <w:rFonts w:eastAsiaTheme="minorEastAsia" w:cstheme="minorHAnsi"/>
        </w:rPr>
        <w:t>supplied (or exported)</w:t>
      </w:r>
      <w:r w:rsidRPr="00D312FE">
        <w:rPr>
          <w:rFonts w:eastAsiaTheme="minorEastAsia" w:cstheme="minorHAnsi"/>
        </w:rPr>
        <w:t xml:space="preserve"> by the Market Participant </w:t>
      </w:r>
      <w:r w:rsidRPr="00900A75">
        <w:rPr>
          <w:rFonts w:eastAsiaTheme="minorEastAsia" w:cstheme="minorHAnsi"/>
          <w:i/>
          <w:iCs/>
        </w:rPr>
        <w:t>“mp”</w:t>
      </w:r>
      <w:r w:rsidRPr="00D312FE">
        <w:rPr>
          <w:rFonts w:eastAsiaTheme="minorEastAsia" w:cstheme="minorHAnsi"/>
        </w:rPr>
        <w:t xml:space="preserve"> during hour </w:t>
      </w:r>
      <w:r w:rsidRPr="00900A75">
        <w:rPr>
          <w:rFonts w:eastAsiaTheme="minorEastAsia" w:cstheme="minorHAnsi"/>
          <w:i/>
          <w:iCs/>
        </w:rPr>
        <w:t>“h”</w:t>
      </w:r>
      <w:r w:rsidRPr="00D312FE">
        <w:rPr>
          <w:rFonts w:eastAsiaTheme="minorEastAsia" w:cstheme="minorHAnsi"/>
        </w:rPr>
        <w:t xml:space="preserve">, </w:t>
      </w:r>
      <w:r w:rsidR="00525182">
        <w:rPr>
          <w:rFonts w:eastAsiaTheme="minorEastAsia" w:cstheme="minorHAnsi"/>
        </w:rPr>
        <w:t>calculated pursuant to</w:t>
      </w:r>
      <w:r w:rsidRPr="00D312FE">
        <w:rPr>
          <w:rFonts w:eastAsiaTheme="minorEastAsia" w:cstheme="minorHAnsi"/>
        </w:rPr>
        <w:t xml:space="preserve"> Clause </w:t>
      </w:r>
      <w:r>
        <w:rPr>
          <w:rFonts w:eastAsiaTheme="minorEastAsia" w:cstheme="minorHAnsi"/>
        </w:rPr>
        <w:fldChar w:fldCharType="begin"/>
      </w:r>
      <w:r>
        <w:rPr>
          <w:rFonts w:eastAsiaTheme="minorEastAsia" w:cstheme="minorHAnsi"/>
        </w:rPr>
        <w:instrText xml:space="preserve"> REF _Ref70766155 \r \h </w:instrText>
      </w:r>
      <w:r>
        <w:rPr>
          <w:rFonts w:eastAsiaTheme="minorEastAsia" w:cstheme="minorHAnsi"/>
        </w:rPr>
      </w:r>
      <w:r>
        <w:rPr>
          <w:rFonts w:eastAsiaTheme="minorEastAsia" w:cstheme="minorHAnsi"/>
        </w:rPr>
        <w:fldChar w:fldCharType="separate"/>
      </w:r>
      <w:r>
        <w:rPr>
          <w:rFonts w:eastAsiaTheme="minorEastAsia" w:cstheme="minorHAnsi"/>
        </w:rPr>
        <w:t>6.3.4.1</w:t>
      </w:r>
      <w:r>
        <w:rPr>
          <w:rFonts w:eastAsiaTheme="minorEastAsia" w:cstheme="minorHAnsi"/>
        </w:rPr>
        <w:fldChar w:fldCharType="end"/>
      </w:r>
      <w:r>
        <w:rPr>
          <w:rFonts w:eastAsiaTheme="minorEastAsia" w:cstheme="minorHAnsi"/>
        </w:rPr>
        <w:t>.</w:t>
      </w:r>
    </w:p>
    <w:p w14:paraId="224E5186" w14:textId="77777777" w:rsidR="00BB0B51" w:rsidRDefault="00BB0B51" w:rsidP="00BB0B51">
      <w:pPr>
        <w:pStyle w:val="Heading4"/>
      </w:pPr>
      <w:r>
        <w:t xml:space="preserve">Sign convention (1): </w:t>
      </w:r>
    </w:p>
    <w:p w14:paraId="319A499D" w14:textId="511E53FD" w:rsidR="00BB0B51" w:rsidRDefault="00BB0B51" w:rsidP="00BB0B51">
      <w:pPr>
        <w:pStyle w:val="Heading5"/>
      </w:pPr>
      <w:r>
        <w:t xml:space="preserve">A positive </w:t>
      </w:r>
      <w:r w:rsidR="00525182">
        <w:t>I</w:t>
      </w:r>
      <w:r>
        <w:t xml:space="preserve">mbalance indicates that the </w:t>
      </w:r>
      <w:r w:rsidR="00525182">
        <w:t>relevant</w:t>
      </w:r>
      <w:r>
        <w:t xml:space="preserve"> Market Participant has either:</w:t>
      </w:r>
    </w:p>
    <w:p w14:paraId="0706CDE7" w14:textId="71A40597" w:rsidR="00BB0B51" w:rsidRDefault="00BB0B51" w:rsidP="00BB0B51">
      <w:pPr>
        <w:pStyle w:val="Heading6"/>
      </w:pPr>
      <w:r>
        <w:t xml:space="preserve">Injected into the </w:t>
      </w:r>
      <w:r w:rsidR="00525182">
        <w:t>Gird System</w:t>
      </w:r>
      <w:r>
        <w:t xml:space="preserve">, an Energy quantity </w:t>
      </w:r>
      <w:r w:rsidR="00525182">
        <w:t>greater</w:t>
      </w:r>
      <w:r>
        <w:t xml:space="preserve"> than </w:t>
      </w:r>
      <w:r w:rsidR="00525182">
        <w:t>its</w:t>
      </w:r>
      <w:r>
        <w:t xml:space="preserve"> contracted </w:t>
      </w:r>
      <w:r w:rsidR="00525182">
        <w:t>quantity</w:t>
      </w:r>
      <w:r>
        <w:t>; or</w:t>
      </w:r>
    </w:p>
    <w:p w14:paraId="2B15BD6F" w14:textId="52A120D8" w:rsidR="00BB0B51" w:rsidRDefault="00525182" w:rsidP="00BB0B51">
      <w:pPr>
        <w:pStyle w:val="Heading6"/>
      </w:pPr>
      <w:r>
        <w:t>Withdrawn</w:t>
      </w:r>
      <w:r w:rsidR="00BB0B51">
        <w:t xml:space="preserve"> from the </w:t>
      </w:r>
      <w:r>
        <w:t>Grid System</w:t>
      </w:r>
      <w:r w:rsidR="00BB0B51">
        <w:t xml:space="preserve">, an Energy quantity </w:t>
      </w:r>
      <w:r w:rsidR="0006445A">
        <w:t>lesser</w:t>
      </w:r>
      <w:r w:rsidR="00BB0B51">
        <w:t xml:space="preserve"> than </w:t>
      </w:r>
      <w:r>
        <w:t>its</w:t>
      </w:r>
      <w:r w:rsidR="00BB0B51">
        <w:t xml:space="preserve"> </w:t>
      </w:r>
      <w:r>
        <w:t>contracted quantity</w:t>
      </w:r>
      <w:r w:rsidR="00BB0B51">
        <w:t>.</w:t>
      </w:r>
    </w:p>
    <w:p w14:paraId="7C110CBC" w14:textId="4FC64FB9" w:rsidR="00BB0B51" w:rsidRDefault="00BB0B51" w:rsidP="00BB0B51">
      <w:pPr>
        <w:pStyle w:val="Heading5"/>
      </w:pPr>
      <w:r>
        <w:t xml:space="preserve">A negative </w:t>
      </w:r>
      <w:r w:rsidR="00525182">
        <w:t>I</w:t>
      </w:r>
      <w:r>
        <w:t xml:space="preserve">mbalance indicates that the </w:t>
      </w:r>
      <w:r w:rsidR="00525182">
        <w:t>relevant</w:t>
      </w:r>
      <w:r>
        <w:t xml:space="preserve"> Market Participant has either:</w:t>
      </w:r>
    </w:p>
    <w:p w14:paraId="35227817" w14:textId="0C2C81FA" w:rsidR="00BB0B51" w:rsidRDefault="00BB0B51" w:rsidP="00BB0B51">
      <w:pPr>
        <w:pStyle w:val="Heading6"/>
      </w:pPr>
      <w:r>
        <w:t xml:space="preserve">Injected into the </w:t>
      </w:r>
      <w:r w:rsidR="00525182">
        <w:t>Grid System</w:t>
      </w:r>
      <w:r>
        <w:t xml:space="preserve">, an Energy quantity </w:t>
      </w:r>
      <w:r w:rsidR="0006445A">
        <w:t>lesser</w:t>
      </w:r>
      <w:r>
        <w:t xml:space="preserve"> than </w:t>
      </w:r>
      <w:r w:rsidR="00525182">
        <w:t>its</w:t>
      </w:r>
      <w:r>
        <w:t xml:space="preserve"> contracted </w:t>
      </w:r>
      <w:r w:rsidR="00525182">
        <w:t>quantity</w:t>
      </w:r>
      <w:r>
        <w:t>; or</w:t>
      </w:r>
    </w:p>
    <w:p w14:paraId="0665E47F" w14:textId="228307F9" w:rsidR="00BB0B51" w:rsidRDefault="00525182" w:rsidP="00BB0B51">
      <w:pPr>
        <w:pStyle w:val="Heading6"/>
      </w:pPr>
      <w:r>
        <w:lastRenderedPageBreak/>
        <w:t>Withdrawn</w:t>
      </w:r>
      <w:r w:rsidR="00BB0B51">
        <w:t xml:space="preserve"> from the </w:t>
      </w:r>
      <w:r>
        <w:t>Grid System</w:t>
      </w:r>
      <w:r w:rsidR="00BB0B51">
        <w:t xml:space="preserve">, an Energy quantity </w:t>
      </w:r>
      <w:r>
        <w:t>greater</w:t>
      </w:r>
      <w:r w:rsidR="00BB0B51">
        <w:t xml:space="preserve"> than </w:t>
      </w:r>
      <w:r>
        <w:t xml:space="preserve">its </w:t>
      </w:r>
      <w:r w:rsidR="00BB0B51">
        <w:t xml:space="preserve">contracted </w:t>
      </w:r>
      <w:r>
        <w:t>quantity</w:t>
      </w:r>
      <w:r w:rsidR="00BB0B51">
        <w:t>.</w:t>
      </w:r>
    </w:p>
    <w:p w14:paraId="16D462A1" w14:textId="22CF9EF2" w:rsidR="00293F8F" w:rsidRDefault="00293F8F" w:rsidP="00C173D0">
      <w:pPr>
        <w:pStyle w:val="Heading2"/>
      </w:pPr>
      <w:bookmarkStart w:id="245" w:name="_Ref59631781"/>
      <w:bookmarkStart w:id="246" w:name="_Toc64846681"/>
      <w:bookmarkStart w:id="247" w:name="_Toc69476978"/>
      <w:bookmarkEnd w:id="243"/>
      <w:r>
        <w:t xml:space="preserve">Determination of the Applicable </w:t>
      </w:r>
      <w:bookmarkEnd w:id="245"/>
      <w:bookmarkEnd w:id="246"/>
      <w:bookmarkEnd w:id="247"/>
      <w:r w:rsidR="00BF564D">
        <w:t>System Marginal Price</w:t>
      </w:r>
    </w:p>
    <w:p w14:paraId="3A35B510" w14:textId="4D3C4946" w:rsidR="00211C29" w:rsidRPr="000C7CBF" w:rsidRDefault="00525182" w:rsidP="005B295A">
      <w:pPr>
        <w:pStyle w:val="Heading4"/>
      </w:pPr>
      <w:r>
        <w:t>On daily basis and for each hour of the day, t</w:t>
      </w:r>
      <w:r w:rsidR="00211C29" w:rsidRPr="000C7CBF">
        <w:t xml:space="preserve">he System Operator shall </w:t>
      </w:r>
      <w:r>
        <w:t>calculate</w:t>
      </w:r>
      <w:r w:rsidR="00211C29" w:rsidRPr="000C7CBF">
        <w:t xml:space="preserve"> the System Marginal Price. </w:t>
      </w:r>
    </w:p>
    <w:p w14:paraId="16FB8DAE" w14:textId="78E9200E" w:rsidR="00211C29" w:rsidRPr="00EC7744" w:rsidRDefault="00211C29" w:rsidP="005B295A">
      <w:pPr>
        <w:pStyle w:val="Heading4"/>
      </w:pPr>
      <w:bookmarkStart w:id="248" w:name="_Ref61214474"/>
      <w:r w:rsidRPr="000C7CBF">
        <w:t xml:space="preserve">Within </w:t>
      </w:r>
      <w:r w:rsidR="00525182">
        <w:t>eighteen</w:t>
      </w:r>
      <w:r w:rsidR="00525182" w:rsidRPr="000C7CBF">
        <w:t xml:space="preserve"> </w:t>
      </w:r>
      <w:r w:rsidRPr="000C7CBF">
        <w:t>[</w:t>
      </w:r>
      <w:r w:rsidR="00525182">
        <w:t>18</w:t>
      </w:r>
      <w:r w:rsidRPr="000C7CBF">
        <w:t xml:space="preserve">] month from the </w:t>
      </w:r>
      <w:r w:rsidR="00525182">
        <w:t>approval</w:t>
      </w:r>
      <w:r w:rsidR="00525182" w:rsidRPr="000C7CBF">
        <w:t xml:space="preserve"> </w:t>
      </w:r>
      <w:r w:rsidRPr="000C7CBF">
        <w:t xml:space="preserve">of </w:t>
      </w:r>
      <w:r w:rsidR="00F05124">
        <w:t>this Code</w:t>
      </w:r>
      <w:r w:rsidRPr="000C7CBF">
        <w:t xml:space="preserve">, the System Operator </w:t>
      </w:r>
      <w:r w:rsidR="00525182">
        <w:t>shall</w:t>
      </w:r>
      <w:r w:rsidR="00263B9E">
        <w:t>, in collaboration with the Market Operator,</w:t>
      </w:r>
      <w:r w:rsidR="00525182">
        <w:t xml:space="preserve"> </w:t>
      </w:r>
      <w:r w:rsidR="005B43B0">
        <w:t>make</w:t>
      </w:r>
      <w:r>
        <w:t xml:space="preserve"> </w:t>
      </w:r>
      <w:commentRangeStart w:id="249"/>
      <w:r w:rsidRPr="00525182">
        <w:rPr>
          <w:highlight w:val="yellow"/>
        </w:rPr>
        <w:t>and submit to the Authority for approval</w:t>
      </w:r>
      <w:commentRangeEnd w:id="249"/>
      <w:r w:rsidR="0089002A">
        <w:rPr>
          <w:rStyle w:val="CommentReference"/>
          <w:rFonts w:eastAsiaTheme="minorHAnsi" w:cstheme="minorBidi"/>
          <w:bCs w:val="0"/>
          <w:iCs w:val="0"/>
          <w:color w:val="1C1C1C"/>
        </w:rPr>
        <w:commentReference w:id="249"/>
      </w:r>
      <w:r>
        <w:t xml:space="preserve"> a</w:t>
      </w:r>
      <w:r w:rsidR="006F59F3">
        <w:t xml:space="preserve"> </w:t>
      </w:r>
      <w:r w:rsidR="002966A9">
        <w:t>methodology</w:t>
      </w:r>
      <w:r>
        <w:t xml:space="preserve"> for determining the hourly System Marginal Price. Until such </w:t>
      </w:r>
      <w:r w:rsidR="00525182">
        <w:t xml:space="preserve">methodology is </w:t>
      </w:r>
      <w:r w:rsidR="002B749E">
        <w:t>approved</w:t>
      </w:r>
      <w:r>
        <w:t xml:space="preserve">, the procedure included in </w:t>
      </w:r>
      <w:r w:rsidR="00F55221">
        <w:t>Appendix</w:t>
      </w:r>
      <w:r w:rsidR="005B4450">
        <w:t xml:space="preserve"> 1 </w:t>
      </w:r>
      <w:r w:rsidR="00525182">
        <w:t xml:space="preserve">shall </w:t>
      </w:r>
      <w:r>
        <w:t>be used</w:t>
      </w:r>
      <w:r w:rsidR="002B749E">
        <w:t>,</w:t>
      </w:r>
      <w:r w:rsidR="00525182">
        <w:t xml:space="preserve"> </w:t>
      </w:r>
      <w:r w:rsidR="002B749E">
        <w:t xml:space="preserve">as an interim measure, </w:t>
      </w:r>
      <w:r w:rsidR="00525182">
        <w:t>for calculation of the System Marginal Price</w:t>
      </w:r>
      <w:r w:rsidRPr="00EC7744">
        <w:t>.</w:t>
      </w:r>
      <w:bookmarkEnd w:id="248"/>
    </w:p>
    <w:p w14:paraId="4B771B09" w14:textId="1CC86141" w:rsidR="00211C29" w:rsidRPr="00674640" w:rsidRDefault="00525182" w:rsidP="005B295A">
      <w:pPr>
        <w:pStyle w:val="Heading4"/>
      </w:pPr>
      <w:r>
        <w:t>On daily basis, t</w:t>
      </w:r>
      <w:r w:rsidR="00211C29">
        <w:t>he System Operator shall communicate</w:t>
      </w:r>
      <w:r>
        <w:t xml:space="preserve"> to the Market Operator</w:t>
      </w:r>
      <w:r w:rsidR="002B749E">
        <w:t>,</w:t>
      </w:r>
      <w:r>
        <w:t xml:space="preserve"> </w:t>
      </w:r>
      <w:r w:rsidR="00211C29">
        <w:t xml:space="preserve">the System Marginal Prices </w:t>
      </w:r>
      <w:r>
        <w:t>of the previous day</w:t>
      </w:r>
      <w:r w:rsidR="00211C29">
        <w:t xml:space="preserve">. </w:t>
      </w:r>
      <w:r>
        <w:t xml:space="preserve">The </w:t>
      </w:r>
      <w:r w:rsidR="00211C29">
        <w:t>Market</w:t>
      </w:r>
      <w:r>
        <w:t xml:space="preserve"> Operator</w:t>
      </w:r>
      <w:r w:rsidR="00211C29">
        <w:t xml:space="preserve"> and </w:t>
      </w:r>
      <w:r>
        <w:t xml:space="preserve">the </w:t>
      </w:r>
      <w:r w:rsidR="00211C29">
        <w:t xml:space="preserve">System Operator shall agree on the channels and formats for </w:t>
      </w:r>
      <w:r>
        <w:t>this communication</w:t>
      </w:r>
      <w:r w:rsidR="00211C29">
        <w:t>.</w:t>
      </w:r>
    </w:p>
    <w:p w14:paraId="6CD87694" w14:textId="4E47AC37" w:rsidR="00293F8F" w:rsidRDefault="00293F8F" w:rsidP="00C173D0">
      <w:pPr>
        <w:pStyle w:val="Heading2"/>
      </w:pPr>
      <w:bookmarkStart w:id="250" w:name="_Ref65937186"/>
      <w:bookmarkStart w:id="251" w:name="_Toc64846682"/>
      <w:bookmarkStart w:id="252" w:name="_Toc69476979"/>
      <w:r>
        <w:t xml:space="preserve">Determination of the </w:t>
      </w:r>
      <w:r w:rsidR="00525182">
        <w:t xml:space="preserve">amounts </w:t>
      </w:r>
      <w:r>
        <w:t xml:space="preserve">receivable and </w:t>
      </w:r>
      <w:r w:rsidR="00525182">
        <w:t xml:space="preserve">amounts </w:t>
      </w:r>
      <w:r>
        <w:t xml:space="preserve">payable </w:t>
      </w:r>
      <w:bookmarkEnd w:id="250"/>
      <w:bookmarkEnd w:id="251"/>
      <w:bookmarkEnd w:id="252"/>
    </w:p>
    <w:p w14:paraId="4D1B1C48" w14:textId="2EA69D43" w:rsidR="00F00720" w:rsidRPr="00F00720" w:rsidRDefault="00F00720" w:rsidP="00C173D0">
      <w:pPr>
        <w:pStyle w:val="Heading3"/>
      </w:pPr>
      <w:r>
        <w:t xml:space="preserve">Calculation of </w:t>
      </w:r>
      <w:r w:rsidR="00525182">
        <w:t xml:space="preserve">amounts </w:t>
      </w:r>
      <w:r>
        <w:t xml:space="preserve">Receivable / Payable </w:t>
      </w:r>
    </w:p>
    <w:p w14:paraId="355F317D" w14:textId="308FA840" w:rsidR="00163DB4" w:rsidRDefault="00EF7B35" w:rsidP="005B295A">
      <w:pPr>
        <w:pStyle w:val="Heading4"/>
      </w:pPr>
      <w:r>
        <w:t xml:space="preserve">Within </w:t>
      </w:r>
      <w:r w:rsidRPr="002B749E">
        <w:rPr>
          <w:highlight w:val="yellow"/>
        </w:rPr>
        <w:t>five [5]</w:t>
      </w:r>
      <w:r>
        <w:t xml:space="preserve"> </w:t>
      </w:r>
      <w:r w:rsidR="002B749E">
        <w:t>Business Days</w:t>
      </w:r>
      <w:r>
        <w:t xml:space="preserve"> immediately after the end of each month, the Market Operator shall determine the </w:t>
      </w:r>
      <w:bookmarkStart w:id="253" w:name="_Hlk66262202"/>
      <w:r>
        <w:t xml:space="preserve">Amounts Payable and Amounts Receivable </w:t>
      </w:r>
      <w:bookmarkEnd w:id="253"/>
      <w:r>
        <w:t>of each Market Participant</w:t>
      </w:r>
      <w:r w:rsidR="00163DB4">
        <w:t xml:space="preserve">, </w:t>
      </w:r>
      <w:r w:rsidR="002B749E">
        <w:t>resulting from</w:t>
      </w:r>
      <w:r w:rsidR="00C61399">
        <w:t xml:space="preserve"> the </w:t>
      </w:r>
      <w:r w:rsidR="002B749E">
        <w:t>administration</w:t>
      </w:r>
      <w:r w:rsidR="00C61399">
        <w:t xml:space="preserve"> of </w:t>
      </w:r>
      <w:r w:rsidR="00163DB4">
        <w:t xml:space="preserve">the Balancing Mechanism for Energy. </w:t>
      </w:r>
    </w:p>
    <w:p w14:paraId="12D5A266" w14:textId="12367BA4" w:rsidR="00163DB4" w:rsidRDefault="00163DB4" w:rsidP="005B295A">
      <w:pPr>
        <w:pStyle w:val="Heading4"/>
      </w:pPr>
      <w:bookmarkStart w:id="254" w:name="_Ref75702290"/>
      <w:r>
        <w:t xml:space="preserve">The Market Operator </w:t>
      </w:r>
      <w:r w:rsidR="00C61399">
        <w:t xml:space="preserve">shall </w:t>
      </w:r>
      <w:r>
        <w:t>calculate such amounts as:</w:t>
      </w:r>
      <w:bookmarkEnd w:id="254"/>
      <w:r>
        <w:t xml:space="preserve"> </w:t>
      </w:r>
    </w:p>
    <w:p w14:paraId="6C82E18F" w14:textId="6FC30BA6" w:rsidR="00163DB4" w:rsidRPr="00163DB4" w:rsidRDefault="004D6075" w:rsidP="00A22D29">
      <w:pPr>
        <w:pStyle w:val="BodyText"/>
      </w:pPr>
      <m:oMathPara>
        <m:oMath>
          <m:sSub>
            <m:sSubPr>
              <m:ctrlPr>
                <w:rPr>
                  <w:rFonts w:ascii="Cambria Math" w:hAnsi="Cambria Math"/>
                </w:rPr>
              </m:ctrlPr>
            </m:sSubPr>
            <m:e>
              <m:r>
                <w:rPr>
                  <w:rFonts w:ascii="Cambria Math" w:hAnsi="Cambria Math"/>
                </w:rPr>
                <m:t>Bal</m:t>
              </m:r>
              <m:r>
                <m:rPr>
                  <m:sty m:val="p"/>
                </m:rPr>
                <w:rPr>
                  <w:rFonts w:ascii="Cambria Math" w:hAnsi="Cambria Math"/>
                </w:rPr>
                <m:t>_</m:t>
              </m:r>
              <m:r>
                <w:rPr>
                  <w:rFonts w:ascii="Cambria Math" w:hAnsi="Cambria Math"/>
                </w:rPr>
                <m:t>Am</m:t>
              </m:r>
            </m:e>
            <m:sub>
              <m:r>
                <w:rPr>
                  <w:rFonts w:ascii="Cambria Math" w:hAnsi="Cambria Math"/>
                </w:rPr>
                <m:t>mp</m:t>
              </m:r>
              <m:r>
                <m:rPr>
                  <m:sty m:val="p"/>
                </m:rPr>
                <w:rPr>
                  <w:rFonts w:ascii="Cambria Math" w:hAnsi="Cambria Math"/>
                </w:rPr>
                <m:t>,</m:t>
              </m:r>
              <m:r>
                <w:rPr>
                  <w:rFonts w:ascii="Cambria Math" w:hAnsi="Cambria Math"/>
                </w:rPr>
                <m:t>M</m:t>
              </m:r>
            </m:sub>
          </m:sSub>
          <m:r>
            <m:rPr>
              <m:sty m:val="p"/>
            </m:rPr>
            <w:rPr>
              <w:rFonts w:ascii="Cambria Math" w:hAnsi="Cambria Math"/>
            </w:rPr>
            <m:t>[</m:t>
          </m:r>
          <m:r>
            <w:rPr>
              <w:rFonts w:ascii="Cambria Math" w:hAnsi="Cambria Math"/>
            </w:rPr>
            <m:t>PKR</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h</m:t>
              </m:r>
              <m:r>
                <m:rPr>
                  <m:sty m:val="p"/>
                </m:rPr>
                <w:rPr>
                  <w:rFonts w:ascii="Cambria Math" w:hAnsi="Cambria Math"/>
                </w:rPr>
                <m:t>=1</m:t>
              </m:r>
            </m:sub>
            <m:sup>
              <m:r>
                <w:rPr>
                  <w:rFonts w:ascii="Cambria Math" w:hAnsi="Cambria Math"/>
                </w:rPr>
                <m:t>Tot</m:t>
              </m:r>
              <m:r>
                <m:rPr>
                  <m:sty m:val="p"/>
                </m:rPr>
                <w:rPr>
                  <w:rFonts w:ascii="Cambria Math" w:hAnsi="Cambria Math"/>
                </w:rPr>
                <m:t>_</m:t>
              </m:r>
              <m:r>
                <w:rPr>
                  <w:rFonts w:ascii="Cambria Math" w:hAnsi="Cambria Math"/>
                </w:rPr>
                <m:t>h</m:t>
              </m:r>
            </m:sup>
            <m:e>
              <m:d>
                <m:dPr>
                  <m:ctrlPr>
                    <w:rPr>
                      <w:rFonts w:ascii="Cambria Math" w:hAnsi="Cambria Math"/>
                    </w:rPr>
                  </m:ctrlPr>
                </m:dPr>
                <m:e>
                  <m:sSub>
                    <m:sSubPr>
                      <m:ctrlPr>
                        <w:rPr>
                          <w:rFonts w:ascii="Cambria Math" w:hAnsi="Cambria Math"/>
                        </w:rPr>
                      </m:ctrlPr>
                    </m:sSubPr>
                    <m:e>
                      <m:r>
                        <w:rPr>
                          <w:rFonts w:ascii="Cambria Math" w:hAnsi="Cambria Math"/>
                        </w:rPr>
                        <m:t>Imb</m:t>
                      </m:r>
                      <m:r>
                        <m:rPr>
                          <m:sty m:val="p"/>
                        </m:rPr>
                        <w:rPr>
                          <w:rFonts w:ascii="Cambria Math" w:hAnsi="Cambria Math"/>
                        </w:rPr>
                        <m:t>_</m:t>
                      </m:r>
                      <m:r>
                        <w:rPr>
                          <w:rFonts w:ascii="Cambria Math" w:hAnsi="Cambria Math"/>
                        </w:rPr>
                        <m:t>E</m:t>
                      </m:r>
                    </m:e>
                    <m:sub>
                      <m:r>
                        <w:rPr>
                          <w:rFonts w:ascii="Cambria Math" w:hAnsi="Cambria Math"/>
                        </w:rPr>
                        <m:t>mp</m:t>
                      </m:r>
                      <m:r>
                        <m:rPr>
                          <m:sty m:val="p"/>
                        </m:rPr>
                        <w:rPr>
                          <w:rFonts w:ascii="Cambria Math" w:hAnsi="Cambria Math"/>
                        </w:rPr>
                        <m:t>,</m:t>
                      </m:r>
                      <m:r>
                        <w:rPr>
                          <w:rFonts w:ascii="Cambria Math" w:hAnsi="Cambria Math"/>
                        </w:rPr>
                        <m:t>h</m:t>
                      </m:r>
                    </m:sub>
                  </m:sSub>
                  <m:r>
                    <m:rPr>
                      <m:sty m:val="p"/>
                    </m:rPr>
                    <w:rPr>
                      <w:rFonts w:ascii="Cambria Math" w:hAnsi="Cambria Math"/>
                    </w:rPr>
                    <m:t>[</m:t>
                  </m:r>
                  <m:r>
                    <w:rPr>
                      <w:rFonts w:ascii="Cambria Math" w:hAnsi="Cambria Math"/>
                    </w:rPr>
                    <m:t>MWh</m:t>
                  </m:r>
                  <m:r>
                    <m:rPr>
                      <m:sty m:val="p"/>
                    </m:rPr>
                    <w:rPr>
                      <w:rFonts w:ascii="Cambria Math" w:hAnsi="Cambria Math"/>
                    </w:rPr>
                    <m:t>]*</m:t>
                  </m:r>
                  <m:sSub>
                    <m:sSubPr>
                      <m:ctrlPr>
                        <w:rPr>
                          <w:rFonts w:ascii="Cambria Math" w:hAnsi="Cambria Math"/>
                        </w:rPr>
                      </m:ctrlPr>
                    </m:sSubPr>
                    <m:e>
                      <m:r>
                        <w:rPr>
                          <w:rFonts w:ascii="Cambria Math" w:hAnsi="Cambria Math"/>
                        </w:rPr>
                        <m:t>Marg</m:t>
                      </m:r>
                    </m:e>
                    <m:sub>
                      <m:r>
                        <w:rPr>
                          <w:rFonts w:ascii="Cambria Math" w:hAnsi="Cambria Math"/>
                        </w:rPr>
                        <m:t>h</m:t>
                      </m:r>
                    </m:sub>
                  </m:sSub>
                  <m:r>
                    <m:rPr>
                      <m:sty m:val="p"/>
                    </m:rPr>
                    <w:rPr>
                      <w:rFonts w:ascii="Cambria Math" w:hAnsi="Cambria Math"/>
                    </w:rPr>
                    <m:t>[</m:t>
                  </m:r>
                  <m:f>
                    <m:fPr>
                      <m:type m:val="skw"/>
                      <m:ctrlPr>
                        <w:rPr>
                          <w:rFonts w:ascii="Cambria Math" w:hAnsi="Cambria Math"/>
                        </w:rPr>
                      </m:ctrlPr>
                    </m:fPr>
                    <m:num>
                      <m:r>
                        <w:rPr>
                          <w:rFonts w:ascii="Cambria Math" w:hAnsi="Cambria Math"/>
                        </w:rPr>
                        <m:t>PKR</m:t>
                      </m:r>
                    </m:num>
                    <m:den>
                      <m:r>
                        <w:rPr>
                          <w:rFonts w:ascii="Cambria Math" w:hAnsi="Cambria Math"/>
                        </w:rPr>
                        <m:t>MWh</m:t>
                      </m:r>
                    </m:den>
                  </m:f>
                  <m:r>
                    <m:rPr>
                      <m:sty m:val="p"/>
                    </m:rPr>
                    <w:rPr>
                      <w:rFonts w:ascii="Cambria Math" w:hAnsi="Cambria Math"/>
                    </w:rPr>
                    <m:t>]</m:t>
                  </m:r>
                </m:e>
              </m:d>
            </m:e>
          </m:nary>
        </m:oMath>
      </m:oMathPara>
    </w:p>
    <w:p w14:paraId="73BC9709" w14:textId="3CE52DA3" w:rsidR="00D7384D" w:rsidRPr="00D312FE" w:rsidRDefault="00D312FE" w:rsidP="00D7384D">
      <w:pPr>
        <w:ind w:left="1276"/>
        <w:rPr>
          <w:rFonts w:eastAsiaTheme="minorEastAsia" w:cstheme="minorHAnsi"/>
        </w:rPr>
      </w:pPr>
      <w:r w:rsidRPr="00D312FE">
        <w:rPr>
          <w:rFonts w:eastAsiaTheme="minorEastAsia" w:cstheme="minorHAnsi"/>
        </w:rPr>
        <w:t>W</w:t>
      </w:r>
      <w:r w:rsidR="00D7384D" w:rsidRPr="00D312FE">
        <w:rPr>
          <w:rFonts w:eastAsiaTheme="minorEastAsia" w:cstheme="minorHAnsi"/>
        </w:rPr>
        <w:t xml:space="preserve">here: </w:t>
      </w:r>
    </w:p>
    <w:p w14:paraId="615BB644" w14:textId="21420606" w:rsidR="00D7384D" w:rsidRPr="00D312FE" w:rsidRDefault="00D7384D" w:rsidP="00FF4826">
      <w:pPr>
        <w:pStyle w:val="ListParagraph"/>
        <w:numPr>
          <w:ilvl w:val="0"/>
          <w:numId w:val="23"/>
        </w:numPr>
        <w:rPr>
          <w:rFonts w:eastAsiaTheme="minorEastAsia" w:cstheme="minorHAnsi"/>
          <w:i/>
          <w:iCs/>
        </w:rPr>
      </w:pPr>
      <w:r w:rsidRPr="00D312FE">
        <w:rPr>
          <w:rFonts w:eastAsiaTheme="minorEastAsia" w:cstheme="minorHAnsi"/>
          <w:i/>
          <w:iCs/>
        </w:rPr>
        <w:t>Bal_Am</w:t>
      </w:r>
      <w:r w:rsidRPr="00D312FE">
        <w:rPr>
          <w:rFonts w:eastAsiaTheme="minorEastAsia" w:cstheme="minorHAnsi"/>
          <w:i/>
          <w:iCs/>
          <w:vertAlign w:val="subscript"/>
        </w:rPr>
        <w:t>mp,M</w:t>
      </w:r>
      <w:r w:rsidRPr="00D312FE">
        <w:rPr>
          <w:rFonts w:eastAsiaTheme="minorEastAsia" w:cstheme="minorHAnsi"/>
          <w:i/>
          <w:iCs/>
        </w:rPr>
        <w:t xml:space="preserve"> </w:t>
      </w:r>
      <w:r w:rsidRPr="00D312FE">
        <w:rPr>
          <w:rFonts w:eastAsiaTheme="minorEastAsia" w:cstheme="minorHAnsi"/>
        </w:rPr>
        <w:t xml:space="preserve">is the final balance amount of Market Participant </w:t>
      </w:r>
      <w:r w:rsidR="00C61399">
        <w:rPr>
          <w:rFonts w:eastAsiaTheme="minorEastAsia" w:cstheme="minorHAnsi"/>
        </w:rPr>
        <w:t>“</w:t>
      </w:r>
      <w:r w:rsidRPr="00D312FE">
        <w:rPr>
          <w:rFonts w:eastAsiaTheme="minorEastAsia" w:cstheme="minorHAnsi"/>
          <w:i/>
          <w:iCs/>
        </w:rPr>
        <w:t>mp</w:t>
      </w:r>
      <w:r w:rsidR="00C61399">
        <w:rPr>
          <w:rFonts w:eastAsiaTheme="minorEastAsia" w:cstheme="minorHAnsi"/>
          <w:i/>
          <w:iCs/>
        </w:rPr>
        <w:t>”</w:t>
      </w:r>
      <w:r w:rsidRPr="00D312FE">
        <w:rPr>
          <w:rFonts w:eastAsiaTheme="minorEastAsia" w:cstheme="minorHAnsi"/>
        </w:rPr>
        <w:t xml:space="preserve"> for the settlement month </w:t>
      </w:r>
      <w:r w:rsidR="00C61399">
        <w:rPr>
          <w:rFonts w:eastAsiaTheme="minorEastAsia" w:cstheme="minorHAnsi"/>
        </w:rPr>
        <w:t>“</w:t>
      </w:r>
      <w:r w:rsidRPr="00D312FE">
        <w:rPr>
          <w:rFonts w:eastAsiaTheme="minorEastAsia" w:cstheme="minorHAnsi"/>
          <w:i/>
          <w:iCs/>
        </w:rPr>
        <w:t>M</w:t>
      </w:r>
      <w:r w:rsidR="00C61399">
        <w:rPr>
          <w:rFonts w:eastAsiaTheme="minorEastAsia" w:cstheme="minorHAnsi"/>
        </w:rPr>
        <w:t>”,</w:t>
      </w:r>
      <w:r w:rsidRPr="00D312FE">
        <w:rPr>
          <w:rFonts w:eastAsiaTheme="minorEastAsia" w:cstheme="minorHAnsi"/>
        </w:rPr>
        <w:t xml:space="preserve"> </w:t>
      </w:r>
      <w:r w:rsidR="00C61399">
        <w:rPr>
          <w:rFonts w:eastAsiaTheme="minorEastAsia" w:cstheme="minorHAnsi"/>
        </w:rPr>
        <w:t xml:space="preserve">as a result of </w:t>
      </w:r>
      <w:r w:rsidR="002B749E">
        <w:rPr>
          <w:rFonts w:eastAsiaTheme="minorEastAsia" w:cstheme="minorHAnsi"/>
        </w:rPr>
        <w:t>administration</w:t>
      </w:r>
      <w:r w:rsidR="00C61399">
        <w:rPr>
          <w:rFonts w:eastAsiaTheme="minorEastAsia" w:cstheme="minorHAnsi"/>
        </w:rPr>
        <w:t xml:space="preserve"> of</w:t>
      </w:r>
      <w:r w:rsidRPr="00D312FE">
        <w:rPr>
          <w:rFonts w:eastAsiaTheme="minorEastAsia" w:cstheme="minorHAnsi"/>
        </w:rPr>
        <w:t xml:space="preserve"> the Balancing Mechanism for Energy</w:t>
      </w:r>
    </w:p>
    <w:p w14:paraId="24FB26FD" w14:textId="4B3C10BE" w:rsidR="00D7384D" w:rsidRPr="00D312FE" w:rsidRDefault="00D7384D" w:rsidP="00FF4826">
      <w:pPr>
        <w:pStyle w:val="ListParagraph"/>
        <w:numPr>
          <w:ilvl w:val="0"/>
          <w:numId w:val="23"/>
        </w:numPr>
        <w:rPr>
          <w:rFonts w:eastAsiaTheme="minorEastAsia" w:cstheme="minorHAnsi"/>
        </w:rPr>
      </w:pPr>
      <w:r w:rsidRPr="00D312FE">
        <w:rPr>
          <w:rFonts w:eastAsiaTheme="minorEastAsia" w:cstheme="minorHAnsi"/>
          <w:i/>
          <w:iCs/>
        </w:rPr>
        <w:t>Imb_E</w:t>
      </w:r>
      <w:r w:rsidRPr="00D312FE">
        <w:rPr>
          <w:rFonts w:eastAsiaTheme="minorEastAsia" w:cstheme="minorHAnsi"/>
          <w:i/>
          <w:iCs/>
          <w:vertAlign w:val="subscript"/>
        </w:rPr>
        <w:t>mp,h</w:t>
      </w:r>
      <w:r w:rsidRPr="00D312FE">
        <w:rPr>
          <w:rFonts w:eastAsiaTheme="minorEastAsia" w:cstheme="minorHAnsi"/>
        </w:rPr>
        <w:t xml:space="preserve"> is the </w:t>
      </w:r>
      <w:r w:rsidR="00C61399">
        <w:rPr>
          <w:rFonts w:eastAsiaTheme="minorEastAsia" w:cstheme="minorHAnsi"/>
        </w:rPr>
        <w:t>I</w:t>
      </w:r>
      <w:r w:rsidR="00C61399" w:rsidRPr="00D312FE">
        <w:rPr>
          <w:rFonts w:eastAsiaTheme="minorEastAsia" w:cstheme="minorHAnsi"/>
        </w:rPr>
        <w:t xml:space="preserve">mbalance </w:t>
      </w:r>
      <w:r w:rsidR="00C61399">
        <w:rPr>
          <w:rFonts w:eastAsiaTheme="minorEastAsia" w:cstheme="minorHAnsi"/>
        </w:rPr>
        <w:t xml:space="preserve">of </w:t>
      </w:r>
      <w:r w:rsidR="0046412E">
        <w:rPr>
          <w:rFonts w:eastAsiaTheme="minorEastAsia" w:cstheme="minorHAnsi"/>
        </w:rPr>
        <w:t>Energy</w:t>
      </w:r>
      <w:r w:rsidRPr="00D312FE">
        <w:rPr>
          <w:rFonts w:eastAsiaTheme="minorEastAsia" w:cstheme="minorHAnsi"/>
        </w:rPr>
        <w:t xml:space="preserve"> of Market Participant </w:t>
      </w:r>
      <w:r w:rsidR="00C61399">
        <w:rPr>
          <w:rFonts w:eastAsiaTheme="minorEastAsia" w:cstheme="minorHAnsi"/>
        </w:rPr>
        <w:t>“</w:t>
      </w:r>
      <w:r w:rsidRPr="00D312FE">
        <w:rPr>
          <w:rFonts w:eastAsiaTheme="minorEastAsia" w:cstheme="minorHAnsi"/>
          <w:i/>
          <w:iCs/>
        </w:rPr>
        <w:t>mp</w:t>
      </w:r>
      <w:r w:rsidR="00C61399">
        <w:rPr>
          <w:rFonts w:eastAsiaTheme="minorEastAsia" w:cstheme="minorHAnsi"/>
          <w:i/>
          <w:iCs/>
        </w:rPr>
        <w:t>”</w:t>
      </w:r>
      <w:r w:rsidRPr="00D312FE">
        <w:rPr>
          <w:rFonts w:eastAsiaTheme="minorEastAsia" w:cstheme="minorHAnsi"/>
        </w:rPr>
        <w:t xml:space="preserve"> during hour </w:t>
      </w:r>
      <w:r w:rsidR="00C61399">
        <w:rPr>
          <w:rFonts w:eastAsiaTheme="minorEastAsia" w:cstheme="minorHAnsi"/>
        </w:rPr>
        <w:t>“</w:t>
      </w:r>
      <w:r w:rsidRPr="00D312FE">
        <w:rPr>
          <w:rFonts w:eastAsiaTheme="minorEastAsia" w:cstheme="minorHAnsi"/>
          <w:i/>
          <w:iCs/>
        </w:rPr>
        <w:t>h</w:t>
      </w:r>
      <w:r w:rsidR="00C61399">
        <w:rPr>
          <w:rFonts w:eastAsiaTheme="minorEastAsia" w:cstheme="minorHAnsi"/>
          <w:i/>
          <w:iCs/>
        </w:rPr>
        <w:t>”</w:t>
      </w:r>
      <w:r w:rsidR="0084602C" w:rsidRPr="00D312FE">
        <w:rPr>
          <w:rFonts w:eastAsiaTheme="minorEastAsia" w:cstheme="minorHAnsi"/>
        </w:rPr>
        <w:t xml:space="preserve"> calculated </w:t>
      </w:r>
      <w:r w:rsidR="00C61399">
        <w:rPr>
          <w:rFonts w:eastAsiaTheme="minorEastAsia" w:cstheme="minorHAnsi"/>
        </w:rPr>
        <w:t>pursuant to</w:t>
      </w:r>
      <w:r w:rsidR="0084602C" w:rsidRPr="00D312FE">
        <w:rPr>
          <w:rFonts w:eastAsiaTheme="minorEastAsia" w:cstheme="minorHAnsi"/>
        </w:rPr>
        <w:t xml:space="preserve"> Clause </w:t>
      </w:r>
      <w:r w:rsidR="0084602C" w:rsidRPr="00D312FE">
        <w:rPr>
          <w:rFonts w:eastAsiaTheme="minorEastAsia" w:cstheme="minorHAnsi"/>
        </w:rPr>
        <w:fldChar w:fldCharType="begin"/>
      </w:r>
      <w:r w:rsidR="0084602C" w:rsidRPr="00D312FE">
        <w:rPr>
          <w:rFonts w:eastAsiaTheme="minorEastAsia" w:cstheme="minorHAnsi"/>
        </w:rPr>
        <w:instrText xml:space="preserve"> REF _Ref59631596 \r \h </w:instrText>
      </w:r>
      <w:r w:rsidR="00D312FE">
        <w:rPr>
          <w:rFonts w:eastAsiaTheme="minorEastAsia" w:cstheme="minorHAnsi"/>
        </w:rPr>
        <w:instrText xml:space="preserve"> \* MERGEFORMAT </w:instrText>
      </w:r>
      <w:r w:rsidR="0084602C" w:rsidRPr="00D312FE">
        <w:rPr>
          <w:rFonts w:eastAsiaTheme="minorEastAsia" w:cstheme="minorHAnsi"/>
        </w:rPr>
      </w:r>
      <w:r w:rsidR="0084602C" w:rsidRPr="00D312FE">
        <w:rPr>
          <w:rFonts w:eastAsiaTheme="minorEastAsia" w:cstheme="minorHAnsi"/>
        </w:rPr>
        <w:fldChar w:fldCharType="separate"/>
      </w:r>
      <w:r w:rsidR="00251DBF">
        <w:rPr>
          <w:rFonts w:eastAsiaTheme="minorEastAsia" w:cstheme="minorHAnsi"/>
        </w:rPr>
        <w:t>6.4.3.2</w:t>
      </w:r>
      <w:r w:rsidR="0084602C" w:rsidRPr="00D312FE">
        <w:rPr>
          <w:rFonts w:eastAsiaTheme="minorEastAsia" w:cstheme="minorHAnsi"/>
        </w:rPr>
        <w:fldChar w:fldCharType="end"/>
      </w:r>
    </w:p>
    <w:p w14:paraId="4101C7A7" w14:textId="76D0B8E2" w:rsidR="0084602C" w:rsidRPr="00D312FE" w:rsidRDefault="0084602C" w:rsidP="00FF4826">
      <w:pPr>
        <w:pStyle w:val="ListParagraph"/>
        <w:numPr>
          <w:ilvl w:val="0"/>
          <w:numId w:val="23"/>
        </w:numPr>
        <w:rPr>
          <w:rFonts w:eastAsiaTheme="minorEastAsia" w:cstheme="minorHAnsi"/>
        </w:rPr>
      </w:pPr>
      <w:r w:rsidRPr="00D312FE">
        <w:rPr>
          <w:rFonts w:eastAsiaTheme="minorEastAsia" w:cstheme="minorHAnsi"/>
          <w:i/>
          <w:iCs/>
        </w:rPr>
        <w:t>Marg</w:t>
      </w:r>
      <w:r w:rsidR="00D7384D" w:rsidRPr="00D312FE">
        <w:rPr>
          <w:rFonts w:eastAsiaTheme="minorEastAsia" w:cstheme="minorHAnsi"/>
          <w:i/>
          <w:iCs/>
          <w:vertAlign w:val="subscript"/>
        </w:rPr>
        <w:t>h</w:t>
      </w:r>
      <w:r w:rsidR="00D7384D" w:rsidRPr="00D312FE">
        <w:rPr>
          <w:rFonts w:eastAsiaTheme="minorEastAsia" w:cstheme="minorHAnsi"/>
        </w:rPr>
        <w:t xml:space="preserve"> is </w:t>
      </w:r>
      <w:r w:rsidRPr="00D312FE">
        <w:rPr>
          <w:rFonts w:eastAsiaTheme="minorEastAsia" w:cstheme="minorHAnsi"/>
        </w:rPr>
        <w:t xml:space="preserve">the System Marginal Price for the hour </w:t>
      </w:r>
      <w:r w:rsidR="00C61399">
        <w:rPr>
          <w:rFonts w:eastAsiaTheme="minorEastAsia" w:cstheme="minorHAnsi"/>
        </w:rPr>
        <w:t>“</w:t>
      </w:r>
      <w:r w:rsidRPr="00D312FE">
        <w:rPr>
          <w:rFonts w:eastAsiaTheme="minorEastAsia" w:cstheme="minorHAnsi"/>
          <w:i/>
          <w:iCs/>
        </w:rPr>
        <w:t>h</w:t>
      </w:r>
      <w:r w:rsidR="00C61399">
        <w:rPr>
          <w:rFonts w:eastAsiaTheme="minorEastAsia" w:cstheme="minorHAnsi"/>
          <w:i/>
          <w:iCs/>
        </w:rPr>
        <w:t>”</w:t>
      </w:r>
      <w:r w:rsidRPr="00D312FE">
        <w:rPr>
          <w:rFonts w:eastAsiaTheme="minorEastAsia" w:cstheme="minorHAnsi"/>
        </w:rPr>
        <w:t xml:space="preserve">, determined by the System Operator as per Section </w:t>
      </w:r>
      <w:r w:rsidRPr="00D312FE">
        <w:rPr>
          <w:rFonts w:eastAsiaTheme="minorEastAsia" w:cstheme="minorHAnsi"/>
        </w:rPr>
        <w:fldChar w:fldCharType="begin"/>
      </w:r>
      <w:r w:rsidRPr="00D312FE">
        <w:rPr>
          <w:rFonts w:eastAsiaTheme="minorEastAsia" w:cstheme="minorHAnsi"/>
        </w:rPr>
        <w:instrText xml:space="preserve"> REF _Ref59631781 \r \h </w:instrText>
      </w:r>
      <w:r w:rsidR="00D312FE">
        <w:rPr>
          <w:rFonts w:eastAsiaTheme="minorEastAsia" w:cstheme="minorHAnsi"/>
        </w:rPr>
        <w:instrText xml:space="preserve"> \* MERGEFORMAT </w:instrText>
      </w:r>
      <w:r w:rsidRPr="00D312FE">
        <w:rPr>
          <w:rFonts w:eastAsiaTheme="minorEastAsia" w:cstheme="minorHAnsi"/>
        </w:rPr>
      </w:r>
      <w:r w:rsidRPr="00D312FE">
        <w:rPr>
          <w:rFonts w:eastAsiaTheme="minorEastAsia" w:cstheme="minorHAnsi"/>
        </w:rPr>
        <w:fldChar w:fldCharType="separate"/>
      </w:r>
      <w:r w:rsidR="00251DBF">
        <w:rPr>
          <w:rFonts w:eastAsiaTheme="minorEastAsia" w:cstheme="minorHAnsi"/>
        </w:rPr>
        <w:t>6.5</w:t>
      </w:r>
      <w:r w:rsidRPr="00D312FE">
        <w:rPr>
          <w:rFonts w:eastAsiaTheme="minorEastAsia" w:cstheme="minorHAnsi"/>
        </w:rPr>
        <w:fldChar w:fldCharType="end"/>
      </w:r>
      <w:r w:rsidRPr="00D312FE">
        <w:rPr>
          <w:rFonts w:eastAsiaTheme="minorEastAsia" w:cstheme="minorHAnsi"/>
        </w:rPr>
        <w:t xml:space="preserve">, expressed in </w:t>
      </w:r>
      <w:r w:rsidRPr="00B03C4A">
        <w:rPr>
          <w:rFonts w:eastAsiaTheme="minorEastAsia" w:cstheme="minorHAnsi"/>
        </w:rPr>
        <w:t>PKR/MWh.</w:t>
      </w:r>
    </w:p>
    <w:p w14:paraId="450030AA" w14:textId="18B1ECC2" w:rsidR="0084602C" w:rsidRPr="00D312FE" w:rsidRDefault="0084602C" w:rsidP="00FF4826">
      <w:pPr>
        <w:pStyle w:val="ListParagraph"/>
        <w:numPr>
          <w:ilvl w:val="0"/>
          <w:numId w:val="23"/>
        </w:numPr>
        <w:rPr>
          <w:rFonts w:eastAsiaTheme="minorEastAsia" w:cstheme="minorHAnsi"/>
        </w:rPr>
      </w:pPr>
      <w:r w:rsidRPr="00D312FE">
        <w:rPr>
          <w:rFonts w:eastAsiaTheme="minorEastAsia" w:cstheme="minorHAnsi"/>
          <w:i/>
          <w:iCs/>
        </w:rPr>
        <w:t xml:space="preserve">Tot_h </w:t>
      </w:r>
      <w:r w:rsidRPr="00D312FE">
        <w:rPr>
          <w:rFonts w:eastAsiaTheme="minorEastAsia" w:cstheme="minorHAnsi"/>
        </w:rPr>
        <w:t xml:space="preserve">are the total number of hours </w:t>
      </w:r>
      <w:r w:rsidR="00C61399">
        <w:rPr>
          <w:rFonts w:eastAsiaTheme="minorEastAsia" w:cstheme="minorHAnsi"/>
        </w:rPr>
        <w:t>in</w:t>
      </w:r>
      <w:r w:rsidR="00C61399" w:rsidRPr="00D312FE">
        <w:rPr>
          <w:rFonts w:eastAsiaTheme="minorEastAsia" w:cstheme="minorHAnsi"/>
        </w:rPr>
        <w:t xml:space="preserve"> </w:t>
      </w:r>
      <w:r w:rsidRPr="00D312FE">
        <w:rPr>
          <w:rFonts w:eastAsiaTheme="minorEastAsia" w:cstheme="minorHAnsi"/>
        </w:rPr>
        <w:t xml:space="preserve">month </w:t>
      </w:r>
      <w:r w:rsidR="00C61399">
        <w:rPr>
          <w:rFonts w:eastAsiaTheme="minorEastAsia" w:cstheme="minorHAnsi"/>
        </w:rPr>
        <w:t>“</w:t>
      </w:r>
      <w:r w:rsidRPr="00D312FE">
        <w:rPr>
          <w:rFonts w:eastAsiaTheme="minorEastAsia" w:cstheme="minorHAnsi"/>
          <w:i/>
          <w:iCs/>
        </w:rPr>
        <w:t>M</w:t>
      </w:r>
      <w:r w:rsidR="00C61399">
        <w:rPr>
          <w:rFonts w:eastAsiaTheme="minorEastAsia" w:cstheme="minorHAnsi"/>
          <w:i/>
          <w:iCs/>
        </w:rPr>
        <w:t>”</w:t>
      </w:r>
      <w:r w:rsidRPr="00D312FE">
        <w:rPr>
          <w:rFonts w:eastAsiaTheme="minorEastAsia" w:cstheme="minorHAnsi"/>
        </w:rPr>
        <w:t xml:space="preserve"> </w:t>
      </w:r>
    </w:p>
    <w:p w14:paraId="69D9ECC3" w14:textId="3DDD647E" w:rsidR="007856C6" w:rsidRDefault="00C61399" w:rsidP="005B295A">
      <w:pPr>
        <w:pStyle w:val="Heading4"/>
      </w:pPr>
      <w:r>
        <w:t xml:space="preserve">For the application of Clause </w:t>
      </w:r>
      <w:r>
        <w:fldChar w:fldCharType="begin"/>
      </w:r>
      <w:r>
        <w:instrText xml:space="preserve"> REF _Ref75702290 \n \h </w:instrText>
      </w:r>
      <w:r>
        <w:fldChar w:fldCharType="separate"/>
      </w:r>
      <w:r>
        <w:t>6.6.1.2</w:t>
      </w:r>
      <w:r>
        <w:fldChar w:fldCharType="end"/>
      </w:r>
      <w:r>
        <w:t>, a</w:t>
      </w:r>
      <w:r w:rsidR="0084602C">
        <w:t xml:space="preserve"> positive balance amount implies an Amount Receivable and</w:t>
      </w:r>
      <w:r w:rsidR="0067169D">
        <w:t xml:space="preserve"> the Market Participant is entitled to receive a payment </w:t>
      </w:r>
      <w:r w:rsidR="007856C6">
        <w:t xml:space="preserve">for such amount. A negative balance implies that </w:t>
      </w:r>
      <w:r w:rsidR="0067169D">
        <w:t xml:space="preserve">the Market Participant is </w:t>
      </w:r>
      <w:r w:rsidR="002B749E">
        <w:t xml:space="preserve">responsible </w:t>
      </w:r>
      <w:r w:rsidR="0067169D">
        <w:t>for mak</w:t>
      </w:r>
      <w:r w:rsidR="007856C6">
        <w:t>ing</w:t>
      </w:r>
      <w:r w:rsidR="0067169D">
        <w:t xml:space="preserve"> a payment </w:t>
      </w:r>
      <w:r w:rsidR="007856C6">
        <w:t>for such amount</w:t>
      </w:r>
      <w:r>
        <w:t xml:space="preserve"> to the Market Operator</w:t>
      </w:r>
      <w:r w:rsidR="007856C6">
        <w:t xml:space="preserve">. </w:t>
      </w:r>
    </w:p>
    <w:p w14:paraId="125E1E86" w14:textId="5F69DED0" w:rsidR="00F00720" w:rsidRPr="00F00720" w:rsidRDefault="00F00720" w:rsidP="00C173D0">
      <w:pPr>
        <w:pStyle w:val="Heading3"/>
      </w:pPr>
      <w:r>
        <w:t>Publications of BME Results</w:t>
      </w:r>
    </w:p>
    <w:p w14:paraId="01E4E8EB" w14:textId="0EBE6BAE" w:rsidR="00F00720" w:rsidRDefault="00C61399" w:rsidP="005B295A">
      <w:pPr>
        <w:pStyle w:val="Heading4"/>
      </w:pPr>
      <w:r>
        <w:t>On monthly basis t</w:t>
      </w:r>
      <w:r w:rsidR="00F00720">
        <w:t xml:space="preserve">he Market Operator shall document and </w:t>
      </w:r>
      <w:r w:rsidR="007746F3">
        <w:t xml:space="preserve">make available to the relevant Market Participants </w:t>
      </w:r>
      <w:r w:rsidR="00F00720">
        <w:t>the results of the BM</w:t>
      </w:r>
      <w:r w:rsidR="007746F3">
        <w:t>E</w:t>
      </w:r>
      <w:r w:rsidR="00F00720">
        <w:t xml:space="preserve">. </w:t>
      </w:r>
    </w:p>
    <w:p w14:paraId="7808D617" w14:textId="3A35B2A6" w:rsidR="00F00720" w:rsidRDefault="00C61399" w:rsidP="005B295A">
      <w:pPr>
        <w:pStyle w:val="Heading4"/>
      </w:pPr>
      <w:r>
        <w:t xml:space="preserve">The Market Operator shall publish, </w:t>
      </w:r>
      <w:r w:rsidRPr="00C61399">
        <w:rPr>
          <w:i/>
          <w:iCs w:val="0"/>
        </w:rPr>
        <w:t>inter alia</w:t>
      </w:r>
      <w:r>
        <w:t>, the following</w:t>
      </w:r>
      <w:r w:rsidR="00F00720">
        <w:t>:</w:t>
      </w:r>
    </w:p>
    <w:p w14:paraId="3917ACF9" w14:textId="39136C3D" w:rsidR="00F00720" w:rsidRDefault="00F00720" w:rsidP="00B03234">
      <w:pPr>
        <w:pStyle w:val="Heading5"/>
      </w:pPr>
      <w:r>
        <w:lastRenderedPageBreak/>
        <w:t xml:space="preserve">The System Marginal Prices, for each hour of the previous month; </w:t>
      </w:r>
    </w:p>
    <w:p w14:paraId="4DAF9F5A" w14:textId="447BEE39" w:rsidR="00F00720" w:rsidRDefault="00F00720" w:rsidP="00B03234">
      <w:pPr>
        <w:pStyle w:val="Heading5"/>
      </w:pPr>
      <w:r>
        <w:t xml:space="preserve">The </w:t>
      </w:r>
      <w:r w:rsidR="00C61399">
        <w:t>A</w:t>
      </w:r>
      <w:r>
        <w:t xml:space="preserve">mounts </w:t>
      </w:r>
      <w:r w:rsidR="00C61399">
        <w:t>P</w:t>
      </w:r>
      <w:commentRangeStart w:id="255"/>
      <w:r>
        <w:t xml:space="preserve">ayable and </w:t>
      </w:r>
      <w:r w:rsidR="00C61399">
        <w:t>Amounts R</w:t>
      </w:r>
      <w:r>
        <w:t>eceivable of each Market Participant</w:t>
      </w:r>
      <w:commentRangeEnd w:id="255"/>
      <w:r w:rsidR="006B1A4C">
        <w:rPr>
          <w:rStyle w:val="CommentReference"/>
          <w:rFonts w:eastAsiaTheme="minorHAnsi" w:cstheme="minorBidi"/>
          <w:color w:val="1C1C1C"/>
        </w:rPr>
        <w:commentReference w:id="255"/>
      </w:r>
      <w:r>
        <w:t>; and</w:t>
      </w:r>
    </w:p>
    <w:p w14:paraId="0CA46B60" w14:textId="616ECFC1" w:rsidR="00F00720" w:rsidRPr="00F00720" w:rsidRDefault="00F00720" w:rsidP="00B03234">
      <w:pPr>
        <w:pStyle w:val="Heading5"/>
      </w:pPr>
      <w:r>
        <w:t xml:space="preserve">Any </w:t>
      </w:r>
      <w:r w:rsidR="007746F3">
        <w:t>other information,</w:t>
      </w:r>
      <w:r>
        <w:t xml:space="preserve"> the Market Operator deems suitable for proper understanding of the published results.  </w:t>
      </w:r>
    </w:p>
    <w:p w14:paraId="4CDEEEA6" w14:textId="2E8BC336" w:rsidR="00081D75" w:rsidRDefault="009A70FF" w:rsidP="005B295A">
      <w:pPr>
        <w:pStyle w:val="Heading4"/>
      </w:pPr>
      <w:r>
        <w:t>The Market Operator shall provide to each Market Participant and other relevant stakeholders the following information:</w:t>
      </w:r>
    </w:p>
    <w:p w14:paraId="12D7FE43" w14:textId="23DE29A4" w:rsidR="00081D75" w:rsidRDefault="009A70FF" w:rsidP="00B03234">
      <w:pPr>
        <w:pStyle w:val="Heading5"/>
      </w:pPr>
      <w:r>
        <w:t>t</w:t>
      </w:r>
      <w:r w:rsidR="00081D75">
        <w:t xml:space="preserve">he hourly </w:t>
      </w:r>
      <w:r>
        <w:t>metering data</w:t>
      </w:r>
      <w:r w:rsidR="00081D75">
        <w:t xml:space="preserve"> used for </w:t>
      </w:r>
      <w:r w:rsidR="007746F3">
        <w:t>calculation of</w:t>
      </w:r>
      <w:r>
        <w:t xml:space="preserve"> </w:t>
      </w:r>
      <w:r w:rsidR="00081D75">
        <w:t xml:space="preserve">the </w:t>
      </w:r>
      <w:r>
        <w:t xml:space="preserve">Imbalances of </w:t>
      </w:r>
      <w:r w:rsidR="0046412E">
        <w:t>Energy</w:t>
      </w:r>
      <w:r w:rsidR="00081D75">
        <w:t xml:space="preserve"> of such Market Participant;</w:t>
      </w:r>
    </w:p>
    <w:p w14:paraId="56138145" w14:textId="6A5D0E5C" w:rsidR="00081D75" w:rsidRDefault="009A70FF" w:rsidP="00B03234">
      <w:pPr>
        <w:pStyle w:val="Heading5"/>
      </w:pPr>
      <w:r>
        <w:t>t</w:t>
      </w:r>
      <w:r w:rsidR="00081D75">
        <w:t xml:space="preserve">he hourly values of the </w:t>
      </w:r>
      <w:r w:rsidR="0046412E">
        <w:t>Energy</w:t>
      </w:r>
      <w:r w:rsidR="00081D75">
        <w:t xml:space="preserve"> actually injected </w:t>
      </w:r>
      <w:r w:rsidR="007746F3">
        <w:t>in</w:t>
      </w:r>
      <w:r w:rsidR="00081D75">
        <w:t xml:space="preserve">to or </w:t>
      </w:r>
      <w:r w:rsidR="007746F3">
        <w:t xml:space="preserve">withdrawn </w:t>
      </w:r>
      <w:r w:rsidR="00081D75">
        <w:t xml:space="preserve">from the </w:t>
      </w:r>
      <w:r>
        <w:t>Grid System</w:t>
      </w:r>
      <w:r w:rsidR="00081D75">
        <w:t xml:space="preserve"> by the Market Participant; </w:t>
      </w:r>
    </w:p>
    <w:p w14:paraId="045E998B" w14:textId="54BD02C2" w:rsidR="00081D75" w:rsidRDefault="009A70FF" w:rsidP="00B03234">
      <w:pPr>
        <w:pStyle w:val="Heading5"/>
      </w:pPr>
      <w:r>
        <w:t>t</w:t>
      </w:r>
      <w:r w:rsidR="00081D75">
        <w:t xml:space="preserve">he hourly </w:t>
      </w:r>
      <w:r>
        <w:t>contracted quantities</w:t>
      </w:r>
      <w:r w:rsidR="00081D75">
        <w:t xml:space="preserve"> of such Market Participant</w:t>
      </w:r>
      <w:r w:rsidR="001A04DD">
        <w:t xml:space="preserve">, </w:t>
      </w:r>
      <w:r>
        <w:t>which were used for calculating the Imbalances of Energy of such Market Participant</w:t>
      </w:r>
      <w:r w:rsidDel="009A70FF">
        <w:t xml:space="preserve"> </w:t>
      </w:r>
      <w:r w:rsidR="00081D75">
        <w:t>; and</w:t>
      </w:r>
    </w:p>
    <w:p w14:paraId="121DCAC6" w14:textId="721FB6CC" w:rsidR="00F55221" w:rsidRDefault="009A70FF" w:rsidP="00B03234">
      <w:pPr>
        <w:pStyle w:val="Heading5"/>
      </w:pPr>
      <w:r>
        <w:t>t</w:t>
      </w:r>
      <w:r w:rsidR="00081D75">
        <w:t xml:space="preserve">he hourly </w:t>
      </w:r>
      <w:r w:rsidR="00D75DA6">
        <w:t>Imbalances</w:t>
      </w:r>
      <w:r w:rsidR="00081D75">
        <w:t xml:space="preserve"> of the Market Participant. </w:t>
      </w:r>
    </w:p>
    <w:p w14:paraId="31F2410A" w14:textId="310118B6" w:rsidR="00293F8F" w:rsidRPr="001A04DD" w:rsidRDefault="00293F8F" w:rsidP="00B03234">
      <w:pPr>
        <w:pStyle w:val="Heading5"/>
      </w:pPr>
      <w:r>
        <w:br w:type="page"/>
      </w:r>
    </w:p>
    <w:p w14:paraId="7CDCD04E" w14:textId="3E69EF91" w:rsidR="00293F8F" w:rsidRPr="006774E9" w:rsidRDefault="00D34F1F" w:rsidP="00A40A5D">
      <w:pPr>
        <w:pStyle w:val="Heading1"/>
      </w:pPr>
      <w:bookmarkStart w:id="256" w:name="_Ref54870815"/>
      <w:bookmarkStart w:id="257" w:name="_Ref54899203"/>
      <w:bookmarkStart w:id="258" w:name="_Ref59727985"/>
      <w:bookmarkStart w:id="259" w:name="_Toc64846683"/>
      <w:bookmarkStart w:id="260" w:name="_Toc69476980"/>
      <w:r>
        <w:lastRenderedPageBreak/>
        <w:t>ADDITIONAL MARKET CHARGES (</w:t>
      </w:r>
      <w:r w:rsidR="00F07545" w:rsidRPr="00830F98">
        <w:t>Ancillary Service Charges (ASC)</w:t>
      </w:r>
      <w:r w:rsidRPr="00830F98">
        <w:t>,</w:t>
      </w:r>
      <w:r>
        <w:t xml:space="preserve"> MUST RUN GENERATION AND </w:t>
      </w:r>
      <w:r w:rsidR="00FC02FD">
        <w:t>Operators Fee</w:t>
      </w:r>
      <w:r>
        <w:t>)</w:t>
      </w:r>
      <w:bookmarkEnd w:id="256"/>
      <w:bookmarkEnd w:id="257"/>
      <w:bookmarkEnd w:id="258"/>
      <w:bookmarkEnd w:id="259"/>
      <w:bookmarkEnd w:id="260"/>
    </w:p>
    <w:p w14:paraId="766D8A97" w14:textId="754E3B17" w:rsidR="00107DC9" w:rsidRDefault="00107DC9" w:rsidP="00FF6AE9">
      <w:pPr>
        <w:pStyle w:val="Heading2"/>
      </w:pPr>
      <w:bookmarkStart w:id="261" w:name="_Toc64846684"/>
      <w:bookmarkStart w:id="262" w:name="_Toc69476981"/>
      <w:r>
        <w:t>Purpose</w:t>
      </w:r>
    </w:p>
    <w:p w14:paraId="56AD8DF0" w14:textId="77777777" w:rsidR="00107DC9" w:rsidRDefault="00107DC9" w:rsidP="00B03C4A">
      <w:pPr>
        <w:pStyle w:val="Heading4"/>
      </w:pPr>
      <w:r>
        <w:t>The purpose of this chapter is:</w:t>
      </w:r>
    </w:p>
    <w:p w14:paraId="553DCB27" w14:textId="0E9859DF" w:rsidR="00107DC9" w:rsidRDefault="00107DC9" w:rsidP="00107DC9">
      <w:pPr>
        <w:pStyle w:val="Heading5"/>
      </w:pPr>
      <w:r>
        <w:t xml:space="preserve"> to provide a procedure for identification of the Generation Units which may be eligible for compensation for Must Run Generation and/or for allowing provision of Ancillary Services;</w:t>
      </w:r>
    </w:p>
    <w:p w14:paraId="3EEEABF4" w14:textId="657340B7" w:rsidR="00107DC9" w:rsidRDefault="00107DC9" w:rsidP="00B03C4A">
      <w:pPr>
        <w:pStyle w:val="Heading5"/>
      </w:pPr>
      <w:r>
        <w:t>to determine the amount of compensation for Must Run Generation and/or for allowing provision of Ancillary Services; and</w:t>
      </w:r>
    </w:p>
    <w:p w14:paraId="0374E6C1" w14:textId="6E8F37ED" w:rsidR="00107DC9" w:rsidRPr="003018FA" w:rsidRDefault="00FC02FD" w:rsidP="00B03C4A">
      <w:pPr>
        <w:pStyle w:val="Heading5"/>
      </w:pPr>
      <w:r>
        <w:t>charge</w:t>
      </w:r>
      <w:r w:rsidR="00107DC9">
        <w:t xml:space="preserve"> the </w:t>
      </w:r>
      <w:r>
        <w:t xml:space="preserve">Market Operator Fee </w:t>
      </w:r>
      <w:r w:rsidRPr="00B03C4A">
        <w:rPr>
          <w:highlight w:val="yellow"/>
        </w:rPr>
        <w:t>and, if applicable, the System Operator Fee</w:t>
      </w:r>
      <w:r w:rsidR="00107DC9">
        <w:t>.</w:t>
      </w:r>
    </w:p>
    <w:p w14:paraId="33646935" w14:textId="6B31F414" w:rsidR="00D34F1F" w:rsidRDefault="00D34F1F" w:rsidP="00FF6AE9">
      <w:pPr>
        <w:pStyle w:val="Heading2"/>
      </w:pPr>
      <w:r>
        <w:t>Must Run Generation</w:t>
      </w:r>
      <w:bookmarkEnd w:id="261"/>
      <w:bookmarkEnd w:id="262"/>
      <w:r>
        <w:t xml:space="preserve"> </w:t>
      </w:r>
    </w:p>
    <w:p w14:paraId="2C2F6EA1" w14:textId="78DCFF85" w:rsidR="007C60ED" w:rsidRDefault="007C60ED" w:rsidP="00FD5AF9">
      <w:pPr>
        <w:pStyle w:val="Heading3"/>
      </w:pPr>
      <w:bookmarkStart w:id="263" w:name="_Ref64572794"/>
      <w:bookmarkStart w:id="264" w:name="_Ref63073311"/>
      <w:r>
        <w:t>Congested Areas</w:t>
      </w:r>
      <w:bookmarkEnd w:id="263"/>
    </w:p>
    <w:p w14:paraId="272C2EAD" w14:textId="25EA5B0E" w:rsidR="00FF35A6" w:rsidRDefault="009E1D70" w:rsidP="005B295A">
      <w:pPr>
        <w:pStyle w:val="Heading4"/>
      </w:pPr>
      <w:r>
        <w:t xml:space="preserve">Where </w:t>
      </w:r>
      <w:r w:rsidR="00FC0B1C">
        <w:t xml:space="preserve">dispatch of least cost Generation results in overloading of the network elements, lines and transformers which connect an area with the rest of the Grid System, such area shall be considered as Congested Area. </w:t>
      </w:r>
    </w:p>
    <w:p w14:paraId="59C3FEC3" w14:textId="2B26DA73" w:rsidR="00437926" w:rsidRDefault="00FF35A6" w:rsidP="005B295A">
      <w:pPr>
        <w:pStyle w:val="Heading4"/>
      </w:pPr>
      <w:r>
        <w:t xml:space="preserve">The System Operator shall alleviate Congestion in a Congested Area either by: </w:t>
      </w:r>
    </w:p>
    <w:p w14:paraId="3BE357DD" w14:textId="2AB3F8B6" w:rsidR="00437926" w:rsidRDefault="00437926" w:rsidP="00FF35A6">
      <w:pPr>
        <w:pStyle w:val="Heading5"/>
      </w:pPr>
      <w:r>
        <w:t xml:space="preserve">Dispatching Must Run Generation, if the Congested Area is importing Energy from the </w:t>
      </w:r>
      <w:r w:rsidR="00FF35A6">
        <w:t xml:space="preserve">rest of the </w:t>
      </w:r>
      <w:r w:rsidR="00B64708">
        <w:t>Grid System</w:t>
      </w:r>
      <w:r w:rsidR="00FF35A6">
        <w:t xml:space="preserve">; or </w:t>
      </w:r>
    </w:p>
    <w:p w14:paraId="1FA6AC79" w14:textId="4A5FA3EC" w:rsidR="00FF35A6" w:rsidRDefault="008A621F" w:rsidP="00FF35A6">
      <w:pPr>
        <w:pStyle w:val="Heading5"/>
      </w:pPr>
      <w:r>
        <w:t>i</w:t>
      </w:r>
      <w:r w:rsidR="006A08E0">
        <w:t xml:space="preserve">nstructing one or more </w:t>
      </w:r>
      <w:r w:rsidR="00FF35A6">
        <w:t xml:space="preserve">Generation Units </w:t>
      </w:r>
      <w:r w:rsidR="0029145B">
        <w:t xml:space="preserve">located in </w:t>
      </w:r>
      <w:r w:rsidR="00FF35A6">
        <w:t>the Congested Area</w:t>
      </w:r>
      <w:r w:rsidR="00FC0B1C">
        <w:t xml:space="preserve"> to reduce Generation or disconnect from the network (Must Stop Generation)</w:t>
      </w:r>
      <w:r w:rsidR="00FF35A6">
        <w:t xml:space="preserve">, if the Congested Area is exporting Energy to the rest of the </w:t>
      </w:r>
      <w:r w:rsidR="00B64708">
        <w:t>Grid System</w:t>
      </w:r>
      <w:r w:rsidR="00FF35A6">
        <w:t xml:space="preserve">. </w:t>
      </w:r>
    </w:p>
    <w:p w14:paraId="58A75E51" w14:textId="7CBB44BB" w:rsidR="00FF35A6" w:rsidRDefault="00FF35A6" w:rsidP="005B295A">
      <w:pPr>
        <w:pStyle w:val="Heading4"/>
      </w:pPr>
      <w:r>
        <w:t xml:space="preserve">A Congested Area shall be considered severely Congested in </w:t>
      </w:r>
      <w:r w:rsidR="00FC0B1C">
        <w:t xml:space="preserve">the </w:t>
      </w:r>
      <w:r>
        <w:t xml:space="preserve">following cases: </w:t>
      </w:r>
    </w:p>
    <w:p w14:paraId="3AE97D3D" w14:textId="54A28957" w:rsidR="00FF35A6" w:rsidRDefault="008A621F" w:rsidP="00167A38">
      <w:pPr>
        <w:pStyle w:val="Heading5"/>
      </w:pPr>
      <w:r>
        <w:t>t</w:t>
      </w:r>
      <w:r w:rsidR="00FF35A6">
        <w:t xml:space="preserve">he area </w:t>
      </w:r>
      <w:r w:rsidR="00FC0B1C">
        <w:t xml:space="preserve">has, on annual basis, </w:t>
      </w:r>
      <w:r w:rsidR="00FF35A6">
        <w:t>Congestion in more than twenty percent [20%] of the</w:t>
      </w:r>
      <w:r w:rsidR="00FC0B1C">
        <w:t xml:space="preserve"> </w:t>
      </w:r>
      <w:r w:rsidR="0029145B">
        <w:t>Energy</w:t>
      </w:r>
      <w:r w:rsidR="00FF35A6">
        <w:t xml:space="preserve"> Balancing Periods; or </w:t>
      </w:r>
    </w:p>
    <w:p w14:paraId="73AC1C0D" w14:textId="3122B2B3" w:rsidR="00167A38" w:rsidRDefault="008A621F" w:rsidP="00167A38">
      <w:pPr>
        <w:pStyle w:val="Heading5"/>
      </w:pPr>
      <w:r>
        <w:t>t</w:t>
      </w:r>
      <w:r w:rsidR="00FC0B1C">
        <w:t>he cost for alleviation of Congestion exceeds [5%]</w:t>
      </w:r>
      <w:r w:rsidR="003D667B">
        <w:t xml:space="preserve"> of the cost of least cost dispatch </w:t>
      </w:r>
      <w:r w:rsidR="003D667B" w:rsidRPr="00B03C4A">
        <w:t>without Congestion</w:t>
      </w:r>
      <w:r w:rsidR="00107DC9" w:rsidRPr="00B03C4A">
        <w:t>.</w:t>
      </w:r>
    </w:p>
    <w:p w14:paraId="3E1B658F" w14:textId="2EC53158" w:rsidR="00167A38" w:rsidRDefault="00B64708" w:rsidP="005B295A">
      <w:pPr>
        <w:pStyle w:val="Heading4"/>
      </w:pPr>
      <w:r>
        <w:t>The</w:t>
      </w:r>
      <w:r w:rsidR="00167A38">
        <w:t xml:space="preserve"> System Operator </w:t>
      </w:r>
      <w:r>
        <w:t xml:space="preserve">shall identify all </w:t>
      </w:r>
      <w:r w:rsidR="00B06547">
        <w:t xml:space="preserve">severely </w:t>
      </w:r>
      <w:r>
        <w:t xml:space="preserve">Congested Areas and </w:t>
      </w:r>
      <w:r w:rsidR="003D667B">
        <w:t>place</w:t>
      </w:r>
      <w:r>
        <w:t xml:space="preserve"> th</w:t>
      </w:r>
      <w:r w:rsidR="00851A90">
        <w:t xml:space="preserve">em into </w:t>
      </w:r>
      <w:r w:rsidR="00575320">
        <w:t>different Congested Zones considering their location in the Grid System</w:t>
      </w:r>
      <w:r w:rsidR="003D667B">
        <w:t xml:space="preserve"> and inform the Market Operator accordingly</w:t>
      </w:r>
      <w:r w:rsidR="00575320">
        <w:t>.</w:t>
      </w:r>
      <w:r w:rsidR="00167A38">
        <w:t xml:space="preserve"> </w:t>
      </w:r>
    </w:p>
    <w:p w14:paraId="58397F57" w14:textId="02561D23" w:rsidR="002118F7" w:rsidRDefault="003D667B" w:rsidP="005B295A">
      <w:pPr>
        <w:pStyle w:val="Heading4"/>
      </w:pPr>
      <w:r>
        <w:t>T</w:t>
      </w:r>
      <w:r w:rsidR="00167A38">
        <w:t xml:space="preserve">he Market Operator shall consider the area as a </w:t>
      </w:r>
      <w:bookmarkStart w:id="265" w:name="_Hlk66262729"/>
      <w:r w:rsidR="00B138ED">
        <w:t>Congested Zone</w:t>
      </w:r>
      <w:r w:rsidR="00167A38">
        <w:t xml:space="preserve"> </w:t>
      </w:r>
      <w:bookmarkEnd w:id="265"/>
      <w:r w:rsidR="00167A38">
        <w:t xml:space="preserve">for </w:t>
      </w:r>
      <w:r w:rsidR="00107DC9">
        <w:t>S</w:t>
      </w:r>
      <w:r w:rsidR="00167A38">
        <w:t xml:space="preserve">ettlement purposes, </w:t>
      </w:r>
      <w:r>
        <w:t xml:space="preserve">from </w:t>
      </w:r>
      <w:r w:rsidR="002118F7">
        <w:t xml:space="preserve">0:00 a.m. of the first day of the first month immediately after </w:t>
      </w:r>
      <w:r>
        <w:t>receipt of intimation from the System Operator</w:t>
      </w:r>
      <w:r w:rsidR="002118F7">
        <w:t>.</w:t>
      </w:r>
    </w:p>
    <w:p w14:paraId="5521FB31" w14:textId="507BD275" w:rsidR="00437926" w:rsidRDefault="002118F7" w:rsidP="005B295A">
      <w:pPr>
        <w:pStyle w:val="Heading4"/>
      </w:pPr>
      <w:r>
        <w:lastRenderedPageBreak/>
        <w:t xml:space="preserve">A </w:t>
      </w:r>
      <w:r w:rsidR="00B138ED">
        <w:t>Congested Zone</w:t>
      </w:r>
      <w:r>
        <w:t xml:space="preserve"> </w:t>
      </w:r>
      <w:r w:rsidR="0075348E">
        <w:t xml:space="preserve">shall </w:t>
      </w:r>
      <w:r>
        <w:t xml:space="preserve">continue </w:t>
      </w:r>
      <w:r w:rsidR="0075348E">
        <w:t>to be considered as a Congested Zone</w:t>
      </w:r>
      <w:r>
        <w:t xml:space="preserve"> til</w:t>
      </w:r>
      <w:r w:rsidR="0075348E">
        <w:t>l</w:t>
      </w:r>
      <w:r>
        <w:t xml:space="preserve"> the </w:t>
      </w:r>
      <w:r w:rsidR="0075348E">
        <w:t>augmentation</w:t>
      </w:r>
      <w:r w:rsidR="0075348E" w:rsidRPr="002118F7">
        <w:t xml:space="preserve"> </w:t>
      </w:r>
      <w:r w:rsidRPr="002118F7">
        <w:t>of the Transmission</w:t>
      </w:r>
      <w:r w:rsidR="005E7265">
        <w:t xml:space="preserve"> or Distribution</w:t>
      </w:r>
      <w:r w:rsidRPr="002118F7">
        <w:t xml:space="preserve"> Network or the installation of new control </w:t>
      </w:r>
      <w:r w:rsidR="0075348E">
        <w:t xml:space="preserve">and </w:t>
      </w:r>
      <w:r w:rsidRPr="002118F7">
        <w:t>protection devices show</w:t>
      </w:r>
      <w:r w:rsidR="0075348E">
        <w:t>s</w:t>
      </w:r>
      <w:r w:rsidRPr="002118F7">
        <w:t xml:space="preserve"> that Congestion is eliminated</w:t>
      </w:r>
      <w:r w:rsidR="0075348E">
        <w:t xml:space="preserve"> </w:t>
      </w:r>
      <w:r w:rsidRPr="002118F7">
        <w:t>or significantly reduced</w:t>
      </w:r>
      <w:r>
        <w:t xml:space="preserve">. </w:t>
      </w:r>
      <w:r w:rsidR="00B06547">
        <w:t xml:space="preserve">In </w:t>
      </w:r>
      <w:r w:rsidR="0075348E">
        <w:t>such</w:t>
      </w:r>
      <w:r w:rsidR="00B06547">
        <w:t xml:space="preserve"> case, t</w:t>
      </w:r>
      <w:r>
        <w:t>he S</w:t>
      </w:r>
      <w:r w:rsidRPr="002118F7">
        <w:t>ystem Operator</w:t>
      </w:r>
      <w:r w:rsidR="0075348E">
        <w:t xml:space="preserve">, if required, delineate a new Congested Zone </w:t>
      </w:r>
      <w:r w:rsidR="005E7265">
        <w:t xml:space="preserve">considering the latest </w:t>
      </w:r>
      <w:r w:rsidR="0075348E">
        <w:t>position</w:t>
      </w:r>
      <w:r w:rsidR="005E7265">
        <w:t xml:space="preserve"> of the Gird System</w:t>
      </w:r>
      <w:r w:rsidR="0075348E">
        <w:t xml:space="preserve"> and inform the Market Operator accordingly</w:t>
      </w:r>
      <w:r w:rsidR="005E7265">
        <w:t>.</w:t>
      </w:r>
    </w:p>
    <w:bookmarkEnd w:id="264"/>
    <w:p w14:paraId="6E6B4379" w14:textId="5C863280" w:rsidR="0071686A" w:rsidRDefault="0071686A" w:rsidP="00FD5AF9">
      <w:pPr>
        <w:pStyle w:val="Heading3"/>
      </w:pPr>
      <w:r>
        <w:t xml:space="preserve">Identification of Must Run </w:t>
      </w:r>
      <w:r w:rsidR="006A08E0">
        <w:t>Generation</w:t>
      </w:r>
    </w:p>
    <w:p w14:paraId="50878DF7" w14:textId="4B3F36E0" w:rsidR="00930064" w:rsidRPr="00D13E0B" w:rsidRDefault="004270C6" w:rsidP="005B295A">
      <w:pPr>
        <w:pStyle w:val="Heading4"/>
      </w:pPr>
      <w:bookmarkStart w:id="266" w:name="_Ref66562074"/>
      <w:r>
        <w:t>For</w:t>
      </w:r>
      <w:r w:rsidR="00B06547">
        <w:t xml:space="preserve"> each Dispatch Period, t</w:t>
      </w:r>
      <w:r w:rsidR="00930064">
        <w:t xml:space="preserve">he </w:t>
      </w:r>
      <w:r w:rsidR="00437926">
        <w:t>System</w:t>
      </w:r>
      <w:r w:rsidR="00930064">
        <w:t xml:space="preserve"> Operator shall </w:t>
      </w:r>
      <w:r w:rsidR="00B06547">
        <w:t xml:space="preserve">clearly </w:t>
      </w:r>
      <w:r w:rsidR="00930064">
        <w:t xml:space="preserve">identify, </w:t>
      </w:r>
      <w:r w:rsidR="00800B9C" w:rsidRPr="00D13E0B">
        <w:t>the Generation Units which shall be dispatched to alleviate a Congestion (Must Run Generat</w:t>
      </w:r>
      <w:r w:rsidR="006A08E0">
        <w:t>ion</w:t>
      </w:r>
      <w:r w:rsidR="00800B9C" w:rsidRPr="00D13E0B">
        <w:t xml:space="preserve">) or the Generations Units which have to reduce </w:t>
      </w:r>
      <w:r>
        <w:t xml:space="preserve">their </w:t>
      </w:r>
      <w:r w:rsidR="00800B9C" w:rsidRPr="00D13E0B">
        <w:t xml:space="preserve">generation or </w:t>
      </w:r>
      <w:r>
        <w:t xml:space="preserve">may have to </w:t>
      </w:r>
      <w:r w:rsidR="00800B9C" w:rsidRPr="00D13E0B">
        <w:t>be disconnected to alleviate Congestion</w:t>
      </w:r>
      <w:r w:rsidR="00DA761A" w:rsidRPr="00D13E0B">
        <w:t xml:space="preserve"> (Must Stop Generat</w:t>
      </w:r>
      <w:r w:rsidR="006A08E0">
        <w:t>ion</w:t>
      </w:r>
      <w:r w:rsidR="00DA761A" w:rsidRPr="00D13E0B">
        <w:t>)</w:t>
      </w:r>
      <w:r w:rsidR="00800B9C" w:rsidRPr="00D13E0B">
        <w:t>.</w:t>
      </w:r>
      <w:bookmarkEnd w:id="266"/>
      <w:r w:rsidR="00800B9C" w:rsidRPr="00D13E0B">
        <w:t xml:space="preserve"> </w:t>
      </w:r>
    </w:p>
    <w:p w14:paraId="27E1ECBB" w14:textId="73B00313" w:rsidR="00437926" w:rsidRPr="00437926" w:rsidRDefault="004270C6" w:rsidP="005B295A">
      <w:pPr>
        <w:pStyle w:val="Heading4"/>
      </w:pPr>
      <w:r>
        <w:t>On monthly basis, t</w:t>
      </w:r>
      <w:r w:rsidR="00437926">
        <w:t xml:space="preserve">he System </w:t>
      </w:r>
      <w:r w:rsidR="00437926" w:rsidRPr="00107DC9">
        <w:t xml:space="preserve">Operator shall </w:t>
      </w:r>
      <w:r w:rsidR="00B06547" w:rsidRPr="00107DC9">
        <w:t>inform</w:t>
      </w:r>
      <w:r w:rsidR="00437926" w:rsidRPr="00107DC9">
        <w:t xml:space="preserve"> the Market Operator</w:t>
      </w:r>
      <w:r w:rsidRPr="00107DC9">
        <w:t xml:space="preserve"> for </w:t>
      </w:r>
      <w:r w:rsidR="00107DC9" w:rsidRPr="00107DC9">
        <w:t>S</w:t>
      </w:r>
      <w:r w:rsidRPr="00107DC9">
        <w:t>ettlement purposes</w:t>
      </w:r>
      <w:r w:rsidR="00437926" w:rsidRPr="00107DC9">
        <w:t xml:space="preserve"> </w:t>
      </w:r>
      <w:r w:rsidR="00B06547" w:rsidRPr="00107DC9">
        <w:t xml:space="preserve">about </w:t>
      </w:r>
      <w:r w:rsidR="00437926" w:rsidRPr="00107DC9">
        <w:t xml:space="preserve">all Generation Units which </w:t>
      </w:r>
      <w:r w:rsidR="00107DC9" w:rsidRPr="00B03C4A">
        <w:t>shall be</w:t>
      </w:r>
      <w:r w:rsidR="00437926" w:rsidRPr="00B03C4A">
        <w:t xml:space="preserve"> considered </w:t>
      </w:r>
      <w:r w:rsidR="00B06547" w:rsidRPr="00B03C4A">
        <w:t xml:space="preserve">as </w:t>
      </w:r>
      <w:r w:rsidR="00437926" w:rsidRPr="00B03C4A">
        <w:t xml:space="preserve">Must Run or Must Stop Generation in each </w:t>
      </w:r>
      <w:r w:rsidRPr="00B03C4A">
        <w:t>Dispatch</w:t>
      </w:r>
      <w:r w:rsidR="00437926" w:rsidRPr="00B03C4A">
        <w:t xml:space="preserve"> Period</w:t>
      </w:r>
      <w:r w:rsidR="00437926" w:rsidRPr="00107DC9">
        <w:t>.</w:t>
      </w:r>
    </w:p>
    <w:p w14:paraId="0AFB3BFD" w14:textId="4272ED1C" w:rsidR="00800B9C" w:rsidRDefault="002735AD" w:rsidP="00800B9C">
      <w:pPr>
        <w:pStyle w:val="Heading3"/>
      </w:pPr>
      <w:r>
        <w:t xml:space="preserve">Compensation </w:t>
      </w:r>
      <w:r w:rsidR="00800B9C">
        <w:t xml:space="preserve">for Must Run Generation </w:t>
      </w:r>
    </w:p>
    <w:p w14:paraId="63390C76" w14:textId="0E18751E" w:rsidR="00800B9C" w:rsidRPr="00C00512" w:rsidRDefault="004270C6" w:rsidP="005B295A">
      <w:pPr>
        <w:pStyle w:val="Heading4"/>
      </w:pPr>
      <w:r>
        <w:t>For</w:t>
      </w:r>
      <w:r w:rsidR="00B06547">
        <w:t xml:space="preserve"> each Energy Balancing Period, t</w:t>
      </w:r>
      <w:r w:rsidR="00800B9C">
        <w:t xml:space="preserve">he Market Operator shall calculate the </w:t>
      </w:r>
      <w:r w:rsidR="00C726E0" w:rsidRPr="00AF2289">
        <w:t>Energy</w:t>
      </w:r>
      <w:r w:rsidR="00C726E0">
        <w:t xml:space="preserve"> </w:t>
      </w:r>
      <w:r w:rsidR="00800B9C">
        <w:t>generated by a Generat</w:t>
      </w:r>
      <w:r w:rsidR="006A08E0">
        <w:t>ion Unit</w:t>
      </w:r>
      <w:r w:rsidR="00800B9C">
        <w:t xml:space="preserve"> which has been identified as Must Run Generat</w:t>
      </w:r>
      <w:r w:rsidR="006A08E0">
        <w:t>ion</w:t>
      </w:r>
      <w:r w:rsidR="00B06547">
        <w:t xml:space="preserve"> by</w:t>
      </w:r>
      <w:r w:rsidR="00800B9C">
        <w:t xml:space="preserve"> </w:t>
      </w:r>
      <w:r w:rsidR="00800B9C" w:rsidRPr="00C00512">
        <w:t xml:space="preserve">using the following information: </w:t>
      </w:r>
    </w:p>
    <w:p w14:paraId="1EFEF25F" w14:textId="77777777" w:rsidR="00C00512" w:rsidRDefault="00C00512" w:rsidP="00C00512">
      <w:pPr>
        <w:pStyle w:val="Heading5"/>
      </w:pPr>
      <w:r>
        <w:t xml:space="preserve">Information provided by the System Operator: </w:t>
      </w:r>
    </w:p>
    <w:p w14:paraId="35A4DA5D" w14:textId="5B51BE9D" w:rsidR="00C00512" w:rsidRPr="00CF7164" w:rsidRDefault="008A621F" w:rsidP="00CF7164">
      <w:pPr>
        <w:pStyle w:val="Heading6"/>
      </w:pPr>
      <w:r>
        <w:t>l</w:t>
      </w:r>
      <w:r w:rsidR="00C00512" w:rsidRPr="00CF7164">
        <w:t xml:space="preserve">ist of Generation Units entitled to receive compensation for Must Run Generation;  </w:t>
      </w:r>
    </w:p>
    <w:p w14:paraId="1059EFF0" w14:textId="0B71916D" w:rsidR="00C00512" w:rsidRDefault="008A621F" w:rsidP="00CF7164">
      <w:pPr>
        <w:pStyle w:val="Heading6"/>
      </w:pPr>
      <w:r>
        <w:t>i</w:t>
      </w:r>
      <w:r w:rsidR="00C00512">
        <w:t xml:space="preserve">f </w:t>
      </w:r>
      <w:r w:rsidR="00B06547">
        <w:t>applicable</w:t>
      </w:r>
      <w:r w:rsidR="00C00512">
        <w:t xml:space="preserve">, Energy </w:t>
      </w:r>
      <w:r w:rsidR="00C00512" w:rsidRPr="00F147E5">
        <w:t xml:space="preserve">that the </w:t>
      </w:r>
      <w:r w:rsidR="00C726E0">
        <w:t xml:space="preserve">Generation Unit </w:t>
      </w:r>
      <w:r w:rsidR="00C00512" w:rsidRPr="00F147E5">
        <w:t xml:space="preserve">would have produced if no </w:t>
      </w:r>
      <w:r w:rsidR="00C00512">
        <w:t xml:space="preserve">instruction to increase </w:t>
      </w:r>
      <w:r w:rsidR="004270C6">
        <w:t xml:space="preserve">the </w:t>
      </w:r>
      <w:r w:rsidR="00C00512">
        <w:t xml:space="preserve">Generation had been issued by the System Operator, in case this value is different </w:t>
      </w:r>
      <w:r w:rsidR="00B06547">
        <w:t xml:space="preserve">than </w:t>
      </w:r>
      <w:r w:rsidR="00C00512">
        <w:t xml:space="preserve">zero. </w:t>
      </w:r>
    </w:p>
    <w:p w14:paraId="105C2E86" w14:textId="192DD6C0" w:rsidR="00707A66" w:rsidRDefault="008A621F" w:rsidP="00CF7164">
      <w:pPr>
        <w:pStyle w:val="Heading6"/>
      </w:pPr>
      <w:r>
        <w:t>t</w:t>
      </w:r>
      <w:r w:rsidR="00DC79CD">
        <w:t>he Variable Generation Costs of the Generation Unit</w:t>
      </w:r>
      <w:r w:rsidR="00DC79CD" w:rsidRPr="008A621F">
        <w:t xml:space="preserve">, </w:t>
      </w:r>
      <w:r w:rsidR="00B27748" w:rsidRPr="00B03C4A">
        <w:t>as per</w:t>
      </w:r>
      <w:r w:rsidR="00DC79CD">
        <w:t xml:space="preserve"> the operating conditions of such Generation Unit during the </w:t>
      </w:r>
      <w:r w:rsidR="00B06547">
        <w:t xml:space="preserve">relevant </w:t>
      </w:r>
      <w:r w:rsidR="00DC79CD">
        <w:t>Dispatch Period</w:t>
      </w:r>
      <w:r w:rsidR="00D20005">
        <w:t>.</w:t>
      </w:r>
    </w:p>
    <w:p w14:paraId="2FCCF4D8" w14:textId="345741A0" w:rsidR="00D20005" w:rsidRDefault="00D20005" w:rsidP="00CF7164">
      <w:pPr>
        <w:pStyle w:val="Heading6"/>
      </w:pPr>
      <w:r>
        <w:t xml:space="preserve"> </w:t>
      </w:r>
      <w:r w:rsidR="008A621F">
        <w:t>t</w:t>
      </w:r>
      <w:r w:rsidR="00707A66">
        <w:t>he System Marginal Price for each hour</w:t>
      </w:r>
    </w:p>
    <w:p w14:paraId="65568EF8" w14:textId="77777777" w:rsidR="00C00512" w:rsidRDefault="00C00512" w:rsidP="00C00512">
      <w:pPr>
        <w:pStyle w:val="Heading5"/>
      </w:pPr>
      <w:r>
        <w:t xml:space="preserve">Information from the Commercial Metering System: </w:t>
      </w:r>
    </w:p>
    <w:p w14:paraId="44B7B68E" w14:textId="77802421" w:rsidR="00C00512" w:rsidRDefault="00C00512" w:rsidP="00CF7164">
      <w:pPr>
        <w:pStyle w:val="Heading6"/>
      </w:pPr>
      <w:r>
        <w:t xml:space="preserve">Energy actually </w:t>
      </w:r>
      <w:r w:rsidR="002735AD">
        <w:t xml:space="preserve">injected into the </w:t>
      </w:r>
      <w:r w:rsidR="00B64708">
        <w:t>Grid System</w:t>
      </w:r>
      <w:r>
        <w:t xml:space="preserve"> by the </w:t>
      </w:r>
      <w:r w:rsidR="00C726E0">
        <w:t>Generation Unit</w:t>
      </w:r>
      <w:r w:rsidR="00B27748">
        <w:t xml:space="preserve">, </w:t>
      </w:r>
      <w:r>
        <w:t xml:space="preserve"> entitled to receive compensation </w:t>
      </w:r>
      <w:r w:rsidR="00B06547">
        <w:t>in the relevant Energy</w:t>
      </w:r>
      <w:r>
        <w:t xml:space="preserve"> Balancing Period. </w:t>
      </w:r>
    </w:p>
    <w:p w14:paraId="733FD7F5" w14:textId="748F44A2" w:rsidR="00800B9C" w:rsidRDefault="00C00512" w:rsidP="005B295A">
      <w:pPr>
        <w:pStyle w:val="Heading4"/>
      </w:pPr>
      <w:bookmarkStart w:id="267" w:name="_Ref64843621"/>
      <w:bookmarkStart w:id="268" w:name="_Ref66358345"/>
      <w:r w:rsidRPr="00C00512">
        <w:t>The amount</w:t>
      </w:r>
      <w:r w:rsidR="005B261B">
        <w:t xml:space="preserve"> of</w:t>
      </w:r>
      <w:r w:rsidRPr="00C00512">
        <w:t xml:space="preserve"> </w:t>
      </w:r>
      <w:r w:rsidR="005B261B">
        <w:t>E</w:t>
      </w:r>
      <w:r w:rsidRPr="00C00512">
        <w:t xml:space="preserve">nergy </w:t>
      </w:r>
      <w:r w:rsidR="00B06547">
        <w:t>to</w:t>
      </w:r>
      <w:r w:rsidRPr="00C00512">
        <w:t xml:space="preserve"> be compensated </w:t>
      </w:r>
      <w:r w:rsidR="00B06547">
        <w:t xml:space="preserve">to </w:t>
      </w:r>
      <w:r w:rsidR="00B27748">
        <w:t xml:space="preserve">a </w:t>
      </w:r>
      <w:r w:rsidRPr="00C00512">
        <w:t xml:space="preserve">Generation Unit identified as Must Run Generation </w:t>
      </w:r>
      <w:r w:rsidR="00B06547">
        <w:t xml:space="preserve">shall be calculated </w:t>
      </w:r>
      <w:r w:rsidRPr="00C00512">
        <w:t>as:</w:t>
      </w:r>
      <w:bookmarkEnd w:id="267"/>
      <w:bookmarkEnd w:id="268"/>
      <w:r w:rsidR="00800B9C">
        <w:t xml:space="preserve"> </w:t>
      </w:r>
    </w:p>
    <w:p w14:paraId="734CBBBA" w14:textId="7ABA09E0" w:rsidR="00800B9C" w:rsidRPr="009D3C6E" w:rsidRDefault="004D6075" w:rsidP="00800B9C">
      <w:pPr>
        <w:pStyle w:val="BodyText"/>
        <w:spacing w:before="120"/>
        <w:rPr>
          <w:rFonts w:ascii="Cambria Math" w:hAnsi="Cambria Math"/>
        </w:rPr>
      </w:pPr>
      <m:oMathPara>
        <m:oMath>
          <m:sSub>
            <m:sSubPr>
              <m:ctrlPr>
                <w:rPr>
                  <w:rFonts w:ascii="Cambria Math" w:hAnsi="Cambria Math"/>
                </w:rPr>
              </m:ctrlPr>
            </m:sSubPr>
            <m:e>
              <m:r>
                <w:rPr>
                  <w:rFonts w:ascii="Cambria Math" w:hAnsi="Cambria Math"/>
                </w:rPr>
                <m:t>UPC</m:t>
              </m:r>
              <m:r>
                <m:rPr>
                  <m:sty m:val="p"/>
                </m:rPr>
                <w:rPr>
                  <w:rFonts w:ascii="Cambria Math" w:hAnsi="Cambria Math"/>
                </w:rPr>
                <m:t>_</m:t>
              </m:r>
              <m:r>
                <w:rPr>
                  <w:rFonts w:ascii="Cambria Math" w:hAnsi="Cambria Math"/>
                </w:rPr>
                <m:t>MR</m:t>
              </m:r>
            </m:e>
            <m:sub>
              <m:r>
                <w:rPr>
                  <w:rFonts w:ascii="Cambria Math" w:hAnsi="Cambria Math"/>
                </w:rPr>
                <m:t>j</m:t>
              </m:r>
              <m:r>
                <m:rPr>
                  <m:sty m:val="p"/>
                </m:rPr>
                <w:rPr>
                  <w:rFonts w:ascii="Cambria Math" w:hAnsi="Cambria Math"/>
                </w:rPr>
                <m:t>,</m:t>
              </m:r>
              <m:r>
                <w:rPr>
                  <w:rFonts w:ascii="Cambria Math" w:hAnsi="Cambria Math"/>
                </w:rPr>
                <m:t>h</m:t>
              </m:r>
            </m:sub>
          </m:sSub>
          <m:d>
            <m:dPr>
              <m:begChr m:val="["/>
              <m:endChr m:val="]"/>
              <m:ctrlPr>
                <w:rPr>
                  <w:rFonts w:ascii="Cambria Math" w:hAnsi="Cambria Math"/>
                </w:rPr>
              </m:ctrlPr>
            </m:dPr>
            <m:e>
              <m:r>
                <w:rPr>
                  <w:rFonts w:ascii="Cambria Math" w:hAnsi="Cambria Math"/>
                </w:rPr>
                <m:t>MWh</m:t>
              </m:r>
            </m:e>
          </m:d>
          <m:r>
            <m:rPr>
              <m:sty m:val="p"/>
            </m:rPr>
            <w:rPr>
              <w:rFonts w:ascii="Cambria Math" w:hAnsi="Cambria Math"/>
            </w:rPr>
            <m:t>=</m:t>
          </m:r>
          <m:sSub>
            <m:sSubPr>
              <m:ctrlPr>
                <w:rPr>
                  <w:rFonts w:ascii="Cambria Math" w:hAnsi="Cambria Math"/>
                </w:rPr>
              </m:ctrlPr>
            </m:sSubPr>
            <m:e>
              <m:r>
                <w:rPr>
                  <w:rFonts w:ascii="Cambria Math" w:hAnsi="Cambria Math"/>
                </w:rPr>
                <m:t>EAG</m:t>
              </m:r>
            </m:e>
            <m:sub>
              <m:r>
                <w:rPr>
                  <w:rFonts w:ascii="Cambria Math" w:hAnsi="Cambria Math"/>
                </w:rPr>
                <m:t>j</m:t>
              </m:r>
              <m:r>
                <m:rPr>
                  <m:sty m:val="p"/>
                </m:rPr>
                <w:rPr>
                  <w:rFonts w:ascii="Cambria Math" w:hAnsi="Cambria Math"/>
                </w:rPr>
                <m:t>,</m:t>
              </m:r>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EPG</m:t>
              </m:r>
            </m:e>
            <m:sub>
              <m:r>
                <w:rPr>
                  <w:rFonts w:ascii="Cambria Math" w:hAnsi="Cambria Math"/>
                </w:rPr>
                <m:t>j</m:t>
              </m:r>
              <m:r>
                <m:rPr>
                  <m:sty m:val="p"/>
                </m:rPr>
                <w:rPr>
                  <w:rFonts w:ascii="Cambria Math" w:hAnsi="Cambria Math"/>
                </w:rPr>
                <m:t>,</m:t>
              </m:r>
              <m:r>
                <w:rPr>
                  <w:rFonts w:ascii="Cambria Math" w:hAnsi="Cambria Math"/>
                </w:rPr>
                <m:t>h</m:t>
              </m:r>
            </m:sub>
          </m:sSub>
        </m:oMath>
      </m:oMathPara>
    </w:p>
    <w:p w14:paraId="61CAB3CC" w14:textId="77777777" w:rsidR="00800B9C" w:rsidRDefault="00800B9C" w:rsidP="00800B9C">
      <w:pPr>
        <w:pStyle w:val="BodyText"/>
      </w:pPr>
      <w:r>
        <w:t xml:space="preserve">Where: </w:t>
      </w:r>
    </w:p>
    <w:p w14:paraId="3C542637" w14:textId="3748E553" w:rsidR="00C00512" w:rsidRDefault="00C00512" w:rsidP="00C00512">
      <w:pPr>
        <w:pStyle w:val="BodyText"/>
        <w:ind w:left="2977" w:hanging="1276"/>
      </w:pPr>
      <w:r>
        <w:rPr>
          <w:i/>
          <w:iCs/>
        </w:rPr>
        <w:t>UPC</w:t>
      </w:r>
      <w:r w:rsidRPr="000B6236">
        <w:rPr>
          <w:i/>
          <w:iCs/>
        </w:rPr>
        <w:t>_</w:t>
      </w:r>
      <w:r>
        <w:rPr>
          <w:i/>
          <w:iCs/>
        </w:rPr>
        <w:t>MR</w:t>
      </w:r>
      <w:r>
        <w:rPr>
          <w:i/>
          <w:iCs/>
          <w:vertAlign w:val="subscript"/>
        </w:rPr>
        <w:t>j</w:t>
      </w:r>
      <w:r w:rsidRPr="000B6236">
        <w:rPr>
          <w:i/>
          <w:iCs/>
          <w:vertAlign w:val="subscript"/>
        </w:rPr>
        <w:t>,h</w:t>
      </w:r>
      <w:r>
        <w:tab/>
        <w:t xml:space="preserve">is the amount of Energy to be compensated </w:t>
      </w:r>
      <w:r w:rsidR="00BF2708">
        <w:t>for</w:t>
      </w:r>
      <w:r>
        <w:t xml:space="preserve"> Generation Unit  </w:t>
      </w:r>
      <w:r w:rsidR="00B06547">
        <w:t>“</w:t>
      </w:r>
      <w:r>
        <w:rPr>
          <w:i/>
          <w:iCs/>
        </w:rPr>
        <w:t>j</w:t>
      </w:r>
      <w:r w:rsidR="00B06547">
        <w:rPr>
          <w:i/>
          <w:iCs/>
        </w:rPr>
        <w:t>”</w:t>
      </w:r>
      <w:r>
        <w:t xml:space="preserve">, </w:t>
      </w:r>
      <w:r w:rsidR="00BF2708">
        <w:t>identified as</w:t>
      </w:r>
      <w:r>
        <w:t xml:space="preserve"> Must Run Generation, in hour </w:t>
      </w:r>
      <w:r w:rsidR="00B06547">
        <w:t>“</w:t>
      </w:r>
      <w:r w:rsidRPr="00657058">
        <w:rPr>
          <w:i/>
          <w:iCs/>
        </w:rPr>
        <w:t>h</w:t>
      </w:r>
      <w:r w:rsidR="00B06547">
        <w:rPr>
          <w:i/>
          <w:iCs/>
        </w:rPr>
        <w:t>”</w:t>
      </w:r>
      <w:r>
        <w:t>, in MWh</w:t>
      </w:r>
      <w:r w:rsidR="008A621F">
        <w:t>;</w:t>
      </w:r>
    </w:p>
    <w:p w14:paraId="034AE597" w14:textId="351AA1F7" w:rsidR="00C00512" w:rsidRDefault="00C00512" w:rsidP="00C00512">
      <w:pPr>
        <w:pStyle w:val="BodyText"/>
        <w:ind w:left="2977" w:hanging="1276"/>
      </w:pPr>
      <w:r w:rsidRPr="000B6236">
        <w:rPr>
          <w:i/>
          <w:iCs/>
        </w:rPr>
        <w:t>E</w:t>
      </w:r>
      <w:r>
        <w:rPr>
          <w:i/>
          <w:iCs/>
        </w:rPr>
        <w:t>A</w:t>
      </w:r>
      <w:r w:rsidRPr="000B6236">
        <w:rPr>
          <w:i/>
          <w:iCs/>
        </w:rPr>
        <w:t>G</w:t>
      </w:r>
      <w:r>
        <w:rPr>
          <w:i/>
          <w:iCs/>
        </w:rPr>
        <w:t>j</w:t>
      </w:r>
      <w:r w:rsidRPr="009D3C6E">
        <w:rPr>
          <w:i/>
          <w:iCs/>
        </w:rPr>
        <w:t>,h</w:t>
      </w:r>
      <w:r w:rsidRPr="009D3C6E">
        <w:rPr>
          <w:i/>
          <w:iCs/>
        </w:rPr>
        <w:tab/>
      </w:r>
      <w:r w:rsidRPr="009D3C6E">
        <w:t xml:space="preserve">is the Energy </w:t>
      </w:r>
      <w:r w:rsidR="00B27748">
        <w:t xml:space="preserve">actually </w:t>
      </w:r>
      <w:r w:rsidR="005B261B">
        <w:t xml:space="preserve">injected into the </w:t>
      </w:r>
      <w:r w:rsidR="00B64708">
        <w:t>Grid System</w:t>
      </w:r>
      <w:r w:rsidRPr="009D3C6E">
        <w:t xml:space="preserve"> by </w:t>
      </w:r>
      <w:r>
        <w:t xml:space="preserve">the Generation Unit </w:t>
      </w:r>
      <w:r w:rsidR="00BF2708">
        <w:t>“</w:t>
      </w:r>
      <w:r w:rsidRPr="00424C0B">
        <w:rPr>
          <w:i/>
          <w:iCs/>
        </w:rPr>
        <w:t>j</w:t>
      </w:r>
      <w:r w:rsidR="00BF2708">
        <w:rPr>
          <w:i/>
          <w:iCs/>
        </w:rPr>
        <w:t>”</w:t>
      </w:r>
      <w:r w:rsidRPr="009D3C6E">
        <w:t xml:space="preserve">, in hour </w:t>
      </w:r>
      <w:r w:rsidRPr="00BF2708">
        <w:rPr>
          <w:i/>
          <w:iCs/>
        </w:rPr>
        <w:t>“h”</w:t>
      </w:r>
      <w:r w:rsidRPr="009D3C6E">
        <w:t>, in MWh</w:t>
      </w:r>
      <w:r w:rsidR="008A621F">
        <w:t>;</w:t>
      </w:r>
    </w:p>
    <w:p w14:paraId="133F8657" w14:textId="5C0A2DC3" w:rsidR="00DC79CD" w:rsidRDefault="00DC79CD" w:rsidP="00C00512">
      <w:pPr>
        <w:pStyle w:val="BodyText"/>
        <w:ind w:left="2977" w:hanging="1276"/>
      </w:pPr>
      <w:r w:rsidRPr="000B6236">
        <w:rPr>
          <w:i/>
          <w:iCs/>
        </w:rPr>
        <w:t>E</w:t>
      </w:r>
      <w:r>
        <w:rPr>
          <w:i/>
          <w:iCs/>
        </w:rPr>
        <w:t>P</w:t>
      </w:r>
      <w:r w:rsidRPr="000B6236">
        <w:rPr>
          <w:i/>
          <w:iCs/>
        </w:rPr>
        <w:t>G</w:t>
      </w:r>
      <w:r>
        <w:rPr>
          <w:i/>
          <w:iCs/>
        </w:rPr>
        <w:t>j</w:t>
      </w:r>
      <w:r w:rsidRPr="009D3C6E">
        <w:rPr>
          <w:i/>
          <w:iCs/>
        </w:rPr>
        <w:t>,h</w:t>
      </w:r>
      <w:r w:rsidRPr="009D3C6E">
        <w:rPr>
          <w:i/>
          <w:iCs/>
        </w:rPr>
        <w:tab/>
      </w:r>
      <w:r w:rsidRPr="009D3C6E">
        <w:t>is the Energy</w:t>
      </w:r>
      <w:r>
        <w:t xml:space="preserve"> that </w:t>
      </w:r>
      <w:r w:rsidR="00D72FC3">
        <w:t xml:space="preserve">the Generation Unit “j” </w:t>
      </w:r>
      <w:r w:rsidR="00917137">
        <w:t>would have</w:t>
      </w:r>
      <w:r w:rsidR="00D72FC3">
        <w:t xml:space="preserve"> injected into the </w:t>
      </w:r>
      <w:r w:rsidR="00B64708">
        <w:t>Grid System</w:t>
      </w:r>
      <w:r w:rsidR="00D72FC3">
        <w:t xml:space="preserve"> </w:t>
      </w:r>
      <w:r w:rsidR="00917137">
        <w:t>if Congestion h</w:t>
      </w:r>
      <w:r w:rsidR="00B27748">
        <w:t>ad</w:t>
      </w:r>
      <w:r w:rsidR="00917137">
        <w:t xml:space="preserve"> not existed</w:t>
      </w:r>
      <w:r w:rsidR="00D72FC3">
        <w:t xml:space="preserve"> </w:t>
      </w:r>
      <w:r w:rsidRPr="009D3C6E">
        <w:t xml:space="preserve">, </w:t>
      </w:r>
      <w:r w:rsidR="00D72FC3">
        <w:t>calculated by the System Operator</w:t>
      </w:r>
      <w:r w:rsidR="00B27748">
        <w:t>, in hour “h”, in MWh</w:t>
      </w:r>
      <w:r w:rsidR="008A621F">
        <w:t>.</w:t>
      </w:r>
    </w:p>
    <w:p w14:paraId="154E3195" w14:textId="37C3F5B1" w:rsidR="00DA761A" w:rsidRPr="00B90F6F" w:rsidRDefault="00707A66" w:rsidP="005B295A">
      <w:pPr>
        <w:pStyle w:val="Heading4"/>
      </w:pPr>
      <w:bookmarkStart w:id="269" w:name="_Ref64843821"/>
      <w:r>
        <w:lastRenderedPageBreak/>
        <w:t>For</w:t>
      </w:r>
      <w:r w:rsidR="002358B8">
        <w:t xml:space="preserve"> each Energy Balancing Period, the Market Operator shall calculate t</w:t>
      </w:r>
      <w:r w:rsidR="00C00512" w:rsidRPr="00BF2708">
        <w:t xml:space="preserve">he economic compensation to be allocated to a </w:t>
      </w:r>
      <w:r w:rsidR="00BF2708" w:rsidRPr="00BF2708">
        <w:t xml:space="preserve">Generator for </w:t>
      </w:r>
      <w:r w:rsidR="002358B8">
        <w:t>its</w:t>
      </w:r>
      <w:r w:rsidR="002358B8" w:rsidRPr="00BF2708">
        <w:t xml:space="preserve"> </w:t>
      </w:r>
      <w:r w:rsidR="00C00512" w:rsidRPr="00BF2708">
        <w:t>Generation Unit</w:t>
      </w:r>
      <w:r w:rsidR="00BF2708" w:rsidRPr="00BF2708">
        <w:t>s</w:t>
      </w:r>
      <w:r w:rsidR="00C00512" w:rsidRPr="00BF2708">
        <w:t xml:space="preserve"> </w:t>
      </w:r>
      <w:r w:rsidR="00BF2708" w:rsidRPr="00BF2708">
        <w:t>which were considered as</w:t>
      </w:r>
      <w:r w:rsidR="00C00512" w:rsidRPr="00BF2708">
        <w:t xml:space="preserve"> Must Run Generation</w:t>
      </w:r>
      <w:bookmarkStart w:id="270" w:name="_Ref66358549"/>
      <w:r w:rsidR="00DA761A" w:rsidRPr="00BF2708">
        <w:t>:</w:t>
      </w:r>
      <w:bookmarkEnd w:id="269"/>
      <w:bookmarkEnd w:id="270"/>
      <w:r w:rsidR="00DA761A" w:rsidRPr="00B90F6F">
        <w:t xml:space="preserve"> </w:t>
      </w:r>
    </w:p>
    <w:p w14:paraId="73D0E5E9" w14:textId="46F1DD29" w:rsidR="00DA761A" w:rsidRPr="00B90F6F" w:rsidRDefault="004D6075" w:rsidP="00DA761A">
      <w:pPr>
        <w:pStyle w:val="BodyText"/>
        <w:rPr>
          <w:rFonts w:eastAsiaTheme="minorEastAsia"/>
        </w:rPr>
      </w:pPr>
      <m:oMathPara>
        <m:oMath>
          <m:sSub>
            <m:sSubPr>
              <m:ctrlPr>
                <w:rPr>
                  <w:rFonts w:ascii="Cambria Math" w:hAnsi="Cambria Math"/>
                </w:rPr>
              </m:ctrlPr>
            </m:sSubPr>
            <m:e>
              <m:r>
                <w:rPr>
                  <w:rFonts w:ascii="Cambria Math" w:hAnsi="Cambria Math"/>
                </w:rPr>
                <m:t>MRC</m:t>
              </m:r>
            </m:e>
            <m:sub>
              <m:r>
                <w:rPr>
                  <w:rFonts w:ascii="Cambria Math" w:hAnsi="Cambria Math"/>
                </w:rPr>
                <m:t>k,h</m:t>
              </m:r>
            </m:sub>
          </m:sSub>
          <m:d>
            <m:dPr>
              <m:begChr m:val="["/>
              <m:endChr m:val="]"/>
              <m:ctrlPr>
                <w:rPr>
                  <w:rFonts w:ascii="Cambria Math" w:hAnsi="Cambria Math"/>
                </w:rPr>
              </m:ctrlPr>
            </m:dPr>
            <m:e>
              <m:r>
                <w:rPr>
                  <w:rFonts w:ascii="Cambria Math" w:hAnsi="Cambria Math"/>
                </w:rPr>
                <m:t>PKR</m:t>
              </m:r>
            </m:e>
          </m:d>
          <m:r>
            <m:rPr>
              <m:sty m:val="p"/>
            </m:rPr>
            <w:rPr>
              <w:rFonts w:ascii="Cambria Math" w:hAnsi="Cambria Math"/>
            </w:rPr>
            <m:t>=</m:t>
          </m:r>
          <m:nary>
            <m:naryPr>
              <m:chr m:val="∑"/>
              <m:limLoc m:val="undOvr"/>
              <m:supHide m:val="1"/>
              <m:ctrlPr>
                <w:rPr>
                  <w:rFonts w:ascii="Cambria Math" w:hAnsi="Cambria Math"/>
                  <w:i/>
                </w:rPr>
              </m:ctrlPr>
            </m:naryPr>
            <m:sub>
              <m:r>
                <w:rPr>
                  <w:rFonts w:ascii="Cambria Math" w:hAnsi="Cambria Math"/>
                </w:rPr>
                <m:t>j∈k</m:t>
              </m:r>
            </m: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UPC</m:t>
                      </m:r>
                      <m:r>
                        <m:rPr>
                          <m:sty m:val="p"/>
                        </m:rPr>
                        <w:rPr>
                          <w:rFonts w:ascii="Cambria Math" w:hAnsi="Cambria Math"/>
                        </w:rPr>
                        <m:t>_</m:t>
                      </m:r>
                      <m:r>
                        <w:rPr>
                          <w:rFonts w:ascii="Cambria Math" w:hAnsi="Cambria Math"/>
                        </w:rPr>
                        <m:t>MR</m:t>
                      </m:r>
                    </m:e>
                    <m:sub>
                      <m:r>
                        <w:rPr>
                          <w:rFonts w:ascii="Cambria Math" w:hAnsi="Cambria Math"/>
                        </w:rPr>
                        <m:t>j</m:t>
                      </m:r>
                      <m:r>
                        <m:rPr>
                          <m:sty m:val="p"/>
                        </m:rPr>
                        <w:rPr>
                          <w:rFonts w:ascii="Cambria Math" w:hAnsi="Cambria Math"/>
                        </w:rPr>
                        <m:t>,</m:t>
                      </m:r>
                      <m:r>
                        <w:rPr>
                          <w:rFonts w:ascii="Cambria Math" w:hAnsi="Cambria Math"/>
                        </w:rPr>
                        <m:t>h</m:t>
                      </m:r>
                    </m:sub>
                  </m:sSub>
                  <m:d>
                    <m:dPr>
                      <m:begChr m:val="["/>
                      <m:endChr m:val="]"/>
                      <m:ctrlPr>
                        <w:rPr>
                          <w:rFonts w:ascii="Cambria Math" w:hAnsi="Cambria Math"/>
                        </w:rPr>
                      </m:ctrlPr>
                    </m:dPr>
                    <m:e>
                      <m:r>
                        <w:rPr>
                          <w:rFonts w:ascii="Cambria Math" w:hAnsi="Cambria Math"/>
                        </w:rPr>
                        <m:t>MWh</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Marg</m:t>
                          </m:r>
                        </m:e>
                        <m:sub>
                          <m:r>
                            <w:rPr>
                              <w:rFonts w:ascii="Cambria Math" w:hAnsi="Cambria Math"/>
                            </w:rPr>
                            <m:t>h</m:t>
                          </m:r>
                        </m:sub>
                      </m:sSub>
                      <m:r>
                        <m:rPr>
                          <m:sty m:val="p"/>
                        </m:rPr>
                        <w:rPr>
                          <w:rFonts w:ascii="Cambria Math" w:hAnsi="Cambria Math"/>
                        </w:rPr>
                        <m:t>[</m:t>
                      </m:r>
                      <m:f>
                        <m:fPr>
                          <m:type m:val="skw"/>
                          <m:ctrlPr>
                            <w:rPr>
                              <w:rFonts w:ascii="Cambria Math" w:hAnsi="Cambria Math"/>
                            </w:rPr>
                          </m:ctrlPr>
                        </m:fPr>
                        <m:num>
                          <m:r>
                            <w:rPr>
                              <w:rFonts w:ascii="Cambria Math" w:hAnsi="Cambria Math"/>
                            </w:rPr>
                            <m:t>PKR</m:t>
                          </m:r>
                        </m:num>
                        <m:den>
                          <m:r>
                            <w:rPr>
                              <w:rFonts w:ascii="Cambria Math" w:hAnsi="Cambria Math"/>
                            </w:rPr>
                            <m:t>MWh</m:t>
                          </m:r>
                        </m:den>
                      </m:f>
                      <m:r>
                        <m:rPr>
                          <m:sty m:val="p"/>
                        </m:rPr>
                        <w:rPr>
                          <w:rFonts w:ascii="Cambria Math" w:hAnsi="Cambria Math"/>
                        </w:rPr>
                        <m:t>]</m:t>
                      </m:r>
                    </m:e>
                  </m:d>
                </m:e>
              </m:d>
            </m:e>
          </m:nary>
        </m:oMath>
      </m:oMathPara>
    </w:p>
    <w:p w14:paraId="30111D9C" w14:textId="77777777" w:rsidR="00DA761A" w:rsidRPr="00B90F6F" w:rsidRDefault="00DA761A" w:rsidP="00DA761A">
      <w:pPr>
        <w:pStyle w:val="BodyText"/>
      </w:pPr>
      <w:r w:rsidRPr="00B90F6F">
        <w:t xml:space="preserve">Where: </w:t>
      </w:r>
    </w:p>
    <w:p w14:paraId="7D01C2A6" w14:textId="3457486C" w:rsidR="00C00512" w:rsidRPr="00B90F6F" w:rsidRDefault="00C00512" w:rsidP="00C00512">
      <w:pPr>
        <w:pStyle w:val="BodyText"/>
        <w:ind w:left="2977" w:hanging="1276"/>
      </w:pPr>
      <w:r>
        <w:rPr>
          <w:i/>
          <w:iCs/>
        </w:rPr>
        <w:t>MR</w:t>
      </w:r>
      <w:r w:rsidRPr="00B90F6F">
        <w:rPr>
          <w:i/>
          <w:iCs/>
        </w:rPr>
        <w:t>C</w:t>
      </w:r>
      <w:r w:rsidR="00BF2708">
        <w:rPr>
          <w:i/>
          <w:iCs/>
          <w:vertAlign w:val="subscript"/>
        </w:rPr>
        <w:t>k</w:t>
      </w:r>
      <w:r>
        <w:rPr>
          <w:i/>
          <w:iCs/>
          <w:vertAlign w:val="subscript"/>
        </w:rPr>
        <w:t>,h</w:t>
      </w:r>
      <w:r w:rsidRPr="00B90F6F">
        <w:rPr>
          <w:i/>
          <w:iCs/>
        </w:rPr>
        <w:tab/>
      </w:r>
      <w:r>
        <w:t>is the hourly</w:t>
      </w:r>
      <w:r w:rsidRPr="00B90F6F">
        <w:t xml:space="preserve"> </w:t>
      </w:r>
      <w:r>
        <w:t>a</w:t>
      </w:r>
      <w:r w:rsidRPr="00B90F6F">
        <w:t xml:space="preserve">mount to be </w:t>
      </w:r>
      <w:r>
        <w:t>compensated to</w:t>
      </w:r>
      <w:r w:rsidRPr="00B90F6F">
        <w:t xml:space="preserve"> </w:t>
      </w:r>
      <w:r w:rsidR="00BF2708">
        <w:t>Generator</w:t>
      </w:r>
      <w:r>
        <w:t xml:space="preserve"> </w:t>
      </w:r>
      <w:r w:rsidRPr="00B90F6F">
        <w:rPr>
          <w:i/>
          <w:iCs/>
        </w:rPr>
        <w:t>“</w:t>
      </w:r>
      <w:r w:rsidR="00BF2708">
        <w:rPr>
          <w:i/>
          <w:iCs/>
        </w:rPr>
        <w:t>k</w:t>
      </w:r>
      <w:r w:rsidRPr="00B90F6F">
        <w:rPr>
          <w:i/>
          <w:iCs/>
        </w:rPr>
        <w:t xml:space="preserve">” </w:t>
      </w:r>
      <w:r>
        <w:t>for Must Run Generation</w:t>
      </w:r>
      <w:r w:rsidRPr="00B90F6F">
        <w:rPr>
          <w:i/>
          <w:iCs/>
        </w:rPr>
        <w:t xml:space="preserve"> </w:t>
      </w:r>
      <w:r>
        <w:t xml:space="preserve">during hour </w:t>
      </w:r>
      <w:r w:rsidRPr="00424C0B">
        <w:rPr>
          <w:i/>
          <w:iCs/>
        </w:rPr>
        <w:t>“h”</w:t>
      </w:r>
      <w:r>
        <w:t>, in PKR;</w:t>
      </w:r>
    </w:p>
    <w:p w14:paraId="479563F3" w14:textId="0EA327D8" w:rsidR="00C00512" w:rsidRDefault="00C00512" w:rsidP="00C00512">
      <w:pPr>
        <w:pStyle w:val="BodyText"/>
        <w:ind w:left="2977" w:hanging="1276"/>
      </w:pPr>
      <w:r>
        <w:rPr>
          <w:i/>
          <w:iCs/>
        </w:rPr>
        <w:t>UPC</w:t>
      </w:r>
      <w:r w:rsidRPr="000B6236">
        <w:rPr>
          <w:i/>
          <w:iCs/>
        </w:rPr>
        <w:t>_</w:t>
      </w:r>
      <w:r>
        <w:rPr>
          <w:i/>
          <w:iCs/>
        </w:rPr>
        <w:t>MR</w:t>
      </w:r>
      <w:r>
        <w:rPr>
          <w:i/>
          <w:iCs/>
          <w:vertAlign w:val="subscript"/>
        </w:rPr>
        <w:t>j</w:t>
      </w:r>
      <w:r w:rsidRPr="000B6236">
        <w:rPr>
          <w:i/>
          <w:iCs/>
          <w:vertAlign w:val="subscript"/>
        </w:rPr>
        <w:t>,h</w:t>
      </w:r>
      <w:r>
        <w:tab/>
        <w:t xml:space="preserve">is the amount of Energy to be compensated </w:t>
      </w:r>
      <w:r w:rsidR="00BF2708">
        <w:t xml:space="preserve">for </w:t>
      </w:r>
      <w:r>
        <w:t xml:space="preserve">Generation Unit </w:t>
      </w:r>
      <w:r w:rsidR="00BF2708">
        <w:t>“</w:t>
      </w:r>
      <w:r>
        <w:rPr>
          <w:i/>
          <w:iCs/>
        </w:rPr>
        <w:t>j</w:t>
      </w:r>
      <w:r w:rsidR="00BF2708">
        <w:rPr>
          <w:i/>
          <w:iCs/>
        </w:rPr>
        <w:t>”</w:t>
      </w:r>
      <w:r>
        <w:t xml:space="preserve">, </w:t>
      </w:r>
      <w:r w:rsidR="00BF2708">
        <w:t xml:space="preserve">considered </w:t>
      </w:r>
      <w:r>
        <w:t xml:space="preserve">Must Run Generation, in hour </w:t>
      </w:r>
      <w:r w:rsidRPr="00657058">
        <w:rPr>
          <w:i/>
          <w:iCs/>
        </w:rPr>
        <w:t>h</w:t>
      </w:r>
      <w:r>
        <w:t>, in MWh, calculated pursuant</w:t>
      </w:r>
      <w:r w:rsidR="002358B8">
        <w:t xml:space="preserve"> to</w:t>
      </w:r>
      <w:r>
        <w:t xml:space="preserve"> Clause  </w:t>
      </w:r>
      <w:r>
        <w:fldChar w:fldCharType="begin"/>
      </w:r>
      <w:r>
        <w:instrText xml:space="preserve"> REF _Ref64843621 \r \h </w:instrText>
      </w:r>
      <w:r>
        <w:fldChar w:fldCharType="separate"/>
      </w:r>
      <w:r w:rsidR="00251DBF">
        <w:t>7.1.3.2</w:t>
      </w:r>
      <w:r>
        <w:fldChar w:fldCharType="end"/>
      </w:r>
      <w:r w:rsidR="005B261B">
        <w:t>;</w:t>
      </w:r>
    </w:p>
    <w:p w14:paraId="4928459B" w14:textId="25AEB3C3" w:rsidR="00C00512" w:rsidRPr="00B90F6F" w:rsidRDefault="00C00512" w:rsidP="00C00512">
      <w:pPr>
        <w:pStyle w:val="BodyText"/>
        <w:ind w:left="2977" w:hanging="1276"/>
      </w:pPr>
      <w:r w:rsidRPr="00B90F6F">
        <w:rPr>
          <w:i/>
          <w:iCs/>
        </w:rPr>
        <w:t>M</w:t>
      </w:r>
      <w:r>
        <w:rPr>
          <w:i/>
          <w:iCs/>
        </w:rPr>
        <w:t>arg</w:t>
      </w:r>
      <w:r w:rsidRPr="00B90F6F">
        <w:rPr>
          <w:i/>
          <w:iCs/>
          <w:vertAlign w:val="subscript"/>
        </w:rPr>
        <w:t>h</w:t>
      </w:r>
      <w:r w:rsidRPr="00B90F6F">
        <w:tab/>
        <w:t xml:space="preserve">is </w:t>
      </w:r>
      <w:r>
        <w:t>the S</w:t>
      </w:r>
      <w:r w:rsidRPr="00B90F6F">
        <w:t xml:space="preserve">ystem </w:t>
      </w:r>
      <w:r>
        <w:t>M</w:t>
      </w:r>
      <w:r w:rsidRPr="00B90F6F">
        <w:t xml:space="preserve">arginal </w:t>
      </w:r>
      <w:r>
        <w:t>P</w:t>
      </w:r>
      <w:r w:rsidRPr="00B90F6F">
        <w:t xml:space="preserve">rice of hour </w:t>
      </w:r>
      <w:r w:rsidRPr="00B90F6F">
        <w:rPr>
          <w:i/>
          <w:iCs/>
        </w:rPr>
        <w:t>“h”</w:t>
      </w:r>
      <w:r w:rsidRPr="00B90F6F">
        <w:t>, determined by the System Operator</w:t>
      </w:r>
      <w:r>
        <w:t xml:space="preserve"> pursuant</w:t>
      </w:r>
      <w:r w:rsidR="002358B8">
        <w:t xml:space="preserve"> to</w:t>
      </w:r>
      <w:r>
        <w:t xml:space="preserve"> Section </w:t>
      </w:r>
      <w:r>
        <w:fldChar w:fldCharType="begin"/>
      </w:r>
      <w:r>
        <w:instrText xml:space="preserve"> REF _Ref59631781 \r \h </w:instrText>
      </w:r>
      <w:r>
        <w:fldChar w:fldCharType="separate"/>
      </w:r>
      <w:r w:rsidR="00251DBF">
        <w:t>6.5</w:t>
      </w:r>
      <w:r>
        <w:fldChar w:fldCharType="end"/>
      </w:r>
      <w:r>
        <w:t>;</w:t>
      </w:r>
    </w:p>
    <w:p w14:paraId="07554EAF" w14:textId="73B560D6" w:rsidR="00C00512" w:rsidRPr="00BA0AE4" w:rsidRDefault="00C00512" w:rsidP="00C00512">
      <w:pPr>
        <w:pStyle w:val="BodyText"/>
        <w:ind w:left="3119" w:hanging="1418"/>
        <w:rPr>
          <w:i/>
          <w:iCs/>
          <w:vertAlign w:val="subscript"/>
        </w:rPr>
      </w:pPr>
      <w:r w:rsidRPr="00B90F6F">
        <w:rPr>
          <w:i/>
          <w:iCs/>
        </w:rPr>
        <w:t>VC</w:t>
      </w:r>
      <w:r>
        <w:rPr>
          <w:i/>
          <w:iCs/>
          <w:vertAlign w:val="subscript"/>
        </w:rPr>
        <w:t>i,h</w:t>
      </w:r>
      <w:r w:rsidRPr="00B90F6F">
        <w:rPr>
          <w:i/>
          <w:iCs/>
          <w:vertAlign w:val="subscript"/>
        </w:rPr>
        <w:t>i</w:t>
      </w:r>
      <w:r w:rsidRPr="00B90F6F">
        <w:tab/>
        <w:t xml:space="preserve">is the </w:t>
      </w:r>
      <w:r>
        <w:rPr>
          <w:rFonts w:eastAsiaTheme="minorEastAsia"/>
        </w:rPr>
        <w:t>V</w:t>
      </w:r>
      <w:r w:rsidRPr="00B90F6F">
        <w:t xml:space="preserve">ariable </w:t>
      </w:r>
      <w:r>
        <w:t>Generation C</w:t>
      </w:r>
      <w:r w:rsidRPr="00B90F6F">
        <w:t xml:space="preserve">ost of </w:t>
      </w:r>
      <w:r w:rsidR="00BF2708">
        <w:t>Generation Unit</w:t>
      </w:r>
      <w:r w:rsidR="00BF2708" w:rsidRPr="00B90F6F">
        <w:t xml:space="preserve"> </w:t>
      </w:r>
      <w:r w:rsidRPr="00B90F6F">
        <w:rPr>
          <w:i/>
          <w:iCs/>
        </w:rPr>
        <w:t>“</w:t>
      </w:r>
      <w:r>
        <w:rPr>
          <w:i/>
          <w:iCs/>
        </w:rPr>
        <w:t>j</w:t>
      </w:r>
      <w:r w:rsidRPr="00B90F6F">
        <w:rPr>
          <w:i/>
          <w:iCs/>
        </w:rPr>
        <w:t>”</w:t>
      </w:r>
      <w:r>
        <w:rPr>
          <w:i/>
          <w:iCs/>
        </w:rPr>
        <w:t xml:space="preserve"> </w:t>
      </w:r>
      <w:r>
        <w:t xml:space="preserve">at hour </w:t>
      </w:r>
      <w:r w:rsidRPr="00BA0AE4">
        <w:rPr>
          <w:i/>
          <w:iCs/>
        </w:rPr>
        <w:t>“h”</w:t>
      </w:r>
      <w:r>
        <w:t xml:space="preserve">, </w:t>
      </w:r>
      <w:r w:rsidR="00917137">
        <w:t>determined</w:t>
      </w:r>
      <w:r>
        <w:t xml:space="preserve"> by the </w:t>
      </w:r>
      <w:r w:rsidR="00917137">
        <w:t>System</w:t>
      </w:r>
      <w:r>
        <w:t xml:space="preserve"> Operator</w:t>
      </w:r>
      <w:r w:rsidR="00917137">
        <w:t xml:space="preserve"> taking into consideration the operating conditions of the Generation Unit during the corresponding Dispatch Period</w:t>
      </w:r>
      <w:r w:rsidR="002358B8">
        <w:t xml:space="preserve"> expressed in PKR/MWh</w:t>
      </w:r>
      <w:r w:rsidR="008A621F">
        <w:t>.</w:t>
      </w:r>
    </w:p>
    <w:p w14:paraId="2C7AEC8D" w14:textId="50B645F8" w:rsidR="00DA761A" w:rsidRDefault="00C00512" w:rsidP="005B295A">
      <w:pPr>
        <w:pStyle w:val="Heading4"/>
      </w:pPr>
      <w:r>
        <w:t xml:space="preserve">The </w:t>
      </w:r>
      <w:r w:rsidRPr="00B90F6F">
        <w:t xml:space="preserve">Market Operator shall </w:t>
      </w:r>
      <w:r w:rsidR="002358B8">
        <w:t>calculate</w:t>
      </w:r>
      <w:r w:rsidR="002358B8" w:rsidRPr="00B90F6F">
        <w:t xml:space="preserve"> </w:t>
      </w:r>
      <w:r w:rsidRPr="00B90F6F">
        <w:t xml:space="preserve">the </w:t>
      </w:r>
      <w:r w:rsidR="002358B8">
        <w:t xml:space="preserve">total </w:t>
      </w:r>
      <w:r>
        <w:t xml:space="preserve">monthly </w:t>
      </w:r>
      <w:commentRangeStart w:id="271"/>
      <w:r w:rsidRPr="00707A66">
        <w:rPr>
          <w:strike/>
        </w:rPr>
        <w:t>economic</w:t>
      </w:r>
      <w:r w:rsidRPr="00B90F6F">
        <w:t xml:space="preserve"> </w:t>
      </w:r>
      <w:commentRangeEnd w:id="271"/>
      <w:r w:rsidR="008A621F">
        <w:rPr>
          <w:rStyle w:val="CommentReference"/>
          <w:rFonts w:eastAsiaTheme="minorHAnsi" w:cstheme="minorBidi"/>
          <w:bCs w:val="0"/>
          <w:iCs w:val="0"/>
          <w:color w:val="1C1C1C"/>
        </w:rPr>
        <w:commentReference w:id="271"/>
      </w:r>
      <w:r w:rsidRPr="00B90F6F">
        <w:t xml:space="preserve">compensation </w:t>
      </w:r>
      <w:r>
        <w:t>for</w:t>
      </w:r>
      <w:r w:rsidRPr="00B90F6F">
        <w:t xml:space="preserve"> </w:t>
      </w:r>
      <w:r>
        <w:t xml:space="preserve">Must Run </w:t>
      </w:r>
      <w:r w:rsidRPr="00B90F6F">
        <w:t>Generat</w:t>
      </w:r>
      <w:r>
        <w:t xml:space="preserve">ion </w:t>
      </w:r>
      <w:bookmarkStart w:id="272" w:name="_Ref65936674"/>
      <w:r>
        <w:t>as</w:t>
      </w:r>
      <w:r w:rsidR="00DA761A">
        <w:t>:</w:t>
      </w:r>
      <w:bookmarkEnd w:id="272"/>
      <w:r w:rsidR="00DA761A">
        <w:t xml:space="preserve"> </w:t>
      </w:r>
    </w:p>
    <w:p w14:paraId="02D1B498" w14:textId="6BF93AE7" w:rsidR="00DA761A" w:rsidRPr="00F919EB" w:rsidRDefault="004D6075" w:rsidP="00DA761A">
      <w:pPr>
        <w:pStyle w:val="BodyText"/>
        <w:rPr>
          <w:rFonts w:eastAsiaTheme="minorEastAsia"/>
        </w:rPr>
      </w:pPr>
      <m:oMathPara>
        <m:oMath>
          <m:sSub>
            <m:sSubPr>
              <m:ctrlPr>
                <w:rPr>
                  <w:rFonts w:ascii="Cambria Math" w:hAnsi="Cambria Math"/>
                  <w:i/>
                </w:rPr>
              </m:ctrlPr>
            </m:sSubPr>
            <m:e>
              <m:r>
                <w:rPr>
                  <w:rFonts w:ascii="Cambria Math" w:hAnsi="Cambria Math"/>
                </w:rPr>
                <m:t>MMRC</m:t>
              </m:r>
            </m:e>
            <m:sub>
              <m:r>
                <w:rPr>
                  <w:rFonts w:ascii="Cambria Math" w:hAnsi="Cambria Math"/>
                </w:rPr>
                <m:t>k,m</m:t>
              </m:r>
            </m:sub>
          </m:sSub>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T</m:t>
              </m:r>
            </m:sup>
            <m:e>
              <m:sSub>
                <m:sSubPr>
                  <m:ctrlPr>
                    <w:rPr>
                      <w:rFonts w:ascii="Cambria Math" w:hAnsi="Cambria Math"/>
                    </w:rPr>
                  </m:ctrlPr>
                </m:sSubPr>
                <m:e>
                  <m:r>
                    <w:rPr>
                      <w:rFonts w:ascii="Cambria Math" w:hAnsi="Cambria Math"/>
                    </w:rPr>
                    <m:t>MRC</m:t>
                  </m:r>
                </m:e>
                <m:sub>
                  <m:r>
                    <w:rPr>
                      <w:rFonts w:ascii="Cambria Math" w:hAnsi="Cambria Math"/>
                    </w:rPr>
                    <m:t>k,h</m:t>
                  </m:r>
                </m:sub>
              </m:sSub>
              <m:d>
                <m:dPr>
                  <m:begChr m:val="["/>
                  <m:endChr m:val="]"/>
                  <m:ctrlPr>
                    <w:rPr>
                      <w:rFonts w:ascii="Cambria Math" w:hAnsi="Cambria Math"/>
                    </w:rPr>
                  </m:ctrlPr>
                </m:dPr>
                <m:e>
                  <m:r>
                    <w:rPr>
                      <w:rFonts w:ascii="Cambria Math" w:hAnsi="Cambria Math"/>
                    </w:rPr>
                    <m:t>PKR</m:t>
                  </m:r>
                </m:e>
              </m:d>
            </m:e>
          </m:nary>
        </m:oMath>
      </m:oMathPara>
    </w:p>
    <w:p w14:paraId="4209D6C1" w14:textId="77777777" w:rsidR="00DA761A" w:rsidRPr="00B90F6F" w:rsidRDefault="00DA761A" w:rsidP="00DA761A">
      <w:pPr>
        <w:pStyle w:val="BodyText"/>
      </w:pPr>
      <w:r w:rsidRPr="00B90F6F">
        <w:t xml:space="preserve">Where: </w:t>
      </w:r>
    </w:p>
    <w:p w14:paraId="3A9B548A" w14:textId="15645447" w:rsidR="00C00512" w:rsidRPr="00B90F6F" w:rsidRDefault="00C00512" w:rsidP="00C00512">
      <w:pPr>
        <w:pStyle w:val="BodyText"/>
        <w:ind w:left="2977" w:hanging="1276"/>
      </w:pPr>
      <w:r>
        <w:rPr>
          <w:i/>
          <w:iCs/>
        </w:rPr>
        <w:t>MMR</w:t>
      </w:r>
      <w:r w:rsidRPr="00B90F6F">
        <w:rPr>
          <w:i/>
          <w:iCs/>
        </w:rPr>
        <w:t>C</w:t>
      </w:r>
      <w:r w:rsidR="00BF2708">
        <w:rPr>
          <w:i/>
          <w:iCs/>
          <w:vertAlign w:val="subscript"/>
        </w:rPr>
        <w:t>k</w:t>
      </w:r>
      <w:r>
        <w:rPr>
          <w:i/>
          <w:iCs/>
          <w:vertAlign w:val="subscript"/>
        </w:rPr>
        <w:t>,m</w:t>
      </w:r>
      <w:r w:rsidRPr="00B90F6F">
        <w:rPr>
          <w:i/>
          <w:iCs/>
        </w:rPr>
        <w:tab/>
      </w:r>
      <w:r>
        <w:t>is the a</w:t>
      </w:r>
      <w:r w:rsidRPr="00B90F6F">
        <w:t xml:space="preserve">mount to be </w:t>
      </w:r>
      <w:r>
        <w:t xml:space="preserve">compensated to </w:t>
      </w:r>
      <w:r w:rsidR="00BF2708">
        <w:t xml:space="preserve">Generator </w:t>
      </w:r>
      <w:r w:rsidRPr="00B90F6F">
        <w:rPr>
          <w:i/>
          <w:iCs/>
        </w:rPr>
        <w:t>“</w:t>
      </w:r>
      <w:r w:rsidR="00BF2708">
        <w:rPr>
          <w:i/>
          <w:iCs/>
        </w:rPr>
        <w:t>k</w:t>
      </w:r>
      <w:r w:rsidRPr="00B90F6F">
        <w:rPr>
          <w:i/>
          <w:iCs/>
        </w:rPr>
        <w:t xml:space="preserve">” </w:t>
      </w:r>
      <w:r>
        <w:t xml:space="preserve">for Must Run Generation, during the </w:t>
      </w:r>
      <w:r w:rsidR="00683440">
        <w:t>S</w:t>
      </w:r>
      <w:r>
        <w:t xml:space="preserve">ettlement </w:t>
      </w:r>
      <w:r w:rsidR="00683440">
        <w:t>P</w:t>
      </w:r>
      <w:r>
        <w:t xml:space="preserve">eriod </w:t>
      </w:r>
      <w:r w:rsidRPr="00D97149">
        <w:rPr>
          <w:i/>
          <w:iCs/>
        </w:rPr>
        <w:t>“m”</w:t>
      </w:r>
      <w:r>
        <w:rPr>
          <w:i/>
          <w:iCs/>
        </w:rPr>
        <w:t xml:space="preserve">, </w:t>
      </w:r>
      <w:r>
        <w:t>in PKR;</w:t>
      </w:r>
    </w:p>
    <w:p w14:paraId="7406FEA2" w14:textId="253171FE" w:rsidR="00C00512" w:rsidRDefault="00C00512" w:rsidP="00C00512">
      <w:pPr>
        <w:pStyle w:val="BodyText"/>
        <w:ind w:left="2977" w:hanging="1276"/>
      </w:pPr>
      <w:r>
        <w:rPr>
          <w:i/>
          <w:iCs/>
        </w:rPr>
        <w:t>MR</w:t>
      </w:r>
      <w:r w:rsidRPr="00B90F6F">
        <w:rPr>
          <w:i/>
          <w:iCs/>
        </w:rPr>
        <w:t>C</w:t>
      </w:r>
      <w:r w:rsidR="00BF2708">
        <w:rPr>
          <w:i/>
          <w:iCs/>
          <w:vertAlign w:val="subscript"/>
        </w:rPr>
        <w:t>k</w:t>
      </w:r>
      <w:r>
        <w:rPr>
          <w:i/>
          <w:iCs/>
          <w:vertAlign w:val="subscript"/>
        </w:rPr>
        <w:t>,h</w:t>
      </w:r>
      <w:r w:rsidRPr="00B90F6F">
        <w:rPr>
          <w:i/>
          <w:iCs/>
        </w:rPr>
        <w:tab/>
      </w:r>
      <w:r>
        <w:t>is the hourly</w:t>
      </w:r>
      <w:r w:rsidRPr="00B90F6F">
        <w:t xml:space="preserve"> </w:t>
      </w:r>
      <w:r>
        <w:t>a</w:t>
      </w:r>
      <w:r w:rsidRPr="00B90F6F">
        <w:t xml:space="preserve">mount to be </w:t>
      </w:r>
      <w:r>
        <w:t>compensated to</w:t>
      </w:r>
      <w:r w:rsidRPr="00B90F6F">
        <w:t xml:space="preserve"> </w:t>
      </w:r>
      <w:r w:rsidR="00BF2708">
        <w:t>Generator</w:t>
      </w:r>
      <w:r>
        <w:t xml:space="preserve"> </w:t>
      </w:r>
      <w:r w:rsidRPr="00B90F6F">
        <w:rPr>
          <w:i/>
          <w:iCs/>
        </w:rPr>
        <w:t>“</w:t>
      </w:r>
      <w:r w:rsidR="00BF2708">
        <w:rPr>
          <w:i/>
          <w:iCs/>
        </w:rPr>
        <w:t>k</w:t>
      </w:r>
      <w:r w:rsidRPr="00B90F6F">
        <w:rPr>
          <w:i/>
          <w:iCs/>
        </w:rPr>
        <w:t xml:space="preserve">” </w:t>
      </w:r>
      <w:r>
        <w:t>for Must Run Generation, during hour “h”, in PKR</w:t>
      </w:r>
      <w:r w:rsidR="002358B8">
        <w:t xml:space="preserve"> calculated pursuant to Clause </w:t>
      </w:r>
      <w:r w:rsidR="002358B8">
        <w:fldChar w:fldCharType="begin"/>
      </w:r>
      <w:r w:rsidR="002358B8">
        <w:instrText xml:space="preserve"> REF _Ref66358549 \r \h </w:instrText>
      </w:r>
      <w:r w:rsidR="002358B8">
        <w:fldChar w:fldCharType="separate"/>
      </w:r>
      <w:r w:rsidR="002358B8">
        <w:t>7.1.3.3</w:t>
      </w:r>
      <w:r w:rsidR="002358B8">
        <w:fldChar w:fldCharType="end"/>
      </w:r>
      <w:r>
        <w:t xml:space="preserve">; </w:t>
      </w:r>
    </w:p>
    <w:p w14:paraId="4B637826" w14:textId="77777777" w:rsidR="00C00512" w:rsidRDefault="00C00512" w:rsidP="00C00512">
      <w:pPr>
        <w:pStyle w:val="BodyText"/>
        <w:ind w:left="2977" w:hanging="1276"/>
      </w:pPr>
      <w:r>
        <w:rPr>
          <w:i/>
          <w:iCs/>
        </w:rPr>
        <w:t>T</w:t>
      </w:r>
      <w:r>
        <w:rPr>
          <w:i/>
          <w:iCs/>
        </w:rPr>
        <w:tab/>
      </w:r>
      <w:r>
        <w:t xml:space="preserve">is the total number of hours in the Settlement Period. </w:t>
      </w:r>
    </w:p>
    <w:p w14:paraId="3AE0B01B" w14:textId="7BA70A4A" w:rsidR="00DA761A" w:rsidRDefault="00857700" w:rsidP="00DA761A">
      <w:pPr>
        <w:pStyle w:val="Heading3"/>
      </w:pPr>
      <w:r w:rsidRPr="00857700">
        <w:t>Compensation</w:t>
      </w:r>
      <w:r w:rsidR="00DA761A">
        <w:t xml:space="preserve"> Amount for Must Stop Generation</w:t>
      </w:r>
    </w:p>
    <w:p w14:paraId="02A1095F" w14:textId="084F260F" w:rsidR="00DA761A" w:rsidRPr="00DA761A" w:rsidRDefault="00C00512" w:rsidP="00707A66">
      <w:pPr>
        <w:pStyle w:val="Heading4"/>
      </w:pPr>
      <w:r w:rsidRPr="00C00512">
        <w:t xml:space="preserve">Must Stop Generation </w:t>
      </w:r>
      <w:r w:rsidR="002358B8">
        <w:t>shall</w:t>
      </w:r>
      <w:r w:rsidR="002358B8" w:rsidRPr="00C00512">
        <w:t xml:space="preserve"> </w:t>
      </w:r>
      <w:r w:rsidRPr="00C00512">
        <w:t xml:space="preserve">not </w:t>
      </w:r>
      <w:r w:rsidR="002358B8">
        <w:t xml:space="preserve">be </w:t>
      </w:r>
      <w:r w:rsidR="008A621F">
        <w:t>eligible</w:t>
      </w:r>
      <w:r w:rsidR="008A621F" w:rsidRPr="00C00512">
        <w:t xml:space="preserve"> </w:t>
      </w:r>
      <w:r w:rsidRPr="00C00512">
        <w:t xml:space="preserve">to receive </w:t>
      </w:r>
      <w:r w:rsidR="00707A66">
        <w:t xml:space="preserve">any </w:t>
      </w:r>
      <w:r w:rsidRPr="00C00512">
        <w:t xml:space="preserve">compensation for </w:t>
      </w:r>
      <w:r w:rsidR="00A40F1F">
        <w:t xml:space="preserve">following the instructions of the </w:t>
      </w:r>
      <w:r w:rsidR="002358B8">
        <w:t xml:space="preserve"> System Operator </w:t>
      </w:r>
      <w:r w:rsidR="00707A66">
        <w:t>to reduce its generation below i</w:t>
      </w:r>
      <w:r w:rsidR="00A40F1F">
        <w:t>t</w:t>
      </w:r>
      <w:r w:rsidR="00707A66">
        <w:t xml:space="preserve">s Available Capacity or </w:t>
      </w:r>
      <w:r w:rsidR="00A40F1F">
        <w:t>disconnection</w:t>
      </w:r>
      <w:r w:rsidR="00707A66">
        <w:t xml:space="preserve"> from the network.</w:t>
      </w:r>
    </w:p>
    <w:p w14:paraId="3C64D4F0" w14:textId="77777777" w:rsidR="00D34F1F" w:rsidRDefault="00D34F1F" w:rsidP="00FF6AE9">
      <w:pPr>
        <w:pStyle w:val="Heading2"/>
      </w:pPr>
      <w:bookmarkStart w:id="273" w:name="_Toc64846685"/>
      <w:bookmarkStart w:id="274" w:name="_Toc69476982"/>
      <w:r>
        <w:t>Ancillary Services</w:t>
      </w:r>
      <w:bookmarkEnd w:id="273"/>
      <w:bookmarkEnd w:id="274"/>
    </w:p>
    <w:p w14:paraId="36ABF64A" w14:textId="6C3B0B8E" w:rsidR="00705C93" w:rsidRDefault="00D23996" w:rsidP="00705C93">
      <w:pPr>
        <w:pStyle w:val="Heading3"/>
      </w:pPr>
      <w:bookmarkStart w:id="275" w:name="_Toc47463551"/>
      <w:r>
        <w:t>Requirement</w:t>
      </w:r>
      <w:r w:rsidR="00110741">
        <w:t xml:space="preserve"> and </w:t>
      </w:r>
      <w:r w:rsidR="00A40F1F">
        <w:t xml:space="preserve">Provision </w:t>
      </w:r>
      <w:r>
        <w:t xml:space="preserve">of </w:t>
      </w:r>
      <w:r w:rsidR="00705C93">
        <w:t>Ancillary Services</w:t>
      </w:r>
    </w:p>
    <w:p w14:paraId="212F93FA" w14:textId="57949DE2" w:rsidR="00D23996" w:rsidRDefault="00D23996" w:rsidP="005B295A">
      <w:pPr>
        <w:pStyle w:val="Heading4"/>
      </w:pPr>
      <w:r>
        <w:t>The definition</w:t>
      </w:r>
      <w:r w:rsidR="00A40F1F">
        <w:t>s</w:t>
      </w:r>
      <w:r>
        <w:t>, types and minimum requirements of Ancillary Services</w:t>
      </w:r>
      <w:r w:rsidR="00A40F1F">
        <w:t>,</w:t>
      </w:r>
      <w:r>
        <w:t xml:space="preserve"> which </w:t>
      </w:r>
      <w:r w:rsidR="00A40F1F">
        <w:t>may</w:t>
      </w:r>
      <w:r w:rsidR="00DB4A94">
        <w:t xml:space="preserve"> be </w:t>
      </w:r>
      <w:r>
        <w:t>scheduled by the System Operator</w:t>
      </w:r>
      <w:r w:rsidR="00A40F1F">
        <w:t>,</w:t>
      </w:r>
      <w:r>
        <w:t xml:space="preserve"> </w:t>
      </w:r>
      <w:r w:rsidR="00DB4A94">
        <w:t xml:space="preserve">shall be provided </w:t>
      </w:r>
      <w:r>
        <w:t xml:space="preserve">in the Grid Code. </w:t>
      </w:r>
    </w:p>
    <w:p w14:paraId="7C962623" w14:textId="0B6412C6" w:rsidR="00D23996" w:rsidRDefault="00D23996" w:rsidP="005B295A">
      <w:pPr>
        <w:pStyle w:val="Heading4"/>
      </w:pPr>
      <w:r>
        <w:t xml:space="preserve">For the purpose of this Code, the </w:t>
      </w:r>
      <w:r w:rsidR="00DB4A94">
        <w:t xml:space="preserve">following types of </w:t>
      </w:r>
      <w:r>
        <w:t xml:space="preserve">Ancillary Services </w:t>
      </w:r>
      <w:r w:rsidR="00DB4A94">
        <w:t xml:space="preserve">shall be </w:t>
      </w:r>
      <w:r>
        <w:t xml:space="preserve">considered: </w:t>
      </w:r>
    </w:p>
    <w:p w14:paraId="136D0813" w14:textId="1930F732" w:rsidR="00D23996" w:rsidRDefault="00D23996" w:rsidP="00B03234">
      <w:pPr>
        <w:pStyle w:val="Heading5"/>
      </w:pPr>
      <w:bookmarkStart w:id="276" w:name="_Ref64573211"/>
      <w:commentRangeStart w:id="277"/>
      <w:r>
        <w:t>Frequency Containment Reserve</w:t>
      </w:r>
      <w:r w:rsidR="00675D6C">
        <w:t>;</w:t>
      </w:r>
      <w:bookmarkEnd w:id="276"/>
    </w:p>
    <w:p w14:paraId="7556E962" w14:textId="209B27D7" w:rsidR="00D23996" w:rsidRDefault="00D23996" w:rsidP="00B03234">
      <w:pPr>
        <w:pStyle w:val="Heading5"/>
      </w:pPr>
      <w:r>
        <w:lastRenderedPageBreak/>
        <w:t>Frequency Restoration Reserve</w:t>
      </w:r>
      <w:r w:rsidR="00675D6C">
        <w:t>;</w:t>
      </w:r>
    </w:p>
    <w:p w14:paraId="4D556938" w14:textId="75B80F56" w:rsidR="00D23996" w:rsidRDefault="00D23996" w:rsidP="00B03234">
      <w:pPr>
        <w:pStyle w:val="Heading5"/>
      </w:pPr>
      <w:r>
        <w:t>Frequency Replacement Reserve</w:t>
      </w:r>
      <w:r w:rsidR="00675D6C">
        <w:t xml:space="preserve">; </w:t>
      </w:r>
    </w:p>
    <w:p w14:paraId="67FE51C8" w14:textId="77777777" w:rsidR="00A95015" w:rsidRDefault="00D23996" w:rsidP="00B03234">
      <w:pPr>
        <w:pStyle w:val="Heading5"/>
      </w:pPr>
      <w:bookmarkStart w:id="278" w:name="_Ref64573235"/>
      <w:r>
        <w:t>Reactive Power and Voltage Control</w:t>
      </w:r>
      <w:r w:rsidR="00A95015">
        <w:t>; and</w:t>
      </w:r>
      <w:bookmarkEnd w:id="278"/>
    </w:p>
    <w:p w14:paraId="0BEDF83D" w14:textId="1789352F" w:rsidR="00D23996" w:rsidRPr="00D23996" w:rsidRDefault="004C2721" w:rsidP="00B03234">
      <w:pPr>
        <w:pStyle w:val="Heading5"/>
      </w:pPr>
      <w:r>
        <w:t>Black Start Capability</w:t>
      </w:r>
      <w:r w:rsidR="00D23996">
        <w:t xml:space="preserve">  </w:t>
      </w:r>
      <w:commentRangeEnd w:id="277"/>
      <w:r w:rsidR="00675D6C">
        <w:rPr>
          <w:rStyle w:val="CommentReference"/>
          <w:rFonts w:eastAsiaTheme="minorHAnsi" w:cstheme="minorBidi"/>
          <w:color w:val="1C1C1C"/>
        </w:rPr>
        <w:commentReference w:id="277"/>
      </w:r>
    </w:p>
    <w:p w14:paraId="2004488E" w14:textId="313C8112" w:rsidR="00675D6C" w:rsidRDefault="00675D6C" w:rsidP="005B295A">
      <w:pPr>
        <w:pStyle w:val="Heading4"/>
      </w:pPr>
      <w:r>
        <w:t xml:space="preserve">The System Operator shall determine and schedule the required Ancillary Services while performing the Security Constrained Economic </w:t>
      </w:r>
      <w:r w:rsidRPr="00917137">
        <w:t xml:space="preserve">Dispatch, either the Day Ahead Schedule or the Real Time </w:t>
      </w:r>
      <w:r w:rsidR="00917137" w:rsidRPr="00917137">
        <w:t>Dispatch</w:t>
      </w:r>
      <w:r w:rsidRPr="00917137">
        <w:t>. In this regard</w:t>
      </w:r>
      <w:r w:rsidR="00A40F1F">
        <w:t xml:space="preserve">, it is hereby clarified that </w:t>
      </w:r>
      <w:r w:rsidRPr="00675D6C">
        <w:t xml:space="preserve">obtaining </w:t>
      </w:r>
      <w:r>
        <w:t xml:space="preserve">the necessary Ancillary Services </w:t>
      </w:r>
      <w:r w:rsidR="00A40F1F">
        <w:t>is an integral part of</w:t>
      </w:r>
      <w:r w:rsidR="00A40F1F" w:rsidRPr="00675D6C">
        <w:t xml:space="preserve"> </w:t>
      </w:r>
      <w:r w:rsidRPr="00675D6C">
        <w:t xml:space="preserve">carrying out the </w:t>
      </w:r>
      <w:r>
        <w:t>Security Constrained Economic Dispatch.</w:t>
      </w:r>
    </w:p>
    <w:p w14:paraId="1A1CFEED" w14:textId="0AFE80BE" w:rsidR="004C2721" w:rsidRDefault="007C60ED" w:rsidP="005B295A">
      <w:pPr>
        <w:pStyle w:val="Heading4"/>
      </w:pPr>
      <w:bookmarkStart w:id="279" w:name="_Ref64573089"/>
      <w:r>
        <w:t>The p</w:t>
      </w:r>
      <w:commentRangeStart w:id="280"/>
      <w:r w:rsidR="00110741">
        <w:t>rovision of Ancillary Services</w:t>
      </w:r>
      <w:r>
        <w:t xml:space="preserve"> </w:t>
      </w:r>
      <w:r w:rsidR="00A40F1F">
        <w:t xml:space="preserve">as provided </w:t>
      </w:r>
      <w:r>
        <w:t xml:space="preserve">in Clause </w:t>
      </w:r>
      <w:r>
        <w:fldChar w:fldCharType="begin"/>
      </w:r>
      <w:r>
        <w:instrText xml:space="preserve"> REF _Ref64573211 \r \h </w:instrText>
      </w:r>
      <w:r>
        <w:fldChar w:fldCharType="separate"/>
      </w:r>
      <w:r w:rsidR="00251DBF">
        <w:t>7.2.1.2.a)</w:t>
      </w:r>
      <w:r>
        <w:fldChar w:fldCharType="end"/>
      </w:r>
      <w:r>
        <w:t xml:space="preserve"> through </w:t>
      </w:r>
      <w:r>
        <w:fldChar w:fldCharType="begin"/>
      </w:r>
      <w:r>
        <w:instrText xml:space="preserve"> REF _Ref64573235 \n \h </w:instrText>
      </w:r>
      <w:r>
        <w:fldChar w:fldCharType="separate"/>
      </w:r>
      <w:r w:rsidR="00251DBF">
        <w:t>d)</w:t>
      </w:r>
      <w:r>
        <w:fldChar w:fldCharType="end"/>
      </w:r>
      <w:r w:rsidR="00110741">
        <w:t xml:space="preserve">, within the limits </w:t>
      </w:r>
      <w:r w:rsidR="001C75FC">
        <w:t xml:space="preserve">set out </w:t>
      </w:r>
      <w:r w:rsidR="00110741">
        <w:t>in the Grid Code, is mandatory for all Generators and Transmission Service Providers</w:t>
      </w:r>
      <w:r w:rsidR="004C2721">
        <w:t xml:space="preserve">, and shall be </w:t>
      </w:r>
      <w:commentRangeStart w:id="281"/>
      <w:r w:rsidR="004C2721" w:rsidRPr="0041551A">
        <w:rPr>
          <w:highlight w:val="yellow"/>
        </w:rPr>
        <w:t>provided at zero cost</w:t>
      </w:r>
      <w:r w:rsidR="00866C35">
        <w:t xml:space="preserve">, subject to </w:t>
      </w:r>
      <w:r w:rsidR="0041551A">
        <w:t xml:space="preserve">payment of compensation as provided in </w:t>
      </w:r>
      <w:r w:rsidR="00866C35">
        <w:t>Clause</w:t>
      </w:r>
      <w:r w:rsidR="001C75FC">
        <w:t xml:space="preserve"> </w:t>
      </w:r>
      <w:r w:rsidR="008A621F">
        <w:rPr>
          <w:highlight w:val="yellow"/>
        </w:rPr>
        <w:fldChar w:fldCharType="begin"/>
      </w:r>
      <w:r w:rsidR="008A621F">
        <w:instrText xml:space="preserve"> REF _Ref76898580 \r \h </w:instrText>
      </w:r>
      <w:r w:rsidR="008A621F">
        <w:rPr>
          <w:highlight w:val="yellow"/>
        </w:rPr>
      </w:r>
      <w:r w:rsidR="008A621F">
        <w:rPr>
          <w:highlight w:val="yellow"/>
        </w:rPr>
        <w:fldChar w:fldCharType="separate"/>
      </w:r>
      <w:r w:rsidR="008A621F">
        <w:t>7.3.1.5</w:t>
      </w:r>
      <w:r w:rsidR="008A621F">
        <w:rPr>
          <w:highlight w:val="yellow"/>
        </w:rPr>
        <w:fldChar w:fldCharType="end"/>
      </w:r>
      <w:r w:rsidR="008A621F">
        <w:t xml:space="preserve"> </w:t>
      </w:r>
      <w:r w:rsidR="0041551A">
        <w:t>below</w:t>
      </w:r>
      <w:commentRangeEnd w:id="281"/>
      <w:r w:rsidR="00866C35">
        <w:rPr>
          <w:rStyle w:val="CommentReference"/>
          <w:rFonts w:eastAsiaTheme="minorHAnsi" w:cstheme="minorBidi"/>
          <w:bCs w:val="0"/>
          <w:iCs w:val="0"/>
          <w:color w:val="1C1C1C"/>
        </w:rPr>
        <w:commentReference w:id="281"/>
      </w:r>
      <w:r w:rsidR="001C75FC">
        <w:t xml:space="preserve"> and the decision of the System Operator in this respect shall be binding</w:t>
      </w:r>
      <w:r w:rsidR="00405883">
        <w:t>.</w:t>
      </w:r>
      <w:r w:rsidR="00110741">
        <w:t xml:space="preserve"> </w:t>
      </w:r>
      <w:commentRangeEnd w:id="280"/>
      <w:r>
        <w:rPr>
          <w:rStyle w:val="CommentReference"/>
          <w:rFonts w:eastAsiaTheme="minorHAnsi" w:cstheme="minorBidi"/>
          <w:bCs w:val="0"/>
          <w:iCs w:val="0"/>
          <w:color w:val="1C1C1C"/>
        </w:rPr>
        <w:commentReference w:id="280"/>
      </w:r>
      <w:bookmarkEnd w:id="279"/>
    </w:p>
    <w:p w14:paraId="799446FA" w14:textId="4138593E" w:rsidR="007C60ED" w:rsidRDefault="007C60ED" w:rsidP="005B295A">
      <w:pPr>
        <w:pStyle w:val="Heading4"/>
      </w:pPr>
      <w:bookmarkStart w:id="282" w:name="_Ref76898580"/>
      <w:r>
        <w:t xml:space="preserve">Notwithstanding anything </w:t>
      </w:r>
      <w:r w:rsidR="001C75FC">
        <w:t xml:space="preserve">contained </w:t>
      </w:r>
      <w:r>
        <w:t xml:space="preserve">in Clause </w:t>
      </w:r>
      <w:r>
        <w:fldChar w:fldCharType="begin"/>
      </w:r>
      <w:r>
        <w:instrText xml:space="preserve"> REF _Ref64573089 \r \h </w:instrText>
      </w:r>
      <w:r>
        <w:fldChar w:fldCharType="separate"/>
      </w:r>
      <w:r w:rsidR="00251DBF">
        <w:t>7.2.1.4</w:t>
      </w:r>
      <w:r>
        <w:fldChar w:fldCharType="end"/>
      </w:r>
      <w:r w:rsidR="001C75FC">
        <w:t xml:space="preserve"> above</w:t>
      </w:r>
      <w:r w:rsidR="00405883">
        <w:t>,</w:t>
      </w:r>
      <w:r>
        <w:t xml:space="preserve"> a Market Participant </w:t>
      </w:r>
      <w:r w:rsidR="008A621F">
        <w:t xml:space="preserve">may be eligible </w:t>
      </w:r>
      <w:r>
        <w:t xml:space="preserve">to receive </w:t>
      </w:r>
      <w:r w:rsidRPr="001C75FC">
        <w:rPr>
          <w:strike/>
        </w:rPr>
        <w:t>an economic</w:t>
      </w:r>
      <w:r>
        <w:t xml:space="preserve"> compensation for</w:t>
      </w:r>
      <w:r w:rsidR="00A249A1">
        <w:t>:</w:t>
      </w:r>
      <w:bookmarkEnd w:id="282"/>
    </w:p>
    <w:p w14:paraId="2863A7FB" w14:textId="707B1E24" w:rsidR="00A249A1" w:rsidRDefault="008A621F" w:rsidP="00B03234">
      <w:pPr>
        <w:pStyle w:val="Heading5"/>
      </w:pPr>
      <w:r>
        <w:t>i</w:t>
      </w:r>
      <w:r w:rsidR="00A249A1">
        <w:t xml:space="preserve">ts revenue </w:t>
      </w:r>
      <w:r w:rsidR="00A249A1" w:rsidRPr="00C57D16">
        <w:t>los</w:t>
      </w:r>
      <w:r w:rsidR="00405883" w:rsidRPr="00C57D16">
        <w:t>s</w:t>
      </w:r>
      <w:r w:rsidR="00A249A1" w:rsidRPr="00C57D16">
        <w:t xml:space="preserve"> due </w:t>
      </w:r>
      <w:r w:rsidR="00436BDC" w:rsidRPr="00C57D16">
        <w:t>to an instruction issued</w:t>
      </w:r>
      <w:r w:rsidR="00A249A1" w:rsidRPr="00C57D16">
        <w:t xml:space="preserve"> by the System Operator to</w:t>
      </w:r>
      <w:r w:rsidR="00A249A1">
        <w:t xml:space="preserve"> generate below </w:t>
      </w:r>
      <w:r w:rsidR="00C726E0">
        <w:t xml:space="preserve">the </w:t>
      </w:r>
      <w:r w:rsidR="00A249A1">
        <w:t>maximum Available Capacity</w:t>
      </w:r>
      <w:r w:rsidR="00C726E0">
        <w:t xml:space="preserve"> of a Generation Unit</w:t>
      </w:r>
      <w:r w:rsidR="00A249A1">
        <w:t xml:space="preserve">, while its </w:t>
      </w:r>
      <w:r w:rsidR="00405883">
        <w:t>V</w:t>
      </w:r>
      <w:r w:rsidR="00A249A1">
        <w:t xml:space="preserve">ariable </w:t>
      </w:r>
      <w:r w:rsidR="00405883">
        <w:t>C</w:t>
      </w:r>
      <w:r w:rsidR="00A249A1">
        <w:t xml:space="preserve">ost is lower than the System Marginal Price, for </w:t>
      </w:r>
      <w:r w:rsidR="00C726E0">
        <w:t xml:space="preserve">providing </w:t>
      </w:r>
      <w:r w:rsidR="00A249A1">
        <w:t xml:space="preserve">one or more of the Ancillary Services </w:t>
      </w:r>
      <w:r w:rsidR="001C75FC">
        <w:t xml:space="preserve">provided </w:t>
      </w:r>
      <w:r w:rsidR="00A249A1">
        <w:t xml:space="preserve">in Clause </w:t>
      </w:r>
      <w:r w:rsidR="00A249A1">
        <w:fldChar w:fldCharType="begin"/>
      </w:r>
      <w:r w:rsidR="00A249A1">
        <w:instrText xml:space="preserve"> REF _Ref64573211 \r \h </w:instrText>
      </w:r>
      <w:r w:rsidR="00325204">
        <w:instrText xml:space="preserve"> \* MERGEFORMAT </w:instrText>
      </w:r>
      <w:r w:rsidR="00A249A1">
        <w:fldChar w:fldCharType="separate"/>
      </w:r>
      <w:r w:rsidR="00251DBF">
        <w:t>7.2.1.2.a)</w:t>
      </w:r>
      <w:r w:rsidR="00A249A1">
        <w:fldChar w:fldCharType="end"/>
      </w:r>
      <w:r w:rsidR="00A249A1">
        <w:t xml:space="preserve"> through </w:t>
      </w:r>
      <w:r w:rsidR="00A249A1">
        <w:fldChar w:fldCharType="begin"/>
      </w:r>
      <w:r w:rsidR="00A249A1">
        <w:instrText xml:space="preserve"> REF _Ref64573235 \n \h </w:instrText>
      </w:r>
      <w:r w:rsidR="00325204">
        <w:instrText xml:space="preserve"> \* MERGEFORMAT </w:instrText>
      </w:r>
      <w:r w:rsidR="00A249A1">
        <w:fldChar w:fldCharType="separate"/>
      </w:r>
      <w:r w:rsidR="00251DBF">
        <w:t>d)</w:t>
      </w:r>
      <w:r w:rsidR="00A249A1">
        <w:fldChar w:fldCharType="end"/>
      </w:r>
      <w:r w:rsidR="00A249A1">
        <w:t>, or for allowing other Genera</w:t>
      </w:r>
      <w:r w:rsidR="00C726E0">
        <w:t>tion Unit</w:t>
      </w:r>
      <w:r w:rsidR="001C75FC">
        <w:t>s</w:t>
      </w:r>
      <w:r w:rsidR="00A249A1">
        <w:t xml:space="preserve"> to </w:t>
      </w:r>
      <w:r w:rsidR="00C726E0">
        <w:t xml:space="preserve">provide </w:t>
      </w:r>
      <w:r w:rsidR="00A249A1">
        <w:t>them (</w:t>
      </w:r>
      <w:r w:rsidR="001C75FC">
        <w:t xml:space="preserve">lost </w:t>
      </w:r>
      <w:r w:rsidR="00A249A1">
        <w:t xml:space="preserve">opportunity cost); and </w:t>
      </w:r>
    </w:p>
    <w:p w14:paraId="750EA25D" w14:textId="42C02479" w:rsidR="00A249A1" w:rsidRDefault="008A621F" w:rsidP="00B03234">
      <w:pPr>
        <w:pStyle w:val="Heading5"/>
      </w:pPr>
      <w:r>
        <w:t>b</w:t>
      </w:r>
      <w:r w:rsidR="00A249A1">
        <w:t xml:space="preserve">eing instructed to produce </w:t>
      </w:r>
      <w:r w:rsidR="002735AD">
        <w:t>Energy</w:t>
      </w:r>
      <w:r w:rsidR="00A249A1">
        <w:t xml:space="preserve"> </w:t>
      </w:r>
      <w:r w:rsidR="00C726E0">
        <w:t xml:space="preserve">by a Generation Unit, </w:t>
      </w:r>
      <w:r w:rsidR="00405883">
        <w:t>while its</w:t>
      </w:r>
      <w:r w:rsidR="00C726E0">
        <w:t xml:space="preserve"> V</w:t>
      </w:r>
      <w:r w:rsidR="00A249A1">
        <w:t xml:space="preserve">ariable </w:t>
      </w:r>
      <w:r w:rsidR="00C726E0">
        <w:t>Generation C</w:t>
      </w:r>
      <w:r w:rsidR="00A249A1">
        <w:t>ost</w:t>
      </w:r>
      <w:r w:rsidR="00405883">
        <w:t xml:space="preserve"> is</w:t>
      </w:r>
      <w:r w:rsidR="00A249A1">
        <w:t xml:space="preserve"> greater than the System Marginal Price, for pro</w:t>
      </w:r>
      <w:r w:rsidR="00C726E0">
        <w:t>viding</w:t>
      </w:r>
      <w:r w:rsidR="00A249A1">
        <w:t xml:space="preserve"> one or more of the Ancillary Services </w:t>
      </w:r>
      <w:r w:rsidR="001C75FC">
        <w:t xml:space="preserve">provided </w:t>
      </w:r>
      <w:r w:rsidR="00A249A1">
        <w:t xml:space="preserve">in Clause </w:t>
      </w:r>
      <w:r w:rsidR="00A249A1">
        <w:fldChar w:fldCharType="begin"/>
      </w:r>
      <w:r w:rsidR="00A249A1">
        <w:instrText xml:space="preserve"> REF _Ref64573211 \r \h </w:instrText>
      </w:r>
      <w:r w:rsidR="00325204">
        <w:instrText xml:space="preserve"> \* MERGEFORMAT </w:instrText>
      </w:r>
      <w:r w:rsidR="00A249A1">
        <w:fldChar w:fldCharType="separate"/>
      </w:r>
      <w:r w:rsidR="00251DBF">
        <w:t>7.2.1.2.a)</w:t>
      </w:r>
      <w:r w:rsidR="00A249A1">
        <w:fldChar w:fldCharType="end"/>
      </w:r>
      <w:r w:rsidR="00A249A1">
        <w:t xml:space="preserve"> through </w:t>
      </w:r>
      <w:r w:rsidR="00A249A1">
        <w:fldChar w:fldCharType="begin"/>
      </w:r>
      <w:r w:rsidR="00A249A1">
        <w:instrText xml:space="preserve"> REF _Ref64573235 \n \h </w:instrText>
      </w:r>
      <w:r w:rsidR="00325204">
        <w:instrText xml:space="preserve"> \* MERGEFORMAT </w:instrText>
      </w:r>
      <w:r w:rsidR="00A249A1">
        <w:fldChar w:fldCharType="separate"/>
      </w:r>
      <w:r w:rsidR="00251DBF">
        <w:t>d)</w:t>
      </w:r>
      <w:r w:rsidR="00A249A1">
        <w:fldChar w:fldCharType="end"/>
      </w:r>
      <w:r w:rsidR="00A249A1">
        <w:t>, or for allowing other Generat</w:t>
      </w:r>
      <w:r w:rsidR="00C726E0">
        <w:t>ion Unit</w:t>
      </w:r>
      <w:r w:rsidR="00A249A1">
        <w:t xml:space="preserve"> to </w:t>
      </w:r>
      <w:r w:rsidR="00C726E0">
        <w:t xml:space="preserve">provide </w:t>
      </w:r>
      <w:r w:rsidR="00405883">
        <w:t xml:space="preserve">these </w:t>
      </w:r>
      <w:r w:rsidR="005A7063">
        <w:t xml:space="preserve">services </w:t>
      </w:r>
      <w:r w:rsidR="00A249A1">
        <w:t>(out of merit instructed generation); and</w:t>
      </w:r>
    </w:p>
    <w:p w14:paraId="42037F4D" w14:textId="16E1C429" w:rsidR="00325204" w:rsidRPr="00A249A1" w:rsidRDefault="008A621F" w:rsidP="00B03234">
      <w:pPr>
        <w:pStyle w:val="Heading5"/>
      </w:pPr>
      <w:r>
        <w:t>f</w:t>
      </w:r>
      <w:r w:rsidR="00325204">
        <w:t xml:space="preserve">or being able to </w:t>
      </w:r>
      <w:r w:rsidR="00325204" w:rsidRPr="00325204">
        <w:t>provid</w:t>
      </w:r>
      <w:r w:rsidR="00325204">
        <w:t xml:space="preserve">e Black Start, </w:t>
      </w:r>
      <w:r w:rsidR="00325204" w:rsidRPr="00325204">
        <w:t xml:space="preserve">if such cost has been approved </w:t>
      </w:r>
      <w:r w:rsidR="00DD4192">
        <w:t xml:space="preserve">explicitly </w:t>
      </w:r>
      <w:r w:rsidR="00325204" w:rsidRPr="00325204">
        <w:t xml:space="preserve">by </w:t>
      </w:r>
      <w:r w:rsidR="00325204">
        <w:t>the Authority</w:t>
      </w:r>
      <w:r w:rsidR="00DD4192">
        <w:t xml:space="preserve"> as a separate component for payment.</w:t>
      </w:r>
      <w:r w:rsidR="00325204">
        <w:t xml:space="preserve">  </w:t>
      </w:r>
    </w:p>
    <w:p w14:paraId="1180F2EF" w14:textId="1FBDE8A1" w:rsidR="00325204" w:rsidRDefault="009F5D54" w:rsidP="005B295A">
      <w:pPr>
        <w:pStyle w:val="Heading4"/>
      </w:pPr>
      <w:r>
        <w:t xml:space="preserve">The System Operator shall inform the Market Operator in case a Generator </w:t>
      </w:r>
      <w:r w:rsidR="00325204">
        <w:t>fail</w:t>
      </w:r>
      <w:r w:rsidR="00DD4192">
        <w:t>s</w:t>
      </w:r>
      <w:r w:rsidR="00325204">
        <w:t xml:space="preserve"> or </w:t>
      </w:r>
      <w:r>
        <w:t>refuse</w:t>
      </w:r>
      <w:r w:rsidR="00DD4192">
        <w:t>s</w:t>
      </w:r>
      <w:r>
        <w:t xml:space="preserve"> to provide </w:t>
      </w:r>
      <w:r w:rsidR="00DD4192">
        <w:t>required</w:t>
      </w:r>
      <w:r w:rsidR="00325204">
        <w:t xml:space="preserve"> </w:t>
      </w:r>
      <w:r>
        <w:t>Ancillary Services</w:t>
      </w:r>
      <w:r w:rsidR="00381124">
        <w:t xml:space="preserve"> for necessary action</w:t>
      </w:r>
      <w:r>
        <w:t xml:space="preserve">. </w:t>
      </w:r>
      <w:r w:rsidR="00325204" w:rsidRPr="00B03C4A">
        <w:t xml:space="preserve">Notwithstanding any further action that may be taken by the Market Operator or System Operator </w:t>
      </w:r>
      <w:r w:rsidR="008A621F" w:rsidRPr="00B03C4A">
        <w:t>for</w:t>
      </w:r>
      <w:r w:rsidR="00325204" w:rsidRPr="00B03C4A">
        <w:t xml:space="preserve"> such non-compliance, a Generator which failed or refused to provide an Ancillary Service mandated by the System Operator </w:t>
      </w:r>
      <w:r w:rsidR="00E265E7" w:rsidRPr="00B03C4A">
        <w:t xml:space="preserve">shall not be </w:t>
      </w:r>
      <w:r w:rsidR="008A621F" w:rsidRPr="00B03C4A">
        <w:t xml:space="preserve">receive </w:t>
      </w:r>
      <w:r w:rsidR="00E265E7" w:rsidRPr="00B03C4A">
        <w:t xml:space="preserve">to receive any kind of </w:t>
      </w:r>
      <w:r w:rsidR="00E265E7" w:rsidRPr="008A621F">
        <w:rPr>
          <w:strike/>
        </w:rPr>
        <w:t>economic</w:t>
      </w:r>
      <w:r w:rsidR="00E265E7" w:rsidRPr="00B03C4A">
        <w:t xml:space="preserve"> compensation</w:t>
      </w:r>
      <w:r w:rsidR="00E265E7">
        <w:t xml:space="preserve">. </w:t>
      </w:r>
    </w:p>
    <w:p w14:paraId="49FACF33" w14:textId="0EA4AFFC" w:rsidR="00A82AA8" w:rsidRDefault="00A82AA8" w:rsidP="00A82AA8">
      <w:pPr>
        <w:pStyle w:val="Heading2"/>
      </w:pPr>
      <w:bookmarkStart w:id="283" w:name="_Toc64846686"/>
      <w:bookmarkStart w:id="284" w:name="_Toc69476983"/>
      <w:bookmarkEnd w:id="275"/>
      <w:r>
        <w:t>Compensation for Provision of Ancillary Services</w:t>
      </w:r>
      <w:bookmarkEnd w:id="283"/>
      <w:bookmarkEnd w:id="284"/>
    </w:p>
    <w:p w14:paraId="57BA47DC" w14:textId="755A00AE" w:rsidR="007716B5" w:rsidRDefault="007716B5" w:rsidP="007716B5">
      <w:pPr>
        <w:pStyle w:val="Heading3"/>
      </w:pPr>
      <w:r>
        <w:t>Generat</w:t>
      </w:r>
      <w:r w:rsidR="00405883">
        <w:t>ors</w:t>
      </w:r>
      <w:r>
        <w:t xml:space="preserve"> Entitled to Receive Compensation</w:t>
      </w:r>
    </w:p>
    <w:p w14:paraId="3E1D651D" w14:textId="4E7A4FE7" w:rsidR="00F147E5" w:rsidRPr="00B82CD5" w:rsidRDefault="00F147E5" w:rsidP="005B295A">
      <w:pPr>
        <w:pStyle w:val="Heading4"/>
      </w:pPr>
      <w:bookmarkStart w:id="285" w:name="_Ref64497424"/>
      <w:r w:rsidRPr="00B82CD5">
        <w:t xml:space="preserve">The System Operator shall </w:t>
      </w:r>
      <w:r w:rsidR="009E74FF">
        <w:t>identify</w:t>
      </w:r>
      <w:r w:rsidRPr="00B82CD5">
        <w:t xml:space="preserve">, on daily basis and for each </w:t>
      </w:r>
      <w:r w:rsidR="00D56860">
        <w:t xml:space="preserve">Energy </w:t>
      </w:r>
      <w:r w:rsidR="00405883">
        <w:t>Balancing Period</w:t>
      </w:r>
      <w:r w:rsidRPr="00B82CD5">
        <w:t xml:space="preserve">, the </w:t>
      </w:r>
      <w:r w:rsidR="00436BDC">
        <w:t>Generation Units</w:t>
      </w:r>
      <w:r w:rsidR="009E74FF">
        <w:t xml:space="preserve"> and determine the quantity of Energy</w:t>
      </w:r>
      <w:r w:rsidR="00436BDC" w:rsidRPr="00B82CD5">
        <w:t xml:space="preserve"> </w:t>
      </w:r>
      <w:r w:rsidR="00480D7B">
        <w:t xml:space="preserve">for </w:t>
      </w:r>
      <w:r w:rsidRPr="00B82CD5">
        <w:t>which</w:t>
      </w:r>
      <w:r w:rsidR="00C726E0">
        <w:t xml:space="preserve"> </w:t>
      </w:r>
      <w:r w:rsidR="00480D7B">
        <w:t xml:space="preserve">a Generator </w:t>
      </w:r>
      <w:r w:rsidR="009E74FF">
        <w:t xml:space="preserve">may be eligible to receive </w:t>
      </w:r>
      <w:r w:rsidRPr="00B82CD5">
        <w:t>compensations</w:t>
      </w:r>
      <w:r w:rsidR="00E265E7">
        <w:t xml:space="preserve"> for</w:t>
      </w:r>
      <w:r w:rsidRPr="00B82CD5">
        <w:t>:</w:t>
      </w:r>
      <w:bookmarkEnd w:id="285"/>
      <w:r w:rsidRPr="00B82CD5">
        <w:t xml:space="preserve">  </w:t>
      </w:r>
    </w:p>
    <w:p w14:paraId="7E633333" w14:textId="28E975A1" w:rsidR="00F147E5" w:rsidRPr="00B82CD5" w:rsidRDefault="0041551A" w:rsidP="00B03234">
      <w:pPr>
        <w:pStyle w:val="Heading5"/>
      </w:pPr>
      <w:r>
        <w:t>provision of</w:t>
      </w:r>
      <w:r w:rsidR="00F147E5" w:rsidRPr="00B82CD5">
        <w:t xml:space="preserve"> Ancillary Services; or </w:t>
      </w:r>
    </w:p>
    <w:p w14:paraId="28AB2691" w14:textId="00434C3D" w:rsidR="00B82CD5" w:rsidRDefault="0041551A" w:rsidP="00B03234">
      <w:pPr>
        <w:pStyle w:val="Heading5"/>
      </w:pPr>
      <w:r>
        <w:t>reducing</w:t>
      </w:r>
      <w:r w:rsidR="009E74FF">
        <w:t xml:space="preserve"> or </w:t>
      </w:r>
      <w:r>
        <w:t>increasing</w:t>
      </w:r>
      <w:r w:rsidR="00F147E5" w:rsidRPr="00B82CD5">
        <w:t xml:space="preserve"> </w:t>
      </w:r>
      <w:r>
        <w:t>their</w:t>
      </w:r>
      <w:r w:rsidRPr="00B82CD5">
        <w:t xml:space="preserve"> </w:t>
      </w:r>
      <w:r w:rsidR="00F147E5" w:rsidRPr="00B82CD5">
        <w:t>Energy production to allow other Generat</w:t>
      </w:r>
      <w:r w:rsidR="00480D7B">
        <w:t xml:space="preserve">ion Units to provide </w:t>
      </w:r>
      <w:r w:rsidR="00F147E5" w:rsidRPr="00B82CD5">
        <w:t>Ancillary Services.</w:t>
      </w:r>
    </w:p>
    <w:p w14:paraId="49B695D7" w14:textId="59CD9260" w:rsidR="00F147E5" w:rsidRPr="00B82CD5" w:rsidRDefault="00F147E5" w:rsidP="00722CA1">
      <w:pPr>
        <w:pStyle w:val="Heading4"/>
      </w:pPr>
      <w:bookmarkStart w:id="286" w:name="_Ref64497964"/>
      <w:r w:rsidRPr="00B82CD5">
        <w:lastRenderedPageBreak/>
        <w:t xml:space="preserve">Within </w:t>
      </w:r>
      <w:r w:rsidR="00D56860">
        <w:t>eighteen</w:t>
      </w:r>
      <w:r w:rsidR="00D56860" w:rsidRPr="00B82CD5">
        <w:t xml:space="preserve"> </w:t>
      </w:r>
      <w:r w:rsidRPr="00B82CD5">
        <w:t>[</w:t>
      </w:r>
      <w:r w:rsidR="00D56860">
        <w:t>18</w:t>
      </w:r>
      <w:r w:rsidRPr="00B82CD5">
        <w:t xml:space="preserve">] month from the </w:t>
      </w:r>
      <w:r w:rsidR="00D56860">
        <w:t xml:space="preserve">approval of </w:t>
      </w:r>
      <w:r w:rsidR="00F05124">
        <w:t>this Code</w:t>
      </w:r>
      <w:r w:rsidRPr="00B82CD5">
        <w:t xml:space="preserve">, the System Operator </w:t>
      </w:r>
      <w:r w:rsidR="00D56860">
        <w:t>shall</w:t>
      </w:r>
      <w:r w:rsidR="00D56860" w:rsidRPr="00B82CD5">
        <w:t xml:space="preserve"> </w:t>
      </w:r>
      <w:r w:rsidRPr="00B82CD5">
        <w:t xml:space="preserve"> </w:t>
      </w:r>
      <w:r w:rsidR="009E74FF">
        <w:t xml:space="preserve">make </w:t>
      </w:r>
      <w:r w:rsidRPr="00B82CD5">
        <w:t xml:space="preserve">a </w:t>
      </w:r>
      <w:r w:rsidR="0060506F">
        <w:t>CCOP</w:t>
      </w:r>
      <w:r w:rsidR="009E74FF">
        <w:t xml:space="preserve"> whereby a procedure shall be devised to identify</w:t>
      </w:r>
      <w:r w:rsidRPr="00B82CD5">
        <w:t xml:space="preserve"> </w:t>
      </w:r>
      <w:r w:rsidR="009E74FF">
        <w:t xml:space="preserve">a </w:t>
      </w:r>
      <w:r w:rsidRPr="00B82CD5">
        <w:t xml:space="preserve">Generator </w:t>
      </w:r>
      <w:r w:rsidR="009E74FF" w:rsidRPr="00B82CD5">
        <w:t xml:space="preserve">which </w:t>
      </w:r>
      <w:r w:rsidR="009E74FF">
        <w:t>may be</w:t>
      </w:r>
      <w:r w:rsidR="009E74FF" w:rsidRPr="00B82CD5">
        <w:t xml:space="preserve"> </w:t>
      </w:r>
      <w:r w:rsidR="009E74FF">
        <w:t xml:space="preserve">eligible </w:t>
      </w:r>
      <w:r w:rsidRPr="00B82CD5">
        <w:t>to receive the compensation</w:t>
      </w:r>
      <w:r w:rsidR="009E74FF">
        <w:t xml:space="preserve"> </w:t>
      </w:r>
      <w:r w:rsidR="009E74FF" w:rsidRPr="00B82CD5">
        <w:t xml:space="preserve">as well as </w:t>
      </w:r>
      <w:r w:rsidR="009E74FF">
        <w:t xml:space="preserve">to determine </w:t>
      </w:r>
      <w:r w:rsidR="009E74FF" w:rsidRPr="00B82CD5">
        <w:t xml:space="preserve">the </w:t>
      </w:r>
      <w:r w:rsidR="009E74FF">
        <w:t>quantity of Energy</w:t>
      </w:r>
      <w:r w:rsidR="009E74FF" w:rsidRPr="00B82CD5">
        <w:t xml:space="preserve"> </w:t>
      </w:r>
      <w:r w:rsidR="009E74FF">
        <w:t xml:space="preserve"> for which compensation may be paid as</w:t>
      </w:r>
      <w:r w:rsidRPr="00B82CD5">
        <w:t xml:space="preserve"> </w:t>
      </w:r>
      <w:r w:rsidR="009E74FF">
        <w:t>provided</w:t>
      </w:r>
      <w:r w:rsidR="009E74FF" w:rsidRPr="00B82CD5">
        <w:t xml:space="preserve"> </w:t>
      </w:r>
      <w:r w:rsidRPr="00B82CD5">
        <w:t xml:space="preserve">in Clause </w:t>
      </w:r>
      <w:r w:rsidR="00B82CD5" w:rsidRPr="00B82CD5">
        <w:fldChar w:fldCharType="begin"/>
      </w:r>
      <w:r w:rsidR="00B82CD5" w:rsidRPr="00B82CD5">
        <w:instrText xml:space="preserve"> REF _Ref64497424 \r \h </w:instrText>
      </w:r>
      <w:r w:rsidR="00B82CD5">
        <w:instrText xml:space="preserve"> \* MERGEFORMAT </w:instrText>
      </w:r>
      <w:r w:rsidR="00B82CD5" w:rsidRPr="00B82CD5">
        <w:fldChar w:fldCharType="separate"/>
      </w:r>
      <w:r w:rsidR="00251DBF">
        <w:t>7.3.1.1</w:t>
      </w:r>
      <w:r w:rsidR="00B82CD5" w:rsidRPr="00B82CD5">
        <w:fldChar w:fldCharType="end"/>
      </w:r>
      <w:r w:rsidR="00B82CD5" w:rsidRPr="00B82CD5">
        <w:t xml:space="preserve"> </w:t>
      </w:r>
      <w:r w:rsidR="00D56860">
        <w:t>above</w:t>
      </w:r>
      <w:r w:rsidR="00B82CD5" w:rsidRPr="00B82CD5">
        <w:t xml:space="preserve">. </w:t>
      </w:r>
      <w:r w:rsidR="009E74FF">
        <w:t>Till</w:t>
      </w:r>
      <w:r w:rsidRPr="00B82CD5">
        <w:t xml:space="preserve"> such </w:t>
      </w:r>
      <w:r w:rsidR="009E74FF">
        <w:t>time</w:t>
      </w:r>
      <w:r w:rsidRPr="00B82CD5">
        <w:t xml:space="preserve">, the procedure included in Appendix </w:t>
      </w:r>
      <w:r w:rsidR="009E74FF">
        <w:t xml:space="preserve">I </w:t>
      </w:r>
      <w:r w:rsidR="00D56860">
        <w:t>shall</w:t>
      </w:r>
      <w:r w:rsidR="00D56860" w:rsidRPr="00B82CD5">
        <w:t xml:space="preserve"> </w:t>
      </w:r>
      <w:r w:rsidR="009E74FF">
        <w:t>be applicable</w:t>
      </w:r>
      <w:r w:rsidRPr="00B82CD5">
        <w:t>.</w:t>
      </w:r>
      <w:bookmarkEnd w:id="286"/>
    </w:p>
    <w:p w14:paraId="46C0B496" w14:textId="13B74E9D" w:rsidR="00B82CD5" w:rsidRPr="00B82CD5" w:rsidRDefault="00F147E5" w:rsidP="005B295A">
      <w:pPr>
        <w:pStyle w:val="Heading4"/>
      </w:pPr>
      <w:r w:rsidRPr="00B82CD5">
        <w:t xml:space="preserve">The System Operator shall communicate, on daily basis </w:t>
      </w:r>
      <w:r w:rsidR="00B82CD5" w:rsidRPr="00B82CD5">
        <w:t xml:space="preserve">to the </w:t>
      </w:r>
      <w:r w:rsidR="00AF2289">
        <w:t>Market</w:t>
      </w:r>
      <w:r w:rsidR="00AF2289" w:rsidRPr="00B82CD5">
        <w:t xml:space="preserve"> </w:t>
      </w:r>
      <w:r w:rsidR="00B82CD5" w:rsidRPr="00B82CD5">
        <w:t>Operator</w:t>
      </w:r>
      <w:r w:rsidR="00CE3C1E">
        <w:t>,</w:t>
      </w:r>
      <w:r w:rsidR="00B82CD5" w:rsidRPr="00B82CD5">
        <w:t xml:space="preserve"> the </w:t>
      </w:r>
      <w:r w:rsidR="008E76C2">
        <w:t>quantity</w:t>
      </w:r>
      <w:r w:rsidR="008E76C2" w:rsidRPr="00B82CD5">
        <w:t xml:space="preserve"> </w:t>
      </w:r>
      <w:r w:rsidR="00B82CD5" w:rsidRPr="00B82CD5">
        <w:t xml:space="preserve">of Energy </w:t>
      </w:r>
      <w:r w:rsidR="008E76C2">
        <w:t xml:space="preserve">for which compensation may be paid </w:t>
      </w:r>
      <w:r w:rsidR="00B82CD5" w:rsidRPr="00B82CD5">
        <w:t xml:space="preserve">to each </w:t>
      </w:r>
      <w:r w:rsidR="00480D7B">
        <w:t>Generator for</w:t>
      </w:r>
      <w:r w:rsidR="00641EF2">
        <w:t xml:space="preserve"> </w:t>
      </w:r>
      <w:r w:rsidR="00480D7B">
        <w:t xml:space="preserve">each Generation </w:t>
      </w:r>
      <w:r w:rsidR="00641EF2">
        <w:t>Unit</w:t>
      </w:r>
      <w:r w:rsidR="00480D7B">
        <w:t xml:space="preserve"> for providing, or allow</w:t>
      </w:r>
      <w:r w:rsidR="008E76C2">
        <w:t>ing</w:t>
      </w:r>
      <w:r w:rsidR="00480D7B">
        <w:t xml:space="preserve"> other Generation Units to provide, Ancillary </w:t>
      </w:r>
      <w:r w:rsidR="004D4D2B">
        <w:t>Services</w:t>
      </w:r>
      <w:r w:rsidR="004D4D2B" w:rsidRPr="00B82CD5" w:rsidDel="00641EF2">
        <w:t>.</w:t>
      </w:r>
      <w:r w:rsidR="00B82CD5" w:rsidRPr="00B82CD5">
        <w:t xml:space="preserve"> </w:t>
      </w:r>
    </w:p>
    <w:p w14:paraId="060D1F3C" w14:textId="5D7E052B" w:rsidR="00B82CD5" w:rsidRPr="00B82CD5" w:rsidRDefault="00B82CD5" w:rsidP="005B295A">
      <w:pPr>
        <w:pStyle w:val="Heading4"/>
      </w:pPr>
      <w:r w:rsidRPr="00B82CD5">
        <w:t xml:space="preserve">The </w:t>
      </w:r>
      <w:r w:rsidR="008E76C2">
        <w:t xml:space="preserve">information related to the provision of Ancillary Services and compensation therefor shall be published </w:t>
      </w:r>
      <w:r w:rsidR="00ED75A8">
        <w:t>on</w:t>
      </w:r>
      <w:r w:rsidR="00ED75A8" w:rsidRPr="00B82CD5">
        <w:t xml:space="preserve"> </w:t>
      </w:r>
      <w:r w:rsidRPr="00B82CD5">
        <w:t>the System Operator</w:t>
      </w:r>
      <w:r w:rsidR="00ED75A8">
        <w:t>’s</w:t>
      </w:r>
      <w:r w:rsidRPr="00B82CD5">
        <w:t xml:space="preserve"> web</w:t>
      </w:r>
      <w:r w:rsidR="00ED75A8">
        <w:t>site</w:t>
      </w:r>
      <w:r w:rsidRPr="00B82CD5">
        <w:t xml:space="preserve">, along with necessary supporting information. </w:t>
      </w:r>
    </w:p>
    <w:p w14:paraId="35EBC586" w14:textId="469929A6" w:rsidR="00A82AA8" w:rsidRPr="00480D7B" w:rsidRDefault="00ED75A8" w:rsidP="00A82AA8">
      <w:pPr>
        <w:pStyle w:val="Heading3"/>
      </w:pPr>
      <w:r>
        <w:t>Compensation</w:t>
      </w:r>
      <w:r w:rsidRPr="00480D7B">
        <w:t xml:space="preserve"> </w:t>
      </w:r>
      <w:r w:rsidR="00BC7078" w:rsidRPr="00480D7B">
        <w:t>for Reducing Generation</w:t>
      </w:r>
    </w:p>
    <w:p w14:paraId="78CE90A6" w14:textId="5181D05C" w:rsidR="00BC7078" w:rsidRPr="00480D7B" w:rsidRDefault="00A82AA8" w:rsidP="005B295A">
      <w:pPr>
        <w:pStyle w:val="Heading4"/>
      </w:pPr>
      <w:r w:rsidRPr="00480D7B">
        <w:t xml:space="preserve">The Market Operator shall calculate the </w:t>
      </w:r>
      <w:r w:rsidR="00480D7B">
        <w:t>E</w:t>
      </w:r>
      <w:r w:rsidRPr="00480D7B">
        <w:t xml:space="preserve">nergy </w:t>
      </w:r>
      <w:r w:rsidR="00BC7078" w:rsidRPr="00480D7B">
        <w:t>not generated by a Generator at</w:t>
      </w:r>
      <w:r w:rsidRPr="00480D7B">
        <w:t xml:space="preserve"> each </w:t>
      </w:r>
      <w:r w:rsidR="00D56860">
        <w:t xml:space="preserve">Energy </w:t>
      </w:r>
      <w:r w:rsidRPr="00480D7B">
        <w:t>Balancing Period (one hour)</w:t>
      </w:r>
      <w:r w:rsidR="00BC7078" w:rsidRPr="00480D7B">
        <w:t>, to allow the production of Ancillary Services,</w:t>
      </w:r>
      <w:r w:rsidRPr="00480D7B">
        <w:t xml:space="preserve"> using the </w:t>
      </w:r>
      <w:r w:rsidR="00BC7078" w:rsidRPr="00480D7B">
        <w:t xml:space="preserve">following information: </w:t>
      </w:r>
    </w:p>
    <w:p w14:paraId="6B60588E" w14:textId="77777777" w:rsidR="00BC7078" w:rsidRPr="00480D7B" w:rsidRDefault="00BC7078" w:rsidP="00B03234">
      <w:pPr>
        <w:pStyle w:val="Heading5"/>
      </w:pPr>
      <w:r w:rsidRPr="00480D7B">
        <w:t xml:space="preserve">Information provided by the System Operator: </w:t>
      </w:r>
    </w:p>
    <w:p w14:paraId="17242B48" w14:textId="17201DAB" w:rsidR="00BC7078" w:rsidRPr="00480D7B" w:rsidRDefault="008A621F" w:rsidP="00CF7164">
      <w:pPr>
        <w:pStyle w:val="Heading6"/>
      </w:pPr>
      <w:r>
        <w:t>l</w:t>
      </w:r>
      <w:r w:rsidR="00BC7078" w:rsidRPr="00480D7B">
        <w:t xml:space="preserve">ist of </w:t>
      </w:r>
      <w:r w:rsidR="00480D7B" w:rsidRPr="00480D7B">
        <w:t>G</w:t>
      </w:r>
      <w:r w:rsidR="00480D7B">
        <w:t>eneration Unit</w:t>
      </w:r>
      <w:r w:rsidR="00480D7B" w:rsidRPr="00480D7B">
        <w:t xml:space="preserve">s </w:t>
      </w:r>
      <w:r w:rsidR="00480D7B">
        <w:t xml:space="preserve">for which a Generator </w:t>
      </w:r>
      <w:r>
        <w:t xml:space="preserve">may be </w:t>
      </w:r>
      <w:r w:rsidR="008E76C2">
        <w:t>eligible</w:t>
      </w:r>
      <w:r w:rsidR="008E76C2" w:rsidRPr="00480D7B">
        <w:t xml:space="preserve"> </w:t>
      </w:r>
      <w:r w:rsidR="00BC7078" w:rsidRPr="00480D7B">
        <w:t xml:space="preserve">to receive compensation for allowing the production of Ancillary Services, as per Clause </w:t>
      </w:r>
      <w:r w:rsidR="00B82CD5" w:rsidRPr="00480D7B">
        <w:fldChar w:fldCharType="begin"/>
      </w:r>
      <w:r w:rsidR="00B82CD5" w:rsidRPr="00480D7B">
        <w:instrText xml:space="preserve"> REF _Ref64497424 \r \h  \* MERGEFORMAT </w:instrText>
      </w:r>
      <w:r w:rsidR="00B82CD5" w:rsidRPr="00480D7B">
        <w:fldChar w:fldCharType="separate"/>
      </w:r>
      <w:r w:rsidR="00251DBF">
        <w:t>7.3.1.1</w:t>
      </w:r>
      <w:r w:rsidR="00B82CD5" w:rsidRPr="00480D7B">
        <w:fldChar w:fldCharType="end"/>
      </w:r>
      <w:r w:rsidR="00BC7078" w:rsidRPr="00480D7B">
        <w:t xml:space="preserve">; </w:t>
      </w:r>
    </w:p>
    <w:p w14:paraId="2B7A1D75" w14:textId="2CCA5FAC" w:rsidR="0033411F" w:rsidRDefault="00BC7078" w:rsidP="00CF7164">
      <w:pPr>
        <w:pStyle w:val="Heading6"/>
      </w:pPr>
      <w:r w:rsidRPr="00480D7B">
        <w:t xml:space="preserve">Available </w:t>
      </w:r>
      <w:r w:rsidR="0046412E">
        <w:t>Capacity</w:t>
      </w:r>
      <w:r w:rsidRPr="00480D7B">
        <w:t xml:space="preserve"> of the Generat</w:t>
      </w:r>
      <w:r w:rsidR="00480D7B">
        <w:t>ion Unit for which a Generat</w:t>
      </w:r>
      <w:r w:rsidRPr="00480D7B">
        <w:t>or</w:t>
      </w:r>
      <w:r w:rsidR="00D10779">
        <w:t xml:space="preserve"> </w:t>
      </w:r>
      <w:r w:rsidR="008A621F">
        <w:t>may be</w:t>
      </w:r>
      <w:r w:rsidRPr="00480D7B">
        <w:t xml:space="preserve"> </w:t>
      </w:r>
      <w:r w:rsidR="008E76C2">
        <w:t>eligible</w:t>
      </w:r>
      <w:r w:rsidR="008E76C2" w:rsidRPr="00480D7B">
        <w:t xml:space="preserve"> </w:t>
      </w:r>
      <w:r w:rsidRPr="00480D7B">
        <w:t xml:space="preserve">to receive compensation, </w:t>
      </w:r>
      <w:r w:rsidR="00D10779">
        <w:t>for the relevant Energy</w:t>
      </w:r>
      <w:r w:rsidRPr="00480D7B">
        <w:t xml:space="preserve"> Balancing Period;</w:t>
      </w:r>
    </w:p>
    <w:p w14:paraId="391353B9" w14:textId="2C44CAC9" w:rsidR="00BC7078" w:rsidRPr="00480D7B" w:rsidRDefault="0033411F" w:rsidP="00AE1AD1">
      <w:pPr>
        <w:pStyle w:val="Heading6"/>
      </w:pPr>
      <w:r>
        <w:t xml:space="preserve">Variable Generation Cost of Generation Units for which a Generator </w:t>
      </w:r>
      <w:r w:rsidR="008A621F">
        <w:t>may be</w:t>
      </w:r>
      <w:r>
        <w:t xml:space="preserve"> </w:t>
      </w:r>
      <w:r w:rsidR="008E76C2">
        <w:t>eligible</w:t>
      </w:r>
      <w:r>
        <w:t xml:space="preserve"> to receive compensation at the corresponding operating conditions of such units.</w:t>
      </w:r>
      <w:r w:rsidR="00BC7078" w:rsidRPr="00480D7B">
        <w:t xml:space="preserve"> </w:t>
      </w:r>
    </w:p>
    <w:p w14:paraId="7C18A324" w14:textId="4B1CF589" w:rsidR="00BC7078" w:rsidRPr="00480D7B" w:rsidRDefault="00BC7078" w:rsidP="00B03234">
      <w:pPr>
        <w:pStyle w:val="Heading5"/>
      </w:pPr>
      <w:r w:rsidRPr="00480D7B">
        <w:t>Information from the Commercial Metering System</w:t>
      </w:r>
      <w:r w:rsidR="00D10779">
        <w:t xml:space="preserve"> as per provisions of </w:t>
      </w:r>
      <w:r w:rsidR="00F54A87">
        <w:rPr>
          <w:rFonts w:eastAsiaTheme="minorEastAsia" w:cstheme="minorHAnsi"/>
          <w:color w:val="auto"/>
        </w:rPr>
        <w:fldChar w:fldCharType="begin"/>
      </w:r>
      <w:r w:rsidR="00F54A87">
        <w:rPr>
          <w:rFonts w:eastAsiaTheme="minorEastAsia" w:cstheme="minorHAnsi"/>
          <w:color w:val="auto"/>
        </w:rPr>
        <w:instrText xml:space="preserve"> REF _Ref76854808 \r \h </w:instrText>
      </w:r>
      <w:r w:rsidR="00F54A87">
        <w:rPr>
          <w:rFonts w:eastAsiaTheme="minorEastAsia" w:cstheme="minorHAnsi"/>
          <w:color w:val="auto"/>
        </w:rPr>
      </w:r>
      <w:r w:rsidR="00F54A87">
        <w:rPr>
          <w:rFonts w:eastAsiaTheme="minorEastAsia" w:cstheme="minorHAnsi"/>
          <w:color w:val="auto"/>
        </w:rPr>
        <w:fldChar w:fldCharType="separate"/>
      </w:r>
      <w:r w:rsidR="00F54A87">
        <w:rPr>
          <w:rFonts w:eastAsiaTheme="minorEastAsia" w:cstheme="minorHAnsi"/>
          <w:color w:val="auto"/>
        </w:rPr>
        <w:t>Chapter 5</w:t>
      </w:r>
      <w:r w:rsidR="00F54A87">
        <w:rPr>
          <w:rFonts w:eastAsiaTheme="minorEastAsia" w:cstheme="minorHAnsi"/>
          <w:color w:val="auto"/>
        </w:rPr>
        <w:fldChar w:fldCharType="end"/>
      </w:r>
      <w:r w:rsidRPr="00480D7B">
        <w:t xml:space="preserve">: </w:t>
      </w:r>
    </w:p>
    <w:p w14:paraId="7B4D6FD4" w14:textId="3BA37A09" w:rsidR="00BC7078" w:rsidRDefault="00BC7078" w:rsidP="00CF7164">
      <w:pPr>
        <w:pStyle w:val="Heading6"/>
      </w:pPr>
      <w:r w:rsidRPr="00480D7B">
        <w:t>Energy actually produced</w:t>
      </w:r>
      <w:r>
        <w:t xml:space="preserve"> by the Generat</w:t>
      </w:r>
      <w:r w:rsidR="00480D7B">
        <w:t>ion Unit for which a Generat</w:t>
      </w:r>
      <w:r>
        <w:t xml:space="preserve">or </w:t>
      </w:r>
      <w:r w:rsidR="008A621F">
        <w:t>may be</w:t>
      </w:r>
      <w:r w:rsidR="00D10779">
        <w:t xml:space="preserve"> </w:t>
      </w:r>
      <w:r w:rsidR="008E76C2">
        <w:t xml:space="preserve">eligible </w:t>
      </w:r>
      <w:r>
        <w:t xml:space="preserve">to receive compensation, </w:t>
      </w:r>
      <w:r w:rsidR="00D10779">
        <w:t>for the relevant Energy</w:t>
      </w:r>
      <w:r>
        <w:t xml:space="preserve"> Balancing Period. </w:t>
      </w:r>
    </w:p>
    <w:p w14:paraId="7B2113B1" w14:textId="1B49F89B" w:rsidR="00DD1A12" w:rsidRDefault="008E76C2" w:rsidP="005B295A">
      <w:pPr>
        <w:pStyle w:val="Heading4"/>
      </w:pPr>
      <w:bookmarkStart w:id="287" w:name="_Ref64632086"/>
      <w:r>
        <w:t xml:space="preserve">Till the time </w:t>
      </w:r>
      <w:r w:rsidR="00B82CD5">
        <w:t xml:space="preserve">the System Operator </w:t>
      </w:r>
      <w:r>
        <w:t xml:space="preserve">makes </w:t>
      </w:r>
      <w:r w:rsidR="00B82CD5">
        <w:t xml:space="preserve">the </w:t>
      </w:r>
      <w:r w:rsidR="0060506F">
        <w:t>CCOP</w:t>
      </w:r>
      <w:r w:rsidR="00B82CD5">
        <w:t xml:space="preserve"> </w:t>
      </w:r>
      <w:r w:rsidR="00D10779">
        <w:t xml:space="preserve">as </w:t>
      </w:r>
      <w:r w:rsidR="00B82CD5">
        <w:t>referred</w:t>
      </w:r>
      <w:r w:rsidR="00D10779">
        <w:t xml:space="preserve"> to</w:t>
      </w:r>
      <w:r w:rsidR="00B82CD5">
        <w:t xml:space="preserve"> in Clause </w:t>
      </w:r>
      <w:r w:rsidR="00B82CD5">
        <w:fldChar w:fldCharType="begin"/>
      </w:r>
      <w:r w:rsidR="00B82CD5">
        <w:instrText xml:space="preserve"> REF _Ref64497964 \r \h </w:instrText>
      </w:r>
      <w:r w:rsidR="00B82CD5">
        <w:fldChar w:fldCharType="separate"/>
      </w:r>
      <w:r w:rsidR="00251DBF">
        <w:t>7.3.1.3</w:t>
      </w:r>
      <w:r w:rsidR="00B82CD5">
        <w:fldChar w:fldCharType="end"/>
      </w:r>
      <w:r w:rsidR="00B82CD5">
        <w:t>, t</w:t>
      </w:r>
      <w:r w:rsidR="00A82AA8">
        <w:t xml:space="preserve">he Market Operator </w:t>
      </w:r>
      <w:r w:rsidR="00D10779">
        <w:t xml:space="preserve">shall </w:t>
      </w:r>
      <w:r w:rsidR="00A82AA8">
        <w:t xml:space="preserve">determine the </w:t>
      </w:r>
      <w:r>
        <w:t xml:space="preserve">quantity </w:t>
      </w:r>
      <w:r w:rsidR="00FD441C">
        <w:t>of</w:t>
      </w:r>
      <w:r w:rsidR="00DD1A12">
        <w:t xml:space="preserve"> </w:t>
      </w:r>
      <w:r w:rsidR="00480D7B">
        <w:t>E</w:t>
      </w:r>
      <w:r w:rsidR="00A82AA8">
        <w:t xml:space="preserve">nergy </w:t>
      </w:r>
      <w:r w:rsidR="008878F2">
        <w:t xml:space="preserve">for which compensation may be paid to a </w:t>
      </w:r>
      <w:r w:rsidR="00DD1A12">
        <w:t xml:space="preserve">Generator for </w:t>
      </w:r>
      <w:r w:rsidR="008878F2">
        <w:t>reduction of its Generation</w:t>
      </w:r>
      <w:r w:rsidR="00D10779">
        <w:t xml:space="preserve"> </w:t>
      </w:r>
      <w:r w:rsidR="00DD1A12" w:rsidRPr="00830F98">
        <w:t>as</w:t>
      </w:r>
      <w:r w:rsidR="008878F2">
        <w:t xml:space="preserve"> under</w:t>
      </w:r>
      <w:r w:rsidR="00DD1A12" w:rsidRPr="00830F98">
        <w:t>:</w:t>
      </w:r>
      <w:bookmarkEnd w:id="287"/>
      <w:r w:rsidR="00DD1A12">
        <w:t xml:space="preserve">  </w:t>
      </w:r>
    </w:p>
    <w:p w14:paraId="1CEADACC" w14:textId="7FD31A29" w:rsidR="00DD1A12" w:rsidRPr="000B6236" w:rsidRDefault="004D6075" w:rsidP="00657058">
      <w:pPr>
        <w:pStyle w:val="BodyText"/>
        <w:spacing w:before="120"/>
        <w:rPr>
          <w:rFonts w:eastAsiaTheme="minorEastAsia"/>
        </w:rPr>
      </w:pPr>
      <m:oMathPara>
        <m:oMath>
          <m:sSub>
            <m:sSubPr>
              <m:ctrlPr>
                <w:rPr>
                  <w:rFonts w:ascii="Cambria Math" w:hAnsi="Cambria Math"/>
                </w:rPr>
              </m:ctrlPr>
            </m:sSubPr>
            <m:e>
              <m:r>
                <w:rPr>
                  <w:rFonts w:ascii="Cambria Math" w:hAnsi="Cambria Math"/>
                </w:rPr>
                <m:t>LOCC</m:t>
              </m:r>
              <m:r>
                <m:rPr>
                  <m:sty m:val="p"/>
                </m:rPr>
                <w:rPr>
                  <w:rFonts w:ascii="Cambria Math" w:hAnsi="Cambria Math"/>
                </w:rPr>
                <m:t>_</m:t>
              </m:r>
              <m:r>
                <w:rPr>
                  <w:rFonts w:ascii="Cambria Math" w:hAnsi="Cambria Math"/>
                </w:rPr>
                <m:t>ASC</m:t>
              </m:r>
            </m:e>
            <m:sub>
              <m:r>
                <w:rPr>
                  <w:rFonts w:ascii="Cambria Math" w:hAnsi="Cambria Math"/>
                </w:rPr>
                <m:t>i</m:t>
              </m:r>
              <m:r>
                <m:rPr>
                  <m:sty m:val="p"/>
                </m:rPr>
                <w:rPr>
                  <w:rFonts w:ascii="Cambria Math" w:hAnsi="Cambria Math"/>
                </w:rPr>
                <m:t>,</m:t>
              </m:r>
              <m:r>
                <w:rPr>
                  <w:rFonts w:ascii="Cambria Math" w:hAnsi="Cambria Math"/>
                </w:rPr>
                <m:t>h</m:t>
              </m:r>
            </m:sub>
          </m:sSub>
          <m:d>
            <m:dPr>
              <m:begChr m:val="["/>
              <m:endChr m:val="]"/>
              <m:ctrlPr>
                <w:rPr>
                  <w:rFonts w:ascii="Cambria Math" w:hAnsi="Cambria Math"/>
                </w:rPr>
              </m:ctrlPr>
            </m:dPr>
            <m:e>
              <m:r>
                <w:rPr>
                  <w:rFonts w:ascii="Cambria Math" w:hAnsi="Cambria Math"/>
                </w:rPr>
                <m:t>MWh</m:t>
              </m:r>
            </m:e>
          </m:d>
          <m:r>
            <m:rPr>
              <m:sty m:val="p"/>
            </m:rPr>
            <w:rPr>
              <w:rFonts w:ascii="Cambria Math" w:hAnsi="Cambria Math"/>
            </w:rPr>
            <m:t>=0.95*</m:t>
          </m:r>
          <m:sSub>
            <m:sSubPr>
              <m:ctrlPr>
                <w:rPr>
                  <w:rFonts w:ascii="Cambria Math" w:hAnsi="Cambria Math"/>
                </w:rPr>
              </m:ctrlPr>
            </m:sSubPr>
            <m:e>
              <m:r>
                <w:rPr>
                  <w:rFonts w:ascii="Cambria Math" w:hAnsi="Cambria Math"/>
                </w:rPr>
                <m:t>AC</m:t>
              </m:r>
            </m:e>
            <m:sub>
              <m:r>
                <w:rPr>
                  <w:rFonts w:ascii="Cambria Math" w:hAnsi="Cambria Math"/>
                </w:rPr>
                <m:t>i</m:t>
              </m:r>
              <m:r>
                <m:rPr>
                  <m:sty m:val="p"/>
                </m:rPr>
                <w:rPr>
                  <w:rFonts w:ascii="Cambria Math" w:hAnsi="Cambria Math"/>
                </w:rPr>
                <m:t>,</m:t>
              </m:r>
              <m:r>
                <w:rPr>
                  <w:rFonts w:ascii="Cambria Math" w:hAnsi="Cambria Math"/>
                </w:rPr>
                <m:t>h</m:t>
              </m:r>
            </m:sub>
          </m:sSub>
          <m:d>
            <m:dPr>
              <m:begChr m:val="["/>
              <m:endChr m:val="]"/>
              <m:ctrlPr>
                <w:rPr>
                  <w:rFonts w:ascii="Cambria Math" w:hAnsi="Cambria Math"/>
                </w:rPr>
              </m:ctrlPr>
            </m:dPr>
            <m:e>
              <m:r>
                <w:rPr>
                  <w:rFonts w:ascii="Cambria Math" w:hAnsi="Cambria Math"/>
                </w:rPr>
                <m:t>MW</m:t>
              </m:r>
            </m:e>
          </m:d>
          <m:r>
            <m:rPr>
              <m:sty m:val="p"/>
            </m:rPr>
            <w:rPr>
              <w:rFonts w:ascii="Cambria Math" w:hAnsi="Cambria Math"/>
            </w:rPr>
            <m:t>*1</m:t>
          </m:r>
          <m:d>
            <m:dPr>
              <m:begChr m:val="["/>
              <m:endChr m:val="]"/>
              <m:ctrlPr>
                <w:rPr>
                  <w:rFonts w:ascii="Cambria Math" w:hAnsi="Cambria Math"/>
                </w:rPr>
              </m:ctrlPr>
            </m:dPr>
            <m:e>
              <m:r>
                <w:rPr>
                  <w:rFonts w:ascii="Cambria Math" w:hAnsi="Cambria Math"/>
                </w:rPr>
                <m:t>h</m:t>
              </m:r>
            </m:e>
          </m:d>
          <m:r>
            <m:rPr>
              <m:sty m:val="p"/>
            </m:rPr>
            <w:rPr>
              <w:rFonts w:ascii="Cambria Math" w:hAnsi="Cambria Math"/>
            </w:rPr>
            <m:t>-</m:t>
          </m:r>
          <m:sSub>
            <m:sSubPr>
              <m:ctrlPr>
                <w:rPr>
                  <w:rFonts w:ascii="Cambria Math" w:hAnsi="Cambria Math"/>
                </w:rPr>
              </m:ctrlPr>
            </m:sSubPr>
            <m:e>
              <m:r>
                <w:rPr>
                  <w:rFonts w:ascii="Cambria Math" w:hAnsi="Cambria Math"/>
                </w:rPr>
                <m:t>EAG</m:t>
              </m:r>
            </m:e>
            <m:sub>
              <m:r>
                <w:rPr>
                  <w:rFonts w:ascii="Cambria Math" w:hAnsi="Cambria Math"/>
                </w:rPr>
                <m:t>i</m:t>
              </m:r>
              <m:r>
                <m:rPr>
                  <m:sty m:val="p"/>
                </m:rPr>
                <w:rPr>
                  <w:rFonts w:ascii="Cambria Math" w:hAnsi="Cambria Math"/>
                </w:rPr>
                <m:t>,</m:t>
              </m:r>
              <m:r>
                <w:rPr>
                  <w:rFonts w:ascii="Cambria Math" w:hAnsi="Cambria Math"/>
                </w:rPr>
                <m:t>h</m:t>
              </m:r>
            </m:sub>
          </m:sSub>
          <m:d>
            <m:dPr>
              <m:begChr m:val="["/>
              <m:endChr m:val="]"/>
              <m:ctrlPr>
                <w:rPr>
                  <w:rFonts w:ascii="Cambria Math" w:hAnsi="Cambria Math"/>
                  <w:i/>
                </w:rPr>
              </m:ctrlPr>
            </m:dPr>
            <m:e>
              <m:r>
                <w:rPr>
                  <w:rFonts w:ascii="Cambria Math" w:hAnsi="Cambria Math"/>
                </w:rPr>
                <m:t>MWh</m:t>
              </m:r>
            </m:e>
          </m:d>
        </m:oMath>
      </m:oMathPara>
    </w:p>
    <w:p w14:paraId="22C40EED" w14:textId="77777777" w:rsidR="00DD1A12" w:rsidRDefault="00DD1A12" w:rsidP="00DD1A12">
      <w:pPr>
        <w:pStyle w:val="BodyText"/>
      </w:pPr>
      <w:r>
        <w:t xml:space="preserve">Where: </w:t>
      </w:r>
    </w:p>
    <w:p w14:paraId="234099FA" w14:textId="1161A928" w:rsidR="00657058" w:rsidRPr="00830F98" w:rsidRDefault="00D10779" w:rsidP="00657058">
      <w:pPr>
        <w:pStyle w:val="BodyText"/>
        <w:ind w:left="2977" w:hanging="1276"/>
      </w:pPr>
      <w:r>
        <w:rPr>
          <w:i/>
          <w:iCs/>
        </w:rPr>
        <w:t>L</w:t>
      </w:r>
      <w:r w:rsidR="005D69C5">
        <w:rPr>
          <w:i/>
          <w:iCs/>
        </w:rPr>
        <w:t>OCC</w:t>
      </w:r>
      <w:r w:rsidR="00DD1A12" w:rsidRPr="000B6236">
        <w:rPr>
          <w:i/>
          <w:iCs/>
        </w:rPr>
        <w:t>_</w:t>
      </w:r>
      <w:r w:rsidR="0088020E">
        <w:rPr>
          <w:i/>
          <w:iCs/>
        </w:rPr>
        <w:t>S</w:t>
      </w:r>
      <w:r w:rsidR="00657058">
        <w:rPr>
          <w:i/>
          <w:iCs/>
        </w:rPr>
        <w:t>S</w:t>
      </w:r>
      <w:r w:rsidR="0088020E">
        <w:rPr>
          <w:i/>
          <w:iCs/>
        </w:rPr>
        <w:t>C</w:t>
      </w:r>
      <w:r w:rsidR="00DD1A12" w:rsidRPr="000B6236">
        <w:rPr>
          <w:i/>
          <w:iCs/>
          <w:vertAlign w:val="subscript"/>
        </w:rPr>
        <w:t>i,h</w:t>
      </w:r>
      <w:r w:rsidR="00DD1A12">
        <w:tab/>
        <w:t>is the</w:t>
      </w:r>
      <w:r w:rsidR="00657058">
        <w:t xml:space="preserve"> </w:t>
      </w:r>
      <w:r w:rsidR="008878F2">
        <w:t xml:space="preserve">quantity </w:t>
      </w:r>
      <w:r w:rsidR="00657058">
        <w:t xml:space="preserve">of Energy </w:t>
      </w:r>
      <w:r w:rsidR="00B36A50">
        <w:t>for which compensation may be paid</w:t>
      </w:r>
      <w:r w:rsidR="00657058">
        <w:t xml:space="preserve"> to </w:t>
      </w:r>
      <w:r w:rsidR="007B0C48">
        <w:t>a Generation Unit</w:t>
      </w:r>
      <w:r w:rsidR="00657058">
        <w:t xml:space="preserve"> </w:t>
      </w:r>
      <w:r w:rsidR="00657058" w:rsidRPr="00657058">
        <w:rPr>
          <w:i/>
          <w:iCs/>
        </w:rPr>
        <w:t>i</w:t>
      </w:r>
      <w:r w:rsidR="00657058">
        <w:t xml:space="preserve">, in hour </w:t>
      </w:r>
      <w:r w:rsidR="00657058" w:rsidRPr="00657058">
        <w:rPr>
          <w:i/>
          <w:iCs/>
        </w:rPr>
        <w:t>h</w:t>
      </w:r>
      <w:r w:rsidR="00657058">
        <w:t>, due to the reduction in the</w:t>
      </w:r>
      <w:r w:rsidR="008878F2">
        <w:t xml:space="preserve"> generation of </w:t>
      </w:r>
      <w:r w:rsidR="00657058">
        <w:t xml:space="preserve"> Energy, to </w:t>
      </w:r>
      <w:r w:rsidR="00B36A50">
        <w:t xml:space="preserve">provide </w:t>
      </w:r>
      <w:r w:rsidR="00657058">
        <w:t xml:space="preserve">Ancillary </w:t>
      </w:r>
      <w:r w:rsidR="00657058" w:rsidRPr="00830F98">
        <w:t>Services or allow</w:t>
      </w:r>
      <w:r w:rsidR="00B36A50">
        <w:t>ing</w:t>
      </w:r>
      <w:r w:rsidR="00657058" w:rsidRPr="00830F98">
        <w:t xml:space="preserve"> the </w:t>
      </w:r>
      <w:r w:rsidR="00B36A50">
        <w:t>provision</w:t>
      </w:r>
      <w:r w:rsidR="00B36A50" w:rsidRPr="00830F98">
        <w:t xml:space="preserve"> </w:t>
      </w:r>
      <w:r w:rsidR="00657058" w:rsidRPr="00830F98">
        <w:t>of Ancillary Services by other Generat</w:t>
      </w:r>
      <w:r w:rsidR="007B0C48" w:rsidRPr="00830F98">
        <w:t>ion Unit</w:t>
      </w:r>
      <w:r w:rsidR="00657058" w:rsidRPr="00830F98">
        <w:t>s, in MWh (</w:t>
      </w:r>
      <w:r>
        <w:t xml:space="preserve">Lost </w:t>
      </w:r>
      <w:r w:rsidR="00657058" w:rsidRPr="00830F98">
        <w:t>Opportunity</w:t>
      </w:r>
      <w:r w:rsidR="00A249A1" w:rsidRPr="00830F98">
        <w:t xml:space="preserve"> </w:t>
      </w:r>
      <w:r w:rsidR="00657058" w:rsidRPr="00830F98">
        <w:t xml:space="preserve">Cost Compensation) </w:t>
      </w:r>
    </w:p>
    <w:p w14:paraId="57A9FA83" w14:textId="2180EBD1" w:rsidR="00657058" w:rsidRPr="00830F98" w:rsidRDefault="00657058" w:rsidP="009D3C6E">
      <w:pPr>
        <w:pStyle w:val="BodyText"/>
        <w:tabs>
          <w:tab w:val="left" w:pos="2977"/>
        </w:tabs>
        <w:ind w:left="2977" w:hanging="1276"/>
      </w:pPr>
      <w:r w:rsidRPr="00830F98">
        <w:rPr>
          <w:i/>
          <w:iCs/>
        </w:rPr>
        <w:t xml:space="preserve">ACi,h </w:t>
      </w:r>
      <w:r w:rsidR="009D3C6E" w:rsidRPr="00830F98">
        <w:rPr>
          <w:i/>
          <w:iCs/>
        </w:rPr>
        <w:tab/>
      </w:r>
      <w:r w:rsidRPr="00830F98">
        <w:t xml:space="preserve">is the </w:t>
      </w:r>
      <w:r w:rsidR="00567F70" w:rsidRPr="00830F98">
        <w:t>A</w:t>
      </w:r>
      <w:r w:rsidRPr="00830F98">
        <w:t xml:space="preserve">vailable </w:t>
      </w:r>
      <w:r w:rsidR="00567F70" w:rsidRPr="00830F98">
        <w:t>C</w:t>
      </w:r>
      <w:r w:rsidRPr="00830F98">
        <w:t>apacity of Genera</w:t>
      </w:r>
      <w:r w:rsidR="007B0C48" w:rsidRPr="00830F98">
        <w:t>tion Unit</w:t>
      </w:r>
      <w:r w:rsidRPr="00830F98">
        <w:t xml:space="preserve"> i, in hour h, in MW, communicated by the System Operator to the Market Operator</w:t>
      </w:r>
      <w:r w:rsidR="00C57D16" w:rsidRPr="00830F98">
        <w:t xml:space="preserve">, provided that in the case of ARE, </w:t>
      </w:r>
      <w:r w:rsidRPr="00830F98">
        <w:t xml:space="preserve"> </w:t>
      </w:r>
      <w:r w:rsidR="00C57D16" w:rsidRPr="00830F98">
        <w:rPr>
          <w:color w:val="auto"/>
        </w:rPr>
        <w:t xml:space="preserve">the Available Capacity should be equal to the potential Energy that such </w:t>
      </w:r>
      <w:r w:rsidR="00BA2942" w:rsidRPr="00830F98">
        <w:rPr>
          <w:color w:val="auto"/>
        </w:rPr>
        <w:t>G</w:t>
      </w:r>
      <w:r w:rsidR="00C57D16" w:rsidRPr="00830F98">
        <w:rPr>
          <w:color w:val="auto"/>
        </w:rPr>
        <w:t xml:space="preserve">eneration </w:t>
      </w:r>
      <w:r w:rsidR="00BA2942" w:rsidRPr="00830F98">
        <w:rPr>
          <w:color w:val="auto"/>
        </w:rPr>
        <w:t>U</w:t>
      </w:r>
      <w:r w:rsidR="00C57D16" w:rsidRPr="00830F98">
        <w:rPr>
          <w:color w:val="auto"/>
        </w:rPr>
        <w:t xml:space="preserve">nit would have injected into the </w:t>
      </w:r>
      <w:r w:rsidR="00B64708">
        <w:rPr>
          <w:color w:val="auto"/>
        </w:rPr>
        <w:t>Grid System</w:t>
      </w:r>
      <w:r w:rsidR="00EB23B3" w:rsidRPr="00830F98">
        <w:rPr>
          <w:color w:val="auto"/>
        </w:rPr>
        <w:t xml:space="preserve"> calculated</w:t>
      </w:r>
      <w:r w:rsidR="00C57D16" w:rsidRPr="00830F98">
        <w:rPr>
          <w:color w:val="auto"/>
        </w:rPr>
        <w:t xml:space="preserve"> by the System Operator.</w:t>
      </w:r>
      <w:r w:rsidR="00EB23B3" w:rsidRPr="00830F98">
        <w:rPr>
          <w:color w:val="auto"/>
        </w:rPr>
        <w:t xml:space="preserve"> </w:t>
      </w:r>
      <w:r w:rsidR="008878F2">
        <w:rPr>
          <w:color w:val="auto"/>
        </w:rPr>
        <w:t>Till the time the</w:t>
      </w:r>
      <w:r w:rsidR="00EB23B3" w:rsidRPr="00830F98">
        <w:rPr>
          <w:color w:val="auto"/>
        </w:rPr>
        <w:t xml:space="preserve"> CCOP indicated above is </w:t>
      </w:r>
      <w:r w:rsidR="008878F2">
        <w:rPr>
          <w:color w:val="auto"/>
        </w:rPr>
        <w:t>made</w:t>
      </w:r>
      <w:r w:rsidR="00EB23B3" w:rsidRPr="00830F98">
        <w:rPr>
          <w:color w:val="auto"/>
        </w:rPr>
        <w:t xml:space="preserve">, the potential Energy that the ARE </w:t>
      </w:r>
      <w:r w:rsidR="00EB23B3" w:rsidRPr="00830F98">
        <w:rPr>
          <w:color w:val="auto"/>
        </w:rPr>
        <w:lastRenderedPageBreak/>
        <w:t xml:space="preserve">Generation Unit would have injected into the </w:t>
      </w:r>
      <w:r w:rsidR="00B64708">
        <w:rPr>
          <w:color w:val="auto"/>
        </w:rPr>
        <w:t>Grid System</w:t>
      </w:r>
      <w:r w:rsidR="00EB23B3" w:rsidRPr="00830F98">
        <w:rPr>
          <w:color w:val="auto"/>
        </w:rPr>
        <w:t xml:space="preserve"> shall be equal to the Energy </w:t>
      </w:r>
      <w:r w:rsidR="00D10779">
        <w:rPr>
          <w:color w:val="auto"/>
        </w:rPr>
        <w:t>f</w:t>
      </w:r>
      <w:r w:rsidR="00D10779" w:rsidRPr="00D10779">
        <w:rPr>
          <w:color w:val="auto"/>
        </w:rPr>
        <w:t xml:space="preserve">orecasted </w:t>
      </w:r>
      <w:r w:rsidR="00D10779">
        <w:rPr>
          <w:color w:val="auto"/>
        </w:rPr>
        <w:t>by the System Operator</w:t>
      </w:r>
      <w:r w:rsidR="00D10779" w:rsidRPr="00D10779">
        <w:rPr>
          <w:color w:val="auto"/>
        </w:rPr>
        <w:t xml:space="preserve"> for the relevant hour as per provisions of the Grid Code</w:t>
      </w:r>
      <w:r w:rsidR="008878F2">
        <w:rPr>
          <w:color w:val="auto"/>
        </w:rPr>
        <w:t xml:space="preserve"> and the factor of 0.95 shall not apply</w:t>
      </w:r>
      <w:r w:rsidR="00EB23B3" w:rsidRPr="00830F98">
        <w:rPr>
          <w:color w:val="auto"/>
        </w:rPr>
        <w:t>.</w:t>
      </w:r>
    </w:p>
    <w:p w14:paraId="2299B51B" w14:textId="4A2534DF" w:rsidR="00DD1A12" w:rsidRPr="009D3C6E" w:rsidRDefault="00DD1A12" w:rsidP="009D3C6E">
      <w:pPr>
        <w:pStyle w:val="BodyText"/>
        <w:ind w:left="2977" w:hanging="1276"/>
      </w:pPr>
      <w:r w:rsidRPr="00830F98">
        <w:rPr>
          <w:i/>
          <w:iCs/>
        </w:rPr>
        <w:t>E</w:t>
      </w:r>
      <w:r w:rsidR="009D3C6E" w:rsidRPr="00830F98">
        <w:rPr>
          <w:i/>
          <w:iCs/>
        </w:rPr>
        <w:t>A</w:t>
      </w:r>
      <w:r w:rsidRPr="00830F98">
        <w:rPr>
          <w:i/>
          <w:iCs/>
        </w:rPr>
        <w:t>Gi,h</w:t>
      </w:r>
      <w:r w:rsidRPr="00830F98">
        <w:rPr>
          <w:i/>
          <w:iCs/>
        </w:rPr>
        <w:tab/>
      </w:r>
      <w:r w:rsidRPr="00830F98">
        <w:t xml:space="preserve">is the </w:t>
      </w:r>
      <w:r w:rsidR="009D3C6E" w:rsidRPr="00830F98">
        <w:t xml:space="preserve">Energy </w:t>
      </w:r>
      <w:r w:rsidR="00B36A50">
        <w:t>injected into the Grid System</w:t>
      </w:r>
      <w:r w:rsidR="00B36A50" w:rsidRPr="009D3C6E">
        <w:t xml:space="preserve"> </w:t>
      </w:r>
      <w:r w:rsidR="009D3C6E" w:rsidRPr="009D3C6E">
        <w:t>by G</w:t>
      </w:r>
      <w:r w:rsidRPr="009D3C6E">
        <w:t>enerat</w:t>
      </w:r>
      <w:r w:rsidR="007B0C48">
        <w:t>ion Unit</w:t>
      </w:r>
      <w:r w:rsidRPr="009D3C6E">
        <w:t xml:space="preserve"> i, in hour “h”, </w:t>
      </w:r>
      <w:r w:rsidR="009D3C6E" w:rsidRPr="009D3C6E">
        <w:t xml:space="preserve">in MWh, </w:t>
      </w:r>
      <w:r w:rsidR="00D10779">
        <w:t xml:space="preserve">considered by the Market Operator as per provision of </w:t>
      </w:r>
      <w:r w:rsidR="00F54A87">
        <w:rPr>
          <w:rFonts w:eastAsiaTheme="minorEastAsia" w:cstheme="minorHAnsi"/>
          <w:color w:val="auto"/>
        </w:rPr>
        <w:fldChar w:fldCharType="begin"/>
      </w:r>
      <w:r w:rsidR="00F54A87">
        <w:rPr>
          <w:rFonts w:eastAsiaTheme="minorEastAsia" w:cstheme="minorHAnsi"/>
          <w:color w:val="auto"/>
        </w:rPr>
        <w:instrText xml:space="preserve"> REF _Ref76854808 \r \h </w:instrText>
      </w:r>
      <w:r w:rsidR="00F54A87">
        <w:rPr>
          <w:rFonts w:eastAsiaTheme="minorEastAsia" w:cstheme="minorHAnsi"/>
          <w:color w:val="auto"/>
        </w:rPr>
      </w:r>
      <w:r w:rsidR="00F54A87">
        <w:rPr>
          <w:rFonts w:eastAsiaTheme="minorEastAsia" w:cstheme="minorHAnsi"/>
          <w:color w:val="auto"/>
        </w:rPr>
        <w:fldChar w:fldCharType="separate"/>
      </w:r>
      <w:r w:rsidR="00F54A87">
        <w:rPr>
          <w:rFonts w:eastAsiaTheme="minorEastAsia" w:cstheme="minorHAnsi"/>
          <w:color w:val="auto"/>
        </w:rPr>
        <w:t>Chapter 5</w:t>
      </w:r>
      <w:r w:rsidR="00F54A87">
        <w:rPr>
          <w:rFonts w:eastAsiaTheme="minorEastAsia" w:cstheme="minorHAnsi"/>
          <w:color w:val="auto"/>
        </w:rPr>
        <w:fldChar w:fldCharType="end"/>
      </w:r>
      <w:r w:rsidR="009D3C6E" w:rsidRPr="009D3C6E">
        <w:t>.</w:t>
      </w:r>
    </w:p>
    <w:p w14:paraId="7C30D046" w14:textId="1FF4916D" w:rsidR="009D3C6E" w:rsidRDefault="009D3C6E" w:rsidP="009D3C6E">
      <w:pPr>
        <w:pStyle w:val="BodyText"/>
        <w:ind w:left="2977" w:hanging="1276"/>
      </w:pPr>
      <w:r>
        <w:rPr>
          <w:i/>
          <w:iCs/>
        </w:rPr>
        <w:t>0.95</w:t>
      </w:r>
      <w:r>
        <w:rPr>
          <w:i/>
          <w:iCs/>
        </w:rPr>
        <w:tab/>
      </w:r>
      <w:r w:rsidR="00DD1A12">
        <w:t xml:space="preserve">is </w:t>
      </w:r>
      <w:r>
        <w:t xml:space="preserve">a factor that considers </w:t>
      </w:r>
      <w:r w:rsidR="00D10779">
        <w:t>the provision of Frequency Containment Reserve by all</w:t>
      </w:r>
      <w:r>
        <w:t xml:space="preserve"> Generat</w:t>
      </w:r>
      <w:r w:rsidR="007B0C48">
        <w:t>ion Units</w:t>
      </w:r>
      <w:r>
        <w:t xml:space="preserve">. </w:t>
      </w:r>
    </w:p>
    <w:p w14:paraId="58ED63F2" w14:textId="047BD553" w:rsidR="00F147E5" w:rsidRDefault="00567F70" w:rsidP="00F147E5">
      <w:pPr>
        <w:pStyle w:val="Heading3"/>
      </w:pPr>
      <w:r>
        <w:t xml:space="preserve">Compensation </w:t>
      </w:r>
      <w:r w:rsidR="00F147E5">
        <w:t>for Increase</w:t>
      </w:r>
      <w:r w:rsidR="0080605D">
        <w:t>d</w:t>
      </w:r>
      <w:r w:rsidR="00F147E5">
        <w:t xml:space="preserve"> Generation </w:t>
      </w:r>
    </w:p>
    <w:p w14:paraId="26203097" w14:textId="3E5186C5" w:rsidR="00F147E5" w:rsidRDefault="00800B9C" w:rsidP="005B295A">
      <w:pPr>
        <w:pStyle w:val="Heading4"/>
      </w:pPr>
      <w:r>
        <w:t>T</w:t>
      </w:r>
      <w:r w:rsidR="00F147E5">
        <w:t>he Market Operator shall calculate the</w:t>
      </w:r>
      <w:r w:rsidR="008878F2">
        <w:t xml:space="preserve"> </w:t>
      </w:r>
      <w:r w:rsidR="0080605D">
        <w:t>E</w:t>
      </w:r>
      <w:r w:rsidR="00F147E5">
        <w:t>nergy</w:t>
      </w:r>
      <w:r w:rsidR="00B36A50">
        <w:t xml:space="preserve"> injected into the Grid</w:t>
      </w:r>
      <w:r w:rsidR="00F147E5">
        <w:t xml:space="preserve"> by a Generat</w:t>
      </w:r>
      <w:r w:rsidR="007B0C48">
        <w:t>ion Unit</w:t>
      </w:r>
      <w:r w:rsidR="00F147E5">
        <w:t xml:space="preserve">, </w:t>
      </w:r>
      <w:r w:rsidR="0080605D">
        <w:t xml:space="preserve">whose </w:t>
      </w:r>
      <w:r w:rsidR="007B0C48">
        <w:t>Variable Generation C</w:t>
      </w:r>
      <w:r w:rsidR="00F147E5">
        <w:t xml:space="preserve">ost is above the System Marginal Price, </w:t>
      </w:r>
      <w:r w:rsidR="00D10779">
        <w:t xml:space="preserve">for </w:t>
      </w:r>
      <w:r w:rsidR="00F147E5">
        <w:t xml:space="preserve">each </w:t>
      </w:r>
      <w:r w:rsidR="00D10779">
        <w:t xml:space="preserve">Energy </w:t>
      </w:r>
      <w:r w:rsidR="00F147E5">
        <w:t xml:space="preserve">Balancing Period (one hour), </w:t>
      </w:r>
      <w:r w:rsidR="00B36A50">
        <w:t>for</w:t>
      </w:r>
      <w:r w:rsidR="00B36A50" w:rsidRPr="00830F98">
        <w:t xml:space="preserve"> allow</w:t>
      </w:r>
      <w:r w:rsidR="00B36A50">
        <w:t>ing</w:t>
      </w:r>
      <w:r w:rsidR="00B36A50" w:rsidRPr="00830F98">
        <w:t xml:space="preserve"> the </w:t>
      </w:r>
      <w:r w:rsidR="00B36A50">
        <w:t>provision</w:t>
      </w:r>
      <w:r w:rsidR="00B36A50" w:rsidRPr="00830F98">
        <w:t xml:space="preserve"> of Ancillary Services </w:t>
      </w:r>
      <w:r w:rsidR="00F147E5">
        <w:t xml:space="preserve">, using the following information: </w:t>
      </w:r>
    </w:p>
    <w:p w14:paraId="3BF4E1C7" w14:textId="77777777" w:rsidR="00F147E5" w:rsidRDefault="00F147E5" w:rsidP="00B03234">
      <w:pPr>
        <w:pStyle w:val="Heading5"/>
      </w:pPr>
      <w:r>
        <w:t xml:space="preserve">Information provided by the System Operator: </w:t>
      </w:r>
    </w:p>
    <w:p w14:paraId="3C866FBA" w14:textId="32C1D490" w:rsidR="00F147E5" w:rsidRDefault="00F147E5" w:rsidP="00CF7164">
      <w:pPr>
        <w:pStyle w:val="Heading6"/>
      </w:pPr>
      <w:r>
        <w:t>List of Generat</w:t>
      </w:r>
      <w:r w:rsidR="007B0C48">
        <w:t>ion Units for which a Generat</w:t>
      </w:r>
      <w:r>
        <w:t xml:space="preserve">or </w:t>
      </w:r>
      <w:r w:rsidR="008E1B36">
        <w:t xml:space="preserve">may be </w:t>
      </w:r>
      <w:r w:rsidR="008878F2">
        <w:t xml:space="preserve">eligible </w:t>
      </w:r>
      <w:r>
        <w:t xml:space="preserve">to receive compensation for allowing the </w:t>
      </w:r>
      <w:r w:rsidR="00B36A50">
        <w:t xml:space="preserve">provision </w:t>
      </w:r>
      <w:r>
        <w:t xml:space="preserve">of Ancillary Services, as per </w:t>
      </w:r>
      <w:r w:rsidR="00785DD7" w:rsidRPr="00B82CD5">
        <w:t xml:space="preserve">Clause </w:t>
      </w:r>
      <w:r w:rsidR="00785DD7" w:rsidRPr="00B82CD5">
        <w:fldChar w:fldCharType="begin"/>
      </w:r>
      <w:r w:rsidR="00785DD7" w:rsidRPr="00B82CD5">
        <w:instrText xml:space="preserve"> REF _Ref64497424 \r \h </w:instrText>
      </w:r>
      <w:r w:rsidR="00785DD7">
        <w:instrText xml:space="preserve"> \* MERGEFORMAT </w:instrText>
      </w:r>
      <w:r w:rsidR="00785DD7" w:rsidRPr="00B82CD5">
        <w:fldChar w:fldCharType="separate"/>
      </w:r>
      <w:r w:rsidR="00251DBF">
        <w:t>7.3.1.1</w:t>
      </w:r>
      <w:r w:rsidR="00785DD7" w:rsidRPr="00B82CD5">
        <w:fldChar w:fldCharType="end"/>
      </w:r>
      <w:r w:rsidR="00785DD7" w:rsidRPr="00B82CD5">
        <w:t>;</w:t>
      </w:r>
      <w:r w:rsidR="00785DD7">
        <w:t xml:space="preserve"> </w:t>
      </w:r>
      <w:r>
        <w:t xml:space="preserve"> </w:t>
      </w:r>
    </w:p>
    <w:p w14:paraId="21008D6A" w14:textId="175F4C7A" w:rsidR="0033411F" w:rsidRDefault="00F147E5" w:rsidP="00CF7164">
      <w:pPr>
        <w:pStyle w:val="Heading6"/>
      </w:pPr>
      <w:r w:rsidRPr="0068061A">
        <w:t>Energy that the</w:t>
      </w:r>
      <w:r w:rsidRPr="00F147E5">
        <w:t xml:space="preserve"> </w:t>
      </w:r>
      <w:r w:rsidR="007B0C48">
        <w:t>Generation Unit</w:t>
      </w:r>
      <w:r w:rsidRPr="00F147E5">
        <w:t xml:space="preserve"> would have produced if no </w:t>
      </w:r>
      <w:r>
        <w:t>Ancillary Service</w:t>
      </w:r>
      <w:r w:rsidRPr="00F147E5">
        <w:t xml:space="preserve">s had been </w:t>
      </w:r>
      <w:r>
        <w:t>required.</w:t>
      </w:r>
    </w:p>
    <w:p w14:paraId="0C7903A5" w14:textId="3E05A822" w:rsidR="00F147E5" w:rsidRDefault="0033411F" w:rsidP="00CF7164">
      <w:pPr>
        <w:pStyle w:val="Heading6"/>
      </w:pPr>
      <w:r>
        <w:t>Variable Generation Cost of Generation Units</w:t>
      </w:r>
      <w:r w:rsidR="00B36A50">
        <w:t>,</w:t>
      </w:r>
      <w:r>
        <w:t xml:space="preserve"> for which a Generator </w:t>
      </w:r>
      <w:r w:rsidR="008A621F">
        <w:t>may be</w:t>
      </w:r>
      <w:r>
        <w:t xml:space="preserve"> </w:t>
      </w:r>
      <w:r w:rsidR="008E1B36">
        <w:t>eligible</w:t>
      </w:r>
      <w:r>
        <w:t xml:space="preserve"> to receive compensation</w:t>
      </w:r>
      <w:r w:rsidR="00B36A50">
        <w:t>,</w:t>
      </w:r>
      <w:r>
        <w:t xml:space="preserve"> at the corresponding operating conditions of such units.</w:t>
      </w:r>
    </w:p>
    <w:p w14:paraId="198D98F3" w14:textId="5D52B946" w:rsidR="00F147E5" w:rsidRDefault="00F147E5" w:rsidP="00B03234">
      <w:pPr>
        <w:pStyle w:val="Heading5"/>
      </w:pPr>
      <w:r>
        <w:t>Information from the Commercial Metering System</w:t>
      </w:r>
      <w:r w:rsidR="00D10779">
        <w:t xml:space="preserve"> as per provisions of </w:t>
      </w:r>
      <w:r w:rsidR="00F54A87">
        <w:rPr>
          <w:rFonts w:eastAsiaTheme="minorEastAsia" w:cstheme="minorHAnsi"/>
          <w:color w:val="auto"/>
        </w:rPr>
        <w:fldChar w:fldCharType="begin"/>
      </w:r>
      <w:r w:rsidR="00F54A87">
        <w:rPr>
          <w:rFonts w:eastAsiaTheme="minorEastAsia" w:cstheme="minorHAnsi"/>
          <w:color w:val="auto"/>
        </w:rPr>
        <w:instrText xml:space="preserve"> REF _Ref76854808 \r \h </w:instrText>
      </w:r>
      <w:r w:rsidR="00F54A87">
        <w:rPr>
          <w:rFonts w:eastAsiaTheme="minorEastAsia" w:cstheme="minorHAnsi"/>
          <w:color w:val="auto"/>
        </w:rPr>
      </w:r>
      <w:r w:rsidR="00F54A87">
        <w:rPr>
          <w:rFonts w:eastAsiaTheme="minorEastAsia" w:cstheme="minorHAnsi"/>
          <w:color w:val="auto"/>
        </w:rPr>
        <w:fldChar w:fldCharType="separate"/>
      </w:r>
      <w:r w:rsidR="00F54A87">
        <w:rPr>
          <w:rFonts w:eastAsiaTheme="minorEastAsia" w:cstheme="minorHAnsi"/>
          <w:color w:val="auto"/>
        </w:rPr>
        <w:t>Chapter 5</w:t>
      </w:r>
      <w:r w:rsidR="00F54A87">
        <w:rPr>
          <w:rFonts w:eastAsiaTheme="minorEastAsia" w:cstheme="minorHAnsi"/>
          <w:color w:val="auto"/>
        </w:rPr>
        <w:fldChar w:fldCharType="end"/>
      </w:r>
      <w:r>
        <w:t xml:space="preserve">: </w:t>
      </w:r>
    </w:p>
    <w:p w14:paraId="68316B1B" w14:textId="2772968F" w:rsidR="00F147E5" w:rsidRDefault="00F147E5" w:rsidP="00CF7164">
      <w:pPr>
        <w:pStyle w:val="Heading6"/>
      </w:pPr>
      <w:r>
        <w:t xml:space="preserve">Energy actually </w:t>
      </w:r>
      <w:r w:rsidR="0080605D">
        <w:t xml:space="preserve">injected into the </w:t>
      </w:r>
      <w:r w:rsidR="008E1B36">
        <w:t xml:space="preserve">Grid System </w:t>
      </w:r>
      <w:r>
        <w:t xml:space="preserve">by the </w:t>
      </w:r>
      <w:r w:rsidR="007B0C48">
        <w:t>Generation Unit</w:t>
      </w:r>
      <w:r w:rsidR="00B36A50">
        <w:t>,</w:t>
      </w:r>
      <w:r w:rsidR="007B0C48">
        <w:t xml:space="preserve"> for which a Generator </w:t>
      </w:r>
      <w:r w:rsidR="008E1B36">
        <w:t xml:space="preserve">may be eligible </w:t>
      </w:r>
      <w:r>
        <w:t xml:space="preserve">to receive compensation, </w:t>
      </w:r>
      <w:r w:rsidR="00B36A50">
        <w:t>during</w:t>
      </w:r>
      <w:r w:rsidR="00D10779">
        <w:t xml:space="preserve"> the relevant Energy</w:t>
      </w:r>
      <w:r>
        <w:t xml:space="preserve"> Balancing Period. </w:t>
      </w:r>
    </w:p>
    <w:p w14:paraId="1D0794A1" w14:textId="24DD9330" w:rsidR="009D3C6E" w:rsidRDefault="008E1B36" w:rsidP="005B295A">
      <w:pPr>
        <w:pStyle w:val="Heading4"/>
      </w:pPr>
      <w:bookmarkStart w:id="288" w:name="_Ref64632106"/>
      <w:r>
        <w:t xml:space="preserve">Till the time, </w:t>
      </w:r>
      <w:r w:rsidR="00BA0AE4">
        <w:t xml:space="preserve">the System Operator </w:t>
      </w:r>
      <w:r>
        <w:t xml:space="preserve">makes </w:t>
      </w:r>
      <w:r w:rsidR="00BA0AE4">
        <w:t xml:space="preserve">the </w:t>
      </w:r>
      <w:r>
        <w:t>CCOP</w:t>
      </w:r>
      <w:r w:rsidR="00BA0AE4">
        <w:t xml:space="preserve"> </w:t>
      </w:r>
      <w:r w:rsidR="0033411F">
        <w:t xml:space="preserve">as </w:t>
      </w:r>
      <w:r w:rsidR="00BA0AE4">
        <w:t>referred</w:t>
      </w:r>
      <w:r w:rsidR="0033411F">
        <w:t xml:space="preserve"> to</w:t>
      </w:r>
      <w:r w:rsidR="00BA0AE4">
        <w:t xml:space="preserve"> in Clause </w:t>
      </w:r>
      <w:r w:rsidR="00BA0AE4">
        <w:fldChar w:fldCharType="begin"/>
      </w:r>
      <w:r w:rsidR="00BA0AE4">
        <w:instrText xml:space="preserve"> REF _Ref64497964 \r \h </w:instrText>
      </w:r>
      <w:r w:rsidR="00BA0AE4">
        <w:fldChar w:fldCharType="separate"/>
      </w:r>
      <w:r w:rsidR="00251DBF">
        <w:t>7.3.1.3</w:t>
      </w:r>
      <w:r w:rsidR="00BA0AE4">
        <w:fldChar w:fldCharType="end"/>
      </w:r>
      <w:r w:rsidR="00BA0AE4">
        <w:t>, t</w:t>
      </w:r>
      <w:r w:rsidR="009D3C6E">
        <w:t xml:space="preserve">he Market Operator </w:t>
      </w:r>
      <w:r w:rsidR="0033411F">
        <w:t xml:space="preserve">shall </w:t>
      </w:r>
      <w:r w:rsidR="009D3C6E">
        <w:t xml:space="preserve">determine the </w:t>
      </w:r>
      <w:r>
        <w:t xml:space="preserve">quantity </w:t>
      </w:r>
      <w:r w:rsidR="0033411F">
        <w:t xml:space="preserve">of </w:t>
      </w:r>
      <w:r w:rsidR="0046412E">
        <w:t>Energy</w:t>
      </w:r>
      <w:r w:rsidR="009D3C6E">
        <w:t xml:space="preserve"> </w:t>
      </w:r>
      <w:r w:rsidR="00B36A50">
        <w:t xml:space="preserve">for which compensation may be paid </w:t>
      </w:r>
      <w:r w:rsidR="009D3C6E">
        <w:t xml:space="preserve">to Generators </w:t>
      </w:r>
      <w:r w:rsidR="003B2116">
        <w:t>which has been dispatched</w:t>
      </w:r>
      <w:r w:rsidR="009D3C6E">
        <w:t xml:space="preserve"> for allowing the </w:t>
      </w:r>
      <w:r>
        <w:t xml:space="preserve">provision </w:t>
      </w:r>
      <w:r w:rsidR="009D3C6E">
        <w:t>of Ancillary Services as</w:t>
      </w:r>
      <w:r w:rsidR="003B2116">
        <w:t xml:space="preserve"> under</w:t>
      </w:r>
      <w:r w:rsidR="009D3C6E">
        <w:t>:</w:t>
      </w:r>
      <w:bookmarkEnd w:id="288"/>
      <w:r w:rsidR="009D3C6E">
        <w:t xml:space="preserve"> </w:t>
      </w:r>
    </w:p>
    <w:p w14:paraId="20453350" w14:textId="636470C7" w:rsidR="009D3C6E" w:rsidRPr="009D3C6E" w:rsidRDefault="004D6075" w:rsidP="009D3C6E">
      <w:pPr>
        <w:pStyle w:val="BodyText"/>
        <w:spacing w:before="120"/>
        <w:rPr>
          <w:rFonts w:ascii="Cambria Math" w:hAnsi="Cambria Math"/>
        </w:rPr>
      </w:pPr>
      <m:oMathPara>
        <m:oMath>
          <m:sSub>
            <m:sSubPr>
              <m:ctrlPr>
                <w:rPr>
                  <w:rFonts w:ascii="Cambria Math" w:hAnsi="Cambria Math"/>
                </w:rPr>
              </m:ctrlPr>
            </m:sSubPr>
            <m:e>
              <m:r>
                <w:rPr>
                  <w:rFonts w:ascii="Cambria Math" w:hAnsi="Cambria Math"/>
                </w:rPr>
                <m:t>UPC</m:t>
              </m:r>
              <m:r>
                <m:rPr>
                  <m:sty m:val="p"/>
                </m:rPr>
                <w:rPr>
                  <w:rFonts w:ascii="Cambria Math" w:hAnsi="Cambria Math"/>
                </w:rPr>
                <m:t>_</m:t>
              </m:r>
              <m:r>
                <w:rPr>
                  <w:rFonts w:ascii="Cambria Math" w:hAnsi="Cambria Math"/>
                </w:rPr>
                <m:t>ASC</m:t>
              </m:r>
            </m:e>
            <m:sub>
              <m:r>
                <w:rPr>
                  <w:rFonts w:ascii="Cambria Math" w:hAnsi="Cambria Math"/>
                </w:rPr>
                <m:t>j</m:t>
              </m:r>
              <m:r>
                <m:rPr>
                  <m:sty m:val="p"/>
                </m:rPr>
                <w:rPr>
                  <w:rFonts w:ascii="Cambria Math" w:hAnsi="Cambria Math"/>
                </w:rPr>
                <m:t>,</m:t>
              </m:r>
              <m:r>
                <w:rPr>
                  <w:rFonts w:ascii="Cambria Math" w:hAnsi="Cambria Math"/>
                </w:rPr>
                <m:t>h</m:t>
              </m:r>
            </m:sub>
          </m:sSub>
          <m:d>
            <m:dPr>
              <m:begChr m:val="["/>
              <m:endChr m:val="]"/>
              <m:ctrlPr>
                <w:rPr>
                  <w:rFonts w:ascii="Cambria Math" w:hAnsi="Cambria Math"/>
                </w:rPr>
              </m:ctrlPr>
            </m:dPr>
            <m:e>
              <m:r>
                <w:rPr>
                  <w:rFonts w:ascii="Cambria Math" w:hAnsi="Cambria Math"/>
                </w:rPr>
                <m:t>MWh</m:t>
              </m:r>
            </m:e>
          </m:d>
          <m:r>
            <m:rPr>
              <m:sty m:val="p"/>
            </m:rPr>
            <w:rPr>
              <w:rFonts w:ascii="Cambria Math" w:hAnsi="Cambria Math"/>
            </w:rPr>
            <m:t>=</m:t>
          </m:r>
          <m:sSub>
            <m:sSubPr>
              <m:ctrlPr>
                <w:rPr>
                  <w:rFonts w:ascii="Cambria Math" w:hAnsi="Cambria Math"/>
                </w:rPr>
              </m:ctrlPr>
            </m:sSubPr>
            <m:e>
              <m:r>
                <w:rPr>
                  <w:rFonts w:ascii="Cambria Math" w:hAnsi="Cambria Math"/>
                </w:rPr>
                <m:t>EAG</m:t>
              </m:r>
            </m:e>
            <m:sub>
              <m:r>
                <w:rPr>
                  <w:rFonts w:ascii="Cambria Math" w:hAnsi="Cambria Math"/>
                </w:rPr>
                <m:t>j</m:t>
              </m:r>
              <m:r>
                <m:rPr>
                  <m:sty m:val="p"/>
                </m:rPr>
                <w:rPr>
                  <w:rFonts w:ascii="Cambria Math" w:hAnsi="Cambria Math"/>
                </w:rPr>
                <m:t>,</m:t>
              </m:r>
              <m:r>
                <w:rPr>
                  <w:rFonts w:ascii="Cambria Math" w:hAnsi="Cambria Math"/>
                </w:rPr>
                <m:t>h</m:t>
              </m:r>
            </m:sub>
          </m:sSub>
          <m:d>
            <m:dPr>
              <m:begChr m:val="["/>
              <m:endChr m:val="]"/>
              <m:ctrlPr>
                <w:rPr>
                  <w:rFonts w:ascii="Cambria Math" w:hAnsi="Cambria Math"/>
                </w:rPr>
              </m:ctrlPr>
            </m:dPr>
            <m:e>
              <m:r>
                <w:rPr>
                  <w:rFonts w:ascii="Cambria Math" w:hAnsi="Cambria Math"/>
                </w:rPr>
                <m:t>MWh</m:t>
              </m:r>
            </m:e>
          </m:d>
          <m:r>
            <m:rPr>
              <m:sty m:val="p"/>
            </m:rPr>
            <w:rPr>
              <w:rFonts w:ascii="Cambria Math" w:hAnsi="Cambria Math"/>
            </w:rPr>
            <m:t>-</m:t>
          </m:r>
          <m:sSub>
            <m:sSubPr>
              <m:ctrlPr>
                <w:rPr>
                  <w:rFonts w:ascii="Cambria Math" w:hAnsi="Cambria Math"/>
                </w:rPr>
              </m:ctrlPr>
            </m:sSubPr>
            <m:e>
              <m:r>
                <w:rPr>
                  <w:rFonts w:ascii="Cambria Math" w:hAnsi="Cambria Math"/>
                </w:rPr>
                <m:t>EPG</m:t>
              </m:r>
            </m:e>
            <m:sub>
              <m:r>
                <w:rPr>
                  <w:rFonts w:ascii="Cambria Math" w:hAnsi="Cambria Math"/>
                </w:rPr>
                <m:t>j</m:t>
              </m:r>
              <m:r>
                <m:rPr>
                  <m:sty m:val="p"/>
                </m:rPr>
                <w:rPr>
                  <w:rFonts w:ascii="Cambria Math" w:hAnsi="Cambria Math"/>
                </w:rPr>
                <m:t>,</m:t>
              </m:r>
              <m:r>
                <w:rPr>
                  <w:rFonts w:ascii="Cambria Math" w:hAnsi="Cambria Math"/>
                </w:rPr>
                <m:t>h</m:t>
              </m:r>
            </m:sub>
          </m:sSub>
          <m:d>
            <m:dPr>
              <m:begChr m:val="["/>
              <m:endChr m:val="]"/>
              <m:ctrlPr>
                <w:rPr>
                  <w:rFonts w:ascii="Cambria Math" w:hAnsi="Cambria Math"/>
                </w:rPr>
              </m:ctrlPr>
            </m:dPr>
            <m:e>
              <m:r>
                <w:rPr>
                  <w:rFonts w:ascii="Cambria Math" w:hAnsi="Cambria Math"/>
                </w:rPr>
                <m:t>MWh</m:t>
              </m:r>
            </m:e>
          </m:d>
        </m:oMath>
      </m:oMathPara>
    </w:p>
    <w:p w14:paraId="6D8FDFB9" w14:textId="77777777" w:rsidR="009D3C6E" w:rsidRDefault="009D3C6E" w:rsidP="009D3C6E">
      <w:pPr>
        <w:pStyle w:val="BodyText"/>
      </w:pPr>
      <w:r>
        <w:t xml:space="preserve">Where: </w:t>
      </w:r>
    </w:p>
    <w:p w14:paraId="43869EF6" w14:textId="7756E11D" w:rsidR="009D3C6E" w:rsidRDefault="007716B5" w:rsidP="009D3C6E">
      <w:pPr>
        <w:pStyle w:val="BodyText"/>
        <w:ind w:left="2977" w:hanging="1276"/>
      </w:pPr>
      <w:r>
        <w:rPr>
          <w:i/>
          <w:iCs/>
        </w:rPr>
        <w:t>UP</w:t>
      </w:r>
      <w:r w:rsidR="009D3C6E">
        <w:rPr>
          <w:i/>
          <w:iCs/>
        </w:rPr>
        <w:t>C</w:t>
      </w:r>
      <w:r w:rsidR="009D3C6E" w:rsidRPr="000B6236">
        <w:rPr>
          <w:i/>
          <w:iCs/>
        </w:rPr>
        <w:t>_</w:t>
      </w:r>
      <w:r w:rsidR="009D3C6E">
        <w:rPr>
          <w:i/>
          <w:iCs/>
        </w:rPr>
        <w:t>AS</w:t>
      </w:r>
      <w:r w:rsidR="0088020E">
        <w:rPr>
          <w:i/>
          <w:iCs/>
        </w:rPr>
        <w:t>C</w:t>
      </w:r>
      <w:r>
        <w:rPr>
          <w:i/>
          <w:iCs/>
          <w:vertAlign w:val="subscript"/>
        </w:rPr>
        <w:t>j</w:t>
      </w:r>
      <w:r w:rsidR="009D3C6E" w:rsidRPr="000B6236">
        <w:rPr>
          <w:i/>
          <w:iCs/>
          <w:vertAlign w:val="subscript"/>
        </w:rPr>
        <w:t>,h</w:t>
      </w:r>
      <w:r w:rsidR="009D3C6E">
        <w:tab/>
        <w:t xml:space="preserve">is the </w:t>
      </w:r>
      <w:r w:rsidR="008E1B36">
        <w:t xml:space="preserve">quantity </w:t>
      </w:r>
      <w:r w:rsidR="009D3C6E">
        <w:t xml:space="preserve">of Energy </w:t>
      </w:r>
      <w:r w:rsidR="003B2116">
        <w:t>for which compensation may be paid</w:t>
      </w:r>
      <w:r w:rsidR="009D3C6E">
        <w:t xml:space="preserve"> to </w:t>
      </w:r>
      <w:r w:rsidR="007B0C48">
        <w:t>Generation Unit “</w:t>
      </w:r>
      <w:r w:rsidR="00800B9C">
        <w:rPr>
          <w:i/>
          <w:iCs/>
        </w:rPr>
        <w:t>j</w:t>
      </w:r>
      <w:r w:rsidR="007B0C48">
        <w:rPr>
          <w:i/>
          <w:iCs/>
        </w:rPr>
        <w:t>”</w:t>
      </w:r>
      <w:r w:rsidR="009D3C6E">
        <w:t xml:space="preserve">, in hour </w:t>
      </w:r>
      <w:r w:rsidR="009D3C6E" w:rsidRPr="00657058">
        <w:rPr>
          <w:i/>
          <w:iCs/>
        </w:rPr>
        <w:t>h</w:t>
      </w:r>
      <w:r w:rsidR="009D3C6E">
        <w:t xml:space="preserve">, due to the </w:t>
      </w:r>
      <w:r>
        <w:t>increase</w:t>
      </w:r>
      <w:r w:rsidR="009D3C6E">
        <w:t xml:space="preserve"> in the</w:t>
      </w:r>
      <w:r w:rsidR="008E1B36">
        <w:t xml:space="preserve"> generation of </w:t>
      </w:r>
      <w:r w:rsidR="009D3C6E">
        <w:t xml:space="preserve"> Energy </w:t>
      </w:r>
      <w:r w:rsidR="003B2116">
        <w:t>having</w:t>
      </w:r>
      <w:r>
        <w:t xml:space="preserve"> </w:t>
      </w:r>
      <w:r w:rsidR="007B0C48">
        <w:t>Variable Generation C</w:t>
      </w:r>
      <w:r>
        <w:t xml:space="preserve">osts above the </w:t>
      </w:r>
      <w:r w:rsidR="007B0C48">
        <w:t xml:space="preserve">System </w:t>
      </w:r>
      <w:r>
        <w:t xml:space="preserve">Marginal </w:t>
      </w:r>
      <w:r w:rsidR="007B0C48">
        <w:t>Price</w:t>
      </w:r>
      <w:r w:rsidR="009D3C6E">
        <w:t xml:space="preserve">, to allow the </w:t>
      </w:r>
      <w:r w:rsidR="008E1B36">
        <w:t xml:space="preserve">provision </w:t>
      </w:r>
      <w:r w:rsidR="009D3C6E">
        <w:t>of Ancillary Services, in MWh (</w:t>
      </w:r>
      <w:r>
        <w:t>Variable</w:t>
      </w:r>
      <w:r w:rsidR="009D3C6E">
        <w:t xml:space="preserve"> Cost Compensation) </w:t>
      </w:r>
    </w:p>
    <w:p w14:paraId="28FC3107" w14:textId="38C5D1D3" w:rsidR="009D3C6E" w:rsidRDefault="009D3C6E" w:rsidP="009D3C6E">
      <w:pPr>
        <w:pStyle w:val="BodyText"/>
        <w:ind w:left="2977" w:hanging="1276"/>
      </w:pPr>
      <w:r w:rsidRPr="000B6236">
        <w:rPr>
          <w:i/>
          <w:iCs/>
        </w:rPr>
        <w:t>E</w:t>
      </w:r>
      <w:r>
        <w:rPr>
          <w:i/>
          <w:iCs/>
        </w:rPr>
        <w:t>A</w:t>
      </w:r>
      <w:r w:rsidRPr="000B6236">
        <w:rPr>
          <w:i/>
          <w:iCs/>
        </w:rPr>
        <w:t>G</w:t>
      </w:r>
      <w:r w:rsidR="007716B5">
        <w:rPr>
          <w:i/>
          <w:iCs/>
        </w:rPr>
        <w:t>j</w:t>
      </w:r>
      <w:r w:rsidRPr="009D3C6E">
        <w:rPr>
          <w:i/>
          <w:iCs/>
        </w:rPr>
        <w:t>,h</w:t>
      </w:r>
      <w:r w:rsidRPr="009D3C6E">
        <w:rPr>
          <w:i/>
          <w:iCs/>
        </w:rPr>
        <w:tab/>
      </w:r>
      <w:r w:rsidRPr="009D3C6E">
        <w:t xml:space="preserve">is the Energy </w:t>
      </w:r>
      <w:r w:rsidR="003B2116">
        <w:t>injected into the Gird System</w:t>
      </w:r>
      <w:r w:rsidR="003B2116" w:rsidRPr="009D3C6E">
        <w:t xml:space="preserve"> </w:t>
      </w:r>
      <w:r w:rsidRPr="009D3C6E">
        <w:t xml:space="preserve">by </w:t>
      </w:r>
      <w:r w:rsidR="007B0C48">
        <w:t>Generation Unit</w:t>
      </w:r>
      <w:r w:rsidR="007B0C48" w:rsidRPr="009D3C6E">
        <w:t xml:space="preserve"> </w:t>
      </w:r>
      <w:r w:rsidR="007B0C48">
        <w:t>“</w:t>
      </w:r>
      <w:r w:rsidR="00800B9C" w:rsidRPr="007B0C48">
        <w:rPr>
          <w:i/>
          <w:iCs/>
        </w:rPr>
        <w:t>j</w:t>
      </w:r>
      <w:r w:rsidR="007B0C48">
        <w:t>”</w:t>
      </w:r>
      <w:r w:rsidRPr="009D3C6E">
        <w:t xml:space="preserve">, in hour “h”, in MWh, </w:t>
      </w:r>
      <w:r w:rsidR="0033411F">
        <w:t xml:space="preserve">considered by the Market Operator as per provisions of </w:t>
      </w:r>
      <w:r w:rsidR="00F54A87">
        <w:rPr>
          <w:rFonts w:eastAsiaTheme="minorEastAsia" w:cstheme="minorHAnsi"/>
          <w:color w:val="auto"/>
        </w:rPr>
        <w:fldChar w:fldCharType="begin"/>
      </w:r>
      <w:r w:rsidR="00F54A87">
        <w:rPr>
          <w:rFonts w:eastAsiaTheme="minorEastAsia" w:cstheme="minorHAnsi"/>
          <w:color w:val="auto"/>
        </w:rPr>
        <w:instrText xml:space="preserve"> REF _Ref76854808 \r \h </w:instrText>
      </w:r>
      <w:r w:rsidR="00F54A87">
        <w:rPr>
          <w:rFonts w:eastAsiaTheme="minorEastAsia" w:cstheme="minorHAnsi"/>
          <w:color w:val="auto"/>
        </w:rPr>
      </w:r>
      <w:r w:rsidR="00F54A87">
        <w:rPr>
          <w:rFonts w:eastAsiaTheme="minorEastAsia" w:cstheme="minorHAnsi"/>
          <w:color w:val="auto"/>
        </w:rPr>
        <w:fldChar w:fldCharType="separate"/>
      </w:r>
      <w:r w:rsidR="00F54A87">
        <w:rPr>
          <w:rFonts w:eastAsiaTheme="minorEastAsia" w:cstheme="minorHAnsi"/>
          <w:color w:val="auto"/>
        </w:rPr>
        <w:t>Chapter 5</w:t>
      </w:r>
      <w:r w:rsidR="00F54A87">
        <w:rPr>
          <w:rFonts w:eastAsiaTheme="minorEastAsia" w:cstheme="minorHAnsi"/>
          <w:color w:val="auto"/>
        </w:rPr>
        <w:fldChar w:fldCharType="end"/>
      </w:r>
      <w:r w:rsidRPr="009D3C6E">
        <w:t>.</w:t>
      </w:r>
    </w:p>
    <w:p w14:paraId="74885CE4" w14:textId="7A9FA153" w:rsidR="007716B5" w:rsidRDefault="007716B5" w:rsidP="007716B5">
      <w:pPr>
        <w:pStyle w:val="BodyText"/>
        <w:ind w:left="2977" w:hanging="1276"/>
      </w:pPr>
      <w:r w:rsidRPr="000B6236">
        <w:rPr>
          <w:i/>
          <w:iCs/>
        </w:rPr>
        <w:t>EPG</w:t>
      </w:r>
      <w:r>
        <w:rPr>
          <w:i/>
          <w:iCs/>
          <w:vertAlign w:val="subscript"/>
        </w:rPr>
        <w:t>j</w:t>
      </w:r>
      <w:r w:rsidRPr="000B6236">
        <w:rPr>
          <w:i/>
          <w:iCs/>
          <w:vertAlign w:val="subscript"/>
        </w:rPr>
        <w:t>,h</w:t>
      </w:r>
      <w:r>
        <w:tab/>
        <w:t xml:space="preserve">is the amount of Energy that </w:t>
      </w:r>
      <w:r w:rsidR="007B0C48">
        <w:t>Generation Unit</w:t>
      </w:r>
      <w:r>
        <w:t xml:space="preserve"> </w:t>
      </w:r>
      <w:r w:rsidRPr="00EC709D">
        <w:rPr>
          <w:i/>
          <w:iCs/>
        </w:rPr>
        <w:t>“</w:t>
      </w:r>
      <w:r>
        <w:rPr>
          <w:i/>
          <w:iCs/>
        </w:rPr>
        <w:t>j</w:t>
      </w:r>
      <w:r w:rsidRPr="00EC709D">
        <w:rPr>
          <w:i/>
          <w:iCs/>
        </w:rPr>
        <w:t>”</w:t>
      </w:r>
      <w:r>
        <w:rPr>
          <w:i/>
          <w:iCs/>
        </w:rPr>
        <w:t>,</w:t>
      </w:r>
      <w:r>
        <w:t xml:space="preserve"> in hour </w:t>
      </w:r>
      <w:r w:rsidRPr="00EC709D">
        <w:rPr>
          <w:i/>
          <w:iCs/>
        </w:rPr>
        <w:t>“h”</w:t>
      </w:r>
      <w:r>
        <w:t xml:space="preserve">, </w:t>
      </w:r>
      <w:r w:rsidRPr="00EC709D">
        <w:t xml:space="preserve">would have </w:t>
      </w:r>
      <w:r w:rsidR="003B2116">
        <w:t>injected into the Grid System</w:t>
      </w:r>
      <w:r w:rsidR="003B2116" w:rsidRPr="00EC709D">
        <w:t xml:space="preserve"> </w:t>
      </w:r>
      <w:r w:rsidRPr="00EC709D">
        <w:t xml:space="preserve">if there had been no </w:t>
      </w:r>
      <w:r>
        <w:t xml:space="preserve">requirements of </w:t>
      </w:r>
      <w:r w:rsidR="007B0C48">
        <w:t xml:space="preserve">providing </w:t>
      </w:r>
      <w:r>
        <w:t xml:space="preserve">Ancillary Services (in MWh). The value of </w:t>
      </w:r>
      <w:r w:rsidRPr="007B0C48">
        <w:rPr>
          <w:i/>
          <w:iCs/>
        </w:rPr>
        <w:t>EPG</w:t>
      </w:r>
      <w:r w:rsidRPr="007B0C48">
        <w:rPr>
          <w:i/>
          <w:iCs/>
          <w:vertAlign w:val="subscript"/>
        </w:rPr>
        <w:t>j,h</w:t>
      </w:r>
      <w:r>
        <w:t xml:space="preserve"> will be zero (0.0) unless the System Operator explicitly </w:t>
      </w:r>
      <w:r w:rsidR="003B2116">
        <w:t xml:space="preserve">informs </w:t>
      </w:r>
      <w:r>
        <w:t xml:space="preserve">the Market </w:t>
      </w:r>
      <w:r>
        <w:lastRenderedPageBreak/>
        <w:t xml:space="preserve">Operator to use a different value, clearly stating the reasons for this value being used. </w:t>
      </w:r>
    </w:p>
    <w:p w14:paraId="3093CF38" w14:textId="79EE3098" w:rsidR="00F147E5" w:rsidRDefault="00BD236D" w:rsidP="00A82AA8">
      <w:pPr>
        <w:pStyle w:val="Heading3"/>
      </w:pPr>
      <w:r>
        <w:t xml:space="preserve">Total </w:t>
      </w:r>
      <w:r w:rsidR="00F147E5" w:rsidRPr="008E1B36">
        <w:rPr>
          <w:strike/>
        </w:rPr>
        <w:t>Economic</w:t>
      </w:r>
      <w:r w:rsidR="00F147E5">
        <w:t xml:space="preserve"> Compensation for </w:t>
      </w:r>
      <w:r w:rsidR="008E1B36">
        <w:t>Provision</w:t>
      </w:r>
      <w:r w:rsidR="00F147E5">
        <w:t xml:space="preserve"> of Ancillary Services</w:t>
      </w:r>
    </w:p>
    <w:p w14:paraId="654242F9" w14:textId="7F0DA464" w:rsidR="00BD236D" w:rsidRPr="00B90F6F" w:rsidRDefault="00785DD7" w:rsidP="005B295A">
      <w:pPr>
        <w:pStyle w:val="Heading4"/>
      </w:pPr>
      <w:bookmarkStart w:id="289" w:name="_Ref65931942"/>
      <w:r>
        <w:t xml:space="preserve">The </w:t>
      </w:r>
      <w:r w:rsidRPr="00B90F6F">
        <w:t>Market Operator shall determine the</w:t>
      </w:r>
      <w:r w:rsidR="00BD236D" w:rsidRPr="00B90F6F">
        <w:t xml:space="preserve"> </w:t>
      </w:r>
      <w:r w:rsidRPr="00B90F6F">
        <w:t xml:space="preserve">compensation </w:t>
      </w:r>
      <w:r w:rsidR="008E1B36">
        <w:t>which may be paid to a</w:t>
      </w:r>
      <w:r w:rsidRPr="00B90F6F">
        <w:t xml:space="preserve"> Generator</w:t>
      </w:r>
      <w:r w:rsidR="00BD236D" w:rsidRPr="00B90F6F">
        <w:t xml:space="preserve">, </w:t>
      </w:r>
      <w:r w:rsidR="008E1B36">
        <w:t>for</w:t>
      </w:r>
      <w:r w:rsidR="008E1B36" w:rsidRPr="00B90F6F">
        <w:t xml:space="preserve"> </w:t>
      </w:r>
      <w:r w:rsidR="00BD236D" w:rsidRPr="00B90F6F">
        <w:t xml:space="preserve">each Energy Balancing Period, </w:t>
      </w:r>
      <w:r w:rsidR="008E1B36">
        <w:t xml:space="preserve">for </w:t>
      </w:r>
      <w:r w:rsidR="003B2116">
        <w:t>allowing the</w:t>
      </w:r>
      <w:r w:rsidR="00BD236D" w:rsidRPr="00B90F6F">
        <w:t xml:space="preserve"> provision of Ancillary Services as</w:t>
      </w:r>
      <w:r w:rsidR="008E1B36">
        <w:t xml:space="preserve"> under</w:t>
      </w:r>
      <w:r w:rsidR="00BD236D" w:rsidRPr="00B90F6F">
        <w:t>:</w:t>
      </w:r>
      <w:bookmarkEnd w:id="289"/>
      <w:r w:rsidR="00BD236D" w:rsidRPr="00B90F6F">
        <w:t xml:space="preserve"> </w:t>
      </w:r>
    </w:p>
    <w:p w14:paraId="0C214648" w14:textId="49688A9C" w:rsidR="00207244" w:rsidRDefault="004D6075" w:rsidP="00785DD7">
      <w:pPr>
        <w:pStyle w:val="BodyText"/>
      </w:pPr>
      <m:oMathPara>
        <m:oMath>
          <m:sSub>
            <m:sSubPr>
              <m:ctrlPr>
                <w:rPr>
                  <w:rFonts w:ascii="Cambria Math" w:hAnsi="Cambria Math"/>
                </w:rPr>
              </m:ctrlPr>
            </m:sSubPr>
            <m:e>
              <m:r>
                <w:rPr>
                  <w:rFonts w:ascii="Cambria Math" w:hAnsi="Cambria Math"/>
                </w:rPr>
                <m:t>AC</m:t>
              </m:r>
            </m:e>
            <m:sub>
              <m:r>
                <w:rPr>
                  <w:rFonts w:ascii="Cambria Math" w:hAnsi="Cambria Math"/>
                </w:rPr>
                <m:t>k,h</m:t>
              </m:r>
            </m:sub>
          </m:sSub>
          <m:d>
            <m:dPr>
              <m:begChr m:val="["/>
              <m:endChr m:val="]"/>
              <m:ctrlPr>
                <w:rPr>
                  <w:rFonts w:ascii="Cambria Math" w:hAnsi="Cambria Math"/>
                </w:rPr>
              </m:ctrlPr>
            </m:dPr>
            <m:e>
              <m:r>
                <w:rPr>
                  <w:rFonts w:ascii="Cambria Math" w:hAnsi="Cambria Math"/>
                </w:rPr>
                <m:t>PKR</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i∈k</m:t>
              </m:r>
            </m: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LOCC</m:t>
                      </m:r>
                      <m:r>
                        <m:rPr>
                          <m:sty m:val="p"/>
                        </m:rPr>
                        <w:rPr>
                          <w:rFonts w:ascii="Cambria Math" w:hAnsi="Cambria Math"/>
                        </w:rPr>
                        <m:t>_</m:t>
                      </m:r>
                      <m:r>
                        <w:rPr>
                          <w:rFonts w:ascii="Cambria Math" w:hAnsi="Cambria Math"/>
                        </w:rPr>
                        <m:t>ASC</m:t>
                      </m:r>
                    </m:e>
                    <m:sub>
                      <m:r>
                        <w:rPr>
                          <w:rFonts w:ascii="Cambria Math" w:hAnsi="Cambria Math"/>
                        </w:rPr>
                        <m:t>i</m:t>
                      </m:r>
                      <m:r>
                        <m:rPr>
                          <m:sty m:val="p"/>
                        </m:rPr>
                        <w:rPr>
                          <w:rFonts w:ascii="Cambria Math" w:hAnsi="Cambria Math"/>
                        </w:rPr>
                        <m:t>,</m:t>
                      </m:r>
                      <m:r>
                        <w:rPr>
                          <w:rFonts w:ascii="Cambria Math" w:hAnsi="Cambria Math"/>
                        </w:rPr>
                        <m:t>h</m:t>
                      </m:r>
                    </m:sub>
                  </m:sSub>
                  <m:d>
                    <m:dPr>
                      <m:begChr m:val="["/>
                      <m:endChr m:val="]"/>
                      <m:ctrlPr>
                        <w:rPr>
                          <w:rFonts w:ascii="Cambria Math" w:hAnsi="Cambria Math"/>
                        </w:rPr>
                      </m:ctrlPr>
                    </m:dPr>
                    <m:e>
                      <m:r>
                        <w:rPr>
                          <w:rFonts w:ascii="Cambria Math" w:hAnsi="Cambria Math"/>
                        </w:rPr>
                        <m:t>MWh</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Marg</m:t>
                          </m:r>
                        </m:e>
                        <m:sub>
                          <m:r>
                            <w:rPr>
                              <w:rFonts w:ascii="Cambria Math" w:hAnsi="Cambria Math"/>
                            </w:rPr>
                            <m:t>h</m:t>
                          </m:r>
                        </m:sub>
                      </m:sSub>
                      <m:r>
                        <m:rPr>
                          <m:sty m:val="p"/>
                        </m:rPr>
                        <w:rPr>
                          <w:rFonts w:ascii="Cambria Math" w:hAnsi="Cambria Math"/>
                        </w:rPr>
                        <m:t>[</m:t>
                      </m:r>
                      <m:f>
                        <m:fPr>
                          <m:type m:val="skw"/>
                          <m:ctrlPr>
                            <w:rPr>
                              <w:rFonts w:ascii="Cambria Math" w:hAnsi="Cambria Math"/>
                            </w:rPr>
                          </m:ctrlPr>
                        </m:fPr>
                        <m:num>
                          <m:r>
                            <w:rPr>
                              <w:rFonts w:ascii="Cambria Math" w:hAnsi="Cambria Math"/>
                            </w:rPr>
                            <m:t>PKR</m:t>
                          </m:r>
                        </m:num>
                        <m:den>
                          <m:r>
                            <w:rPr>
                              <w:rFonts w:ascii="Cambria Math" w:hAnsi="Cambria Math"/>
                            </w:rPr>
                            <m:t>MWh</m:t>
                          </m:r>
                        </m:den>
                      </m:f>
                      <m:r>
                        <m:rPr>
                          <m:sty m:val="p"/>
                        </m:rPr>
                        <w:rPr>
                          <w:rFonts w:ascii="Cambria Math" w:hAnsi="Cambria Math"/>
                        </w:rPr>
                        <m:t>]-</m:t>
                      </m:r>
                      <m:sSub>
                        <m:sSubPr>
                          <m:ctrlPr>
                            <w:rPr>
                              <w:rFonts w:ascii="Cambria Math" w:hAnsi="Cambria Math"/>
                            </w:rPr>
                          </m:ctrlPr>
                        </m:sSubPr>
                        <m:e>
                          <m:r>
                            <w:rPr>
                              <w:rFonts w:ascii="Cambria Math" w:hAnsi="Cambria Math"/>
                            </w:rPr>
                            <m:t>VC</m:t>
                          </m:r>
                        </m:e>
                        <m:sub>
                          <m:r>
                            <w:rPr>
                              <w:rFonts w:ascii="Cambria Math" w:hAnsi="Cambria Math"/>
                            </w:rPr>
                            <m:t>i,h</m:t>
                          </m:r>
                        </m:sub>
                      </m:sSub>
                    </m:e>
                  </m:d>
                </m:e>
              </m:d>
            </m:e>
          </m:nary>
          <m:r>
            <m:rPr>
              <m:sty m:val="p"/>
            </m:rPr>
            <w:rPr>
              <w:rFonts w:ascii="Cambria Math" w:hAnsi="Cambria Math"/>
            </w:rPr>
            <m:t>+</m:t>
          </m:r>
          <m:nary>
            <m:naryPr>
              <m:chr m:val="∑"/>
              <m:limLoc m:val="undOvr"/>
              <m:supHide m:val="1"/>
              <m:ctrlPr>
                <w:rPr>
                  <w:rFonts w:ascii="Cambria Math" w:hAnsi="Cambria Math"/>
                  <w:i/>
                </w:rPr>
              </m:ctrlPr>
            </m:naryPr>
            <m:sub>
              <m:r>
                <w:rPr>
                  <w:rFonts w:ascii="Cambria Math" w:hAnsi="Cambria Math"/>
                </w:rPr>
                <m:t>j∈k</m:t>
              </m:r>
            </m: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UPC</m:t>
                      </m:r>
                      <m:r>
                        <m:rPr>
                          <m:sty m:val="p"/>
                        </m:rPr>
                        <w:rPr>
                          <w:rFonts w:ascii="Cambria Math" w:hAnsi="Cambria Math"/>
                        </w:rPr>
                        <m:t>_</m:t>
                      </m:r>
                      <m:r>
                        <w:rPr>
                          <w:rFonts w:ascii="Cambria Math" w:hAnsi="Cambria Math"/>
                        </w:rPr>
                        <m:t>ASC</m:t>
                      </m:r>
                    </m:e>
                    <m:sub>
                      <m:r>
                        <w:rPr>
                          <w:rFonts w:ascii="Cambria Math" w:hAnsi="Cambria Math"/>
                        </w:rPr>
                        <m:t>j</m:t>
                      </m:r>
                      <m:r>
                        <m:rPr>
                          <m:sty m:val="p"/>
                        </m:rPr>
                        <w:rPr>
                          <w:rFonts w:ascii="Cambria Math" w:hAnsi="Cambria Math"/>
                        </w:rPr>
                        <m:t>,</m:t>
                      </m:r>
                      <m:r>
                        <w:rPr>
                          <w:rFonts w:ascii="Cambria Math" w:hAnsi="Cambria Math"/>
                        </w:rPr>
                        <m:t>h</m:t>
                      </m:r>
                    </m:sub>
                  </m:sSub>
                  <m:d>
                    <m:dPr>
                      <m:begChr m:val="["/>
                      <m:endChr m:val="]"/>
                      <m:ctrlPr>
                        <w:rPr>
                          <w:rFonts w:ascii="Cambria Math" w:hAnsi="Cambria Math"/>
                        </w:rPr>
                      </m:ctrlPr>
                    </m:dPr>
                    <m:e>
                      <m:r>
                        <w:rPr>
                          <w:rFonts w:ascii="Cambria Math" w:hAnsi="Cambria Math"/>
                        </w:rPr>
                        <m:t>MWh</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VC</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Marg</m:t>
                          </m:r>
                        </m:e>
                        <m:sub>
                          <m:r>
                            <w:rPr>
                              <w:rFonts w:ascii="Cambria Math" w:hAnsi="Cambria Math"/>
                            </w:rPr>
                            <m:t>h</m:t>
                          </m:r>
                        </m:sub>
                      </m:sSub>
                      <m:r>
                        <m:rPr>
                          <m:sty m:val="p"/>
                        </m:rPr>
                        <w:rPr>
                          <w:rFonts w:ascii="Cambria Math" w:hAnsi="Cambria Math"/>
                        </w:rPr>
                        <m:t>[</m:t>
                      </m:r>
                      <m:f>
                        <m:fPr>
                          <m:type m:val="skw"/>
                          <m:ctrlPr>
                            <w:rPr>
                              <w:rFonts w:ascii="Cambria Math" w:hAnsi="Cambria Math"/>
                            </w:rPr>
                          </m:ctrlPr>
                        </m:fPr>
                        <m:num>
                          <m:r>
                            <w:rPr>
                              <w:rFonts w:ascii="Cambria Math" w:hAnsi="Cambria Math"/>
                            </w:rPr>
                            <m:t>PKR</m:t>
                          </m:r>
                        </m:num>
                        <m:den>
                          <m:r>
                            <w:rPr>
                              <w:rFonts w:ascii="Cambria Math" w:hAnsi="Cambria Math"/>
                            </w:rPr>
                            <m:t>MWh</m:t>
                          </m:r>
                        </m:den>
                      </m:f>
                      <m:r>
                        <m:rPr>
                          <m:sty m:val="p"/>
                        </m:rPr>
                        <w:rPr>
                          <w:rFonts w:ascii="Cambria Math" w:hAnsi="Cambria Math"/>
                        </w:rPr>
                        <m:t>]</m:t>
                      </m:r>
                    </m:e>
                  </m:d>
                </m:e>
              </m:d>
            </m:e>
          </m:nary>
        </m:oMath>
      </m:oMathPara>
    </w:p>
    <w:p w14:paraId="01367405" w14:textId="03B68537" w:rsidR="00785DD7" w:rsidRPr="00B90F6F" w:rsidRDefault="00785DD7" w:rsidP="00785DD7">
      <w:pPr>
        <w:pStyle w:val="BodyText"/>
      </w:pPr>
      <w:r w:rsidRPr="00B90F6F">
        <w:t xml:space="preserve">Where: </w:t>
      </w:r>
    </w:p>
    <w:p w14:paraId="210D90B3" w14:textId="2A368F94" w:rsidR="00785DD7" w:rsidRPr="00B90F6F" w:rsidRDefault="00785DD7" w:rsidP="00BA0AE4">
      <w:pPr>
        <w:pStyle w:val="BodyText"/>
        <w:ind w:left="2977" w:hanging="1276"/>
      </w:pPr>
      <w:r w:rsidRPr="00B90F6F">
        <w:rPr>
          <w:i/>
          <w:iCs/>
        </w:rPr>
        <w:t>A</w:t>
      </w:r>
      <w:r w:rsidR="00B90F6F" w:rsidRPr="00B90F6F">
        <w:rPr>
          <w:i/>
          <w:iCs/>
        </w:rPr>
        <w:t>C</w:t>
      </w:r>
      <w:r w:rsidR="00EE691B">
        <w:rPr>
          <w:i/>
          <w:iCs/>
          <w:vertAlign w:val="subscript"/>
        </w:rPr>
        <w:t>k</w:t>
      </w:r>
      <w:r w:rsidR="00B90F6F">
        <w:rPr>
          <w:i/>
          <w:iCs/>
          <w:vertAlign w:val="subscript"/>
        </w:rPr>
        <w:t>,h</w:t>
      </w:r>
      <w:r w:rsidRPr="00B90F6F">
        <w:rPr>
          <w:i/>
          <w:iCs/>
        </w:rPr>
        <w:tab/>
      </w:r>
      <w:r w:rsidR="00BA0AE4">
        <w:t xml:space="preserve">is the </w:t>
      </w:r>
      <w:r w:rsidR="00D97149">
        <w:t>hourly</w:t>
      </w:r>
      <w:r w:rsidRPr="00B90F6F">
        <w:t xml:space="preserve"> </w:t>
      </w:r>
      <w:r w:rsidR="00B90F6F">
        <w:t>a</w:t>
      </w:r>
      <w:r w:rsidRPr="00B90F6F">
        <w:t xml:space="preserve">mount </w:t>
      </w:r>
      <w:r w:rsidR="008E1B36">
        <w:t>which may be</w:t>
      </w:r>
      <w:r w:rsidR="003A554D">
        <w:t xml:space="preserve"> paid as </w:t>
      </w:r>
      <w:r w:rsidR="00B90F6F">
        <w:t>compensat</w:t>
      </w:r>
      <w:r w:rsidR="003A554D">
        <w:t>ion</w:t>
      </w:r>
      <w:r w:rsidR="00B90F6F">
        <w:t xml:space="preserve"> to</w:t>
      </w:r>
      <w:r w:rsidRPr="00B90F6F">
        <w:t xml:space="preserve"> </w:t>
      </w:r>
      <w:r w:rsidR="00B90F6F">
        <w:t>Generator</w:t>
      </w:r>
      <w:r w:rsidRPr="00B90F6F">
        <w:rPr>
          <w:i/>
          <w:iCs/>
        </w:rPr>
        <w:t xml:space="preserve"> “</w:t>
      </w:r>
      <w:r w:rsidR="00EE691B">
        <w:rPr>
          <w:i/>
          <w:iCs/>
        </w:rPr>
        <w:t>k</w:t>
      </w:r>
      <w:r w:rsidRPr="00B90F6F">
        <w:rPr>
          <w:i/>
          <w:iCs/>
        </w:rPr>
        <w:t xml:space="preserve">” </w:t>
      </w:r>
      <w:r w:rsidR="00B90F6F">
        <w:t>during hour</w:t>
      </w:r>
      <w:r w:rsidR="00EE691B">
        <w:t xml:space="preserve"> </w:t>
      </w:r>
      <w:r w:rsidR="00B90F6F">
        <w:t xml:space="preserve">“h” </w:t>
      </w:r>
      <w:r w:rsidR="003A554D">
        <w:t>for</w:t>
      </w:r>
      <w:r w:rsidR="00B90F6F">
        <w:t xml:space="preserve"> the pro</w:t>
      </w:r>
      <w:r w:rsidR="00D97149">
        <w:t>visio</w:t>
      </w:r>
      <w:r w:rsidR="00B90F6F">
        <w:t>n of A</w:t>
      </w:r>
      <w:r w:rsidRPr="00B90F6F">
        <w:t xml:space="preserve">ncillary </w:t>
      </w:r>
      <w:r w:rsidR="00B90F6F">
        <w:t>S</w:t>
      </w:r>
      <w:r w:rsidRPr="00B90F6F">
        <w:t>ervices</w:t>
      </w:r>
      <w:r w:rsidR="00BA0AE4">
        <w:t>, in PKR</w:t>
      </w:r>
      <w:r w:rsidR="00B90F6F">
        <w:t>;</w:t>
      </w:r>
    </w:p>
    <w:p w14:paraId="718E2F53" w14:textId="26EFD1FD" w:rsidR="00BA0AE4" w:rsidRDefault="0033411F" w:rsidP="00BA0AE4">
      <w:pPr>
        <w:pStyle w:val="BodyText"/>
        <w:ind w:left="2977" w:hanging="1276"/>
      </w:pPr>
      <w:r>
        <w:rPr>
          <w:i/>
          <w:iCs/>
        </w:rPr>
        <w:t>L</w:t>
      </w:r>
      <w:r w:rsidR="005D69C5">
        <w:rPr>
          <w:i/>
          <w:iCs/>
        </w:rPr>
        <w:t>OCC</w:t>
      </w:r>
      <w:r w:rsidR="00BA0AE4" w:rsidRPr="000B6236">
        <w:rPr>
          <w:i/>
          <w:iCs/>
        </w:rPr>
        <w:t>_</w:t>
      </w:r>
      <w:r w:rsidR="00BA0AE4">
        <w:rPr>
          <w:i/>
          <w:iCs/>
        </w:rPr>
        <w:t>AS</w:t>
      </w:r>
      <w:r w:rsidR="0088020E">
        <w:rPr>
          <w:i/>
          <w:iCs/>
        </w:rPr>
        <w:t>C</w:t>
      </w:r>
      <w:r w:rsidR="00BA0AE4" w:rsidRPr="000B6236">
        <w:rPr>
          <w:i/>
          <w:iCs/>
          <w:vertAlign w:val="subscript"/>
        </w:rPr>
        <w:t>i,h</w:t>
      </w:r>
      <w:r w:rsidR="00BA0AE4">
        <w:tab/>
        <w:t xml:space="preserve">is the </w:t>
      </w:r>
      <w:r w:rsidR="00BA0AE4" w:rsidRPr="003B2116">
        <w:t xml:space="preserve">amount of Energy </w:t>
      </w:r>
      <w:r w:rsidR="003B2116" w:rsidRPr="003B2116">
        <w:t>for which compensation may be paid</w:t>
      </w:r>
      <w:r w:rsidR="00BA0AE4" w:rsidRPr="003B2116">
        <w:t xml:space="preserve"> to Generat</w:t>
      </w:r>
      <w:r w:rsidR="00EE691B" w:rsidRPr="003B2116">
        <w:t xml:space="preserve">ion Unit </w:t>
      </w:r>
      <w:r w:rsidR="00EE691B" w:rsidRPr="003B2116">
        <w:rPr>
          <w:i/>
          <w:iCs/>
        </w:rPr>
        <w:t>“i”</w:t>
      </w:r>
      <w:r w:rsidR="00BA0AE4" w:rsidRPr="003B2116">
        <w:t>,</w:t>
      </w:r>
      <w:r w:rsidR="00BA0AE4">
        <w:t xml:space="preserve"> </w:t>
      </w:r>
      <w:r w:rsidR="00BC752C">
        <w:t xml:space="preserve">during </w:t>
      </w:r>
      <w:r w:rsidR="00BA0AE4">
        <w:t xml:space="preserve">hour </w:t>
      </w:r>
      <w:r w:rsidR="00BA0AE4" w:rsidRPr="00657058">
        <w:rPr>
          <w:i/>
          <w:iCs/>
        </w:rPr>
        <w:t>h</w:t>
      </w:r>
      <w:r w:rsidR="00BA0AE4">
        <w:t xml:space="preserve">, due to the reduction in the Energy </w:t>
      </w:r>
      <w:r w:rsidR="003B2116">
        <w:t>generation</w:t>
      </w:r>
      <w:r w:rsidR="00BA0AE4">
        <w:t xml:space="preserve">, to </w:t>
      </w:r>
      <w:r w:rsidR="003B2116">
        <w:t>allow the provision of</w:t>
      </w:r>
      <w:r w:rsidR="003A554D">
        <w:t xml:space="preserve"> </w:t>
      </w:r>
      <w:r w:rsidR="00BA0AE4">
        <w:t>Ancillary Services, in MWh, calculated pursuant</w:t>
      </w:r>
      <w:r>
        <w:t xml:space="preserve"> to</w:t>
      </w:r>
      <w:r w:rsidR="00BA0AE4">
        <w:t xml:space="preserve"> Clause </w:t>
      </w:r>
      <w:r w:rsidR="00BA0AE4">
        <w:fldChar w:fldCharType="begin"/>
      </w:r>
      <w:r w:rsidR="00BA0AE4">
        <w:instrText xml:space="preserve"> REF _Ref64632086 \r \h </w:instrText>
      </w:r>
      <w:r w:rsidR="00BA0AE4">
        <w:fldChar w:fldCharType="separate"/>
      </w:r>
      <w:r w:rsidR="00251DBF">
        <w:t>7.3.2.2</w:t>
      </w:r>
      <w:r w:rsidR="00BA0AE4">
        <w:fldChar w:fldCharType="end"/>
      </w:r>
      <w:r w:rsidR="00FC02FD">
        <w:t>;</w:t>
      </w:r>
    </w:p>
    <w:p w14:paraId="6BEF3025" w14:textId="1C6C8DBD" w:rsidR="00BA0AE4" w:rsidRDefault="00BA0AE4" w:rsidP="00BA0AE4">
      <w:pPr>
        <w:pStyle w:val="BodyText"/>
        <w:ind w:left="2977" w:hanging="1276"/>
      </w:pPr>
      <w:r>
        <w:rPr>
          <w:i/>
          <w:iCs/>
        </w:rPr>
        <w:t>UPC</w:t>
      </w:r>
      <w:r w:rsidRPr="000B6236">
        <w:rPr>
          <w:i/>
          <w:iCs/>
        </w:rPr>
        <w:t>_</w:t>
      </w:r>
      <w:r>
        <w:rPr>
          <w:i/>
          <w:iCs/>
        </w:rPr>
        <w:t>AS</w:t>
      </w:r>
      <w:r w:rsidR="0088020E">
        <w:rPr>
          <w:i/>
          <w:iCs/>
        </w:rPr>
        <w:t>C</w:t>
      </w:r>
      <w:r>
        <w:rPr>
          <w:i/>
          <w:iCs/>
          <w:vertAlign w:val="subscript"/>
        </w:rPr>
        <w:t>j</w:t>
      </w:r>
      <w:r w:rsidRPr="000B6236">
        <w:rPr>
          <w:i/>
          <w:iCs/>
          <w:vertAlign w:val="subscript"/>
        </w:rPr>
        <w:t>,h</w:t>
      </w:r>
      <w:r>
        <w:tab/>
        <w:t xml:space="preserve">is the amount of Energy </w:t>
      </w:r>
      <w:r w:rsidR="003B2116">
        <w:t>for which compensation may be paid</w:t>
      </w:r>
      <w:r>
        <w:t xml:space="preserve"> to </w:t>
      </w:r>
      <w:r w:rsidR="00C57D16">
        <w:t>Generation</w:t>
      </w:r>
      <w:r w:rsidR="00EE691B">
        <w:t xml:space="preserve"> Unit “</w:t>
      </w:r>
      <w:r w:rsidR="00EE691B">
        <w:rPr>
          <w:i/>
          <w:iCs/>
        </w:rPr>
        <w:t>j”</w:t>
      </w:r>
      <w:r>
        <w:t xml:space="preserve">, in hour </w:t>
      </w:r>
      <w:r w:rsidRPr="00657058">
        <w:rPr>
          <w:i/>
          <w:iCs/>
        </w:rPr>
        <w:t>h</w:t>
      </w:r>
      <w:r>
        <w:t xml:space="preserve">, due to the increase in the Energy </w:t>
      </w:r>
      <w:r w:rsidR="003B2116">
        <w:t xml:space="preserve">generation having </w:t>
      </w:r>
      <w:r w:rsidR="00EE691B">
        <w:t>Variable Generation C</w:t>
      </w:r>
      <w:r>
        <w:t xml:space="preserve">osts above the </w:t>
      </w:r>
      <w:r w:rsidR="00EE691B">
        <w:t xml:space="preserve">System </w:t>
      </w:r>
      <w:r>
        <w:t xml:space="preserve">Marginal </w:t>
      </w:r>
      <w:r w:rsidR="00EE691B">
        <w:t>Price</w:t>
      </w:r>
      <w:r>
        <w:t xml:space="preserve">, to allow the </w:t>
      </w:r>
      <w:r w:rsidR="003B2116">
        <w:t xml:space="preserve">provision </w:t>
      </w:r>
      <w:r>
        <w:t>of Ancillary Services</w:t>
      </w:r>
      <w:r w:rsidR="00DA761A">
        <w:t>, calculated pursuant</w:t>
      </w:r>
      <w:r w:rsidR="0033411F">
        <w:t xml:space="preserve"> to Clause</w:t>
      </w:r>
      <w:r>
        <w:t xml:space="preserve"> </w:t>
      </w:r>
      <w:r>
        <w:fldChar w:fldCharType="begin"/>
      </w:r>
      <w:r>
        <w:instrText xml:space="preserve"> REF _Ref64632106 \r \h </w:instrText>
      </w:r>
      <w:r>
        <w:fldChar w:fldCharType="separate"/>
      </w:r>
      <w:r w:rsidR="00251DBF">
        <w:t>7.3.3.2</w:t>
      </w:r>
      <w:r>
        <w:fldChar w:fldCharType="end"/>
      </w:r>
      <w:r w:rsidR="00FC02FD">
        <w:t>;</w:t>
      </w:r>
    </w:p>
    <w:p w14:paraId="2074F54D" w14:textId="22492DE5" w:rsidR="00785DD7" w:rsidRPr="00B90F6F" w:rsidRDefault="00785DD7" w:rsidP="00B30626">
      <w:pPr>
        <w:pStyle w:val="BodyText"/>
        <w:ind w:left="2977" w:hanging="1276"/>
      </w:pPr>
      <w:r w:rsidRPr="00B90F6F">
        <w:rPr>
          <w:i/>
          <w:iCs/>
        </w:rPr>
        <w:t>M</w:t>
      </w:r>
      <w:r w:rsidR="00BA0AE4">
        <w:rPr>
          <w:i/>
          <w:iCs/>
        </w:rPr>
        <w:t>arg</w:t>
      </w:r>
      <w:r w:rsidRPr="00B90F6F">
        <w:rPr>
          <w:i/>
          <w:iCs/>
          <w:vertAlign w:val="subscript"/>
        </w:rPr>
        <w:t>h</w:t>
      </w:r>
      <w:r w:rsidRPr="00B90F6F">
        <w:tab/>
        <w:t xml:space="preserve">is </w:t>
      </w:r>
      <w:r w:rsidR="00BA0AE4">
        <w:t>the S</w:t>
      </w:r>
      <w:r w:rsidRPr="00B90F6F">
        <w:t xml:space="preserve">ystem </w:t>
      </w:r>
      <w:r w:rsidR="00BA0AE4">
        <w:t>M</w:t>
      </w:r>
      <w:r w:rsidRPr="00B90F6F">
        <w:t xml:space="preserve">arginal </w:t>
      </w:r>
      <w:r w:rsidR="00BA0AE4">
        <w:t>P</w:t>
      </w:r>
      <w:r w:rsidRPr="00B90F6F">
        <w:t xml:space="preserve">rice of hour </w:t>
      </w:r>
      <w:r w:rsidRPr="00B90F6F">
        <w:rPr>
          <w:i/>
          <w:iCs/>
        </w:rPr>
        <w:t>“h”</w:t>
      </w:r>
      <w:r w:rsidRPr="00B90F6F">
        <w:t>, determined by the System Operator</w:t>
      </w:r>
      <w:r w:rsidR="00BA0AE4">
        <w:t xml:space="preserve"> pursuant</w:t>
      </w:r>
      <w:r w:rsidR="0033411F">
        <w:t xml:space="preserve"> to</w:t>
      </w:r>
      <w:r w:rsidR="00BA0AE4">
        <w:t xml:space="preserve"> Section </w:t>
      </w:r>
      <w:r w:rsidR="00BA0AE4">
        <w:fldChar w:fldCharType="begin"/>
      </w:r>
      <w:r w:rsidR="00BA0AE4">
        <w:instrText xml:space="preserve"> REF _Ref59631781 \r \h </w:instrText>
      </w:r>
      <w:r w:rsidR="00BA0AE4">
        <w:fldChar w:fldCharType="separate"/>
      </w:r>
      <w:r w:rsidR="00251DBF">
        <w:t>6.5</w:t>
      </w:r>
      <w:r w:rsidR="00BA0AE4">
        <w:fldChar w:fldCharType="end"/>
      </w:r>
      <w:r w:rsidR="00BA0AE4">
        <w:t>;</w:t>
      </w:r>
    </w:p>
    <w:p w14:paraId="41F35AE2" w14:textId="6BEDE489" w:rsidR="00785DD7" w:rsidRDefault="00785DD7" w:rsidP="00B30626">
      <w:pPr>
        <w:pStyle w:val="BodyText"/>
        <w:ind w:left="2977" w:hanging="1276"/>
      </w:pPr>
      <w:r w:rsidRPr="00B90F6F">
        <w:rPr>
          <w:i/>
          <w:iCs/>
        </w:rPr>
        <w:t>VC</w:t>
      </w:r>
      <w:r w:rsidR="00C57D16">
        <w:rPr>
          <w:i/>
          <w:iCs/>
          <w:vertAlign w:val="subscript"/>
        </w:rPr>
        <w:t>j</w:t>
      </w:r>
      <w:r w:rsidRPr="00B90F6F">
        <w:tab/>
        <w:t xml:space="preserve">is the </w:t>
      </w:r>
      <w:r w:rsidR="00EE691B">
        <w:t>V</w:t>
      </w:r>
      <w:r w:rsidR="00EE691B" w:rsidRPr="00B90F6F">
        <w:t xml:space="preserve">ariable </w:t>
      </w:r>
      <w:r w:rsidR="00EE691B">
        <w:t>Generation C</w:t>
      </w:r>
      <w:r w:rsidR="00EE691B" w:rsidRPr="00B90F6F">
        <w:t xml:space="preserve">ost </w:t>
      </w:r>
      <w:r w:rsidRPr="00B90F6F">
        <w:t xml:space="preserve">of </w:t>
      </w:r>
      <w:r w:rsidR="00EE691B">
        <w:t>Generation Unit</w:t>
      </w:r>
      <w:r w:rsidR="00EE691B" w:rsidRPr="00B90F6F">
        <w:t xml:space="preserve"> </w:t>
      </w:r>
      <w:r w:rsidRPr="00B90F6F">
        <w:rPr>
          <w:i/>
          <w:iCs/>
        </w:rPr>
        <w:t>“</w:t>
      </w:r>
      <w:r w:rsidR="00C57D16">
        <w:rPr>
          <w:i/>
          <w:iCs/>
        </w:rPr>
        <w:t>j</w:t>
      </w:r>
      <w:r w:rsidRPr="00B90F6F">
        <w:rPr>
          <w:i/>
          <w:iCs/>
        </w:rPr>
        <w:t>”</w:t>
      </w:r>
      <w:r w:rsidR="00BA0AE4">
        <w:rPr>
          <w:i/>
          <w:iCs/>
        </w:rPr>
        <w:t xml:space="preserve"> </w:t>
      </w:r>
      <w:r w:rsidR="00BC752C">
        <w:t xml:space="preserve">during </w:t>
      </w:r>
      <w:r w:rsidR="00BA0AE4">
        <w:t xml:space="preserve">hour </w:t>
      </w:r>
      <w:r w:rsidR="00BA0AE4" w:rsidRPr="00BA0AE4">
        <w:rPr>
          <w:i/>
          <w:iCs/>
        </w:rPr>
        <w:t>“h”</w:t>
      </w:r>
      <w:r w:rsidR="00BA0AE4">
        <w:t xml:space="preserve">, </w:t>
      </w:r>
      <w:r w:rsidR="0033411F">
        <w:t xml:space="preserve">communicated </w:t>
      </w:r>
      <w:r w:rsidR="00BA0AE4">
        <w:t xml:space="preserve">by the </w:t>
      </w:r>
      <w:r w:rsidR="0033411F">
        <w:t>System Operator to the Market Operator</w:t>
      </w:r>
      <w:r w:rsidR="00BA0AE4">
        <w:t>;</w:t>
      </w:r>
    </w:p>
    <w:p w14:paraId="4F4C8459" w14:textId="5D3AB583" w:rsidR="00207244" w:rsidRPr="00B30626" w:rsidRDefault="004D6075" w:rsidP="00B30626">
      <w:pPr>
        <w:pStyle w:val="BodyText"/>
        <w:ind w:left="2977" w:hanging="1276"/>
        <w:jc w:val="left"/>
        <w:rPr>
          <w:i/>
          <w:iCs/>
        </w:rPr>
      </w:pPr>
      <m:oMath>
        <m:nary>
          <m:naryPr>
            <m:chr m:val="∑"/>
            <m:limLoc m:val="undOvr"/>
            <m:supHide m:val="1"/>
            <m:ctrlPr>
              <w:rPr>
                <w:rFonts w:ascii="Cambria Math" w:hAnsi="Cambria Math"/>
                <w:i/>
                <w:iCs/>
              </w:rPr>
            </m:ctrlPr>
          </m:naryPr>
          <m:sub>
            <m:r>
              <w:rPr>
                <w:rFonts w:ascii="Cambria Math" w:hAnsi="Cambria Math"/>
              </w:rPr>
              <m:t>i∈k</m:t>
            </m:r>
          </m:sub>
          <m:sup/>
          <m:e/>
        </m:nary>
      </m:oMath>
      <w:r w:rsidR="00207244">
        <w:rPr>
          <w:rFonts w:eastAsiaTheme="minorEastAsia"/>
          <w:i/>
          <w:iCs/>
        </w:rPr>
        <w:tab/>
      </w:r>
      <w:r w:rsidR="00207244" w:rsidRPr="00B30626">
        <w:rPr>
          <w:rFonts w:eastAsiaTheme="minorEastAsia"/>
        </w:rPr>
        <w:t xml:space="preserve">is the sum over all Generation Units </w:t>
      </w:r>
      <w:r w:rsidR="00207244" w:rsidRPr="00B30626">
        <w:rPr>
          <w:rFonts w:eastAsiaTheme="minorEastAsia"/>
          <w:i/>
          <w:iCs/>
        </w:rPr>
        <w:t>“</w:t>
      </w:r>
      <w:r w:rsidR="00B30626" w:rsidRPr="00B30626">
        <w:rPr>
          <w:rFonts w:eastAsiaTheme="minorEastAsia"/>
          <w:i/>
          <w:iCs/>
        </w:rPr>
        <w:t>i</w:t>
      </w:r>
      <w:r w:rsidR="00207244" w:rsidRPr="00B30626">
        <w:rPr>
          <w:rFonts w:eastAsiaTheme="minorEastAsia"/>
          <w:i/>
          <w:iCs/>
        </w:rPr>
        <w:t>”</w:t>
      </w:r>
      <w:r w:rsidR="00207244" w:rsidRPr="00B30626">
        <w:rPr>
          <w:rFonts w:eastAsiaTheme="minorEastAsia"/>
        </w:rPr>
        <w:t xml:space="preserve"> which belongs to Generator </w:t>
      </w:r>
      <w:r w:rsidR="00207244" w:rsidRPr="00B30626">
        <w:rPr>
          <w:rFonts w:eastAsiaTheme="minorEastAsia"/>
          <w:i/>
          <w:iCs/>
        </w:rPr>
        <w:t>“k”</w:t>
      </w:r>
      <w:r w:rsidR="00FC02FD">
        <w:rPr>
          <w:rFonts w:eastAsiaTheme="minorEastAsia"/>
          <w:i/>
          <w:iCs/>
        </w:rPr>
        <w:t>;</w:t>
      </w:r>
    </w:p>
    <w:p w14:paraId="5A564512" w14:textId="38155484" w:rsidR="00B30626" w:rsidRPr="00B30626" w:rsidRDefault="004D6075" w:rsidP="00B30626">
      <w:pPr>
        <w:pStyle w:val="BodyText"/>
        <w:ind w:left="2977" w:hanging="1276"/>
        <w:jc w:val="left"/>
      </w:pPr>
      <m:oMath>
        <m:nary>
          <m:naryPr>
            <m:chr m:val="∑"/>
            <m:limLoc m:val="undOvr"/>
            <m:supHide m:val="1"/>
            <m:ctrlPr>
              <w:rPr>
                <w:rFonts w:ascii="Cambria Math" w:hAnsi="Cambria Math"/>
                <w:i/>
                <w:iCs/>
              </w:rPr>
            </m:ctrlPr>
          </m:naryPr>
          <m:sub>
            <m:r>
              <w:rPr>
                <w:rFonts w:ascii="Cambria Math" w:hAnsi="Cambria Math"/>
              </w:rPr>
              <m:t>j∈k</m:t>
            </m:r>
          </m:sub>
          <m:sup/>
          <m:e/>
        </m:nary>
      </m:oMath>
      <w:r w:rsidR="00B30626">
        <w:rPr>
          <w:rFonts w:eastAsiaTheme="minorEastAsia"/>
          <w:i/>
          <w:iCs/>
        </w:rPr>
        <w:tab/>
      </w:r>
      <w:r w:rsidR="00B30626" w:rsidRPr="00B30626">
        <w:rPr>
          <w:rFonts w:eastAsiaTheme="minorEastAsia"/>
        </w:rPr>
        <w:t xml:space="preserve">is the sum over all Generation Units </w:t>
      </w:r>
      <w:r w:rsidR="00B30626" w:rsidRPr="00B30626">
        <w:rPr>
          <w:rFonts w:eastAsiaTheme="minorEastAsia"/>
          <w:i/>
          <w:iCs/>
        </w:rPr>
        <w:t>“j”</w:t>
      </w:r>
      <w:r w:rsidR="00B30626" w:rsidRPr="00B30626">
        <w:rPr>
          <w:rFonts w:eastAsiaTheme="minorEastAsia"/>
        </w:rPr>
        <w:t xml:space="preserve"> which belongs to Generator </w:t>
      </w:r>
      <w:r w:rsidR="00B30626" w:rsidRPr="00B30626">
        <w:rPr>
          <w:rFonts w:eastAsiaTheme="minorEastAsia"/>
          <w:i/>
          <w:iCs/>
        </w:rPr>
        <w:t>“k”</w:t>
      </w:r>
      <w:r w:rsidR="00B30626">
        <w:rPr>
          <w:rFonts w:eastAsiaTheme="minorEastAsia"/>
          <w:i/>
          <w:iCs/>
        </w:rPr>
        <w:t>.</w:t>
      </w:r>
    </w:p>
    <w:p w14:paraId="21A06F34" w14:textId="0A4B4E17" w:rsidR="00D958D8" w:rsidRDefault="00BA0AE4" w:rsidP="005B295A">
      <w:pPr>
        <w:pStyle w:val="Heading4"/>
      </w:pPr>
      <w:r>
        <w:t xml:space="preserve">The </w:t>
      </w:r>
      <w:r w:rsidRPr="00B90F6F">
        <w:t xml:space="preserve">Market Operator shall determine the </w:t>
      </w:r>
      <w:r w:rsidR="0033411F">
        <w:t xml:space="preserve">total </w:t>
      </w:r>
      <w:r w:rsidR="00D97149">
        <w:t xml:space="preserve">monthly </w:t>
      </w:r>
      <w:r w:rsidRPr="00B90F6F">
        <w:t xml:space="preserve">compensation </w:t>
      </w:r>
      <w:r w:rsidR="00D97149">
        <w:t>to</w:t>
      </w:r>
      <w:r w:rsidRPr="00B90F6F">
        <w:t xml:space="preserve"> </w:t>
      </w:r>
      <w:r w:rsidR="003A554D">
        <w:t xml:space="preserve">a </w:t>
      </w:r>
      <w:r w:rsidRPr="00B90F6F">
        <w:t xml:space="preserve">Generator, </w:t>
      </w:r>
      <w:r w:rsidR="003A554D">
        <w:t>for</w:t>
      </w:r>
      <w:r w:rsidRPr="00B90F6F">
        <w:t xml:space="preserve"> the provision of Ancillary Services</w:t>
      </w:r>
      <w:r>
        <w:t xml:space="preserve">, </w:t>
      </w:r>
      <w:r w:rsidR="00D958D8">
        <w:t xml:space="preserve">as the sum, over all the hours of the </w:t>
      </w:r>
      <w:r w:rsidR="003A554D">
        <w:t xml:space="preserve">Energy </w:t>
      </w:r>
      <w:r w:rsidR="005A4FF6">
        <w:t>S</w:t>
      </w:r>
      <w:r w:rsidR="00D958D8">
        <w:t xml:space="preserve">ettlement </w:t>
      </w:r>
      <w:r w:rsidR="005A4FF6">
        <w:t>P</w:t>
      </w:r>
      <w:r w:rsidR="00D958D8">
        <w:t xml:space="preserve">eriod, </w:t>
      </w:r>
      <w:r w:rsidR="00B30626">
        <w:t xml:space="preserve">of </w:t>
      </w:r>
      <w:r w:rsidR="00D958D8">
        <w:t>the hourly compensation</w:t>
      </w:r>
      <w:r w:rsidR="003A554D">
        <w:t xml:space="preserve"> as provided in Clause </w:t>
      </w:r>
      <w:r w:rsidR="003B2116">
        <w:rPr>
          <w:highlight w:val="yellow"/>
        </w:rPr>
        <w:fldChar w:fldCharType="begin"/>
      </w:r>
      <w:r w:rsidR="003B2116">
        <w:instrText xml:space="preserve"> REF _Ref65931942 \n \h </w:instrText>
      </w:r>
      <w:r w:rsidR="003B2116">
        <w:rPr>
          <w:highlight w:val="yellow"/>
        </w:rPr>
      </w:r>
      <w:r w:rsidR="003B2116">
        <w:rPr>
          <w:highlight w:val="yellow"/>
        </w:rPr>
        <w:fldChar w:fldCharType="separate"/>
      </w:r>
      <w:r w:rsidR="003B2116">
        <w:t>7.3.4.1</w:t>
      </w:r>
      <w:r w:rsidR="003B2116">
        <w:rPr>
          <w:highlight w:val="yellow"/>
        </w:rPr>
        <w:fldChar w:fldCharType="end"/>
      </w:r>
      <w:r w:rsidR="003B2116">
        <w:t xml:space="preserve"> </w:t>
      </w:r>
      <w:r w:rsidR="003A554D">
        <w:t>above,</w:t>
      </w:r>
      <w:r w:rsidR="00D958D8">
        <w:t xml:space="preserve"> plus the additional compensations </w:t>
      </w:r>
      <w:r w:rsidR="003A554D">
        <w:t>as provided</w:t>
      </w:r>
      <w:r w:rsidR="003A554D" w:rsidRPr="00012FBD">
        <w:t xml:space="preserve"> </w:t>
      </w:r>
      <w:r w:rsidR="00D958D8" w:rsidRPr="00012FBD">
        <w:t xml:space="preserve">in Clause </w:t>
      </w:r>
      <w:r w:rsidR="00012FBD" w:rsidRPr="00012FBD">
        <w:fldChar w:fldCharType="begin"/>
      </w:r>
      <w:r w:rsidR="00012FBD" w:rsidRPr="00012FBD">
        <w:instrText xml:space="preserve"> REF _Ref64641025 \r \h </w:instrText>
      </w:r>
      <w:r w:rsidR="00012FBD">
        <w:instrText xml:space="preserve"> \* MERGEFORMAT </w:instrText>
      </w:r>
      <w:r w:rsidR="00012FBD" w:rsidRPr="00012FBD">
        <w:fldChar w:fldCharType="separate"/>
      </w:r>
      <w:r w:rsidR="00251DBF">
        <w:t>7.3.4.3</w:t>
      </w:r>
      <w:r w:rsidR="00012FBD" w:rsidRPr="00012FBD">
        <w:fldChar w:fldCharType="end"/>
      </w:r>
      <w:r w:rsidR="00950A9B">
        <w:t xml:space="preserve"> below</w:t>
      </w:r>
      <w:r w:rsidR="00D958D8" w:rsidRPr="00012FBD">
        <w:t xml:space="preserve">, if </w:t>
      </w:r>
      <w:r w:rsidR="0033411F">
        <w:t>applicable.</w:t>
      </w:r>
    </w:p>
    <w:p w14:paraId="6D2A2058" w14:textId="6B18E0A4" w:rsidR="00EA1860" w:rsidRDefault="00EA1860" w:rsidP="005B295A">
      <w:pPr>
        <w:pStyle w:val="Heading4"/>
      </w:pPr>
      <w:bookmarkStart w:id="290" w:name="_Ref64641025"/>
      <w:r>
        <w:t xml:space="preserve">Generators which </w:t>
      </w:r>
      <w:r w:rsidR="003A554D">
        <w:t>were</w:t>
      </w:r>
      <w:r>
        <w:t xml:space="preserve"> instructed by the System Operator to start a Generation Unit and connect it to the </w:t>
      </w:r>
      <w:r w:rsidR="0033411F">
        <w:t>Grid System</w:t>
      </w:r>
      <w:r>
        <w:t xml:space="preserve">, </w:t>
      </w:r>
      <w:r w:rsidR="003A554D">
        <w:t>for</w:t>
      </w:r>
      <w:r w:rsidR="00861C41">
        <w:t xml:space="preserve"> allowing</w:t>
      </w:r>
      <w:r w:rsidR="003A554D">
        <w:t xml:space="preserve"> </w:t>
      </w:r>
      <w:r w:rsidRPr="00B90F6F">
        <w:t>the provision of Ancillary Services</w:t>
      </w:r>
      <w:r>
        <w:t xml:space="preserve"> </w:t>
      </w:r>
      <w:r w:rsidR="003A554D">
        <w:t xml:space="preserve">may be eligible to  receive </w:t>
      </w:r>
      <w:r>
        <w:t>an additional compensation for such additional number of starts.</w:t>
      </w:r>
    </w:p>
    <w:p w14:paraId="0496A990" w14:textId="5FA733B9" w:rsidR="000D5721" w:rsidRDefault="00012FBD" w:rsidP="005B295A">
      <w:pPr>
        <w:pStyle w:val="Heading4"/>
      </w:pPr>
      <w:bookmarkStart w:id="291" w:name="_Ref67669185"/>
      <w:bookmarkEnd w:id="290"/>
      <w:r>
        <w:t xml:space="preserve">For cases </w:t>
      </w:r>
      <w:r w:rsidR="003A554D">
        <w:t xml:space="preserve">where </w:t>
      </w:r>
      <w:r>
        <w:t xml:space="preserve">Clause </w:t>
      </w:r>
      <w:r>
        <w:fldChar w:fldCharType="begin"/>
      </w:r>
      <w:r>
        <w:instrText xml:space="preserve"> REF _Ref64641025 \r \h </w:instrText>
      </w:r>
      <w:r>
        <w:fldChar w:fldCharType="separate"/>
      </w:r>
      <w:r w:rsidR="00251DBF">
        <w:t>7.3.4.3</w:t>
      </w:r>
      <w:r>
        <w:fldChar w:fldCharType="end"/>
      </w:r>
      <w:r w:rsidR="003A554D">
        <w:t xml:space="preserve"> above is applicable</w:t>
      </w:r>
      <w:r>
        <w:t xml:space="preserve">, the System Operator shall </w:t>
      </w:r>
      <w:r w:rsidR="003A554D">
        <w:t xml:space="preserve">inform </w:t>
      </w:r>
      <w:r>
        <w:t>the Market Operator, at the end of each month</w:t>
      </w:r>
      <w:r w:rsidR="000D5721">
        <w:t>:</w:t>
      </w:r>
      <w:bookmarkEnd w:id="291"/>
      <w:r w:rsidR="000D5721">
        <w:t xml:space="preserve"> </w:t>
      </w:r>
    </w:p>
    <w:p w14:paraId="53223769" w14:textId="500D4998" w:rsidR="00012FBD" w:rsidRDefault="00FC02FD" w:rsidP="00B03234">
      <w:pPr>
        <w:pStyle w:val="Heading5"/>
      </w:pPr>
      <w:r>
        <w:t>t</w:t>
      </w:r>
      <w:r w:rsidR="00012FBD">
        <w:t xml:space="preserve">he </w:t>
      </w:r>
      <w:r w:rsidR="0033411F">
        <w:t xml:space="preserve">list of </w:t>
      </w:r>
      <w:r w:rsidR="00012FBD">
        <w:t xml:space="preserve">Generators which </w:t>
      </w:r>
      <w:r w:rsidR="003A554D">
        <w:t xml:space="preserve">may be eligible </w:t>
      </w:r>
      <w:r w:rsidR="00012FBD">
        <w:t xml:space="preserve">to receive compensation for </w:t>
      </w:r>
      <w:r w:rsidR="00EA1860">
        <w:t xml:space="preserve">the </w:t>
      </w:r>
      <w:r w:rsidR="00012FBD">
        <w:t>number of starts</w:t>
      </w:r>
      <w:r w:rsidR="00B30626">
        <w:t xml:space="preserve"> </w:t>
      </w:r>
      <w:r w:rsidR="00EA1860">
        <w:t xml:space="preserve">of a Generation Unit, </w:t>
      </w:r>
      <w:r w:rsidR="008354AD">
        <w:t>for</w:t>
      </w:r>
      <w:r w:rsidR="00EA1860">
        <w:t xml:space="preserve"> </w:t>
      </w:r>
      <w:r w:rsidR="00861C41">
        <w:t xml:space="preserve">allowing </w:t>
      </w:r>
      <w:r w:rsidR="00EA1860">
        <w:t>the provision of Ancillary Services</w:t>
      </w:r>
      <w:r w:rsidR="00012FBD">
        <w:t xml:space="preserve">; </w:t>
      </w:r>
    </w:p>
    <w:p w14:paraId="0F965362" w14:textId="63000AB0" w:rsidR="00012FBD" w:rsidRPr="00EA1860" w:rsidRDefault="00FC02FD" w:rsidP="00B03234">
      <w:pPr>
        <w:pStyle w:val="Heading5"/>
      </w:pPr>
      <w:r>
        <w:t>t</w:t>
      </w:r>
      <w:r w:rsidR="00012FBD">
        <w:t>he total number of starts</w:t>
      </w:r>
      <w:r w:rsidR="00EA1860">
        <w:t xml:space="preserve">, </w:t>
      </w:r>
      <w:r w:rsidR="008354AD">
        <w:t>for</w:t>
      </w:r>
      <w:r w:rsidR="00EA1860">
        <w:t xml:space="preserve"> </w:t>
      </w:r>
      <w:r w:rsidR="00861C41">
        <w:t xml:space="preserve">allowing </w:t>
      </w:r>
      <w:r w:rsidR="00EA1860">
        <w:t>the provision of Ancillary Services,</w:t>
      </w:r>
      <w:r w:rsidR="00012FBD">
        <w:t xml:space="preserve"> of </w:t>
      </w:r>
      <w:r w:rsidR="00012FBD" w:rsidRPr="00EA1860">
        <w:t>the Generat</w:t>
      </w:r>
      <w:r w:rsidR="00B30626" w:rsidRPr="00EA1860">
        <w:t>ion Unit</w:t>
      </w:r>
      <w:r w:rsidR="00012FBD" w:rsidRPr="00EA1860">
        <w:t xml:space="preserve">, during the previous calendar month; </w:t>
      </w:r>
    </w:p>
    <w:p w14:paraId="7BB2ACB6" w14:textId="43AFA77D" w:rsidR="00E619E6" w:rsidRDefault="00FC02FD" w:rsidP="00B03234">
      <w:pPr>
        <w:pStyle w:val="Heading5"/>
      </w:pPr>
      <w:bookmarkStart w:id="292" w:name="_Ref67669235"/>
      <w:r>
        <w:lastRenderedPageBreak/>
        <w:t>t</w:t>
      </w:r>
      <w:r w:rsidR="00012FBD" w:rsidRPr="00EA1860">
        <w:t>he</w:t>
      </w:r>
      <w:r w:rsidR="00EA1860" w:rsidRPr="00EA1860">
        <w:t xml:space="preserve"> unitary</w:t>
      </w:r>
      <w:r w:rsidR="00012FBD" w:rsidRPr="00EA1860">
        <w:t xml:space="preserve"> </w:t>
      </w:r>
      <w:r w:rsidR="00EA1860" w:rsidRPr="00EA1860">
        <w:t xml:space="preserve">cost for each start of the </w:t>
      </w:r>
      <w:r w:rsidR="008354AD">
        <w:t>relevant</w:t>
      </w:r>
      <w:r w:rsidR="008354AD" w:rsidRPr="00EA1860">
        <w:t xml:space="preserve"> </w:t>
      </w:r>
      <w:r w:rsidR="00EA1860" w:rsidRPr="00EA1860">
        <w:t>Gen</w:t>
      </w:r>
      <w:r w:rsidR="00950A9B">
        <w:t>e</w:t>
      </w:r>
      <w:r w:rsidR="00EA1860" w:rsidRPr="00EA1860">
        <w:t>ration Unit</w:t>
      </w:r>
      <w:r w:rsidR="008354AD">
        <w:t>,</w:t>
      </w:r>
      <w:r w:rsidR="00B261B5">
        <w:t xml:space="preserve"> which shall be:</w:t>
      </w:r>
      <w:r w:rsidR="00E619E6">
        <w:t xml:space="preserve"> </w:t>
      </w:r>
      <w:bookmarkEnd w:id="292"/>
    </w:p>
    <w:p w14:paraId="695824F1" w14:textId="0DC130A7" w:rsidR="00E619E6" w:rsidRPr="00E619E6" w:rsidRDefault="008354AD" w:rsidP="00CF7164">
      <w:pPr>
        <w:pStyle w:val="Heading6"/>
      </w:pPr>
      <w:bookmarkStart w:id="293" w:name="_Ref75870300"/>
      <w:r>
        <w:t>t</w:t>
      </w:r>
      <w:r w:rsidR="00E619E6" w:rsidRPr="00E619E6">
        <w:t xml:space="preserve">he cost </w:t>
      </w:r>
      <w:r>
        <w:t>as agreed</w:t>
      </w:r>
      <w:r w:rsidRPr="00E619E6">
        <w:t xml:space="preserve"> </w:t>
      </w:r>
      <w:r w:rsidR="00E619E6" w:rsidRPr="00E619E6">
        <w:t>in the PPA, for Legacy Contracts</w:t>
      </w:r>
      <w:r w:rsidR="00950A9B">
        <w:t>,</w:t>
      </w:r>
      <w:r w:rsidR="00E619E6" w:rsidRPr="00E619E6">
        <w:t xml:space="preserve"> which explicitly state this as an item for payment;</w:t>
      </w:r>
      <w:bookmarkEnd w:id="293"/>
      <w:r w:rsidR="00E619E6" w:rsidRPr="00E619E6">
        <w:t xml:space="preserve"> </w:t>
      </w:r>
    </w:p>
    <w:p w14:paraId="4FF00F6C" w14:textId="4BE67CE6" w:rsidR="00E619E6" w:rsidRPr="00E619E6" w:rsidRDefault="008354AD" w:rsidP="00CF7164">
      <w:pPr>
        <w:pStyle w:val="Heading6"/>
      </w:pPr>
      <w:r>
        <w:t xml:space="preserve">for contracts not falling under </w:t>
      </w:r>
      <w:r w:rsidR="00861C41">
        <w:rPr>
          <w:highlight w:val="yellow"/>
        </w:rPr>
        <w:fldChar w:fldCharType="begin"/>
      </w:r>
      <w:r w:rsidR="00861C41">
        <w:instrText xml:space="preserve"> REF _Ref75870300 \w \h </w:instrText>
      </w:r>
      <w:r w:rsidR="00861C41">
        <w:rPr>
          <w:highlight w:val="yellow"/>
        </w:rPr>
      </w:r>
      <w:r w:rsidR="00861C41">
        <w:rPr>
          <w:highlight w:val="yellow"/>
        </w:rPr>
        <w:fldChar w:fldCharType="separate"/>
      </w:r>
      <w:r w:rsidR="00861C41">
        <w:t>7.3.4.4.c.1</w:t>
      </w:r>
      <w:r w:rsidR="00861C41">
        <w:rPr>
          <w:highlight w:val="yellow"/>
        </w:rPr>
        <w:fldChar w:fldCharType="end"/>
      </w:r>
      <w:r>
        <w:t xml:space="preserve"> above, t</w:t>
      </w:r>
      <w:r w:rsidR="00E619E6" w:rsidRPr="00E619E6">
        <w:t xml:space="preserve">he </w:t>
      </w:r>
      <w:r>
        <w:t>start-up</w:t>
      </w:r>
      <w:r w:rsidRPr="00E619E6">
        <w:t xml:space="preserve"> </w:t>
      </w:r>
      <w:r w:rsidR="00E619E6" w:rsidRPr="00E619E6">
        <w:t xml:space="preserve">cost of the </w:t>
      </w:r>
      <w:r>
        <w:t>relevant</w:t>
      </w:r>
      <w:r w:rsidRPr="00E619E6">
        <w:t xml:space="preserve"> </w:t>
      </w:r>
      <w:r w:rsidR="00E619E6" w:rsidRPr="00E619E6">
        <w:t xml:space="preserve">Generation Unit, communicated by the Generator to the System Operator. The System Operator shall verify the appropriateness and adequacy </w:t>
      </w:r>
      <w:r w:rsidR="00E619E6">
        <w:t>of the start</w:t>
      </w:r>
      <w:r>
        <w:t>-up</w:t>
      </w:r>
      <w:r w:rsidR="00E619E6">
        <w:t xml:space="preserve"> cost communicated by the Generator</w:t>
      </w:r>
      <w:r w:rsidR="00E619E6" w:rsidRPr="00E619E6">
        <w:t xml:space="preserve"> </w:t>
      </w:r>
      <w:r w:rsidR="00E619E6">
        <w:t xml:space="preserve">before registering it in the </w:t>
      </w:r>
      <w:r>
        <w:t xml:space="preserve">relevant </w:t>
      </w:r>
      <w:r w:rsidR="00E619E6">
        <w:t>database</w:t>
      </w:r>
      <w:r w:rsidR="00E619E6" w:rsidRPr="00E619E6">
        <w:t>.</w:t>
      </w:r>
    </w:p>
    <w:p w14:paraId="2EFCC75A" w14:textId="45BD0808" w:rsidR="00BA0AE4" w:rsidRDefault="005237CD" w:rsidP="005B295A">
      <w:pPr>
        <w:pStyle w:val="Heading4"/>
      </w:pPr>
      <w:bookmarkStart w:id="294" w:name="_Ref64652811"/>
      <w:r>
        <w:t>T</w:t>
      </w:r>
      <w:r w:rsidRPr="005237CD">
        <w:t xml:space="preserve">he </w:t>
      </w:r>
      <w:r w:rsidR="00B261B5" w:rsidRPr="005237CD">
        <w:t xml:space="preserve">total </w:t>
      </w:r>
      <w:r w:rsidRPr="005237CD">
        <w:t xml:space="preserve">monthly compensation to </w:t>
      </w:r>
      <w:r>
        <w:t xml:space="preserve">a </w:t>
      </w:r>
      <w:r w:rsidRPr="005237CD">
        <w:t>Generator</w:t>
      </w:r>
      <w:r w:rsidR="00B261B5">
        <w:t xml:space="preserve"> for</w:t>
      </w:r>
      <w:r w:rsidRPr="005237CD">
        <w:t xml:space="preserve"> the provision of Ancillary Services </w:t>
      </w:r>
      <w:r w:rsidR="00D958D8">
        <w:t>shall be calculated as</w:t>
      </w:r>
      <w:r w:rsidR="008354AD">
        <w:t xml:space="preserve"> under</w:t>
      </w:r>
      <w:r w:rsidR="00D958D8">
        <w:t>:</w:t>
      </w:r>
      <w:bookmarkEnd w:id="294"/>
      <w:r w:rsidR="00D958D8">
        <w:t xml:space="preserve"> </w:t>
      </w:r>
    </w:p>
    <w:p w14:paraId="695D6451" w14:textId="679D0A99" w:rsidR="00D97149" w:rsidRPr="00F919EB" w:rsidRDefault="004D6075" w:rsidP="00D97149">
      <w:pPr>
        <w:pStyle w:val="BodyText"/>
        <w:rPr>
          <w:rFonts w:eastAsiaTheme="minorEastAsia"/>
        </w:rPr>
      </w:pPr>
      <m:oMathPara>
        <m:oMath>
          <m:sSub>
            <m:sSubPr>
              <m:ctrlPr>
                <w:rPr>
                  <w:rFonts w:ascii="Cambria Math" w:hAnsi="Cambria Math"/>
                  <w:i/>
                </w:rPr>
              </m:ctrlPr>
            </m:sSubPr>
            <m:e>
              <m:r>
                <w:rPr>
                  <w:rFonts w:ascii="Cambria Math" w:hAnsi="Cambria Math"/>
                </w:rPr>
                <m:t>MAC</m:t>
              </m:r>
            </m:e>
            <m:sub>
              <m:r>
                <w:rPr>
                  <w:rFonts w:ascii="Cambria Math" w:hAnsi="Cambria Math"/>
                </w:rPr>
                <m:t>k,m</m:t>
              </m:r>
            </m:sub>
          </m:sSub>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T</m:t>
              </m:r>
            </m:sup>
            <m:e>
              <m:sSub>
                <m:sSubPr>
                  <m:ctrlPr>
                    <w:rPr>
                      <w:rFonts w:ascii="Cambria Math" w:hAnsi="Cambria Math"/>
                    </w:rPr>
                  </m:ctrlPr>
                </m:sSubPr>
                <m:e>
                  <m:r>
                    <w:rPr>
                      <w:rFonts w:ascii="Cambria Math" w:hAnsi="Cambria Math"/>
                    </w:rPr>
                    <m:t>AC</m:t>
                  </m:r>
                </m:e>
                <m:sub>
                  <m:r>
                    <w:rPr>
                      <w:rFonts w:ascii="Cambria Math" w:hAnsi="Cambria Math"/>
                    </w:rPr>
                    <m:t>k,h</m:t>
                  </m:r>
                </m:sub>
              </m:sSub>
              <m:d>
                <m:dPr>
                  <m:begChr m:val="["/>
                  <m:endChr m:val="]"/>
                  <m:ctrlPr>
                    <w:rPr>
                      <w:rFonts w:ascii="Cambria Math" w:hAnsi="Cambria Math"/>
                    </w:rPr>
                  </m:ctrlPr>
                </m:dPr>
                <m:e>
                  <m:r>
                    <w:rPr>
                      <w:rFonts w:ascii="Cambria Math" w:hAnsi="Cambria Math"/>
                    </w:rPr>
                    <m:t>PKR</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i∈k</m:t>
              </m:r>
            </m:sub>
            <m:sup/>
            <m:e>
              <m:d>
                <m:dPr>
                  <m:ctrlPr>
                    <w:rPr>
                      <w:rFonts w:ascii="Cambria Math" w:hAnsi="Cambria Math"/>
                      <w:i/>
                    </w:rPr>
                  </m:ctrlPr>
                </m:dPr>
                <m:e>
                  <m:sSub>
                    <m:sSubPr>
                      <m:ctrlPr>
                        <w:rPr>
                          <w:rFonts w:ascii="Cambria Math" w:hAnsi="Cambria Math"/>
                          <w:i/>
                        </w:rPr>
                      </m:ctrlPr>
                    </m:sSubPr>
                    <m:e>
                      <m:r>
                        <w:rPr>
                          <w:rFonts w:ascii="Cambria Math" w:hAnsi="Cambria Math"/>
                        </w:rPr>
                        <m:t>NS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SC</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BSC</m:t>
              </m:r>
            </m:e>
            <m:sub>
              <m:r>
                <w:rPr>
                  <w:rFonts w:ascii="Cambria Math" w:hAnsi="Cambria Math"/>
                </w:rPr>
                <m:t>k</m:t>
              </m:r>
            </m:sub>
          </m:sSub>
        </m:oMath>
      </m:oMathPara>
    </w:p>
    <w:p w14:paraId="5F613FC4" w14:textId="77777777" w:rsidR="00D97149" w:rsidRPr="00B90F6F" w:rsidRDefault="00D97149" w:rsidP="00D97149">
      <w:pPr>
        <w:pStyle w:val="BodyText"/>
      </w:pPr>
      <w:r w:rsidRPr="00B90F6F">
        <w:t xml:space="preserve">Where: </w:t>
      </w:r>
    </w:p>
    <w:p w14:paraId="4F8DD5BA" w14:textId="385C924E" w:rsidR="00D97149" w:rsidRPr="00B90F6F" w:rsidRDefault="001215A7" w:rsidP="005237CD">
      <w:pPr>
        <w:pStyle w:val="BodyText"/>
        <w:ind w:left="2977" w:hanging="1276"/>
      </w:pPr>
      <w:r>
        <w:rPr>
          <w:i/>
          <w:iCs/>
        </w:rPr>
        <w:t>M</w:t>
      </w:r>
      <w:r w:rsidR="00D97149" w:rsidRPr="00B90F6F">
        <w:rPr>
          <w:i/>
          <w:iCs/>
        </w:rPr>
        <w:t>AC</w:t>
      </w:r>
      <w:r w:rsidR="00B30626">
        <w:rPr>
          <w:i/>
          <w:iCs/>
          <w:vertAlign w:val="subscript"/>
        </w:rPr>
        <w:t>k</w:t>
      </w:r>
      <w:r w:rsidR="00D97149">
        <w:rPr>
          <w:i/>
          <w:iCs/>
          <w:vertAlign w:val="subscript"/>
        </w:rPr>
        <w:t>,m</w:t>
      </w:r>
      <w:r w:rsidR="00D97149" w:rsidRPr="00B90F6F">
        <w:rPr>
          <w:i/>
          <w:iCs/>
        </w:rPr>
        <w:tab/>
      </w:r>
      <w:r w:rsidR="00D97149">
        <w:t>is the a</w:t>
      </w:r>
      <w:r w:rsidR="00D97149" w:rsidRPr="00B90F6F">
        <w:t xml:space="preserve">mount </w:t>
      </w:r>
      <w:r w:rsidR="00861C41">
        <w:t>for which compensation may be paid</w:t>
      </w:r>
      <w:r w:rsidR="00D97149">
        <w:t xml:space="preserve"> to Generator</w:t>
      </w:r>
      <w:r w:rsidR="00D97149" w:rsidRPr="00B90F6F">
        <w:rPr>
          <w:i/>
          <w:iCs/>
        </w:rPr>
        <w:t xml:space="preserve"> “</w:t>
      </w:r>
      <w:r w:rsidR="00B30626">
        <w:rPr>
          <w:i/>
          <w:iCs/>
        </w:rPr>
        <w:t>k</w:t>
      </w:r>
      <w:r w:rsidR="00D97149" w:rsidRPr="00B90F6F">
        <w:rPr>
          <w:i/>
          <w:iCs/>
        </w:rPr>
        <w:t xml:space="preserve">” </w:t>
      </w:r>
      <w:r w:rsidR="00D97149">
        <w:t xml:space="preserve">during the </w:t>
      </w:r>
      <w:r w:rsidR="00C83C43">
        <w:t>S</w:t>
      </w:r>
      <w:r w:rsidR="00D97149">
        <w:t xml:space="preserve">ettlement </w:t>
      </w:r>
      <w:r w:rsidR="00C83C43">
        <w:t>P</w:t>
      </w:r>
      <w:r w:rsidR="00D97149">
        <w:t xml:space="preserve">eriod </w:t>
      </w:r>
      <w:r w:rsidR="00D97149" w:rsidRPr="00D97149">
        <w:rPr>
          <w:i/>
          <w:iCs/>
        </w:rPr>
        <w:t>“m”</w:t>
      </w:r>
      <w:r w:rsidR="00D97149">
        <w:t xml:space="preserve"> </w:t>
      </w:r>
      <w:r w:rsidR="00B261B5">
        <w:t>for</w:t>
      </w:r>
      <w:r w:rsidR="00861C41">
        <w:t xml:space="preserve"> allowing</w:t>
      </w:r>
      <w:r w:rsidR="00D97149">
        <w:t xml:space="preserve"> the pro</w:t>
      </w:r>
      <w:r w:rsidR="00D958D8">
        <w:t>vision</w:t>
      </w:r>
      <w:r w:rsidR="00D97149">
        <w:t xml:space="preserve"> of A</w:t>
      </w:r>
      <w:r w:rsidR="00D97149" w:rsidRPr="00B90F6F">
        <w:t xml:space="preserve">ncillary </w:t>
      </w:r>
      <w:r w:rsidR="00D97149">
        <w:t>S</w:t>
      </w:r>
      <w:r w:rsidR="00D97149" w:rsidRPr="00B90F6F">
        <w:t>ervices</w:t>
      </w:r>
      <w:r w:rsidR="00D97149">
        <w:t>, in PKR;</w:t>
      </w:r>
    </w:p>
    <w:p w14:paraId="30D82BDA" w14:textId="4C848D4A" w:rsidR="00D97149" w:rsidRPr="00B90F6F" w:rsidRDefault="00D97149" w:rsidP="005237CD">
      <w:pPr>
        <w:pStyle w:val="BodyText"/>
        <w:ind w:left="2977" w:hanging="1276"/>
      </w:pPr>
      <w:r w:rsidRPr="00B90F6F">
        <w:rPr>
          <w:i/>
          <w:iCs/>
        </w:rPr>
        <w:t>AC</w:t>
      </w:r>
      <w:r w:rsidR="00B30626">
        <w:rPr>
          <w:i/>
          <w:iCs/>
          <w:vertAlign w:val="subscript"/>
        </w:rPr>
        <w:t>k</w:t>
      </w:r>
      <w:r>
        <w:rPr>
          <w:i/>
          <w:iCs/>
          <w:vertAlign w:val="subscript"/>
        </w:rPr>
        <w:t>,h</w:t>
      </w:r>
      <w:r w:rsidRPr="00B90F6F">
        <w:rPr>
          <w:i/>
          <w:iCs/>
        </w:rPr>
        <w:tab/>
      </w:r>
      <w:r>
        <w:t>is the hourly</w:t>
      </w:r>
      <w:r w:rsidRPr="00B90F6F">
        <w:t xml:space="preserve"> </w:t>
      </w:r>
      <w:r>
        <w:t>a</w:t>
      </w:r>
      <w:r w:rsidRPr="00B90F6F">
        <w:t xml:space="preserve">mount </w:t>
      </w:r>
      <w:r w:rsidR="00861C41">
        <w:t xml:space="preserve">for which compensation may be paid </w:t>
      </w:r>
      <w:r w:rsidRPr="00B30626">
        <w:t>to</w:t>
      </w:r>
      <w:r w:rsidR="00B30626" w:rsidRPr="00B30626">
        <w:t xml:space="preserve"> </w:t>
      </w:r>
      <w:r w:rsidRPr="00B30626">
        <w:t>Generator</w:t>
      </w:r>
      <w:r w:rsidRPr="00B30626">
        <w:rPr>
          <w:i/>
          <w:iCs/>
        </w:rPr>
        <w:t xml:space="preserve"> “</w:t>
      </w:r>
      <w:r w:rsidR="00B30626">
        <w:rPr>
          <w:i/>
          <w:iCs/>
        </w:rPr>
        <w:t>k</w:t>
      </w:r>
      <w:r w:rsidRPr="00B30626">
        <w:rPr>
          <w:i/>
          <w:iCs/>
        </w:rPr>
        <w:t xml:space="preserve">” </w:t>
      </w:r>
      <w:r w:rsidRPr="00B30626">
        <w:t xml:space="preserve">during hour “h” </w:t>
      </w:r>
      <w:r w:rsidR="00861C41">
        <w:t>for allowing</w:t>
      </w:r>
      <w:r w:rsidRPr="00B30626">
        <w:t xml:space="preserve"> the </w:t>
      </w:r>
      <w:r w:rsidR="00861C41">
        <w:t>provision</w:t>
      </w:r>
      <w:r w:rsidR="00861C41" w:rsidRPr="00B30626">
        <w:t xml:space="preserve"> </w:t>
      </w:r>
      <w:r w:rsidRPr="00B30626">
        <w:t>of Ancillary Services</w:t>
      </w:r>
      <w:r>
        <w:t>, in PKR</w:t>
      </w:r>
      <w:r w:rsidR="00B30626">
        <w:t>, calculated pursuant</w:t>
      </w:r>
      <w:r w:rsidR="00B261B5">
        <w:t xml:space="preserve"> to</w:t>
      </w:r>
      <w:r w:rsidR="00B30626">
        <w:t xml:space="preserve"> Clause </w:t>
      </w:r>
      <w:r w:rsidR="00B30626">
        <w:fldChar w:fldCharType="begin"/>
      </w:r>
      <w:r w:rsidR="00B30626">
        <w:instrText xml:space="preserve"> REF _Ref65931942 \r \h </w:instrText>
      </w:r>
      <w:r w:rsidR="00B30626">
        <w:fldChar w:fldCharType="separate"/>
      </w:r>
      <w:r w:rsidR="00251DBF">
        <w:t>7.3.4.1</w:t>
      </w:r>
      <w:r w:rsidR="00B30626">
        <w:fldChar w:fldCharType="end"/>
      </w:r>
      <w:r>
        <w:t>;</w:t>
      </w:r>
    </w:p>
    <w:p w14:paraId="1D865EF0" w14:textId="49D5DC47" w:rsidR="00D958D8" w:rsidRPr="00B90F6F" w:rsidRDefault="00D958D8" w:rsidP="005237CD">
      <w:pPr>
        <w:pStyle w:val="BodyText"/>
        <w:ind w:left="2977" w:hanging="1276"/>
      </w:pPr>
      <w:r w:rsidRPr="00B90F6F">
        <w:rPr>
          <w:i/>
          <w:iCs/>
        </w:rPr>
        <w:t>NS</w:t>
      </w:r>
      <w:r w:rsidRPr="00B90F6F">
        <w:rPr>
          <w:i/>
          <w:iCs/>
          <w:vertAlign w:val="subscript"/>
        </w:rPr>
        <w:t>i</w:t>
      </w:r>
      <w:r w:rsidRPr="00B90F6F">
        <w:rPr>
          <w:i/>
          <w:iCs/>
          <w:vertAlign w:val="subscript"/>
        </w:rPr>
        <w:tab/>
      </w:r>
      <w:r>
        <w:t>is the n</w:t>
      </w:r>
      <w:r w:rsidRPr="00B90F6F">
        <w:t xml:space="preserve">umber of starts of </w:t>
      </w:r>
      <w:r w:rsidR="00B30626">
        <w:t>Generation Unit</w:t>
      </w:r>
      <w:r w:rsidR="00B30626" w:rsidRPr="00B90F6F">
        <w:t xml:space="preserve"> </w:t>
      </w:r>
      <w:r w:rsidRPr="00B90F6F">
        <w:rPr>
          <w:i/>
          <w:iCs/>
        </w:rPr>
        <w:t>“i”</w:t>
      </w:r>
      <w:r w:rsidRPr="00B90F6F">
        <w:t xml:space="preserve"> </w:t>
      </w:r>
      <w:r w:rsidR="00B30626">
        <w:t xml:space="preserve">belonging to Generator </w:t>
      </w:r>
      <w:r w:rsidR="00B30626" w:rsidRPr="00B30626">
        <w:rPr>
          <w:i/>
          <w:iCs/>
        </w:rPr>
        <w:t>“k”</w:t>
      </w:r>
      <w:r w:rsidR="00B30626">
        <w:t xml:space="preserve"> </w:t>
      </w:r>
      <w:r w:rsidR="00861C41">
        <w:t>for</w:t>
      </w:r>
      <w:r w:rsidR="00E619E6">
        <w:t xml:space="preserve"> </w:t>
      </w:r>
      <w:r w:rsidR="00861C41">
        <w:t xml:space="preserve">allowing </w:t>
      </w:r>
      <w:r w:rsidR="00E619E6">
        <w:t>the provision of Ancillary Services</w:t>
      </w:r>
      <w:r w:rsidR="005237CD">
        <w:t xml:space="preserve">, </w:t>
      </w:r>
      <w:r w:rsidRPr="00B90F6F">
        <w:t>during the Settlement Period</w:t>
      </w:r>
      <w:r w:rsidR="00861C41">
        <w:t xml:space="preserve"> as provided</w:t>
      </w:r>
      <w:r w:rsidR="005237CD">
        <w:t xml:space="preserve"> by the System Operator pursuant </w:t>
      </w:r>
      <w:r w:rsidR="00B261B5">
        <w:t xml:space="preserve">to </w:t>
      </w:r>
      <w:r w:rsidR="005237CD">
        <w:t>Clause</w:t>
      </w:r>
      <w:r w:rsidR="00E619E6">
        <w:t xml:space="preserve"> </w:t>
      </w:r>
      <w:r w:rsidR="00E619E6">
        <w:fldChar w:fldCharType="begin"/>
      </w:r>
      <w:r w:rsidR="00E619E6">
        <w:instrText xml:space="preserve"> REF _Ref67669185 \r \h </w:instrText>
      </w:r>
      <w:r w:rsidR="00E619E6">
        <w:fldChar w:fldCharType="separate"/>
      </w:r>
      <w:r w:rsidR="00251DBF">
        <w:t>7.3.4.4</w:t>
      </w:r>
      <w:r w:rsidR="00E619E6">
        <w:fldChar w:fldCharType="end"/>
      </w:r>
      <w:r w:rsidR="005237CD">
        <w:t xml:space="preserve">; </w:t>
      </w:r>
    </w:p>
    <w:p w14:paraId="46F4CDF7" w14:textId="2059F33B" w:rsidR="00D958D8" w:rsidRPr="00B90F6F" w:rsidRDefault="00D958D8" w:rsidP="005237CD">
      <w:pPr>
        <w:pStyle w:val="BodyText"/>
        <w:ind w:left="2977" w:hanging="1276"/>
      </w:pPr>
      <w:r w:rsidRPr="00B90F6F">
        <w:rPr>
          <w:i/>
          <w:iCs/>
        </w:rPr>
        <w:t>SC</w:t>
      </w:r>
      <w:r w:rsidRPr="00B90F6F">
        <w:rPr>
          <w:i/>
          <w:iCs/>
          <w:vertAlign w:val="subscript"/>
        </w:rPr>
        <w:t>i</w:t>
      </w:r>
      <w:r w:rsidRPr="00B90F6F">
        <w:rPr>
          <w:i/>
          <w:iCs/>
          <w:vertAlign w:val="subscript"/>
        </w:rPr>
        <w:tab/>
      </w:r>
      <w:r w:rsidRPr="00B90F6F">
        <w:t>Start</w:t>
      </w:r>
      <w:r w:rsidR="00BB13B7">
        <w:t>-up</w:t>
      </w:r>
      <w:r w:rsidRPr="00B90F6F">
        <w:t xml:space="preserve"> cost of </w:t>
      </w:r>
      <w:r w:rsidR="00806744">
        <w:t>Generation Unit</w:t>
      </w:r>
      <w:r w:rsidR="00806744" w:rsidRPr="00B90F6F">
        <w:t xml:space="preserve"> </w:t>
      </w:r>
      <w:r w:rsidRPr="00B90F6F">
        <w:rPr>
          <w:i/>
          <w:iCs/>
        </w:rPr>
        <w:t>“i”</w:t>
      </w:r>
      <w:r w:rsidRPr="00B90F6F">
        <w:t xml:space="preserve">, </w:t>
      </w:r>
      <w:r w:rsidR="00294A96">
        <w:t xml:space="preserve">informed by the System Operator to the </w:t>
      </w:r>
      <w:r w:rsidR="00806744">
        <w:t>Market</w:t>
      </w:r>
      <w:r w:rsidR="00E619E6">
        <w:t xml:space="preserve"> Operator pursuant </w:t>
      </w:r>
      <w:r w:rsidR="00B261B5">
        <w:t>to</w:t>
      </w:r>
      <w:r w:rsidR="00E619E6">
        <w:t xml:space="preserve"> Clause </w:t>
      </w:r>
      <w:r w:rsidR="00E619E6">
        <w:fldChar w:fldCharType="begin"/>
      </w:r>
      <w:r w:rsidR="00E619E6">
        <w:instrText xml:space="preserve"> REF _Ref67669235 \r \h </w:instrText>
      </w:r>
      <w:r w:rsidR="00E619E6">
        <w:fldChar w:fldCharType="separate"/>
      </w:r>
      <w:r w:rsidR="00251DBF">
        <w:t>7.3.4.4.c)</w:t>
      </w:r>
      <w:r w:rsidR="00E619E6">
        <w:fldChar w:fldCharType="end"/>
      </w:r>
      <w:r w:rsidR="005237CD">
        <w:t>;</w:t>
      </w:r>
    </w:p>
    <w:p w14:paraId="4936F35A" w14:textId="44C7184D" w:rsidR="005237CD" w:rsidRDefault="00D958D8" w:rsidP="005237CD">
      <w:pPr>
        <w:pStyle w:val="BodyText"/>
        <w:ind w:left="2977" w:hanging="1276"/>
      </w:pPr>
      <w:r w:rsidRPr="00B90F6F">
        <w:rPr>
          <w:i/>
          <w:iCs/>
        </w:rPr>
        <w:t>BSC</w:t>
      </w:r>
      <w:r w:rsidR="00806744">
        <w:rPr>
          <w:i/>
          <w:iCs/>
          <w:vertAlign w:val="subscript"/>
        </w:rPr>
        <w:t>k</w:t>
      </w:r>
      <w:r w:rsidRPr="00B90F6F">
        <w:rPr>
          <w:i/>
          <w:iCs/>
          <w:vertAlign w:val="subscript"/>
        </w:rPr>
        <w:tab/>
      </w:r>
      <w:r w:rsidRPr="00B90F6F">
        <w:t xml:space="preserve">Monthly payments to </w:t>
      </w:r>
      <w:r w:rsidR="00806744">
        <w:t>G</w:t>
      </w:r>
      <w:r w:rsidR="00806744" w:rsidRPr="00B90F6F">
        <w:t xml:space="preserve">enerator </w:t>
      </w:r>
      <w:r w:rsidRPr="00B90F6F">
        <w:rPr>
          <w:i/>
          <w:iCs/>
        </w:rPr>
        <w:t>“</w:t>
      </w:r>
      <w:r w:rsidR="00806744">
        <w:rPr>
          <w:i/>
          <w:iCs/>
        </w:rPr>
        <w:t>k</w:t>
      </w:r>
      <w:r w:rsidRPr="00B90F6F">
        <w:rPr>
          <w:i/>
          <w:iCs/>
        </w:rPr>
        <w:t>”</w:t>
      </w:r>
      <w:r w:rsidRPr="00B90F6F">
        <w:t xml:space="preserve"> for </w:t>
      </w:r>
      <w:r w:rsidR="005237CD">
        <w:t xml:space="preserve">the provision </w:t>
      </w:r>
      <w:r w:rsidRPr="00B90F6F">
        <w:t>of Black Start</w:t>
      </w:r>
      <w:r w:rsidR="005237CD">
        <w:t xml:space="preserve"> Capability. This value will be zero, </w:t>
      </w:r>
      <w:r w:rsidR="00BB13B7">
        <w:t>unless</w:t>
      </w:r>
      <w:r w:rsidR="00BB13B7" w:rsidRPr="00BB13B7">
        <w:t xml:space="preserve"> such cost has been approved explicitly by the Authority as a separate component for payment</w:t>
      </w:r>
      <w:r w:rsidR="00FC02FD">
        <w:t>;</w:t>
      </w:r>
      <w:r w:rsidR="00BB13B7" w:rsidRPr="00BB13B7" w:rsidDel="00BB13B7">
        <w:t xml:space="preserve"> </w:t>
      </w:r>
      <w:r w:rsidR="005237CD">
        <w:t xml:space="preserve"> </w:t>
      </w:r>
    </w:p>
    <w:p w14:paraId="37B987C5" w14:textId="59ECDAC8" w:rsidR="00B30626" w:rsidRPr="00B30626" w:rsidRDefault="004D6075" w:rsidP="00B30626">
      <w:pPr>
        <w:pStyle w:val="BodyText"/>
        <w:ind w:left="2977" w:hanging="1276"/>
        <w:jc w:val="left"/>
        <w:rPr>
          <w:i/>
          <w:iCs/>
        </w:rPr>
      </w:pPr>
      <m:oMath>
        <m:nary>
          <m:naryPr>
            <m:chr m:val="∑"/>
            <m:limLoc m:val="undOvr"/>
            <m:supHide m:val="1"/>
            <m:ctrlPr>
              <w:rPr>
                <w:rFonts w:ascii="Cambria Math" w:hAnsi="Cambria Math"/>
                <w:i/>
                <w:iCs/>
              </w:rPr>
            </m:ctrlPr>
          </m:naryPr>
          <m:sub>
            <m:r>
              <w:rPr>
                <w:rFonts w:ascii="Cambria Math" w:hAnsi="Cambria Math"/>
              </w:rPr>
              <m:t>i∈k</m:t>
            </m:r>
          </m:sub>
          <m:sup/>
          <m:e/>
        </m:nary>
      </m:oMath>
      <w:r w:rsidR="00B30626">
        <w:rPr>
          <w:rFonts w:eastAsiaTheme="minorEastAsia"/>
          <w:i/>
          <w:iCs/>
        </w:rPr>
        <w:tab/>
      </w:r>
      <w:r w:rsidR="00B30626" w:rsidRPr="00B30626">
        <w:rPr>
          <w:rFonts w:eastAsiaTheme="minorEastAsia"/>
        </w:rPr>
        <w:t xml:space="preserve">is the sum over all Generation Units </w:t>
      </w:r>
      <w:r w:rsidR="00B30626" w:rsidRPr="00B30626">
        <w:rPr>
          <w:rFonts w:eastAsiaTheme="minorEastAsia"/>
          <w:i/>
          <w:iCs/>
        </w:rPr>
        <w:t>“i”</w:t>
      </w:r>
      <w:r w:rsidR="00B30626" w:rsidRPr="00B30626">
        <w:rPr>
          <w:rFonts w:eastAsiaTheme="minorEastAsia"/>
        </w:rPr>
        <w:t xml:space="preserve"> which belongs to Generator</w:t>
      </w:r>
      <w:r w:rsidR="00806744">
        <w:rPr>
          <w:rFonts w:eastAsiaTheme="minorEastAsia"/>
        </w:rPr>
        <w:t xml:space="preserve"> </w:t>
      </w:r>
      <w:r w:rsidR="00B30626" w:rsidRPr="00B30626">
        <w:rPr>
          <w:rFonts w:eastAsiaTheme="minorEastAsia"/>
          <w:i/>
          <w:iCs/>
        </w:rPr>
        <w:t>“k”</w:t>
      </w:r>
      <w:r w:rsidR="00FC02FD">
        <w:rPr>
          <w:rFonts w:eastAsiaTheme="minorEastAsia"/>
          <w:i/>
          <w:iCs/>
        </w:rPr>
        <w:t>;</w:t>
      </w:r>
    </w:p>
    <w:p w14:paraId="3EDE67E5" w14:textId="559CF9A0" w:rsidR="00D97149" w:rsidRDefault="005237CD" w:rsidP="005237CD">
      <w:pPr>
        <w:pStyle w:val="BodyText"/>
        <w:ind w:left="2977" w:hanging="1276"/>
        <w:rPr>
          <w:rFonts w:eastAsiaTheme="minorEastAsia"/>
        </w:rPr>
      </w:pPr>
      <w:r>
        <w:rPr>
          <w:i/>
          <w:iCs/>
        </w:rPr>
        <w:t>T</w:t>
      </w:r>
      <w:r>
        <w:rPr>
          <w:i/>
          <w:iCs/>
        </w:rPr>
        <w:tab/>
      </w:r>
      <w:r>
        <w:t xml:space="preserve">is the total number of hours in the Settlement Period. </w:t>
      </w:r>
    </w:p>
    <w:p w14:paraId="591D7AE9" w14:textId="52C1A58F" w:rsidR="006B555E" w:rsidRDefault="006B555E" w:rsidP="006B555E">
      <w:pPr>
        <w:pStyle w:val="Heading2"/>
      </w:pPr>
      <w:bookmarkStart w:id="295" w:name="_Toc64846687"/>
      <w:bookmarkStart w:id="296" w:name="_Toc69476984"/>
      <w:r>
        <w:t xml:space="preserve">Determination of the </w:t>
      </w:r>
      <w:r w:rsidR="005A4FF6">
        <w:t xml:space="preserve">Amounts </w:t>
      </w:r>
      <w:r>
        <w:t xml:space="preserve">Receivable and Payable for </w:t>
      </w:r>
      <w:r w:rsidR="0088020E">
        <w:t>ASC</w:t>
      </w:r>
      <w:r>
        <w:t xml:space="preserve"> and Must Run Generation</w:t>
      </w:r>
      <w:bookmarkEnd w:id="295"/>
      <w:bookmarkEnd w:id="296"/>
      <w:r>
        <w:t xml:space="preserve"> </w:t>
      </w:r>
    </w:p>
    <w:p w14:paraId="63BA4B35" w14:textId="024C7368" w:rsidR="00785DD7" w:rsidRDefault="00BB13B7" w:rsidP="00785DD7">
      <w:pPr>
        <w:pStyle w:val="Heading3"/>
      </w:pPr>
      <w:r>
        <w:t>Assigning compensation for  provision of</w:t>
      </w:r>
      <w:r w:rsidR="00785DD7" w:rsidRPr="00D842FF">
        <w:t xml:space="preserve"> Ancillary Service</w:t>
      </w:r>
      <w:r w:rsidR="00D842FF" w:rsidRPr="00D842FF">
        <w:t>s and Must Run</w:t>
      </w:r>
      <w:r w:rsidR="00785DD7" w:rsidRPr="00D842FF">
        <w:t xml:space="preserve"> </w:t>
      </w:r>
      <w:r>
        <w:t>Generation</w:t>
      </w:r>
      <w:r w:rsidR="00785DD7" w:rsidRPr="00D842FF">
        <w:t xml:space="preserve"> to Market Participants</w:t>
      </w:r>
      <w:r w:rsidR="00B00C6C">
        <w:t xml:space="preserve"> (</w:t>
      </w:r>
      <w:r w:rsidR="00861C41">
        <w:t xml:space="preserve">Amounts </w:t>
      </w:r>
      <w:r w:rsidR="00B00C6C">
        <w:t>Receivable)</w:t>
      </w:r>
    </w:p>
    <w:p w14:paraId="601C6E6E" w14:textId="0F7AE336" w:rsidR="00B00C6C" w:rsidRPr="00B00C6C" w:rsidRDefault="00B00C6C" w:rsidP="005B295A">
      <w:pPr>
        <w:pStyle w:val="Heading4"/>
      </w:pPr>
      <w:bookmarkStart w:id="297" w:name="_Ref64717141"/>
      <w:r w:rsidRPr="00B00C6C">
        <w:t xml:space="preserve">Within five [5] </w:t>
      </w:r>
      <w:r w:rsidR="00BB13B7">
        <w:t>Business Days</w:t>
      </w:r>
      <w:r w:rsidRPr="00B00C6C">
        <w:t xml:space="preserve"> immediately after the end of each month, the Market Operator shall determine the compensation for Generators which are </w:t>
      </w:r>
      <w:r w:rsidR="00BB13B7">
        <w:t>eligible</w:t>
      </w:r>
      <w:r w:rsidR="00BB13B7" w:rsidRPr="00B00C6C">
        <w:t xml:space="preserve"> </w:t>
      </w:r>
      <w:r w:rsidRPr="00B00C6C">
        <w:t xml:space="preserve">to receive </w:t>
      </w:r>
      <w:r w:rsidR="00BB13B7">
        <w:t xml:space="preserve">such </w:t>
      </w:r>
      <w:r w:rsidRPr="00B00C6C">
        <w:t xml:space="preserve">compensation for </w:t>
      </w:r>
      <w:r w:rsidR="00861C41">
        <w:t xml:space="preserve">allowing the </w:t>
      </w:r>
      <w:r w:rsidR="00BB13B7">
        <w:t xml:space="preserve">provision of </w:t>
      </w:r>
      <w:r w:rsidRPr="00B00C6C">
        <w:t xml:space="preserve">Ancillary Services and Must Run Generation and it </w:t>
      </w:r>
      <w:r w:rsidR="00BB13B7">
        <w:t>shall</w:t>
      </w:r>
      <w:r w:rsidR="00BB13B7" w:rsidRPr="00B00C6C">
        <w:t xml:space="preserve"> </w:t>
      </w:r>
      <w:r>
        <w:t xml:space="preserve">assign such compensation to </w:t>
      </w:r>
      <w:r w:rsidR="00B261B5">
        <w:t>the relevant</w:t>
      </w:r>
      <w:r w:rsidR="00B261B5" w:rsidRPr="00B00C6C">
        <w:t xml:space="preserve"> </w:t>
      </w:r>
      <w:r w:rsidRPr="00B00C6C">
        <w:t>Market Participant</w:t>
      </w:r>
      <w:r w:rsidR="00BB13B7">
        <w:t>s</w:t>
      </w:r>
      <w:r>
        <w:t xml:space="preserve"> as an Amount Receivable. </w:t>
      </w:r>
      <w:bookmarkEnd w:id="297"/>
      <w:r w:rsidRPr="00B00C6C">
        <w:t xml:space="preserve"> </w:t>
      </w:r>
    </w:p>
    <w:p w14:paraId="5A0C2328" w14:textId="786B53C6" w:rsidR="001D6786" w:rsidRDefault="001D6786" w:rsidP="005B295A">
      <w:pPr>
        <w:pStyle w:val="Heading4"/>
      </w:pPr>
      <w:r>
        <w:t xml:space="preserve">The Market Operator shall assign the compensation </w:t>
      </w:r>
      <w:r w:rsidR="00B00C6C">
        <w:t xml:space="preserve">referred to in Clause </w:t>
      </w:r>
      <w:r w:rsidR="00B00C6C">
        <w:fldChar w:fldCharType="begin"/>
      </w:r>
      <w:r w:rsidR="00B00C6C">
        <w:instrText xml:space="preserve"> REF _Ref64717141 \w \h </w:instrText>
      </w:r>
      <w:r w:rsidR="00B00C6C">
        <w:fldChar w:fldCharType="separate"/>
      </w:r>
      <w:r w:rsidR="00251DBF">
        <w:t>7.4.1.1</w:t>
      </w:r>
      <w:r w:rsidR="00B00C6C">
        <w:fldChar w:fldCharType="end"/>
      </w:r>
      <w:r w:rsidR="00BB13B7">
        <w:t xml:space="preserve"> above,</w:t>
      </w:r>
      <w:r w:rsidR="00B00C6C">
        <w:t xml:space="preserve"> as</w:t>
      </w:r>
      <w:r w:rsidR="00BB13B7">
        <w:t xml:space="preserve"> under</w:t>
      </w:r>
      <w:r w:rsidR="00B00C6C">
        <w:t>:</w:t>
      </w:r>
    </w:p>
    <w:p w14:paraId="00355405" w14:textId="023FE959" w:rsidR="001D6786" w:rsidRDefault="00BB13B7" w:rsidP="00B03234">
      <w:pPr>
        <w:pStyle w:val="Heading5"/>
      </w:pPr>
      <w:r>
        <w:lastRenderedPageBreak/>
        <w:t xml:space="preserve">Where a </w:t>
      </w:r>
      <w:r w:rsidR="001D6786">
        <w:t>Market Participant</w:t>
      </w:r>
      <w:r>
        <w:t>,</w:t>
      </w:r>
      <w:r w:rsidR="00BA755E">
        <w:t xml:space="preserve"> which owns the Generation Unit or </w:t>
      </w:r>
      <w:r>
        <w:t xml:space="preserve">the </w:t>
      </w:r>
      <w:r w:rsidR="00BA755E">
        <w:t>Generation Plant</w:t>
      </w:r>
      <w:r>
        <w:t>,</w:t>
      </w:r>
      <w:r w:rsidR="001D6786">
        <w:t xml:space="preserve"> </w:t>
      </w:r>
      <w:r w:rsidR="001D6786" w:rsidRPr="00E5591D">
        <w:t xml:space="preserve">have </w:t>
      </w:r>
      <w:r w:rsidRPr="00E5591D">
        <w:t xml:space="preserve">not </w:t>
      </w:r>
      <w:r w:rsidR="00B261B5" w:rsidRPr="00E5591D">
        <w:t xml:space="preserve">registered </w:t>
      </w:r>
      <w:r w:rsidR="005F6216" w:rsidRPr="00E5591D">
        <w:t xml:space="preserve">a </w:t>
      </w:r>
      <w:r w:rsidR="003A578F" w:rsidRPr="00E5591D">
        <w:t>Contract</w:t>
      </w:r>
      <w:r w:rsidR="001D6786" w:rsidRPr="00E5591D">
        <w:t xml:space="preserve"> </w:t>
      </w:r>
      <w:r w:rsidR="00B261B5" w:rsidRPr="00E5591D">
        <w:t>with</w:t>
      </w:r>
      <w:r w:rsidR="001D6786" w:rsidRPr="00E5591D">
        <w:t xml:space="preserve"> the Market Operator, the Market Operator </w:t>
      </w:r>
      <w:r w:rsidR="005F6216" w:rsidRPr="00E5591D">
        <w:t>may</w:t>
      </w:r>
      <w:r w:rsidR="00B261B5" w:rsidRPr="00E5591D">
        <w:t xml:space="preserve"> </w:t>
      </w:r>
      <w:r w:rsidR="001D6786" w:rsidRPr="00B03C4A">
        <w:t xml:space="preserve">assign </w:t>
      </w:r>
      <w:r w:rsidR="00E5591D" w:rsidRPr="00E5591D">
        <w:t xml:space="preserve">the </w:t>
      </w:r>
      <w:r w:rsidR="001D6786" w:rsidRPr="00E5591D">
        <w:t>co</w:t>
      </w:r>
      <w:r w:rsidR="00E5591D" w:rsidRPr="00E5591D">
        <w:t>m</w:t>
      </w:r>
      <w:r w:rsidR="001D6786" w:rsidRPr="00E5591D">
        <w:t>pensation</w:t>
      </w:r>
      <w:r w:rsidR="00B00C6C">
        <w:t xml:space="preserve"> (Amount Receivable)</w:t>
      </w:r>
      <w:r w:rsidR="001D6786">
        <w:t xml:space="preserve"> to such Market Participant; and</w:t>
      </w:r>
    </w:p>
    <w:p w14:paraId="31C33D7E" w14:textId="170E78A9" w:rsidR="007C56B7" w:rsidRDefault="005F6216" w:rsidP="00B03234">
      <w:pPr>
        <w:pStyle w:val="Heading5"/>
      </w:pPr>
      <w:r>
        <w:t>Where a</w:t>
      </w:r>
      <w:r w:rsidR="001D6786">
        <w:t xml:space="preserve"> Market Participant</w:t>
      </w:r>
      <w:r>
        <w:t>,</w:t>
      </w:r>
      <w:r w:rsidR="001D6786">
        <w:t xml:space="preserve"> which owns the </w:t>
      </w:r>
      <w:r w:rsidR="00D053A9">
        <w:t>Generat</w:t>
      </w:r>
      <w:r w:rsidR="00BA755E">
        <w:t>ion</w:t>
      </w:r>
      <w:r w:rsidR="00D053A9">
        <w:t xml:space="preserve"> Unit or Generation </w:t>
      </w:r>
      <w:r w:rsidR="00BA755E">
        <w:t>Plant</w:t>
      </w:r>
      <w:r>
        <w:t>,</w:t>
      </w:r>
      <w:r w:rsidR="00D053A9">
        <w:t xml:space="preserve"> </w:t>
      </w:r>
      <w:r w:rsidR="001D6786">
        <w:t>has</w:t>
      </w:r>
      <w:r w:rsidR="00B261B5">
        <w:t xml:space="preserve"> registered</w:t>
      </w:r>
      <w:r w:rsidR="001D6786">
        <w:t xml:space="preserve"> one or more </w:t>
      </w:r>
      <w:r w:rsidR="003A578F">
        <w:t>Contract</w:t>
      </w:r>
      <w:r w:rsidR="001D6786">
        <w:t xml:space="preserve">s </w:t>
      </w:r>
      <w:r w:rsidR="00B261B5">
        <w:t>with the</w:t>
      </w:r>
      <w:r w:rsidR="001D6786">
        <w:t xml:space="preserve"> Market Operator, the Market Operator </w:t>
      </w:r>
      <w:r>
        <w:t xml:space="preserve">may </w:t>
      </w:r>
      <w:r w:rsidR="007C56B7">
        <w:t xml:space="preserve">assign the right to receive such compensation </w:t>
      </w:r>
      <w:r w:rsidR="00B00C6C">
        <w:t xml:space="preserve">(Amounts Receivable) </w:t>
      </w:r>
      <w:r w:rsidR="007C56B7">
        <w:t xml:space="preserve">either to the Generator or to the </w:t>
      </w:r>
      <w:r w:rsidR="00B261B5">
        <w:t>other party as per information available in the Contract Register</w:t>
      </w:r>
      <w:r w:rsidR="007C56B7">
        <w:t>.</w:t>
      </w:r>
    </w:p>
    <w:p w14:paraId="5EC46AA9" w14:textId="5A7CE57F" w:rsidR="00D842FF" w:rsidRPr="00D842FF" w:rsidRDefault="00B46F3C" w:rsidP="00D842FF">
      <w:pPr>
        <w:pStyle w:val="Heading3"/>
      </w:pPr>
      <w:r w:rsidRPr="00B03C4A">
        <w:t xml:space="preserve">Allocation </w:t>
      </w:r>
      <w:r w:rsidR="00D842FF" w:rsidRPr="00B03C4A">
        <w:t xml:space="preserve">of </w:t>
      </w:r>
      <w:r w:rsidR="00A15527" w:rsidRPr="00B03C4A">
        <w:t>amount of compensation</w:t>
      </w:r>
      <w:r w:rsidR="00A15527" w:rsidRPr="00B46F3C">
        <w:t xml:space="preserve"> for</w:t>
      </w:r>
      <w:r w:rsidR="00A15527">
        <w:t xml:space="preserve"> Provision of </w:t>
      </w:r>
      <w:r w:rsidR="00D842FF" w:rsidRPr="00D842FF">
        <w:t xml:space="preserve">Ancillary Services and Must Run </w:t>
      </w:r>
      <w:r w:rsidR="00A15527">
        <w:t>Generation</w:t>
      </w:r>
      <w:r w:rsidR="00A15527" w:rsidRPr="00D842FF">
        <w:t xml:space="preserve"> </w:t>
      </w:r>
      <w:r w:rsidR="00D842FF" w:rsidRPr="00D842FF">
        <w:t>among Market Participants</w:t>
      </w:r>
    </w:p>
    <w:p w14:paraId="14C895AE" w14:textId="6DA81024" w:rsidR="00356DEE" w:rsidRDefault="00E54098" w:rsidP="005B295A">
      <w:pPr>
        <w:pStyle w:val="Heading4"/>
      </w:pPr>
      <w:bookmarkStart w:id="298" w:name="_Ref64655226"/>
      <w:r w:rsidRPr="00B00C6C">
        <w:t xml:space="preserve">Within five [5] </w:t>
      </w:r>
      <w:r w:rsidR="00A15527">
        <w:t>Business Days</w:t>
      </w:r>
      <w:r w:rsidRPr="00B00C6C">
        <w:t xml:space="preserve"> immediately after the end of each month, the Market Operator shall </w:t>
      </w:r>
      <w:r w:rsidR="00B46F3C">
        <w:t>allocate</w:t>
      </w:r>
      <w:r w:rsidR="00B46F3C" w:rsidRPr="00D842FF">
        <w:t xml:space="preserve"> </w:t>
      </w:r>
      <w:r w:rsidR="00356DEE" w:rsidRPr="00D842FF">
        <w:t xml:space="preserve">the </w:t>
      </w:r>
      <w:r w:rsidR="00A15527">
        <w:t>amount</w:t>
      </w:r>
      <w:r w:rsidR="00356DEE">
        <w:t xml:space="preserve"> </w:t>
      </w:r>
      <w:r w:rsidR="00A15527" w:rsidRPr="00861C41">
        <w:t xml:space="preserve">for payment of </w:t>
      </w:r>
      <w:r w:rsidR="00356DEE" w:rsidRPr="00861C41">
        <w:t>compensation for the provision of Ancillary Services and Must Run Generation among all Market Participants which represent demand</w:t>
      </w:r>
      <w:r w:rsidR="00382430" w:rsidRPr="00861C41">
        <w:t xml:space="preserve"> in each Congested Zone</w:t>
      </w:r>
      <w:r w:rsidR="00356DEE" w:rsidRPr="00861C41">
        <w:t xml:space="preserve">, </w:t>
      </w:r>
      <w:r w:rsidR="00A15527" w:rsidRPr="00861C41">
        <w:t xml:space="preserve">on pro rata basis based on </w:t>
      </w:r>
      <w:r w:rsidR="00356DEE" w:rsidRPr="00861C41">
        <w:t xml:space="preserve">the total </w:t>
      </w:r>
      <w:r w:rsidR="00BA755E" w:rsidRPr="00861C41">
        <w:t>E</w:t>
      </w:r>
      <w:r w:rsidR="00356DEE" w:rsidRPr="00861C41">
        <w:t xml:space="preserve">nergy </w:t>
      </w:r>
      <w:r w:rsidR="00A15527" w:rsidRPr="00861C41">
        <w:t xml:space="preserve">withdrawn </w:t>
      </w:r>
      <w:r w:rsidR="00356DEE" w:rsidRPr="00861C41">
        <w:t xml:space="preserve">during the </w:t>
      </w:r>
      <w:r w:rsidR="00A15527" w:rsidRPr="00861C41">
        <w:t xml:space="preserve">relevant </w:t>
      </w:r>
      <w:r w:rsidR="00356DEE" w:rsidRPr="00861C41">
        <w:t xml:space="preserve">Settlement Period </w:t>
      </w:r>
      <w:r w:rsidRPr="00861C41">
        <w:t xml:space="preserve"> (Amounts Payable)</w:t>
      </w:r>
      <w:r w:rsidR="00356DEE" w:rsidRPr="00861C41">
        <w:t>.</w:t>
      </w:r>
      <w:bookmarkEnd w:id="298"/>
      <w:r w:rsidR="00356DEE">
        <w:t xml:space="preserve">  </w:t>
      </w:r>
    </w:p>
    <w:p w14:paraId="6A5114EE" w14:textId="0C7F0974" w:rsidR="00356DEE" w:rsidRDefault="00382430" w:rsidP="005B295A">
      <w:pPr>
        <w:pStyle w:val="Heading4"/>
      </w:pPr>
      <w:r>
        <w:t xml:space="preserve">The </w:t>
      </w:r>
      <w:r w:rsidR="00B46F3C">
        <w:t>allocation</w:t>
      </w:r>
      <w:r>
        <w:t xml:space="preserve"> of the amount of compensation as provided in Clause </w:t>
      </w:r>
      <w:r>
        <w:fldChar w:fldCharType="begin"/>
      </w:r>
      <w:r>
        <w:instrText xml:space="preserve"> REF _Ref64655226 \r \h </w:instrText>
      </w:r>
      <w:r>
        <w:fldChar w:fldCharType="separate"/>
      </w:r>
      <w:r>
        <w:t>7.4.2.1</w:t>
      </w:r>
      <w:r>
        <w:fldChar w:fldCharType="end"/>
      </w:r>
      <w:r>
        <w:t xml:space="preserve"> shall be made as under</w:t>
      </w:r>
      <w:r w:rsidR="00356DEE">
        <w:t>:</w:t>
      </w:r>
    </w:p>
    <w:p w14:paraId="1A334347" w14:textId="61C7B069" w:rsidR="001215A7" w:rsidRDefault="00D842FF" w:rsidP="00B03234">
      <w:pPr>
        <w:pStyle w:val="Heading5"/>
      </w:pPr>
      <w:bookmarkStart w:id="299" w:name="_Ref64714904"/>
      <w:r>
        <w:t>the total amount of compensation</w:t>
      </w:r>
      <w:r w:rsidR="007646FD">
        <w:t xml:space="preserve"> for</w:t>
      </w:r>
      <w:r w:rsidR="007646FD" w:rsidRPr="00D842FF">
        <w:t xml:space="preserve"> </w:t>
      </w:r>
      <w:r w:rsidR="00861C41">
        <w:t xml:space="preserve">allowing </w:t>
      </w:r>
      <w:r w:rsidR="007646FD" w:rsidRPr="00D842FF">
        <w:t>the provision of Ancillary Services and Must Run Generation</w:t>
      </w:r>
      <w:r w:rsidR="00356DEE">
        <w:t xml:space="preserve"> </w:t>
      </w:r>
      <w:r w:rsidR="00C24F4E">
        <w:t xml:space="preserve">in </w:t>
      </w:r>
      <w:r w:rsidR="001215A7">
        <w:t xml:space="preserve">each </w:t>
      </w:r>
      <w:r w:rsidR="00B138ED">
        <w:t>Congested Zone</w:t>
      </w:r>
      <w:commentRangeStart w:id="300"/>
      <w:commentRangeEnd w:id="300"/>
      <w:r w:rsidR="00C734D1">
        <w:rPr>
          <w:rStyle w:val="CommentReference"/>
          <w:rFonts w:eastAsiaTheme="minorHAnsi" w:cstheme="minorBidi"/>
          <w:color w:val="1C1C1C"/>
        </w:rPr>
        <w:commentReference w:id="300"/>
      </w:r>
      <w:r w:rsidR="001215A7">
        <w:t xml:space="preserve"> shall be calculated as:</w:t>
      </w:r>
      <w:bookmarkEnd w:id="299"/>
      <w:r w:rsidR="001215A7">
        <w:t xml:space="preserve"> </w:t>
      </w:r>
    </w:p>
    <w:p w14:paraId="762E493A" w14:textId="51A2F61E" w:rsidR="001215A7" w:rsidRPr="001215A7" w:rsidRDefault="004D6075" w:rsidP="00B316F2">
      <m:oMathPara>
        <m:oMath>
          <m:sSub>
            <m:sSubPr>
              <m:ctrlPr>
                <w:rPr>
                  <w:rFonts w:ascii="Cambria Math" w:hAnsi="Cambria Math"/>
                </w:rPr>
              </m:ctrlPr>
            </m:sSubPr>
            <m:e>
              <m:r>
                <w:rPr>
                  <w:rFonts w:ascii="Cambria Math" w:hAnsi="Cambria Math"/>
                </w:rPr>
                <m:t>TAC</m:t>
              </m:r>
            </m:e>
            <m:sub>
              <m:sSub>
                <m:sSubPr>
                  <m:ctrlPr>
                    <w:rPr>
                      <w:rFonts w:ascii="Cambria Math" w:hAnsi="Cambria Math"/>
                      <w:i/>
                    </w:rPr>
                  </m:ctrlPr>
                </m:sSubPr>
                <m:e>
                  <m:r>
                    <w:rPr>
                      <w:rFonts w:ascii="Cambria Math" w:hAnsi="Cambria Math"/>
                    </w:rPr>
                    <m:t>AR</m:t>
                  </m:r>
                </m:e>
                <m:sub>
                  <m:r>
                    <w:rPr>
                      <w:rFonts w:ascii="Cambria Math" w:hAnsi="Cambria Math"/>
                    </w:rPr>
                    <m:t>s</m:t>
                  </m:r>
                </m:sub>
              </m:sSub>
              <m:r>
                <w:rPr>
                  <w:rFonts w:ascii="Cambria Math" w:hAnsi="Cambria Math"/>
                </w:rPr>
                <m:t>,m</m:t>
              </m:r>
            </m:sub>
          </m:sSub>
          <m:d>
            <m:dPr>
              <m:begChr m:val="["/>
              <m:endChr m:val="]"/>
              <m:ctrlPr>
                <w:rPr>
                  <w:rFonts w:ascii="Cambria Math" w:hAnsi="Cambria Math"/>
                </w:rPr>
              </m:ctrlPr>
            </m:dPr>
            <m:e>
              <m:r>
                <w:rPr>
                  <w:rFonts w:ascii="Cambria Math" w:hAnsi="Cambria Math"/>
                </w:rPr>
                <m:t>PKR</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 xml:space="preserve">∀i ∈ </m:t>
              </m:r>
              <m:sSub>
                <m:sSubPr>
                  <m:ctrlPr>
                    <w:rPr>
                      <w:rFonts w:ascii="Cambria Math" w:hAnsi="Cambria Math"/>
                      <w:i/>
                    </w:rPr>
                  </m:ctrlPr>
                </m:sSubPr>
                <m:e>
                  <m:r>
                    <w:rPr>
                      <w:rFonts w:ascii="Cambria Math" w:hAnsi="Cambria Math"/>
                    </w:rPr>
                    <m:t>AR</m:t>
                  </m:r>
                </m:e>
                <m:sub>
                  <m:r>
                    <w:rPr>
                      <w:rFonts w:ascii="Cambria Math" w:hAnsi="Cambria Math"/>
                    </w:rPr>
                    <m:t>s</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MAC</m:t>
                      </m:r>
                    </m:e>
                    <m:sub>
                      <m:r>
                        <w:rPr>
                          <w:rFonts w:ascii="Cambria Math" w:hAnsi="Cambria Math"/>
                        </w:rPr>
                        <m:t>k,m</m:t>
                      </m:r>
                    </m:sub>
                  </m:sSub>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 xml:space="preserve">∀j ∈ </m:t>
              </m:r>
              <m:sSub>
                <m:sSubPr>
                  <m:ctrlPr>
                    <w:rPr>
                      <w:rFonts w:ascii="Cambria Math" w:hAnsi="Cambria Math"/>
                      <w:i/>
                    </w:rPr>
                  </m:ctrlPr>
                </m:sSubPr>
                <m:e>
                  <m:r>
                    <w:rPr>
                      <w:rFonts w:ascii="Cambria Math" w:hAnsi="Cambria Math"/>
                    </w:rPr>
                    <m:t>AR</m:t>
                  </m:r>
                </m:e>
                <m:sub>
                  <m:r>
                    <w:rPr>
                      <w:rFonts w:ascii="Cambria Math" w:hAnsi="Cambria Math"/>
                    </w:rPr>
                    <m:t>s</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MMR</m:t>
                      </m:r>
                    </m:e>
                    <m:sub>
                      <m:r>
                        <w:rPr>
                          <w:rFonts w:ascii="Cambria Math" w:hAnsi="Cambria Math"/>
                        </w:rPr>
                        <m:t>k,m</m:t>
                      </m:r>
                    </m:sub>
                  </m:sSub>
                </m:e>
              </m:d>
            </m:e>
          </m:nary>
          <m:r>
            <m:rPr>
              <m:sty m:val="p"/>
            </m:rPr>
            <w:rPr>
              <w:rFonts w:ascii="Cambria Math" w:hAnsi="Cambria Math"/>
            </w:rPr>
            <m:t xml:space="preserve"> </m:t>
          </m:r>
        </m:oMath>
      </m:oMathPara>
    </w:p>
    <w:p w14:paraId="033F3064" w14:textId="65643828" w:rsidR="00EE7F7E" w:rsidRPr="00B90F6F" w:rsidRDefault="00EE7F7E" w:rsidP="00356DEE">
      <w:pPr>
        <w:pStyle w:val="BodyText"/>
        <w:ind w:left="2268"/>
      </w:pPr>
      <w:r w:rsidRPr="00B90F6F">
        <w:t xml:space="preserve">Where: </w:t>
      </w:r>
    </w:p>
    <w:p w14:paraId="77C3939A" w14:textId="00DD53CC" w:rsidR="00EE7F7E" w:rsidRPr="00EE7F7E" w:rsidRDefault="00EE7F7E" w:rsidP="00356DEE">
      <w:pPr>
        <w:pStyle w:val="BodyText"/>
        <w:ind w:left="3402" w:hanging="992"/>
      </w:pPr>
      <w:r>
        <w:rPr>
          <w:i/>
          <w:iCs/>
        </w:rPr>
        <w:t>TAC</w:t>
      </w:r>
      <w:r w:rsidRPr="00EE7F7E">
        <w:rPr>
          <w:i/>
          <w:iCs/>
          <w:vertAlign w:val="subscript"/>
        </w:rPr>
        <w:t>ARs,m</w:t>
      </w:r>
      <w:r>
        <w:rPr>
          <w:i/>
          <w:iCs/>
        </w:rPr>
        <w:tab/>
      </w:r>
      <w:r>
        <w:t xml:space="preserve">is the total </w:t>
      </w:r>
      <w:r w:rsidRPr="00861C41">
        <w:t xml:space="preserve">amount </w:t>
      </w:r>
      <w:r w:rsidR="00861C41" w:rsidRPr="00861C41">
        <w:t>for which compensation may be paid</w:t>
      </w:r>
      <w:r w:rsidRPr="00861C41">
        <w:t xml:space="preserve"> to Generators l</w:t>
      </w:r>
      <w:r>
        <w:t xml:space="preserve">ocated in the </w:t>
      </w:r>
      <w:r w:rsidR="00B138ED">
        <w:t>Congested Zone</w:t>
      </w:r>
      <w:r>
        <w:t xml:space="preserve"> </w:t>
      </w:r>
      <w:r w:rsidRPr="00EE7F7E">
        <w:rPr>
          <w:i/>
          <w:iCs/>
        </w:rPr>
        <w:t>“</w:t>
      </w:r>
      <w:r w:rsidR="002C32A5">
        <w:rPr>
          <w:i/>
          <w:iCs/>
        </w:rPr>
        <w:t>AR</w:t>
      </w:r>
      <w:r w:rsidRPr="00EE7F7E">
        <w:rPr>
          <w:i/>
          <w:iCs/>
        </w:rPr>
        <w:t>s”</w:t>
      </w:r>
      <w:r>
        <w:t xml:space="preserve">, for </w:t>
      </w:r>
      <w:r w:rsidR="00CA4A3B">
        <w:t xml:space="preserve">allowing the </w:t>
      </w:r>
      <w:r>
        <w:t xml:space="preserve">provision </w:t>
      </w:r>
      <w:r w:rsidRPr="00EE7F7E">
        <w:t xml:space="preserve">of Ancillary Services and Must Run Generation </w:t>
      </w:r>
      <w:r>
        <w:t xml:space="preserve">in the Settlement Period </w:t>
      </w:r>
      <w:r w:rsidRPr="00EE7F7E">
        <w:rPr>
          <w:i/>
          <w:iCs/>
        </w:rPr>
        <w:t>“m”</w:t>
      </w:r>
      <w:r>
        <w:t>, in PKR;</w:t>
      </w:r>
    </w:p>
    <w:p w14:paraId="2A30262D" w14:textId="405CCB4D" w:rsidR="00EE7F7E" w:rsidRPr="00BF2708" w:rsidRDefault="00EE7F7E" w:rsidP="00356DEE">
      <w:pPr>
        <w:pStyle w:val="BodyText"/>
        <w:ind w:left="3402" w:hanging="992"/>
      </w:pPr>
      <w:r>
        <w:rPr>
          <w:i/>
          <w:iCs/>
        </w:rPr>
        <w:t>M</w:t>
      </w:r>
      <w:r w:rsidRPr="00B90F6F">
        <w:rPr>
          <w:i/>
          <w:iCs/>
        </w:rPr>
        <w:t>AC</w:t>
      </w:r>
      <w:r w:rsidR="00D053A9">
        <w:rPr>
          <w:i/>
          <w:iCs/>
          <w:vertAlign w:val="subscript"/>
        </w:rPr>
        <w:t>k,</w:t>
      </w:r>
      <w:r>
        <w:rPr>
          <w:i/>
          <w:iCs/>
          <w:vertAlign w:val="subscript"/>
        </w:rPr>
        <w:t>m</w:t>
      </w:r>
      <w:r w:rsidRPr="00B90F6F">
        <w:rPr>
          <w:i/>
          <w:iCs/>
        </w:rPr>
        <w:tab/>
      </w:r>
      <w:r w:rsidRPr="00BF2708">
        <w:t xml:space="preserve">is the amount </w:t>
      </w:r>
      <w:r w:rsidR="00CA4A3B" w:rsidRPr="00861C41">
        <w:t>for which compensation may be paid</w:t>
      </w:r>
      <w:r w:rsidR="00CA4A3B">
        <w:t xml:space="preserve"> </w:t>
      </w:r>
      <w:r w:rsidRPr="00BF2708">
        <w:t>to Generator</w:t>
      </w:r>
      <w:r w:rsidRPr="00BF2708">
        <w:rPr>
          <w:i/>
          <w:iCs/>
        </w:rPr>
        <w:t xml:space="preserve"> “</w:t>
      </w:r>
      <w:r w:rsidR="00D053A9" w:rsidRPr="00BF2708">
        <w:rPr>
          <w:i/>
          <w:iCs/>
        </w:rPr>
        <w:t>k</w:t>
      </w:r>
      <w:r w:rsidRPr="00BF2708">
        <w:rPr>
          <w:i/>
          <w:iCs/>
        </w:rPr>
        <w:t xml:space="preserve">” </w:t>
      </w:r>
      <w:r w:rsidRPr="00BF2708">
        <w:t xml:space="preserve">during the settlement period </w:t>
      </w:r>
      <w:r w:rsidRPr="00BF2708">
        <w:rPr>
          <w:i/>
          <w:iCs/>
        </w:rPr>
        <w:t>“m”</w:t>
      </w:r>
      <w:r w:rsidRPr="00BF2708">
        <w:t xml:space="preserve"> </w:t>
      </w:r>
      <w:r w:rsidR="00CA4A3B">
        <w:t>for allowing</w:t>
      </w:r>
      <w:r w:rsidR="00CA4A3B" w:rsidRPr="00BF2708">
        <w:t xml:space="preserve"> </w:t>
      </w:r>
      <w:r w:rsidRPr="00BF2708">
        <w:t xml:space="preserve">the provision of Ancillary Services, calculated as per Clause </w:t>
      </w:r>
      <w:r w:rsidRPr="00BF2708">
        <w:fldChar w:fldCharType="begin"/>
      </w:r>
      <w:r w:rsidRPr="00BF2708">
        <w:instrText xml:space="preserve"> REF _Ref64652811 \r \h </w:instrText>
      </w:r>
      <w:r w:rsidR="00BF2708" w:rsidRPr="00BF2708">
        <w:instrText xml:space="preserve"> \* MERGEFORMAT </w:instrText>
      </w:r>
      <w:r w:rsidRPr="00BF2708">
        <w:fldChar w:fldCharType="separate"/>
      </w:r>
      <w:r w:rsidR="00251DBF">
        <w:t>7.3.4.5</w:t>
      </w:r>
      <w:r w:rsidRPr="00BF2708">
        <w:fldChar w:fldCharType="end"/>
      </w:r>
      <w:r w:rsidRPr="00BF2708">
        <w:t>;</w:t>
      </w:r>
    </w:p>
    <w:p w14:paraId="20A7F6E9" w14:textId="10FB9CAB" w:rsidR="00EE7F7E" w:rsidRPr="0068061A" w:rsidRDefault="00D053A9" w:rsidP="00356DEE">
      <w:pPr>
        <w:pStyle w:val="BodyText"/>
        <w:ind w:left="3402" w:hanging="992"/>
      </w:pPr>
      <w:r w:rsidRPr="00BF2708">
        <w:rPr>
          <w:i/>
          <w:iCs/>
        </w:rPr>
        <w:t>MMR</w:t>
      </w:r>
      <w:r w:rsidR="00EE7F7E" w:rsidRPr="00BF2708">
        <w:rPr>
          <w:i/>
          <w:iCs/>
          <w:vertAlign w:val="subscript"/>
        </w:rPr>
        <w:t>,</w:t>
      </w:r>
      <w:r w:rsidRPr="00BF2708">
        <w:rPr>
          <w:i/>
          <w:iCs/>
          <w:vertAlign w:val="subscript"/>
        </w:rPr>
        <w:t>k,</w:t>
      </w:r>
      <w:r w:rsidR="00EE7F7E" w:rsidRPr="00BF2708">
        <w:rPr>
          <w:i/>
          <w:iCs/>
          <w:vertAlign w:val="subscript"/>
        </w:rPr>
        <w:t>m</w:t>
      </w:r>
      <w:r w:rsidR="00EE7F7E" w:rsidRPr="00BF2708">
        <w:rPr>
          <w:i/>
          <w:iCs/>
        </w:rPr>
        <w:tab/>
      </w:r>
      <w:r w:rsidR="00EE7F7E" w:rsidRPr="00BF2708">
        <w:t xml:space="preserve">is the amount </w:t>
      </w:r>
      <w:r w:rsidR="00CA4A3B" w:rsidRPr="00861C41">
        <w:t>for which compensation may be paid</w:t>
      </w:r>
      <w:r w:rsidR="00CA4A3B">
        <w:t xml:space="preserve"> </w:t>
      </w:r>
      <w:r w:rsidR="00EE7F7E" w:rsidRPr="00BF2708">
        <w:t>to Generator</w:t>
      </w:r>
      <w:r w:rsidR="00EE7F7E" w:rsidRPr="00BF2708">
        <w:rPr>
          <w:i/>
          <w:iCs/>
        </w:rPr>
        <w:t xml:space="preserve"> “</w:t>
      </w:r>
      <w:r w:rsidRPr="00BF2708">
        <w:rPr>
          <w:i/>
          <w:iCs/>
        </w:rPr>
        <w:t>k</w:t>
      </w:r>
      <w:r w:rsidR="00EE7F7E" w:rsidRPr="00BF2708">
        <w:rPr>
          <w:i/>
          <w:iCs/>
        </w:rPr>
        <w:t xml:space="preserve">” </w:t>
      </w:r>
      <w:r w:rsidR="00EE7F7E" w:rsidRPr="00BF2708">
        <w:t xml:space="preserve">during the </w:t>
      </w:r>
      <w:r w:rsidR="00EE7F7E" w:rsidRPr="0068061A">
        <w:t xml:space="preserve">settlement period </w:t>
      </w:r>
      <w:r w:rsidR="00EE7F7E" w:rsidRPr="0068061A">
        <w:rPr>
          <w:i/>
          <w:iCs/>
        </w:rPr>
        <w:t>“m”</w:t>
      </w:r>
      <w:r w:rsidR="00EE7F7E" w:rsidRPr="0068061A">
        <w:t xml:space="preserve"> </w:t>
      </w:r>
      <w:r w:rsidR="00CA4A3B">
        <w:t>for</w:t>
      </w:r>
      <w:r w:rsidR="00EE7F7E" w:rsidRPr="0068061A">
        <w:t xml:space="preserve"> Must Run Generation, calculated as per Clause</w:t>
      </w:r>
      <w:r w:rsidR="003F43F8" w:rsidRPr="0068061A">
        <w:t xml:space="preserve"> </w:t>
      </w:r>
      <w:r w:rsidR="00BF2708" w:rsidRPr="0068061A">
        <w:fldChar w:fldCharType="begin"/>
      </w:r>
      <w:r w:rsidR="00BF2708" w:rsidRPr="0068061A">
        <w:instrText xml:space="preserve"> REF _Ref65936674 \r \h  \* MERGEFORMAT </w:instrText>
      </w:r>
      <w:r w:rsidR="00BF2708" w:rsidRPr="0068061A">
        <w:fldChar w:fldCharType="separate"/>
      </w:r>
      <w:r w:rsidR="00251DBF">
        <w:t>7.1.3.4</w:t>
      </w:r>
      <w:r w:rsidR="00BF2708" w:rsidRPr="0068061A">
        <w:fldChar w:fldCharType="end"/>
      </w:r>
      <w:r w:rsidR="00EE7F7E" w:rsidRPr="0068061A">
        <w:t>;</w:t>
      </w:r>
    </w:p>
    <w:p w14:paraId="72F0B88D" w14:textId="59CED9B2" w:rsidR="00801429" w:rsidRPr="0068061A" w:rsidRDefault="00EE7F7E" w:rsidP="00356DEE">
      <w:pPr>
        <w:pStyle w:val="BodyText"/>
        <w:ind w:left="3402" w:hanging="992"/>
      </w:pPr>
      <w:r w:rsidRPr="0068061A">
        <w:rPr>
          <w:i/>
          <w:iCs/>
        </w:rPr>
        <w:sym w:font="Symbol" w:char="F020"/>
      </w:r>
      <w:r w:rsidRPr="0068061A">
        <w:rPr>
          <w:i/>
          <w:iCs/>
        </w:rPr>
        <w:sym w:font="Symbol" w:char="F022"/>
      </w:r>
      <w:r w:rsidR="00801429" w:rsidRPr="0068061A">
        <w:rPr>
          <w:i/>
          <w:iCs/>
        </w:rPr>
        <w:t>i</w:t>
      </w:r>
      <w:r w:rsidR="00801429" w:rsidRPr="0068061A">
        <w:rPr>
          <w:i/>
          <w:iCs/>
        </w:rPr>
        <w:sym w:font="Symbol" w:char="F0CE"/>
      </w:r>
      <w:r w:rsidR="00801429" w:rsidRPr="0068061A">
        <w:rPr>
          <w:i/>
          <w:iCs/>
        </w:rPr>
        <w:t xml:space="preserve"> AR</w:t>
      </w:r>
      <w:r w:rsidR="00801429" w:rsidRPr="0068061A">
        <w:rPr>
          <w:i/>
          <w:iCs/>
          <w:vertAlign w:val="subscript"/>
        </w:rPr>
        <w:t>s</w:t>
      </w:r>
      <w:r w:rsidRPr="0068061A">
        <w:rPr>
          <w:i/>
          <w:iCs/>
        </w:rPr>
        <w:tab/>
      </w:r>
      <w:r w:rsidR="00801429" w:rsidRPr="0068061A">
        <w:t xml:space="preserve">means all Generators connected to a network located in the </w:t>
      </w:r>
      <w:r w:rsidR="00B138ED">
        <w:t>Congested Zone</w:t>
      </w:r>
      <w:r w:rsidR="00801429" w:rsidRPr="0068061A">
        <w:t xml:space="preserve"> “</w:t>
      </w:r>
      <w:r w:rsidR="002C32A5">
        <w:t>AR</w:t>
      </w:r>
      <w:r w:rsidR="00801429" w:rsidRPr="0068061A">
        <w:t xml:space="preserve">s”, </w:t>
      </w:r>
      <w:r w:rsidR="00CA4A3B">
        <w:t>which are eligible for</w:t>
      </w:r>
      <w:r w:rsidR="00CA4A3B" w:rsidRPr="00861C41">
        <w:t xml:space="preserve"> compensation </w:t>
      </w:r>
      <w:r w:rsidR="00801429" w:rsidRPr="0068061A">
        <w:t xml:space="preserve">for </w:t>
      </w:r>
      <w:r w:rsidR="00CA4A3B">
        <w:t xml:space="preserve">allowing </w:t>
      </w:r>
      <w:r w:rsidR="00801429" w:rsidRPr="0068061A">
        <w:t>the provision of Ancillary Services</w:t>
      </w:r>
      <w:r w:rsidR="00FC02FD">
        <w:t>;</w:t>
      </w:r>
      <w:r w:rsidR="00801429" w:rsidRPr="0068061A">
        <w:t xml:space="preserve"> </w:t>
      </w:r>
    </w:p>
    <w:p w14:paraId="44A378DB" w14:textId="486670CB" w:rsidR="00801429" w:rsidRDefault="00EE7F7E" w:rsidP="00356DEE">
      <w:pPr>
        <w:pStyle w:val="BodyText"/>
        <w:ind w:left="3402" w:hanging="992"/>
      </w:pPr>
      <w:r w:rsidRPr="0068061A">
        <w:t xml:space="preserve"> </w:t>
      </w:r>
      <w:r w:rsidR="00801429" w:rsidRPr="0068061A">
        <w:rPr>
          <w:i/>
          <w:iCs/>
        </w:rPr>
        <w:sym w:font="Symbol" w:char="F020"/>
      </w:r>
      <w:r w:rsidR="00801429" w:rsidRPr="0068061A">
        <w:rPr>
          <w:i/>
          <w:iCs/>
        </w:rPr>
        <w:sym w:font="Symbol" w:char="F022"/>
      </w:r>
      <w:r w:rsidR="00801429" w:rsidRPr="0068061A">
        <w:rPr>
          <w:i/>
          <w:iCs/>
        </w:rPr>
        <w:t>j</w:t>
      </w:r>
      <w:r w:rsidR="00801429" w:rsidRPr="0068061A">
        <w:rPr>
          <w:i/>
          <w:iCs/>
        </w:rPr>
        <w:sym w:font="Symbol" w:char="F0CE"/>
      </w:r>
      <w:r w:rsidR="00801429" w:rsidRPr="0068061A">
        <w:rPr>
          <w:i/>
          <w:iCs/>
        </w:rPr>
        <w:t>AR</w:t>
      </w:r>
      <w:r w:rsidR="00801429" w:rsidRPr="0068061A">
        <w:rPr>
          <w:i/>
          <w:iCs/>
          <w:vertAlign w:val="subscript"/>
        </w:rPr>
        <w:t>s</w:t>
      </w:r>
      <w:r w:rsidR="00801429" w:rsidRPr="0068061A">
        <w:rPr>
          <w:i/>
          <w:iCs/>
        </w:rPr>
        <w:tab/>
      </w:r>
      <w:r w:rsidR="00801429" w:rsidRPr="0068061A">
        <w:t xml:space="preserve">means all Generators connected to a network located in the </w:t>
      </w:r>
      <w:r w:rsidR="00B138ED">
        <w:t>Congested Zone</w:t>
      </w:r>
      <w:r w:rsidR="00AF2289" w:rsidRPr="0068061A">
        <w:t xml:space="preserve"> </w:t>
      </w:r>
      <w:r w:rsidR="00801429" w:rsidRPr="0068061A">
        <w:t xml:space="preserve">“s”, </w:t>
      </w:r>
      <w:r w:rsidR="00CA4A3B">
        <w:t>which are eligible for</w:t>
      </w:r>
      <w:r w:rsidR="00CA4A3B" w:rsidRPr="00861C41">
        <w:t xml:space="preserve"> compensation </w:t>
      </w:r>
      <w:r w:rsidR="00801429">
        <w:t xml:space="preserve">for Must Run Generation. </w:t>
      </w:r>
    </w:p>
    <w:p w14:paraId="7B42FAFB" w14:textId="0C15F728" w:rsidR="007C56B7" w:rsidRPr="00A72A5A" w:rsidRDefault="00FC02FD" w:rsidP="00B03234">
      <w:pPr>
        <w:pStyle w:val="Heading5"/>
      </w:pPr>
      <w:r>
        <w:t>d</w:t>
      </w:r>
      <w:r w:rsidR="00356DEE" w:rsidRPr="00A72A5A">
        <w:t xml:space="preserve">etermination of the total </w:t>
      </w:r>
      <w:r w:rsidR="00722B47" w:rsidRPr="00A72A5A">
        <w:t xml:space="preserve">Energy </w:t>
      </w:r>
      <w:r w:rsidR="007C56B7" w:rsidRPr="00A72A5A">
        <w:t xml:space="preserve">supplied </w:t>
      </w:r>
      <w:r w:rsidR="00CA4A3B">
        <w:t>by</w:t>
      </w:r>
      <w:r w:rsidR="00CA4A3B" w:rsidRPr="00A72A5A">
        <w:t xml:space="preserve"> </w:t>
      </w:r>
      <w:r w:rsidR="007C56B7" w:rsidRPr="00A72A5A">
        <w:t xml:space="preserve">each Market Participant registered as </w:t>
      </w:r>
      <w:r w:rsidR="00BF564D">
        <w:t>Electric Power Supplier</w:t>
      </w:r>
      <w:r w:rsidR="00C56D38" w:rsidRPr="00A72A5A">
        <w:t xml:space="preserve"> or </w:t>
      </w:r>
      <w:r w:rsidR="00CA4A3B">
        <w:t>withdrawn</w:t>
      </w:r>
      <w:r w:rsidR="00CA4A3B" w:rsidRPr="00A72A5A">
        <w:t xml:space="preserve"> </w:t>
      </w:r>
      <w:r w:rsidR="00C56D38" w:rsidRPr="00A72A5A">
        <w:t>by a BPC which is a Market Participant</w:t>
      </w:r>
      <w:r w:rsidR="002C32A5">
        <w:t xml:space="preserve"> or </w:t>
      </w:r>
      <w:r w:rsidR="00BF564D">
        <w:t>Electric Power Trader</w:t>
      </w:r>
      <w:r w:rsidR="002C32A5">
        <w:t xml:space="preserve"> involved in Exports</w:t>
      </w:r>
      <w:r w:rsidR="00722B47" w:rsidRPr="00A72A5A">
        <w:t>,</w:t>
      </w:r>
      <w:r w:rsidR="007C56B7" w:rsidRPr="00A72A5A">
        <w:t xml:space="preserve"> in </w:t>
      </w:r>
      <w:r w:rsidR="00356DEE" w:rsidRPr="00A72A5A">
        <w:t xml:space="preserve">each </w:t>
      </w:r>
      <w:r w:rsidR="00B138ED">
        <w:t>Congested Zone</w:t>
      </w:r>
      <w:r w:rsidR="00356DEE" w:rsidRPr="00A72A5A">
        <w:t xml:space="preserve">. </w:t>
      </w:r>
      <w:r w:rsidR="00160BF7">
        <w:t>The</w:t>
      </w:r>
      <w:r w:rsidR="00160BF7" w:rsidRPr="00A72A5A">
        <w:t xml:space="preserve"> </w:t>
      </w:r>
      <w:r w:rsidR="00722B47" w:rsidRPr="00A72A5A">
        <w:t>c</w:t>
      </w:r>
      <w:r w:rsidR="007C56B7" w:rsidRPr="00A72A5A">
        <w:t xml:space="preserve">alculation will be different in case of </w:t>
      </w:r>
      <w:r w:rsidR="00C56D38" w:rsidRPr="00A72A5A">
        <w:t xml:space="preserve">BPCs, </w:t>
      </w:r>
      <w:r w:rsidR="007C56B7" w:rsidRPr="00A72A5A">
        <w:t xml:space="preserve">Competitive </w:t>
      </w:r>
      <w:r w:rsidR="00BF564D">
        <w:t>Electric Power Supplier</w:t>
      </w:r>
      <w:r w:rsidR="007C56B7" w:rsidRPr="00A72A5A">
        <w:t>s</w:t>
      </w:r>
      <w:r w:rsidR="00BA2942" w:rsidRPr="00A72A5A">
        <w:t xml:space="preserve">, </w:t>
      </w:r>
      <w:r w:rsidR="00403C8A">
        <w:t>Default Supplier</w:t>
      </w:r>
      <w:r w:rsidR="007C56B7" w:rsidRPr="00A72A5A">
        <w:t>s</w:t>
      </w:r>
      <w:r w:rsidR="00BA2942" w:rsidRPr="00A72A5A">
        <w:t xml:space="preserve"> and </w:t>
      </w:r>
      <w:r w:rsidR="00BF564D">
        <w:t>Electric Power Trader</w:t>
      </w:r>
      <w:r w:rsidR="002C32A5">
        <w:t xml:space="preserve">s involved in </w:t>
      </w:r>
      <w:r w:rsidR="00BA2942" w:rsidRPr="00A72A5A">
        <w:t>Exports</w:t>
      </w:r>
      <w:r w:rsidR="007C56B7" w:rsidRPr="00A72A5A">
        <w:t xml:space="preserve">. </w:t>
      </w:r>
    </w:p>
    <w:p w14:paraId="070E3821" w14:textId="4F35732A" w:rsidR="00C56D38" w:rsidRPr="00A72A5A" w:rsidRDefault="00FC02FD" w:rsidP="00CF7164">
      <w:pPr>
        <w:pStyle w:val="Heading6"/>
      </w:pPr>
      <w:bookmarkStart w:id="301" w:name="_Ref64715056"/>
      <w:r>
        <w:t>I</w:t>
      </w:r>
      <w:r w:rsidR="00C56D38" w:rsidRPr="00A72A5A">
        <w:t xml:space="preserve">n the case of a BPC which is a Market Participant, the </w:t>
      </w:r>
      <w:r w:rsidR="0046412E" w:rsidRPr="00A72A5A">
        <w:t>Energy</w:t>
      </w:r>
      <w:r w:rsidR="00C56D38" w:rsidRPr="00A72A5A">
        <w:t xml:space="preserve"> </w:t>
      </w:r>
      <w:r w:rsidR="002C32A5">
        <w:t>withdrawn</w:t>
      </w:r>
      <w:r w:rsidR="002C32A5" w:rsidRPr="00A72A5A">
        <w:t xml:space="preserve"> </w:t>
      </w:r>
      <w:r w:rsidR="00C56D38" w:rsidRPr="00A72A5A">
        <w:t xml:space="preserve">shall </w:t>
      </w:r>
      <w:r w:rsidR="004D4D2B" w:rsidRPr="00A72A5A">
        <w:t>be the</w:t>
      </w:r>
      <w:r w:rsidR="00C56D38" w:rsidRPr="00A72A5A">
        <w:t xml:space="preserve"> Energy registered at the corresponding Metering Point</w:t>
      </w:r>
      <w:r w:rsidR="002C32A5">
        <w:t xml:space="preserve"> considered by </w:t>
      </w:r>
      <w:r w:rsidR="002C32A5">
        <w:lastRenderedPageBreak/>
        <w:t xml:space="preserve">the Market Operator as per provisions of </w:t>
      </w:r>
      <w:r w:rsidR="00F54A87">
        <w:rPr>
          <w:rFonts w:eastAsiaTheme="minorEastAsia" w:cstheme="minorHAnsi"/>
        </w:rPr>
        <w:fldChar w:fldCharType="begin"/>
      </w:r>
      <w:r w:rsidR="00F54A87">
        <w:rPr>
          <w:rFonts w:eastAsiaTheme="minorEastAsia" w:cstheme="minorHAnsi"/>
        </w:rPr>
        <w:instrText xml:space="preserve"> REF _Ref76854808 \r \h </w:instrText>
      </w:r>
      <w:r w:rsidR="00F54A87">
        <w:rPr>
          <w:rFonts w:eastAsiaTheme="minorEastAsia" w:cstheme="minorHAnsi"/>
        </w:rPr>
      </w:r>
      <w:r w:rsidR="00F54A87">
        <w:rPr>
          <w:rFonts w:eastAsiaTheme="minorEastAsia" w:cstheme="minorHAnsi"/>
        </w:rPr>
        <w:fldChar w:fldCharType="separate"/>
      </w:r>
      <w:r w:rsidR="00F54A87">
        <w:rPr>
          <w:rFonts w:eastAsiaTheme="minorEastAsia" w:cstheme="minorHAnsi"/>
        </w:rPr>
        <w:t>Chapter 5</w:t>
      </w:r>
      <w:r w:rsidR="00F54A87">
        <w:rPr>
          <w:rFonts w:eastAsiaTheme="minorEastAsia" w:cstheme="minorHAnsi"/>
        </w:rPr>
        <w:fldChar w:fldCharType="end"/>
      </w:r>
      <w:r w:rsidR="00545DAF" w:rsidRPr="00A72A5A">
        <w:t xml:space="preserve">, minus the Energy </w:t>
      </w:r>
      <w:r w:rsidR="002C32A5">
        <w:t>purchased from the</w:t>
      </w:r>
      <w:r w:rsidR="00545DAF" w:rsidRPr="00A72A5A">
        <w:t xml:space="preserve"> Competitive </w:t>
      </w:r>
      <w:r w:rsidR="00BF564D">
        <w:t>Electric Power Supplier</w:t>
      </w:r>
      <w:r w:rsidR="00545DAF" w:rsidRPr="00A72A5A">
        <w:t>s, if any</w:t>
      </w:r>
      <w:r w:rsidR="00C56D38" w:rsidRPr="00A72A5A">
        <w:t>:</w:t>
      </w:r>
      <w:bookmarkEnd w:id="301"/>
      <w:r w:rsidR="00C56D38" w:rsidRPr="00A72A5A">
        <w:t xml:space="preserve"> </w:t>
      </w:r>
    </w:p>
    <w:p w14:paraId="0D8395B1" w14:textId="6BF7D679" w:rsidR="00C56D38" w:rsidRPr="00A72A5A" w:rsidRDefault="004D6075" w:rsidP="00A819D8">
      <w:pPr>
        <w:ind w:left="1276"/>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ES_BPC</m:t>
              </m:r>
            </m:e>
            <m:sub>
              <m:r>
                <w:rPr>
                  <w:rFonts w:ascii="Cambria Math" w:hAnsi="Cambria Math"/>
                </w:rPr>
                <m:t>i,ARs,m</m:t>
              </m:r>
            </m:sub>
          </m:sSub>
          <m:d>
            <m:dPr>
              <m:begChr m:val="["/>
              <m:endChr m:val="]"/>
              <m:ctrlPr>
                <w:rPr>
                  <w:rFonts w:ascii="Cambria Math" w:hAnsi="Cambria Math"/>
                  <w:i/>
                </w:rPr>
              </m:ctrlPr>
            </m:dPr>
            <m:e>
              <m:r>
                <w:rPr>
                  <w:rFonts w:ascii="Cambria Math" w:hAnsi="Cambria Math"/>
                </w:rPr>
                <m:t>MWh</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T</m:t>
              </m:r>
            </m:sup>
            <m:e>
              <m:r>
                <w:rPr>
                  <w:rFonts w:ascii="Cambria Math" w:hAnsi="Cambria Math"/>
                </w:rPr>
                <m:t>Act_</m:t>
              </m:r>
              <m:sSub>
                <m:sSubPr>
                  <m:ctrlPr>
                    <w:rPr>
                      <w:rFonts w:ascii="Cambria Math" w:eastAsiaTheme="minorEastAsia" w:hAnsi="Cambria Math"/>
                    </w:rPr>
                  </m:ctrlPr>
                </m:sSubPr>
                <m:e>
                  <m:r>
                    <w:rPr>
                      <w:rFonts w:ascii="Cambria Math" w:eastAsiaTheme="minorEastAsia" w:hAnsi="Cambria Math"/>
                    </w:rPr>
                    <m:t>E</m:t>
                  </m:r>
                </m:e>
                <m:sub>
                  <m:sSub>
                    <m:sSubPr>
                      <m:ctrlPr>
                        <w:rPr>
                          <w:rFonts w:ascii="Cambria Math" w:eastAsiaTheme="minorEastAsia" w:hAnsi="Cambria Math"/>
                        </w:rPr>
                      </m:ctrlPr>
                    </m:sSubPr>
                    <m:e>
                      <m:r>
                        <w:rPr>
                          <w:rFonts w:ascii="Cambria Math" w:eastAsiaTheme="minorEastAsia" w:hAnsi="Cambria Math"/>
                        </w:rPr>
                        <m:t>MP</m:t>
                      </m:r>
                    </m:e>
                    <m:sub>
                      <m:r>
                        <w:rPr>
                          <w:rFonts w:ascii="Cambria Math" w:eastAsiaTheme="minorEastAsia" w:hAnsi="Cambria Math"/>
                        </w:rPr>
                        <m:t>i</m:t>
                      </m:r>
                      <m:r>
                        <m:rPr>
                          <m:sty m:val="p"/>
                        </m:rPr>
                        <w:rPr>
                          <w:rFonts w:ascii="Cambria Math" w:eastAsiaTheme="minorEastAsia" w:hAnsi="Cambria Math"/>
                        </w:rPr>
                        <m:t>,ARs,</m:t>
                      </m:r>
                      <m:r>
                        <w:rPr>
                          <w:rFonts w:ascii="Cambria Math" w:eastAsiaTheme="minorEastAsia" w:hAnsi="Cambria Math"/>
                        </w:rPr>
                        <m:t>h</m:t>
                      </m:r>
                    </m:sub>
                  </m:sSub>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h=1</m:t>
              </m:r>
            </m:sub>
            <m:sup>
              <m:r>
                <w:rPr>
                  <w:rFonts w:ascii="Cambria Math" w:hAnsi="Cambria Math"/>
                </w:rPr>
                <m:t>T</m:t>
              </m:r>
            </m:sup>
            <m:e>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∀CS</m:t>
                          </m:r>
                        </m:e>
                        <m:sub>
                          <m:r>
                            <w:rPr>
                              <w:rFonts w:ascii="Cambria Math" w:hAnsi="Cambria Math"/>
                            </w:rPr>
                            <m:t>j</m:t>
                          </m:r>
                        </m:sub>
                      </m:sSub>
                    </m:sub>
                    <m:sup/>
                    <m:e>
                      <m:sSub>
                        <m:sSubPr>
                          <m:ctrlPr>
                            <w:rPr>
                              <w:rFonts w:ascii="Cambria Math" w:eastAsiaTheme="minorEastAsia" w:hAnsi="Cambria Math"/>
                            </w:rPr>
                          </m:ctrlPr>
                        </m:sSubPr>
                        <m:e>
                          <m:r>
                            <w:rPr>
                              <w:rFonts w:ascii="Cambria Math" w:eastAsiaTheme="minorEastAsia" w:hAnsi="Cambria Math"/>
                            </w:rPr>
                            <m:t>EC</m:t>
                          </m:r>
                        </m:e>
                        <m:sub>
                          <m:sSub>
                            <m:sSubPr>
                              <m:ctrlPr>
                                <w:rPr>
                                  <w:rFonts w:ascii="Cambria Math" w:eastAsiaTheme="minorEastAsia" w:hAnsi="Cambria Math"/>
                                </w:rPr>
                              </m:ctrlPr>
                            </m:sSubPr>
                            <m:e>
                              <m:r>
                                <w:rPr>
                                  <w:rFonts w:ascii="Cambria Math" w:eastAsiaTheme="minorEastAsia" w:hAnsi="Cambria Math"/>
                                </w:rPr>
                                <m:t>MP</m:t>
                              </m:r>
                            </m:e>
                            <m:sub>
                              <m:r>
                                <w:rPr>
                                  <w:rFonts w:ascii="Cambria Math" w:eastAsiaTheme="minorEastAsia" w:hAnsi="Cambria Math"/>
                                </w:rPr>
                                <m:t>i,j</m:t>
                              </m:r>
                              <m:r>
                                <m:rPr>
                                  <m:sty m:val="p"/>
                                </m:rPr>
                                <w:rPr>
                                  <w:rFonts w:ascii="Cambria Math" w:eastAsiaTheme="minorEastAsia" w:hAnsi="Cambria Math"/>
                                </w:rPr>
                                <m:t>,ARs</m:t>
                              </m:r>
                              <m:r>
                                <w:rPr>
                                  <w:rFonts w:ascii="Cambria Math" w:eastAsiaTheme="minorEastAsia" w:hAnsi="Cambria Math"/>
                                </w:rPr>
                                <m:t>h</m:t>
                              </m:r>
                            </m:sub>
                          </m:sSub>
                        </m:sub>
                      </m:sSub>
                    </m:e>
                  </m:nary>
                </m:e>
              </m:d>
            </m:e>
          </m:nary>
        </m:oMath>
      </m:oMathPara>
    </w:p>
    <w:p w14:paraId="62CF25FB" w14:textId="77777777" w:rsidR="00F54D73" w:rsidRPr="00A72A5A" w:rsidRDefault="00F54D73" w:rsidP="00C56D38">
      <w:pPr>
        <w:jc w:val="center"/>
      </w:pPr>
    </w:p>
    <w:p w14:paraId="36350F6A" w14:textId="77777777" w:rsidR="00DC384E" w:rsidRPr="00A72A5A" w:rsidRDefault="00DC384E" w:rsidP="004B03DE">
      <w:pPr>
        <w:pStyle w:val="BodyText"/>
        <w:ind w:left="3544" w:hanging="992"/>
      </w:pPr>
      <w:r w:rsidRPr="00A72A5A">
        <w:t xml:space="preserve">Where: </w:t>
      </w:r>
    </w:p>
    <w:p w14:paraId="2C9D144D" w14:textId="3D7B0015" w:rsidR="00DC384E" w:rsidRPr="00A72A5A" w:rsidRDefault="004D6075" w:rsidP="004B03DE">
      <w:pPr>
        <w:pStyle w:val="BodyText"/>
        <w:ind w:left="3544" w:hanging="992"/>
      </w:pPr>
      <m:oMath>
        <m:sSub>
          <m:sSubPr>
            <m:ctrlPr>
              <w:rPr>
                <w:rFonts w:ascii="Cambria Math" w:hAnsi="Cambria Math"/>
                <w:i/>
              </w:rPr>
            </m:ctrlPr>
          </m:sSubPr>
          <m:e>
            <m:r>
              <w:rPr>
                <w:rFonts w:ascii="Cambria Math" w:hAnsi="Cambria Math"/>
              </w:rPr>
              <m:t>ES_BPC</m:t>
            </m:r>
          </m:e>
          <m:sub>
            <m:r>
              <w:rPr>
                <w:rFonts w:ascii="Cambria Math" w:hAnsi="Cambria Math"/>
              </w:rPr>
              <m:t>i,ARs,m</m:t>
            </m:r>
          </m:sub>
        </m:sSub>
      </m:oMath>
      <w:r w:rsidR="00DC384E" w:rsidRPr="00A72A5A">
        <w:rPr>
          <w:i/>
          <w:iCs/>
        </w:rPr>
        <w:t xml:space="preserve"> is</w:t>
      </w:r>
      <w:r w:rsidR="00DC384E" w:rsidRPr="00A72A5A">
        <w:t xml:space="preserve"> the total Energy supplied to BPC </w:t>
      </w:r>
      <w:r w:rsidR="00DC384E" w:rsidRPr="00A72A5A">
        <w:rPr>
          <w:i/>
          <w:iCs/>
        </w:rPr>
        <w:t>“i”,</w:t>
      </w:r>
      <w:r w:rsidR="00DC384E" w:rsidRPr="00A72A5A">
        <w:t xml:space="preserve"> which is located in the </w:t>
      </w:r>
      <w:r w:rsidR="00B138ED">
        <w:t>Congested Zone</w:t>
      </w:r>
      <w:r w:rsidR="00DC384E" w:rsidRPr="00A72A5A">
        <w:t xml:space="preserve"> </w:t>
      </w:r>
      <w:r w:rsidR="00DC384E" w:rsidRPr="00A72A5A">
        <w:rPr>
          <w:i/>
          <w:iCs/>
        </w:rPr>
        <w:t>“ARs”</w:t>
      </w:r>
      <w:r w:rsidR="00DC384E" w:rsidRPr="00A72A5A">
        <w:t xml:space="preserve">, during the Settlement Period </w:t>
      </w:r>
      <w:r w:rsidR="00DC384E" w:rsidRPr="00A72A5A">
        <w:rPr>
          <w:i/>
          <w:iCs/>
        </w:rPr>
        <w:t>“m”</w:t>
      </w:r>
      <w:r w:rsidR="00DC384E" w:rsidRPr="00A72A5A">
        <w:t>, in MWh;</w:t>
      </w:r>
    </w:p>
    <w:p w14:paraId="03F7DE25" w14:textId="77045055" w:rsidR="00F54D73" w:rsidRPr="00A72A5A" w:rsidRDefault="00A819D8" w:rsidP="006F1A2E">
      <w:pPr>
        <w:pStyle w:val="BodyText"/>
        <w:ind w:left="3544" w:hanging="992"/>
        <w:rPr>
          <w:iCs/>
        </w:rPr>
      </w:pPr>
      <m:oMath>
        <m:r>
          <w:rPr>
            <w:rFonts w:ascii="Cambria Math" w:hAnsi="Cambria Math"/>
          </w:rPr>
          <m:t>Act_</m:t>
        </m:r>
        <m:sSub>
          <m:sSubPr>
            <m:ctrlPr>
              <w:rPr>
                <w:rFonts w:ascii="Cambria Math" w:eastAsiaTheme="minorEastAsia" w:hAnsi="Cambria Math"/>
              </w:rPr>
            </m:ctrlPr>
          </m:sSubPr>
          <m:e>
            <m:r>
              <w:rPr>
                <w:rFonts w:ascii="Cambria Math" w:eastAsiaTheme="minorEastAsia" w:hAnsi="Cambria Math"/>
              </w:rPr>
              <m:t>E</m:t>
            </m:r>
          </m:e>
          <m:sub>
            <m:sSub>
              <m:sSubPr>
                <m:ctrlPr>
                  <w:rPr>
                    <w:rFonts w:ascii="Cambria Math" w:eastAsiaTheme="minorEastAsia" w:hAnsi="Cambria Math"/>
                  </w:rPr>
                </m:ctrlPr>
              </m:sSubPr>
              <m:e>
                <m:r>
                  <w:rPr>
                    <w:rFonts w:ascii="Cambria Math" w:eastAsiaTheme="minorEastAsia" w:hAnsi="Cambria Math"/>
                  </w:rPr>
                  <m:t>MP</m:t>
                </m:r>
              </m:e>
              <m:sub>
                <m:r>
                  <w:rPr>
                    <w:rFonts w:ascii="Cambria Math" w:eastAsiaTheme="minorEastAsia" w:hAnsi="Cambria Math"/>
                  </w:rPr>
                  <m:t>i,ARs</m:t>
                </m:r>
                <m:r>
                  <m:rPr>
                    <m:sty m:val="p"/>
                  </m:rPr>
                  <w:rPr>
                    <w:rFonts w:ascii="Cambria Math" w:eastAsiaTheme="minorEastAsia" w:hAnsi="Cambria Math"/>
                  </w:rPr>
                  <m:t>,</m:t>
                </m:r>
                <m:r>
                  <w:rPr>
                    <w:rFonts w:ascii="Cambria Math" w:eastAsiaTheme="minorEastAsia" w:hAnsi="Cambria Math"/>
                  </w:rPr>
                  <m:t>h</m:t>
                </m:r>
              </m:sub>
            </m:sSub>
          </m:sub>
        </m:sSub>
      </m:oMath>
      <w:r w:rsidR="006F1A2E" w:rsidRPr="00A72A5A">
        <w:rPr>
          <w:rFonts w:ascii="Cambria Math" w:hAnsi="Cambria Math"/>
          <w:i/>
        </w:rPr>
        <w:tab/>
      </w:r>
      <w:r w:rsidR="00F54D73" w:rsidRPr="00A72A5A">
        <w:rPr>
          <w:iCs/>
        </w:rPr>
        <w:t xml:space="preserve">is the Energy, </w:t>
      </w:r>
      <w:r w:rsidR="002C32A5">
        <w:rPr>
          <w:iCs/>
        </w:rPr>
        <w:t>withdrawn</w:t>
      </w:r>
      <w:r w:rsidR="002C32A5" w:rsidRPr="00A72A5A">
        <w:rPr>
          <w:iCs/>
        </w:rPr>
        <w:t xml:space="preserve"> </w:t>
      </w:r>
      <w:r w:rsidR="00F54D73" w:rsidRPr="00A72A5A">
        <w:rPr>
          <w:iCs/>
        </w:rPr>
        <w:t xml:space="preserve">by BPC </w:t>
      </w:r>
      <w:r w:rsidR="00F54D73" w:rsidRPr="00A72A5A">
        <w:rPr>
          <w:i/>
        </w:rPr>
        <w:t>“i”</w:t>
      </w:r>
      <w:r w:rsidR="006A12D7" w:rsidRPr="00A72A5A">
        <w:rPr>
          <w:i/>
        </w:rPr>
        <w:t xml:space="preserve">, </w:t>
      </w:r>
      <w:r w:rsidR="00F54D73" w:rsidRPr="00A72A5A">
        <w:rPr>
          <w:iCs/>
        </w:rPr>
        <w:t xml:space="preserve">which is located in the </w:t>
      </w:r>
      <w:r w:rsidR="00B138ED">
        <w:rPr>
          <w:iCs/>
        </w:rPr>
        <w:t>Congested Zone</w:t>
      </w:r>
      <w:r w:rsidR="00F54D73" w:rsidRPr="00A72A5A">
        <w:rPr>
          <w:iCs/>
        </w:rPr>
        <w:t xml:space="preserve"> </w:t>
      </w:r>
      <w:r w:rsidR="006A12D7" w:rsidRPr="00A72A5A">
        <w:rPr>
          <w:iCs/>
        </w:rPr>
        <w:t>“</w:t>
      </w:r>
      <w:r w:rsidR="006F1A2E" w:rsidRPr="00A72A5A">
        <w:rPr>
          <w:i/>
        </w:rPr>
        <w:t>ARs</w:t>
      </w:r>
      <w:r w:rsidR="006A12D7" w:rsidRPr="00A72A5A">
        <w:rPr>
          <w:i/>
        </w:rPr>
        <w:t>”,</w:t>
      </w:r>
      <w:r w:rsidR="006F1A2E" w:rsidRPr="00A72A5A">
        <w:rPr>
          <w:iCs/>
        </w:rPr>
        <w:t xml:space="preserve"> in</w:t>
      </w:r>
      <w:r w:rsidR="00F54D73" w:rsidRPr="00A72A5A">
        <w:rPr>
          <w:iCs/>
        </w:rPr>
        <w:t xml:space="preserve"> hour </w:t>
      </w:r>
      <w:r w:rsidR="00F54D73" w:rsidRPr="00A72A5A">
        <w:rPr>
          <w:i/>
        </w:rPr>
        <w:t>“h”</w:t>
      </w:r>
      <w:r w:rsidR="00F54D73" w:rsidRPr="00A72A5A">
        <w:rPr>
          <w:iCs/>
        </w:rPr>
        <w:t xml:space="preserve">,  </w:t>
      </w:r>
      <w:r w:rsidR="006F1A2E" w:rsidRPr="00A72A5A">
        <w:rPr>
          <w:iCs/>
        </w:rPr>
        <w:t>calculated pursuant</w:t>
      </w:r>
      <w:r w:rsidR="001A7D29" w:rsidRPr="001A7D29">
        <w:t xml:space="preserve"> Clause </w:t>
      </w:r>
      <w:r w:rsidR="001A7D29" w:rsidRPr="001A7D29">
        <w:fldChar w:fldCharType="begin"/>
      </w:r>
      <w:r w:rsidR="001A7D29" w:rsidRPr="001A7D29">
        <w:instrText xml:space="preserve"> REF _Ref59456858 \r \h  \* MERGEFORMAT </w:instrText>
      </w:r>
      <w:r w:rsidR="001A7D29" w:rsidRPr="001A7D29">
        <w:fldChar w:fldCharType="separate"/>
      </w:r>
      <w:r w:rsidR="00251DBF">
        <w:t>6.3.3.3</w:t>
      </w:r>
      <w:r w:rsidR="001A7D29" w:rsidRPr="001A7D29">
        <w:fldChar w:fldCharType="end"/>
      </w:r>
      <w:r w:rsidR="001A7D29" w:rsidRPr="001A7D29">
        <w:t>,</w:t>
      </w:r>
      <w:r w:rsidR="00160BF7">
        <w:t xml:space="preserve"> in MWh</w:t>
      </w:r>
      <w:r w:rsidR="00FC02FD">
        <w:rPr>
          <w:iCs/>
        </w:rPr>
        <w:t>;</w:t>
      </w:r>
    </w:p>
    <w:p w14:paraId="5F8E4CB6" w14:textId="2D5FE53B" w:rsidR="006A12D7" w:rsidRPr="00A72A5A" w:rsidRDefault="004D6075" w:rsidP="00A819D8">
      <w:pPr>
        <w:pStyle w:val="BodyText"/>
        <w:ind w:left="3544" w:hanging="992"/>
        <w:rPr>
          <w:iCs/>
        </w:rPr>
      </w:pPr>
      <m:oMath>
        <m:sSub>
          <m:sSubPr>
            <m:ctrlPr>
              <w:rPr>
                <w:rFonts w:ascii="Cambria Math" w:eastAsiaTheme="minorEastAsia" w:hAnsi="Cambria Math"/>
              </w:rPr>
            </m:ctrlPr>
          </m:sSubPr>
          <m:e>
            <m:r>
              <w:rPr>
                <w:rFonts w:ascii="Cambria Math" w:eastAsiaTheme="minorEastAsia" w:hAnsi="Cambria Math"/>
              </w:rPr>
              <m:t>EC</m:t>
            </m:r>
          </m:e>
          <m:sub>
            <m:sSub>
              <m:sSubPr>
                <m:ctrlPr>
                  <w:rPr>
                    <w:rFonts w:ascii="Cambria Math" w:eastAsiaTheme="minorEastAsia" w:hAnsi="Cambria Math"/>
                  </w:rPr>
                </m:ctrlPr>
              </m:sSubPr>
              <m:e>
                <m:r>
                  <w:rPr>
                    <w:rFonts w:ascii="Cambria Math" w:eastAsiaTheme="minorEastAsia" w:hAnsi="Cambria Math"/>
                  </w:rPr>
                  <m:t>MP</m:t>
                </m:r>
              </m:e>
              <m:sub>
                <m:r>
                  <w:rPr>
                    <w:rFonts w:ascii="Cambria Math" w:eastAsiaTheme="minorEastAsia" w:hAnsi="Cambria Math"/>
                  </w:rPr>
                  <m:t>i,j</m:t>
                </m:r>
                <m:r>
                  <m:rPr>
                    <m:sty m:val="p"/>
                  </m:rPr>
                  <w:rPr>
                    <w:rFonts w:ascii="Cambria Math" w:eastAsiaTheme="minorEastAsia" w:hAnsi="Cambria Math"/>
                  </w:rPr>
                  <m:t>,ARs</m:t>
                </m:r>
                <m:r>
                  <w:rPr>
                    <w:rFonts w:ascii="Cambria Math" w:eastAsiaTheme="minorEastAsia" w:hAnsi="Cambria Math"/>
                  </w:rPr>
                  <m:t>h</m:t>
                </m:r>
              </m:sub>
            </m:sSub>
          </m:sub>
        </m:sSub>
        <m:r>
          <w:rPr>
            <w:rFonts w:ascii="Cambria Math" w:eastAsiaTheme="minorEastAsia" w:hAnsi="Cambria Math"/>
          </w:rPr>
          <m:t xml:space="preserve">  </m:t>
        </m:r>
      </m:oMath>
      <w:r w:rsidR="00A819D8" w:rsidRPr="00A72A5A">
        <w:rPr>
          <w:rFonts w:ascii="Cambria Math" w:hAnsi="Cambria Math"/>
          <w:i/>
        </w:rPr>
        <w:tab/>
      </w:r>
      <w:r w:rsidR="00A819D8" w:rsidRPr="00A72A5A">
        <w:rPr>
          <w:iCs/>
        </w:rPr>
        <w:t>is the Energy</w:t>
      </w:r>
      <w:r w:rsidR="00545DAF" w:rsidRPr="00A72A5A">
        <w:rPr>
          <w:iCs/>
        </w:rPr>
        <w:t xml:space="preserve"> supplied by the Competitive </w:t>
      </w:r>
      <w:r w:rsidR="00BF564D">
        <w:rPr>
          <w:iCs/>
        </w:rPr>
        <w:t>Electric Power Supplier</w:t>
      </w:r>
      <w:r w:rsidR="00545DAF" w:rsidRPr="00A72A5A">
        <w:rPr>
          <w:iCs/>
        </w:rPr>
        <w:t xml:space="preserve"> </w:t>
      </w:r>
      <w:r w:rsidR="00545DAF" w:rsidRPr="00A72A5A">
        <w:rPr>
          <w:i/>
        </w:rPr>
        <w:t>“j”</w:t>
      </w:r>
      <w:r w:rsidR="00545DAF" w:rsidRPr="00A72A5A">
        <w:rPr>
          <w:iCs/>
        </w:rPr>
        <w:t xml:space="preserve"> to the</w:t>
      </w:r>
      <w:r w:rsidR="00A819D8" w:rsidRPr="00A72A5A">
        <w:rPr>
          <w:iCs/>
        </w:rPr>
        <w:t xml:space="preserve"> BPC </w:t>
      </w:r>
      <w:r w:rsidR="00A819D8" w:rsidRPr="00A72A5A">
        <w:rPr>
          <w:i/>
        </w:rPr>
        <w:t>“i”</w:t>
      </w:r>
      <w:r w:rsidR="006A12D7" w:rsidRPr="00A72A5A">
        <w:rPr>
          <w:i/>
        </w:rPr>
        <w:t xml:space="preserve">, </w:t>
      </w:r>
      <w:r w:rsidR="00A819D8" w:rsidRPr="00A72A5A">
        <w:rPr>
          <w:iCs/>
        </w:rPr>
        <w:t xml:space="preserve">which is located in the </w:t>
      </w:r>
      <w:r w:rsidR="00B138ED">
        <w:rPr>
          <w:iCs/>
        </w:rPr>
        <w:t>Congested Zone</w:t>
      </w:r>
      <w:r w:rsidR="00A819D8" w:rsidRPr="00A72A5A">
        <w:rPr>
          <w:iCs/>
        </w:rPr>
        <w:t xml:space="preserve"> </w:t>
      </w:r>
      <w:r w:rsidR="006A12D7" w:rsidRPr="00A72A5A">
        <w:rPr>
          <w:iCs/>
        </w:rPr>
        <w:t>“</w:t>
      </w:r>
      <w:r w:rsidR="00A819D8" w:rsidRPr="00A72A5A">
        <w:rPr>
          <w:i/>
        </w:rPr>
        <w:t>ARs</w:t>
      </w:r>
      <w:r w:rsidR="006A12D7" w:rsidRPr="00A72A5A">
        <w:rPr>
          <w:i/>
        </w:rPr>
        <w:t>”,</w:t>
      </w:r>
      <w:r w:rsidR="00A819D8" w:rsidRPr="00A72A5A">
        <w:rPr>
          <w:iCs/>
        </w:rPr>
        <w:t xml:space="preserve"> in hour </w:t>
      </w:r>
      <w:r w:rsidR="00A819D8" w:rsidRPr="00A72A5A">
        <w:rPr>
          <w:i/>
        </w:rPr>
        <w:t>“h”</w:t>
      </w:r>
      <w:r w:rsidR="006A12D7" w:rsidRPr="00A72A5A">
        <w:rPr>
          <w:i/>
        </w:rPr>
        <w:t xml:space="preserve">, </w:t>
      </w:r>
      <w:r w:rsidR="00545DAF" w:rsidRPr="00A72A5A">
        <w:rPr>
          <w:iCs/>
        </w:rPr>
        <w:t xml:space="preserve">registered by </w:t>
      </w:r>
      <w:r w:rsidR="006A12D7" w:rsidRPr="00A72A5A">
        <w:rPr>
          <w:iCs/>
        </w:rPr>
        <w:t xml:space="preserve">the </w:t>
      </w:r>
      <w:r w:rsidR="00545DAF" w:rsidRPr="00A72A5A">
        <w:rPr>
          <w:iCs/>
        </w:rPr>
        <w:t xml:space="preserve">Commercial Metering System </w:t>
      </w:r>
      <w:r w:rsidR="002C32A5">
        <w:rPr>
          <w:iCs/>
        </w:rPr>
        <w:t xml:space="preserve">and considered by the Market Operator as per provision of </w:t>
      </w:r>
      <w:r w:rsidR="00F54A87">
        <w:rPr>
          <w:rFonts w:eastAsiaTheme="minorEastAsia" w:cstheme="minorHAnsi"/>
          <w:color w:val="auto"/>
        </w:rPr>
        <w:fldChar w:fldCharType="begin"/>
      </w:r>
      <w:r w:rsidR="00F54A87">
        <w:rPr>
          <w:rFonts w:eastAsiaTheme="minorEastAsia" w:cstheme="minorHAnsi"/>
          <w:color w:val="auto"/>
        </w:rPr>
        <w:instrText xml:space="preserve"> REF _Ref76854808 \r \h </w:instrText>
      </w:r>
      <w:r w:rsidR="00F54A87">
        <w:rPr>
          <w:rFonts w:eastAsiaTheme="minorEastAsia" w:cstheme="minorHAnsi"/>
          <w:color w:val="auto"/>
        </w:rPr>
      </w:r>
      <w:r w:rsidR="00F54A87">
        <w:rPr>
          <w:rFonts w:eastAsiaTheme="minorEastAsia" w:cstheme="minorHAnsi"/>
          <w:color w:val="auto"/>
        </w:rPr>
        <w:fldChar w:fldCharType="separate"/>
      </w:r>
      <w:r w:rsidR="00F54A87">
        <w:rPr>
          <w:rFonts w:eastAsiaTheme="minorEastAsia" w:cstheme="minorHAnsi"/>
          <w:color w:val="auto"/>
        </w:rPr>
        <w:t>Chapter 5</w:t>
      </w:r>
      <w:r w:rsidR="00F54A87">
        <w:rPr>
          <w:rFonts w:eastAsiaTheme="minorEastAsia" w:cstheme="minorHAnsi"/>
          <w:color w:val="auto"/>
        </w:rPr>
        <w:fldChar w:fldCharType="end"/>
      </w:r>
      <w:r w:rsidR="002C32A5">
        <w:rPr>
          <w:iCs/>
        </w:rPr>
        <w:t xml:space="preserve"> </w:t>
      </w:r>
      <w:r w:rsidR="00545DAF" w:rsidRPr="00A72A5A">
        <w:rPr>
          <w:iCs/>
        </w:rPr>
        <w:t xml:space="preserve">or the </w:t>
      </w:r>
      <w:r w:rsidR="006A12D7" w:rsidRPr="00A72A5A">
        <w:rPr>
          <w:iCs/>
        </w:rPr>
        <w:t xml:space="preserve">information </w:t>
      </w:r>
      <w:r w:rsidR="00545DAF" w:rsidRPr="00A72A5A">
        <w:rPr>
          <w:iCs/>
        </w:rPr>
        <w:t>contained</w:t>
      </w:r>
      <w:r w:rsidR="006A12D7" w:rsidRPr="00A72A5A">
        <w:rPr>
          <w:iCs/>
        </w:rPr>
        <w:t xml:space="preserve"> in the Contract Register</w:t>
      </w:r>
      <w:r w:rsidR="00545DAF" w:rsidRPr="00A72A5A">
        <w:rPr>
          <w:iCs/>
        </w:rPr>
        <w:t>, as the case may be</w:t>
      </w:r>
      <w:r w:rsidR="00FC02FD">
        <w:rPr>
          <w:iCs/>
        </w:rPr>
        <w:t>;</w:t>
      </w:r>
    </w:p>
    <w:p w14:paraId="1B0415C0" w14:textId="57A77989" w:rsidR="006A12D7" w:rsidRPr="00A72A5A" w:rsidRDefault="006A12D7" w:rsidP="006A12D7">
      <w:pPr>
        <w:pStyle w:val="BodyText"/>
        <w:ind w:left="3544" w:hanging="992"/>
        <w:rPr>
          <w:i/>
          <w:iCs/>
        </w:rPr>
      </w:pPr>
      <w:r w:rsidRPr="00A72A5A">
        <w:rPr>
          <w:i/>
          <w:iCs/>
          <w:noProof/>
        </w:rPr>
        <w:drawing>
          <wp:anchor distT="0" distB="0" distL="114300" distR="114300" simplePos="0" relativeHeight="251709440" behindDoc="1" locked="0" layoutInCell="1" allowOverlap="1" wp14:anchorId="634379E7" wp14:editId="3D0CD5A4">
            <wp:simplePos x="0" y="0"/>
            <wp:positionH relativeFrom="column">
              <wp:posOffset>1620777</wp:posOffset>
            </wp:positionH>
            <wp:positionV relativeFrom="paragraph">
              <wp:posOffset>-943</wp:posOffset>
            </wp:positionV>
            <wp:extent cx="254478" cy="358419"/>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43268" t="12612" r="51738" b="16178"/>
                    <a:stretch/>
                  </pic:blipFill>
                  <pic:spPr bwMode="auto">
                    <a:xfrm>
                      <a:off x="0" y="0"/>
                      <a:ext cx="254478" cy="358419"/>
                    </a:xfrm>
                    <a:prstGeom prst="rect">
                      <a:avLst/>
                    </a:prstGeom>
                    <a:noFill/>
                    <a:ln>
                      <a:noFill/>
                    </a:ln>
                    <a:extLst>
                      <a:ext uri="{53640926-AAD7-44D8-BBD7-CCE9431645EC}">
                        <a14:shadowObscured xmlns:a14="http://schemas.microsoft.com/office/drawing/2010/main"/>
                      </a:ext>
                    </a:extLst>
                  </pic:spPr>
                </pic:pic>
              </a:graphicData>
            </a:graphic>
          </wp:anchor>
        </w:drawing>
      </w:r>
      <w:r w:rsidRPr="00A72A5A">
        <w:rPr>
          <w:i/>
          <w:iCs/>
        </w:rPr>
        <w:tab/>
      </w:r>
      <w:r w:rsidRPr="00A72A5A">
        <w:t xml:space="preserve">is the sum over all Competitive </w:t>
      </w:r>
      <w:r w:rsidR="00BF564D">
        <w:t>Electric Power Supplier</w:t>
      </w:r>
      <w:r w:rsidRPr="00A72A5A">
        <w:t xml:space="preserve">s which have </w:t>
      </w:r>
      <w:r w:rsidR="003A578F">
        <w:t>Contract</w:t>
      </w:r>
      <w:r w:rsidRPr="00A72A5A">
        <w:t>s with the BPC</w:t>
      </w:r>
      <w:r w:rsidRPr="00A72A5A">
        <w:rPr>
          <w:i/>
          <w:iCs/>
        </w:rPr>
        <w:t xml:space="preserve"> “i”</w:t>
      </w:r>
      <w:r w:rsidR="00CB6D96" w:rsidRPr="00A72A5A">
        <w:rPr>
          <w:i/>
          <w:iCs/>
        </w:rPr>
        <w:t xml:space="preserve"> (</w:t>
      </w:r>
      <w:r w:rsidRPr="00A72A5A">
        <w:t>if any</w:t>
      </w:r>
      <w:r w:rsidR="00CB6D96" w:rsidRPr="00A72A5A">
        <w:t>)</w:t>
      </w:r>
      <w:r w:rsidR="00FC02FD">
        <w:t>;</w:t>
      </w:r>
    </w:p>
    <w:p w14:paraId="5B2F1F27" w14:textId="1ACF8B0B" w:rsidR="00DC384E" w:rsidRPr="00A72A5A" w:rsidRDefault="00DC384E" w:rsidP="004B03DE">
      <w:pPr>
        <w:pStyle w:val="BodyText"/>
        <w:ind w:left="3544" w:hanging="992"/>
      </w:pPr>
      <w:r w:rsidRPr="00A72A5A">
        <w:rPr>
          <w:i/>
          <w:iCs/>
        </w:rPr>
        <w:t>T</w:t>
      </w:r>
      <w:r w:rsidRPr="00A72A5A">
        <w:rPr>
          <w:i/>
          <w:iCs/>
        </w:rPr>
        <w:tab/>
      </w:r>
      <w:r w:rsidRPr="00A72A5A">
        <w:t xml:space="preserve">is the total number of hours in the Settlement Period </w:t>
      </w:r>
      <w:r w:rsidRPr="00A72A5A">
        <w:rPr>
          <w:i/>
          <w:iCs/>
        </w:rPr>
        <w:t>“m”</w:t>
      </w:r>
      <w:r w:rsidR="00FC02FD">
        <w:rPr>
          <w:i/>
          <w:iCs/>
        </w:rPr>
        <w:t>.</w:t>
      </w:r>
    </w:p>
    <w:p w14:paraId="3B4F981B" w14:textId="7E82D9DE" w:rsidR="00722B47" w:rsidRPr="00A72A5A" w:rsidRDefault="00722B47" w:rsidP="00CF7164">
      <w:pPr>
        <w:pStyle w:val="Heading6"/>
      </w:pPr>
      <w:bookmarkStart w:id="302" w:name="_Ref64715172"/>
      <w:r w:rsidRPr="00A72A5A">
        <w:t xml:space="preserve">In the case of Competitive </w:t>
      </w:r>
      <w:r w:rsidR="00BF564D">
        <w:t>Electric Power Supplier</w:t>
      </w:r>
      <w:r w:rsidRPr="00A72A5A">
        <w:t xml:space="preserve">s, the Energy </w:t>
      </w:r>
      <w:r w:rsidR="00C56D38" w:rsidRPr="00A72A5A">
        <w:t>s</w:t>
      </w:r>
      <w:r w:rsidRPr="00A72A5A">
        <w:t xml:space="preserve">upplied shall be </w:t>
      </w:r>
      <w:r w:rsidR="00C56D38" w:rsidRPr="00A72A5A">
        <w:t xml:space="preserve">the addition of the Energy supplied to all the BPCs </w:t>
      </w:r>
      <w:r w:rsidR="002C32A5">
        <w:t>supplied</w:t>
      </w:r>
      <w:r w:rsidR="002C32A5" w:rsidRPr="00A72A5A">
        <w:t xml:space="preserve"> </w:t>
      </w:r>
      <w:r w:rsidR="004B03DE" w:rsidRPr="00A72A5A">
        <w:t xml:space="preserve">by the Competitive </w:t>
      </w:r>
      <w:r w:rsidR="00BF564D">
        <w:t>Electric Power Supplier</w:t>
      </w:r>
      <w:r w:rsidRPr="00A72A5A">
        <w:t>:</w:t>
      </w:r>
      <w:bookmarkEnd w:id="302"/>
    </w:p>
    <w:p w14:paraId="3527929B" w14:textId="61F574D4" w:rsidR="00E13254" w:rsidRPr="00A72A5A" w:rsidRDefault="004D6075" w:rsidP="00E13254">
      <w:pPr>
        <w:jc w:val="center"/>
        <w:rPr>
          <w:rFonts w:eastAsia="Times New Roman" w:cs="Times New Roman"/>
        </w:rPr>
      </w:pPr>
      <m:oMathPara>
        <m:oMath>
          <m:sSub>
            <m:sSubPr>
              <m:ctrlPr>
                <w:rPr>
                  <w:rFonts w:ascii="Cambria Math" w:hAnsi="Cambria Math"/>
                  <w:i/>
                </w:rPr>
              </m:ctrlPr>
            </m:sSubPr>
            <m:e>
              <m:r>
                <w:rPr>
                  <w:rFonts w:ascii="Cambria Math" w:hAnsi="Cambria Math"/>
                </w:rPr>
                <m:t>ES_CS</m:t>
              </m:r>
            </m:e>
            <m:sub>
              <m:r>
                <w:rPr>
                  <w:rFonts w:ascii="Cambria Math" w:hAnsi="Cambria Math"/>
                </w:rPr>
                <m:t>j,ARS,m</m:t>
              </m:r>
            </m:sub>
          </m:sSub>
          <m:d>
            <m:dPr>
              <m:begChr m:val="["/>
              <m:endChr m:val="]"/>
              <m:ctrlPr>
                <w:rPr>
                  <w:rFonts w:ascii="Cambria Math" w:hAnsi="Cambria Math"/>
                  <w:i/>
                </w:rPr>
              </m:ctrlPr>
            </m:dPr>
            <m:e>
              <m:r>
                <w:rPr>
                  <w:rFonts w:ascii="Cambria Math" w:hAnsi="Cambria Math"/>
                </w:rPr>
                <m:t>MWh</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T</m:t>
              </m:r>
            </m:sup>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BPC</m:t>
                          </m:r>
                        </m:e>
                        <m:sub>
                          <m:r>
                            <w:rPr>
                              <w:rFonts w:ascii="Cambria Math" w:hAnsi="Cambria Math"/>
                            </w:rPr>
                            <m:t>i</m:t>
                          </m:r>
                        </m:sub>
                      </m:sSub>
                      <m:r>
                        <w:rPr>
                          <w:rFonts w:ascii="Cambria Math" w:hAnsi="Cambria Math"/>
                        </w:rPr>
                        <m:t>∈ARs</m:t>
                      </m:r>
                    </m:sub>
                    <m:sup/>
                    <m:e>
                      <m:r>
                        <w:rPr>
                          <w:rFonts w:ascii="Cambria Math" w:hAnsi="Cambria Math"/>
                        </w:rPr>
                        <m:t>Act_</m:t>
                      </m:r>
                      <m:sSub>
                        <m:sSubPr>
                          <m:ctrlPr>
                            <w:rPr>
                              <w:rFonts w:ascii="Cambria Math" w:eastAsiaTheme="minorEastAsia" w:hAnsi="Cambria Math"/>
                            </w:rPr>
                          </m:ctrlPr>
                        </m:sSubPr>
                        <m:e>
                          <m:r>
                            <w:rPr>
                              <w:rFonts w:ascii="Cambria Math" w:eastAsiaTheme="minorEastAsia" w:hAnsi="Cambria Math"/>
                            </w:rPr>
                            <m:t>E</m:t>
                          </m:r>
                        </m:e>
                        <m:sub>
                          <m:sSub>
                            <m:sSubPr>
                              <m:ctrlPr>
                                <w:rPr>
                                  <w:rFonts w:ascii="Cambria Math" w:eastAsiaTheme="minorEastAsia" w:hAnsi="Cambria Math"/>
                                </w:rPr>
                              </m:ctrlPr>
                            </m:sSubPr>
                            <m:e>
                              <m:r>
                                <w:rPr>
                                  <w:rFonts w:ascii="Cambria Math" w:eastAsiaTheme="minorEastAsia" w:hAnsi="Cambria Math"/>
                                </w:rPr>
                                <m:t>MP</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h</m:t>
                              </m:r>
                            </m:sub>
                          </m:sSub>
                        </m:sub>
                      </m:sSub>
                    </m:e>
                  </m:nary>
                </m:e>
              </m:d>
            </m:e>
          </m:nary>
          <m:r>
            <w:rPr>
              <w:rFonts w:ascii="Cambria Math" w:hAnsi="Cambria Math"/>
            </w:rPr>
            <m:t xml:space="preserve">  </m:t>
          </m:r>
        </m:oMath>
      </m:oMathPara>
    </w:p>
    <w:p w14:paraId="35F9DFA0" w14:textId="791852A6" w:rsidR="004B03DE" w:rsidRPr="00A72A5A" w:rsidRDefault="004B03DE" w:rsidP="00E13254">
      <w:pPr>
        <w:pStyle w:val="BodyText"/>
        <w:ind w:left="3544" w:hanging="992"/>
      </w:pPr>
      <w:r w:rsidRPr="00A72A5A">
        <w:t xml:space="preserve">Where: </w:t>
      </w:r>
    </w:p>
    <w:p w14:paraId="4E04BC4A" w14:textId="64AFF88E" w:rsidR="004B03DE" w:rsidRPr="00A72A5A" w:rsidRDefault="004D6075" w:rsidP="004B03DE">
      <w:pPr>
        <w:pStyle w:val="BodyText"/>
        <w:ind w:left="3544" w:hanging="992"/>
      </w:pPr>
      <m:oMath>
        <m:sSub>
          <m:sSubPr>
            <m:ctrlPr>
              <w:rPr>
                <w:rFonts w:ascii="Cambria Math" w:hAnsi="Cambria Math"/>
                <w:i/>
              </w:rPr>
            </m:ctrlPr>
          </m:sSubPr>
          <m:e>
            <m:r>
              <w:rPr>
                <w:rFonts w:ascii="Cambria Math" w:hAnsi="Cambria Math"/>
              </w:rPr>
              <m:t>ES_CS</m:t>
            </m:r>
          </m:e>
          <m:sub>
            <m:r>
              <w:rPr>
                <w:rFonts w:ascii="Cambria Math" w:hAnsi="Cambria Math"/>
              </w:rPr>
              <m:t>j,ARs,m</m:t>
            </m:r>
          </m:sub>
        </m:sSub>
      </m:oMath>
      <w:r w:rsidR="004B03DE" w:rsidRPr="00A72A5A">
        <w:rPr>
          <w:i/>
          <w:iCs/>
        </w:rPr>
        <w:t xml:space="preserve"> is</w:t>
      </w:r>
      <w:r w:rsidR="004B03DE" w:rsidRPr="00A72A5A">
        <w:t xml:space="preserve"> the total Energy supplied by the Competitive </w:t>
      </w:r>
      <w:r w:rsidR="00BF564D">
        <w:t>Electric Power Supplier</w:t>
      </w:r>
      <w:r w:rsidR="004B03DE" w:rsidRPr="00A72A5A">
        <w:t xml:space="preserve"> </w:t>
      </w:r>
      <w:r w:rsidR="004B03DE" w:rsidRPr="00A72A5A">
        <w:rPr>
          <w:i/>
          <w:iCs/>
        </w:rPr>
        <w:t>“j”</w:t>
      </w:r>
      <w:r w:rsidR="004B03DE" w:rsidRPr="00A72A5A">
        <w:t xml:space="preserve">, to </w:t>
      </w:r>
      <w:r w:rsidR="00545DAF" w:rsidRPr="00A72A5A">
        <w:t xml:space="preserve">its customers, </w:t>
      </w:r>
      <w:r w:rsidR="004B03DE" w:rsidRPr="00A72A5A">
        <w:t xml:space="preserve">located in the </w:t>
      </w:r>
      <w:r w:rsidR="00B138ED">
        <w:t>Congested Zone</w:t>
      </w:r>
      <w:r w:rsidR="004B03DE" w:rsidRPr="00A72A5A">
        <w:t xml:space="preserve"> </w:t>
      </w:r>
      <w:r w:rsidR="004B03DE" w:rsidRPr="00A72A5A">
        <w:rPr>
          <w:i/>
          <w:iCs/>
        </w:rPr>
        <w:t>“ARs”</w:t>
      </w:r>
      <w:r w:rsidR="004B03DE" w:rsidRPr="00A72A5A">
        <w:t xml:space="preserve">, during the Settlement Period </w:t>
      </w:r>
      <w:r w:rsidR="004B03DE" w:rsidRPr="00A72A5A">
        <w:rPr>
          <w:i/>
          <w:iCs/>
        </w:rPr>
        <w:t>“m”</w:t>
      </w:r>
      <w:r w:rsidR="004B03DE" w:rsidRPr="00A72A5A">
        <w:t>, in MWh;</w:t>
      </w:r>
    </w:p>
    <w:p w14:paraId="26B84172" w14:textId="37FC27B1" w:rsidR="004B03DE" w:rsidRPr="00A72A5A" w:rsidRDefault="00D01B85" w:rsidP="00F013DF">
      <w:pPr>
        <w:pStyle w:val="BodyText"/>
        <w:ind w:left="3544" w:hanging="992"/>
      </w:pPr>
      <m:oMath>
        <m:r>
          <w:rPr>
            <w:rFonts w:ascii="Cambria Math" w:hAnsi="Cambria Math"/>
          </w:rPr>
          <m:t>Act_</m:t>
        </m:r>
        <m:sSub>
          <m:sSubPr>
            <m:ctrlPr>
              <w:rPr>
                <w:rFonts w:ascii="Cambria Math" w:eastAsiaTheme="minorEastAsia" w:hAnsi="Cambria Math"/>
              </w:rPr>
            </m:ctrlPr>
          </m:sSubPr>
          <m:e>
            <m:r>
              <w:rPr>
                <w:rFonts w:ascii="Cambria Math" w:eastAsiaTheme="minorEastAsia" w:hAnsi="Cambria Math"/>
              </w:rPr>
              <m:t>E</m:t>
            </m:r>
          </m:e>
          <m:sub>
            <m:sSub>
              <m:sSubPr>
                <m:ctrlPr>
                  <w:rPr>
                    <w:rFonts w:ascii="Cambria Math" w:eastAsiaTheme="minorEastAsia" w:hAnsi="Cambria Math"/>
                  </w:rPr>
                </m:ctrlPr>
              </m:sSubPr>
              <m:e>
                <m:r>
                  <w:rPr>
                    <w:rFonts w:ascii="Cambria Math" w:eastAsiaTheme="minorEastAsia" w:hAnsi="Cambria Math"/>
                  </w:rPr>
                  <m:t>MP</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h</m:t>
                </m:r>
              </m:sub>
            </m:sSub>
          </m:sub>
        </m:sSub>
      </m:oMath>
      <w:r w:rsidR="004B03DE" w:rsidRPr="00A72A5A">
        <w:rPr>
          <w:i/>
          <w:iCs/>
        </w:rPr>
        <w:tab/>
      </w:r>
      <w:r w:rsidR="004B03DE" w:rsidRPr="00A72A5A">
        <w:t xml:space="preserve">is the Energy </w:t>
      </w:r>
      <w:r w:rsidR="00545DAF" w:rsidRPr="00A72A5A">
        <w:t>supplied to</w:t>
      </w:r>
      <w:r w:rsidR="004B03DE" w:rsidRPr="00A72A5A">
        <w:t xml:space="preserve"> BPC </w:t>
      </w:r>
      <w:r w:rsidR="004B03DE" w:rsidRPr="00A72A5A">
        <w:rPr>
          <w:i/>
          <w:iCs/>
        </w:rPr>
        <w:t>“i”</w:t>
      </w:r>
      <w:r w:rsidR="004B03DE" w:rsidRPr="00A72A5A">
        <w:t xml:space="preserve">, located in the </w:t>
      </w:r>
      <w:r w:rsidR="00B138ED">
        <w:t>Congested Zone</w:t>
      </w:r>
      <w:r w:rsidR="004B03DE" w:rsidRPr="00A72A5A">
        <w:t xml:space="preserve"> </w:t>
      </w:r>
      <w:r w:rsidR="004B03DE" w:rsidRPr="00A72A5A">
        <w:rPr>
          <w:i/>
          <w:iCs/>
        </w:rPr>
        <w:t>“ARs”</w:t>
      </w:r>
      <w:r w:rsidR="00E13254" w:rsidRPr="00A72A5A">
        <w:rPr>
          <w:i/>
          <w:iCs/>
        </w:rPr>
        <w:t>,</w:t>
      </w:r>
      <w:r w:rsidR="00E13254" w:rsidRPr="00A72A5A">
        <w:t xml:space="preserve"> by Competitive </w:t>
      </w:r>
      <w:r w:rsidR="00BF564D">
        <w:t>Electric Power Supplier</w:t>
      </w:r>
      <w:r w:rsidR="00E13254" w:rsidRPr="00A72A5A">
        <w:t xml:space="preserve"> </w:t>
      </w:r>
      <w:r w:rsidR="00E13254" w:rsidRPr="00A72A5A">
        <w:rPr>
          <w:i/>
          <w:iCs/>
        </w:rPr>
        <w:t>“j”</w:t>
      </w:r>
      <w:r w:rsidR="00E13254" w:rsidRPr="00A72A5A">
        <w:t xml:space="preserve"> </w:t>
      </w:r>
      <w:r w:rsidR="004B03DE" w:rsidRPr="00A72A5A">
        <w:t xml:space="preserve"> in hour </w:t>
      </w:r>
      <w:r w:rsidR="004B03DE" w:rsidRPr="00A72A5A">
        <w:rPr>
          <w:i/>
          <w:iCs/>
        </w:rPr>
        <w:t>“h”,</w:t>
      </w:r>
      <w:r w:rsidR="004B03DE" w:rsidRPr="00A72A5A">
        <w:t xml:space="preserve"> </w:t>
      </w:r>
      <w:r w:rsidR="00F013DF" w:rsidRPr="00A72A5A">
        <w:t>in MWh</w:t>
      </w:r>
      <w:r w:rsidR="00F013DF">
        <w:t>,</w:t>
      </w:r>
      <w:r w:rsidR="00F013DF" w:rsidRPr="00A72A5A">
        <w:t xml:space="preserve"> </w:t>
      </w:r>
      <w:r w:rsidR="00545DAF" w:rsidRPr="00A72A5A">
        <w:t>either</w:t>
      </w:r>
      <w:r w:rsidR="002C32A5">
        <w:t xml:space="preserve"> </w:t>
      </w:r>
      <w:r w:rsidRPr="00A72A5A">
        <w:rPr>
          <w:iCs/>
        </w:rPr>
        <w:t>calculated pursuant</w:t>
      </w:r>
      <w:r w:rsidR="001A7D29" w:rsidRPr="001A7D29">
        <w:t xml:space="preserve"> Clause </w:t>
      </w:r>
      <w:r w:rsidR="001A7D29" w:rsidRPr="001A7D29">
        <w:fldChar w:fldCharType="begin"/>
      </w:r>
      <w:r w:rsidR="001A7D29" w:rsidRPr="001A7D29">
        <w:instrText xml:space="preserve"> REF _Ref59456858 \r \h  \* MERGEFORMAT </w:instrText>
      </w:r>
      <w:r w:rsidR="001A7D29" w:rsidRPr="001A7D29">
        <w:fldChar w:fldCharType="separate"/>
      </w:r>
      <w:r w:rsidR="00251DBF">
        <w:t>6.3.3.3</w:t>
      </w:r>
      <w:r w:rsidR="001A7D29" w:rsidRPr="001A7D29">
        <w:fldChar w:fldCharType="end"/>
      </w:r>
      <w:r w:rsidRPr="00A72A5A">
        <w:rPr>
          <w:iCs/>
        </w:rPr>
        <w:t xml:space="preserve"> </w:t>
      </w:r>
      <w:r w:rsidR="00545DAF" w:rsidRPr="00A72A5A">
        <w:t xml:space="preserve"> or the information contained in the Contract Register of the Market Operator, </w:t>
      </w:r>
      <w:r w:rsidR="00545DAF" w:rsidRPr="00A72A5A">
        <w:rPr>
          <w:iCs/>
        </w:rPr>
        <w:t>as the case may</w:t>
      </w:r>
      <w:r w:rsidRPr="00A72A5A">
        <w:rPr>
          <w:iCs/>
        </w:rPr>
        <w:t xml:space="preserve"> be</w:t>
      </w:r>
      <w:r w:rsidR="004B03DE" w:rsidRPr="00A72A5A">
        <w:t xml:space="preserve">, </w:t>
      </w:r>
      <w:r w:rsidRPr="00A72A5A">
        <w:t xml:space="preserve">depending on the type of Contract between the Competitive </w:t>
      </w:r>
      <w:r w:rsidR="00BF564D">
        <w:t>Electric Power Supplier</w:t>
      </w:r>
      <w:r w:rsidRPr="00A72A5A">
        <w:t xml:space="preserve"> and the BPC</w:t>
      </w:r>
      <w:r w:rsidR="00FC02FD">
        <w:t>;</w:t>
      </w:r>
      <w:r w:rsidRPr="00A72A5A">
        <w:t xml:space="preserve"> </w:t>
      </w:r>
    </w:p>
    <w:p w14:paraId="0ED7583D" w14:textId="7C0433F9" w:rsidR="00E13254" w:rsidRPr="00A72A5A" w:rsidRDefault="00E13254" w:rsidP="004B03DE">
      <w:pPr>
        <w:pStyle w:val="BodyText"/>
        <w:ind w:left="3544" w:hanging="992"/>
        <w:rPr>
          <w:rFonts w:eastAsiaTheme="minorEastAsia"/>
          <w:sz w:val="24"/>
          <w:szCs w:val="24"/>
        </w:rPr>
      </w:pPr>
      <w:r w:rsidRPr="00A72A5A">
        <w:rPr>
          <w:rFonts w:ascii="Cambria Math" w:eastAsiaTheme="minorEastAsia" w:hAnsi="Cambria Math"/>
          <w:noProof/>
          <w:sz w:val="24"/>
          <w:szCs w:val="24"/>
        </w:rPr>
        <w:drawing>
          <wp:anchor distT="0" distB="0" distL="114300" distR="114300" simplePos="0" relativeHeight="251695104" behindDoc="0" locked="0" layoutInCell="1" allowOverlap="1" wp14:anchorId="490A82A7" wp14:editId="12487A03">
            <wp:simplePos x="0" y="0"/>
            <wp:positionH relativeFrom="column">
              <wp:posOffset>1618089</wp:posOffset>
            </wp:positionH>
            <wp:positionV relativeFrom="paragraph">
              <wp:posOffset>-2250</wp:posOffset>
            </wp:positionV>
            <wp:extent cx="506839" cy="412825"/>
            <wp:effectExtent l="0" t="0" r="0" b="0"/>
            <wp:wrapThrough wrapText="bothSides">
              <wp:wrapPolygon edited="0">
                <wp:start x="4872" y="0"/>
                <wp:lineTo x="0" y="12960"/>
                <wp:lineTo x="0" y="15951"/>
                <wp:lineTo x="8120" y="17945"/>
                <wp:lineTo x="12180" y="17945"/>
                <wp:lineTo x="20301" y="15951"/>
                <wp:lineTo x="20301" y="13957"/>
                <wp:lineTo x="13805" y="0"/>
                <wp:lineTo x="4872"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63789" r="25694"/>
                    <a:stretch/>
                  </pic:blipFill>
                  <pic:spPr bwMode="auto">
                    <a:xfrm>
                      <a:off x="0" y="0"/>
                      <a:ext cx="506839" cy="412825"/>
                    </a:xfrm>
                    <a:prstGeom prst="rect">
                      <a:avLst/>
                    </a:prstGeom>
                    <a:noFill/>
                    <a:ln>
                      <a:noFill/>
                    </a:ln>
                    <a:extLst>
                      <a:ext uri="{53640926-AAD7-44D8-BBD7-CCE9431645EC}">
                        <a14:shadowObscured xmlns:a14="http://schemas.microsoft.com/office/drawing/2010/main"/>
                      </a:ext>
                    </a:extLst>
                  </pic:spPr>
                </pic:pic>
              </a:graphicData>
            </a:graphic>
          </wp:anchor>
        </w:drawing>
      </w:r>
      <w:r w:rsidR="00B3349B" w:rsidRPr="00A72A5A">
        <w:rPr>
          <w:rFonts w:ascii="Cambria Math" w:eastAsiaTheme="minorEastAsia" w:hAnsi="Cambria Math"/>
          <w:sz w:val="24"/>
          <w:szCs w:val="24"/>
        </w:rPr>
        <w:t xml:space="preserve"> </w:t>
      </w:r>
      <w:r w:rsidR="00B3349B" w:rsidRPr="00A72A5A">
        <w:rPr>
          <w:rFonts w:eastAsiaTheme="minorEastAsia"/>
          <w:sz w:val="24"/>
          <w:szCs w:val="24"/>
        </w:rPr>
        <w:t>means the addition over all BPCs</w:t>
      </w:r>
      <w:r w:rsidR="005C356E" w:rsidRPr="00A72A5A">
        <w:rPr>
          <w:rFonts w:eastAsiaTheme="minorEastAsia"/>
          <w:sz w:val="24"/>
          <w:szCs w:val="24"/>
        </w:rPr>
        <w:t xml:space="preserve"> supplied by the Competitive </w:t>
      </w:r>
      <w:r w:rsidR="00BF564D">
        <w:rPr>
          <w:rFonts w:eastAsiaTheme="minorEastAsia"/>
          <w:sz w:val="24"/>
          <w:szCs w:val="24"/>
        </w:rPr>
        <w:t>Electric Power Supplier</w:t>
      </w:r>
      <w:r w:rsidR="00B3349B" w:rsidRPr="00A72A5A">
        <w:rPr>
          <w:rFonts w:eastAsiaTheme="minorEastAsia"/>
          <w:sz w:val="24"/>
          <w:szCs w:val="24"/>
        </w:rPr>
        <w:t xml:space="preserve"> </w:t>
      </w:r>
      <w:r w:rsidR="00D01B85" w:rsidRPr="00A72A5A">
        <w:rPr>
          <w:rFonts w:eastAsiaTheme="minorEastAsia"/>
          <w:i/>
          <w:iCs/>
          <w:sz w:val="24"/>
          <w:szCs w:val="24"/>
        </w:rPr>
        <w:t xml:space="preserve">“j” </w:t>
      </w:r>
      <w:r w:rsidR="00B3349B" w:rsidRPr="00A72A5A">
        <w:rPr>
          <w:rFonts w:eastAsiaTheme="minorEastAsia"/>
          <w:sz w:val="24"/>
          <w:szCs w:val="24"/>
        </w:rPr>
        <w:t xml:space="preserve">which are located in the </w:t>
      </w:r>
      <w:r w:rsidR="00B138ED">
        <w:rPr>
          <w:rFonts w:eastAsiaTheme="minorEastAsia"/>
          <w:sz w:val="24"/>
          <w:szCs w:val="24"/>
        </w:rPr>
        <w:t>Congested Zone</w:t>
      </w:r>
      <w:r w:rsidR="00B3349B" w:rsidRPr="00A72A5A">
        <w:rPr>
          <w:rFonts w:eastAsiaTheme="minorEastAsia"/>
          <w:sz w:val="24"/>
          <w:szCs w:val="24"/>
        </w:rPr>
        <w:t xml:space="preserve"> </w:t>
      </w:r>
      <w:r w:rsidR="00B3349B" w:rsidRPr="00A72A5A">
        <w:rPr>
          <w:rFonts w:eastAsiaTheme="minorEastAsia"/>
          <w:i/>
          <w:iCs/>
          <w:sz w:val="24"/>
          <w:szCs w:val="24"/>
        </w:rPr>
        <w:t>“ARs”</w:t>
      </w:r>
      <w:r w:rsidR="00FC02FD">
        <w:rPr>
          <w:rFonts w:eastAsiaTheme="minorEastAsia"/>
          <w:i/>
          <w:iCs/>
          <w:sz w:val="24"/>
          <w:szCs w:val="24"/>
        </w:rPr>
        <w:t>;</w:t>
      </w:r>
    </w:p>
    <w:p w14:paraId="05B36EBC" w14:textId="04485C52" w:rsidR="004B03DE" w:rsidRPr="00A72A5A" w:rsidRDefault="004B03DE" w:rsidP="004B03DE">
      <w:pPr>
        <w:pStyle w:val="BodyText"/>
        <w:ind w:left="3544" w:hanging="992"/>
      </w:pPr>
      <w:r w:rsidRPr="00A72A5A">
        <w:rPr>
          <w:i/>
          <w:iCs/>
        </w:rPr>
        <w:t>T</w:t>
      </w:r>
      <w:r w:rsidRPr="00A72A5A">
        <w:rPr>
          <w:i/>
          <w:iCs/>
        </w:rPr>
        <w:tab/>
      </w:r>
      <w:r w:rsidRPr="00A72A5A">
        <w:t xml:space="preserve">is the total number of hours in the Settlement Period </w:t>
      </w:r>
      <w:r w:rsidRPr="00A72A5A">
        <w:rPr>
          <w:i/>
          <w:iCs/>
        </w:rPr>
        <w:t>“m”</w:t>
      </w:r>
      <w:r w:rsidR="00FC02FD">
        <w:rPr>
          <w:i/>
          <w:iCs/>
        </w:rPr>
        <w:t>.</w:t>
      </w:r>
    </w:p>
    <w:p w14:paraId="32E9AADA" w14:textId="484AC71A" w:rsidR="00B3349B" w:rsidRPr="00A72A5A" w:rsidRDefault="00B3349B" w:rsidP="008614FC">
      <w:pPr>
        <w:pStyle w:val="Heading6"/>
        <w:tabs>
          <w:tab w:val="left" w:pos="3304"/>
        </w:tabs>
      </w:pPr>
      <w:bookmarkStart w:id="303" w:name="_Ref64715347"/>
      <w:r w:rsidRPr="00A72A5A">
        <w:t xml:space="preserve">In the case of </w:t>
      </w:r>
      <w:r w:rsidR="00403C8A">
        <w:t>Default Supplier</w:t>
      </w:r>
      <w:r w:rsidRPr="00A72A5A">
        <w:t xml:space="preserve">s, the Energy supplied shall be calculated through an appropriate balance of the total Energy taken by the </w:t>
      </w:r>
      <w:r w:rsidR="00403C8A">
        <w:t>Default Supplier</w:t>
      </w:r>
      <w:r w:rsidR="009F31B4" w:rsidRPr="00A72A5A">
        <w:t xml:space="preserve"> from </w:t>
      </w:r>
      <w:r w:rsidR="009F31B4" w:rsidRPr="00A72A5A">
        <w:lastRenderedPageBreak/>
        <w:t>the Transmission Network or Imports</w:t>
      </w:r>
      <w:r w:rsidRPr="00A72A5A">
        <w:t xml:space="preserve"> plus the Energy injected by </w:t>
      </w:r>
      <w:r w:rsidR="008614FC" w:rsidRPr="00A72A5A">
        <w:t xml:space="preserve">Embedded </w:t>
      </w:r>
      <w:r w:rsidR="003F43F8" w:rsidRPr="00A72A5A">
        <w:t>Generation</w:t>
      </w:r>
      <w:r w:rsidR="008614FC" w:rsidRPr="00A72A5A">
        <w:t xml:space="preserve"> owned by the </w:t>
      </w:r>
      <w:r w:rsidR="00403C8A">
        <w:t>Default Supplier</w:t>
      </w:r>
      <w:r w:rsidR="004C288B" w:rsidRPr="00A72A5A">
        <w:t xml:space="preserve">, </w:t>
      </w:r>
      <w:r w:rsidR="008614FC" w:rsidRPr="00A72A5A">
        <w:t>duly corrected to take into account the losses in the Transmission or Distribution Network</w:t>
      </w:r>
      <w:r w:rsidR="00462F38">
        <w:t>. Provided that any Demand, Generation or Imports located in an area which is not connected directly or indirectly to the Transmission Network shall be exclude</w:t>
      </w:r>
      <w:r w:rsidR="00D6124F">
        <w:t>d</w:t>
      </w:r>
      <w:r w:rsidR="00462F38">
        <w:t xml:space="preserve"> from the calculation.</w:t>
      </w:r>
      <w:bookmarkEnd w:id="303"/>
    </w:p>
    <w:p w14:paraId="6D4A79BA" w14:textId="00157980" w:rsidR="004C288B" w:rsidRPr="00A72A5A" w:rsidRDefault="004D6075" w:rsidP="005B295A">
      <w:pPr>
        <w:pStyle w:val="Heading4"/>
        <w:numPr>
          <w:ilvl w:val="0"/>
          <w:numId w:val="0"/>
        </w:numPr>
        <w:ind w:left="851"/>
        <w:rPr>
          <w:rFonts w:asciiTheme="minorHAnsi" w:eastAsiaTheme="minorEastAsia" w:hAnsiTheme="minorHAnsi"/>
        </w:rPr>
      </w:pPr>
      <m:oMathPara>
        <m:oMath>
          <m:sSub>
            <m:sSubPr>
              <m:ctrlPr>
                <w:rPr>
                  <w:rFonts w:ascii="Cambria Math" w:eastAsiaTheme="minorHAnsi" w:hAnsi="Cambria Math" w:cstheme="minorBidi"/>
                  <w:color w:val="1C1C1C"/>
                  <w:szCs w:val="22"/>
                </w:rPr>
              </m:ctrlPr>
            </m:sSubPr>
            <m:e>
              <m:r>
                <w:rPr>
                  <w:rFonts w:ascii="Cambria Math" w:hAnsi="Cambria Math"/>
                </w:rPr>
                <m:t>ES</m:t>
              </m:r>
              <m:r>
                <m:rPr>
                  <m:sty m:val="p"/>
                </m:rPr>
                <w:rPr>
                  <w:rFonts w:ascii="Cambria Math" w:hAnsi="Cambria Math"/>
                </w:rPr>
                <m:t>_</m:t>
              </m:r>
              <m:r>
                <w:rPr>
                  <w:rFonts w:ascii="Cambria Math" w:hAnsi="Cambria Math"/>
                </w:rPr>
                <m:t>BS</m:t>
              </m:r>
            </m:e>
            <m:sub>
              <m:r>
                <w:rPr>
                  <w:rFonts w:ascii="Cambria Math" w:hAnsi="Cambria Math"/>
                </w:rPr>
                <m:t>k</m:t>
              </m:r>
              <m:r>
                <m:rPr>
                  <m:sty m:val="p"/>
                </m:rPr>
                <w:rPr>
                  <w:rFonts w:ascii="Cambria Math" w:hAnsi="Cambria Math"/>
                </w:rPr>
                <m:t>,</m:t>
              </m:r>
              <m:r>
                <w:rPr>
                  <w:rFonts w:ascii="Cambria Math" w:hAnsi="Cambria Math"/>
                </w:rPr>
                <m:t>ARS</m:t>
              </m:r>
              <m:r>
                <m:rPr>
                  <m:sty m:val="p"/>
                </m:rPr>
                <w:rPr>
                  <w:rFonts w:ascii="Cambria Math" w:hAnsi="Cambria Math"/>
                </w:rPr>
                <m:t>,</m:t>
              </m:r>
              <m:r>
                <w:rPr>
                  <w:rFonts w:ascii="Cambria Math" w:hAnsi="Cambria Math"/>
                </w:rPr>
                <m:t>m</m:t>
              </m:r>
            </m:sub>
          </m:sSub>
          <m:d>
            <m:dPr>
              <m:begChr m:val="["/>
              <m:endChr m:val="]"/>
              <m:ctrlPr>
                <w:rPr>
                  <w:rFonts w:ascii="Cambria Math" w:hAnsi="Cambria Math"/>
                </w:rPr>
              </m:ctrlPr>
            </m:dPr>
            <m:e>
              <m:r>
                <w:rPr>
                  <w:rFonts w:ascii="Cambria Math" w:hAnsi="Cambria Math"/>
                </w:rPr>
                <m:t>MWh</m:t>
              </m:r>
            </m:e>
          </m:d>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h</m:t>
              </m:r>
              <m:r>
                <m:rPr>
                  <m:sty m:val="p"/>
                </m:rPr>
                <w:rPr>
                  <w:rFonts w:ascii="Cambria Math" w:eastAsiaTheme="minorEastAsia" w:hAnsi="Cambria Math"/>
                </w:rPr>
                <m:t>=1</m:t>
              </m:r>
            </m:sub>
            <m:sup>
              <m:r>
                <w:rPr>
                  <w:rFonts w:ascii="Cambria Math" w:eastAsiaTheme="minorEastAsia" w:hAnsi="Cambria Math"/>
                </w:rPr>
                <m:t>T</m:t>
              </m:r>
            </m:sup>
            <m:e>
              <m:d>
                <m:dPr>
                  <m:begChr m:val="["/>
                  <m:endChr m:val="]"/>
                  <m:ctrlPr>
                    <w:rPr>
                      <w:rFonts w:ascii="Cambria Math" w:eastAsiaTheme="minorEastAsia" w:hAnsi="Cambria Math"/>
                    </w:rPr>
                  </m:ctrlPr>
                </m:dPr>
                <m:e>
                  <m:d>
                    <m:dPr>
                      <m:ctrlPr>
                        <w:rPr>
                          <w:rFonts w:ascii="Cambria Math" w:eastAsiaTheme="minorEastAsia" w:hAnsi="Cambria Math"/>
                        </w:rPr>
                      </m:ctrlPr>
                    </m:dPr>
                    <m:e>
                      <m:nary>
                        <m:naryPr>
                          <m:chr m:val="∑"/>
                          <m:limLoc m:val="undOvr"/>
                          <m:supHide m:val="1"/>
                          <m:ctrlPr>
                            <w:rPr>
                              <w:rFonts w:ascii="Cambria Math" w:eastAsiaTheme="minorEastAsia" w:hAnsi="Cambria Math"/>
                            </w:rPr>
                          </m:ctrlPr>
                        </m:naryPr>
                        <m:sub>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 xml:space="preserve"> ∈ </m:t>
                          </m:r>
                          <m:sSub>
                            <m:sSubPr>
                              <m:ctrlPr>
                                <w:rPr>
                                  <w:rFonts w:ascii="Cambria Math" w:eastAsiaTheme="minorEastAsia" w:hAnsi="Cambria Math"/>
                                </w:rPr>
                              </m:ctrlPr>
                            </m:sSubPr>
                            <m:e>
                              <m:r>
                                <w:rPr>
                                  <w:rFonts w:ascii="Cambria Math" w:eastAsiaTheme="minorEastAsia" w:hAnsi="Cambria Math"/>
                                </w:rPr>
                                <m:t>TP</m:t>
                              </m:r>
                            </m:e>
                            <m:sub>
                              <m:r>
                                <w:rPr>
                                  <w:rFonts w:ascii="Cambria Math" w:eastAsiaTheme="minorEastAsia" w:hAnsi="Cambria Math"/>
                                </w:rPr>
                                <m:t>ARs</m:t>
                              </m:r>
                            </m:sub>
                          </m:sSub>
                        </m:sub>
                        <m:sup/>
                        <m:e>
                          <m:sSub>
                            <m:sSubPr>
                              <m:ctrlPr>
                                <w:rPr>
                                  <w:rFonts w:ascii="Cambria Math" w:eastAsiaTheme="minorEastAsia" w:hAnsi="Cambria Math"/>
                                </w:rPr>
                              </m:ctrlPr>
                            </m:sSubPr>
                            <m:e>
                              <m:r>
                                <w:rPr>
                                  <w:rFonts w:ascii="Cambria Math" w:eastAsiaTheme="minorEastAsia" w:hAnsi="Cambria Math"/>
                                </w:rPr>
                                <m:t>Act</m:t>
                              </m:r>
                              <m:r>
                                <m:rPr>
                                  <m:sty m:val="p"/>
                                </m:rPr>
                                <w:rPr>
                                  <w:rFonts w:ascii="Cambria Math" w:eastAsiaTheme="minorEastAsia" w:hAnsi="Cambria Math"/>
                                </w:rPr>
                                <m:t>_</m:t>
                              </m:r>
                              <m:r>
                                <w:rPr>
                                  <w:rFonts w:ascii="Cambria Math" w:eastAsiaTheme="minorEastAsia" w:hAnsi="Cambria Math"/>
                                </w:rPr>
                                <m:t>E</m:t>
                              </m:r>
                            </m:e>
                            <m:sub>
                              <m:sSub>
                                <m:sSubPr>
                                  <m:ctrlPr>
                                    <w:rPr>
                                      <w:rFonts w:ascii="Cambria Math" w:eastAsiaTheme="minorEastAsia" w:hAnsi="Cambria Math"/>
                                    </w:rPr>
                                  </m:ctrlPr>
                                </m:sSubPr>
                                <m:e>
                                  <m:r>
                                    <w:rPr>
                                      <w:rFonts w:ascii="Cambria Math" w:eastAsiaTheme="minorEastAsia" w:hAnsi="Cambria Math"/>
                                    </w:rPr>
                                    <m:t>TP</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ARs</m:t>
                                  </m:r>
                                  <m:r>
                                    <m:rPr>
                                      <m:sty m:val="p"/>
                                    </m:rPr>
                                    <w:rPr>
                                      <w:rFonts w:ascii="Cambria Math" w:eastAsiaTheme="minorEastAsia" w:hAnsi="Cambria Math"/>
                                    </w:rPr>
                                    <m:t>,</m:t>
                                  </m:r>
                                  <m:r>
                                    <w:rPr>
                                      <w:rFonts w:ascii="Cambria Math" w:eastAsiaTheme="minorEastAsia" w:hAnsi="Cambria Math"/>
                                    </w:rPr>
                                    <m:t>h</m:t>
                                  </m:r>
                                </m:sub>
                              </m:sSub>
                            </m:sub>
                          </m:sSub>
                        </m:e>
                      </m:nary>
                      <m:r>
                        <m:rPr>
                          <m:sty m:val="p"/>
                        </m:rPr>
                        <w:rPr>
                          <w:rFonts w:ascii="Cambria Math" w:eastAsiaTheme="minorEastAsia" w:hAnsi="Cambria Math"/>
                        </w:rPr>
                        <m:t>+</m:t>
                      </m:r>
                      <m:nary>
                        <m:naryPr>
                          <m:chr m:val="∑"/>
                          <m:limLoc m:val="undOvr"/>
                          <m:supHide m:val="1"/>
                          <m:ctrlPr>
                            <w:rPr>
                              <w:rFonts w:ascii="Cambria Math" w:eastAsiaTheme="minorEastAsia" w:hAnsi="Cambria Math"/>
                            </w:rPr>
                          </m:ctrlPr>
                        </m:naryPr>
                        <m:sub>
                          <m:r>
                            <m:rPr>
                              <m:sty m:val="p"/>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 xml:space="preserve"> ∈ </m:t>
                          </m:r>
                          <m:sSub>
                            <m:sSubPr>
                              <m:ctrlPr>
                                <w:rPr>
                                  <w:rFonts w:ascii="Cambria Math" w:eastAsiaTheme="minorEastAsia" w:hAnsi="Cambria Math"/>
                                </w:rPr>
                              </m:ctrlPr>
                            </m:sSubPr>
                            <m:e>
                              <m:r>
                                <w:rPr>
                                  <w:rFonts w:ascii="Cambria Math" w:eastAsiaTheme="minorEastAsia" w:hAnsi="Cambria Math"/>
                                </w:rPr>
                                <m:t>MP</m:t>
                              </m:r>
                            </m:e>
                            <m:sub>
                              <m:r>
                                <w:rPr>
                                  <w:rFonts w:ascii="Cambria Math" w:eastAsiaTheme="minorEastAsia" w:hAnsi="Cambria Math"/>
                                </w:rPr>
                                <m:t>ARs</m:t>
                              </m:r>
                            </m:sub>
                          </m:sSub>
                        </m:sub>
                        <m:sup/>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MP</m:t>
                                  </m:r>
                                </m:sub>
                              </m:sSub>
                            </m:e>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ARs</m:t>
                              </m:r>
                              <m:r>
                                <m:rPr>
                                  <m:sty m:val="p"/>
                                </m:rPr>
                                <w:rPr>
                                  <w:rFonts w:ascii="Cambria Math" w:eastAsiaTheme="minorEastAsia" w:hAnsi="Cambria Math"/>
                                </w:rPr>
                                <m:t>,</m:t>
                              </m:r>
                              <m:r>
                                <w:rPr>
                                  <w:rFonts w:ascii="Cambria Math" w:eastAsiaTheme="minorEastAsia" w:hAnsi="Cambria Math"/>
                                </w:rPr>
                                <m:t>h</m:t>
                              </m:r>
                            </m:sub>
                          </m:sSub>
                        </m:e>
                      </m:nary>
                    </m:e>
                  </m:d>
                </m:e>
              </m:d>
            </m:e>
          </m:nary>
        </m:oMath>
      </m:oMathPara>
    </w:p>
    <w:p w14:paraId="5A462D45" w14:textId="25F638B1" w:rsidR="003346EF" w:rsidRPr="00A72A5A" w:rsidRDefault="003346EF" w:rsidP="003346EF">
      <w:pPr>
        <w:pStyle w:val="BodyText"/>
        <w:ind w:left="3544" w:hanging="992"/>
      </w:pPr>
      <w:r w:rsidRPr="00A72A5A">
        <w:t xml:space="preserve">Where: </w:t>
      </w:r>
    </w:p>
    <w:p w14:paraId="51439AC3" w14:textId="68161105" w:rsidR="003346EF" w:rsidRPr="00A72A5A" w:rsidRDefault="004D6075" w:rsidP="003346EF">
      <w:pPr>
        <w:pStyle w:val="BodyText"/>
        <w:ind w:left="3544" w:hanging="992"/>
      </w:pPr>
      <m:oMath>
        <m:sSub>
          <m:sSubPr>
            <m:ctrlPr>
              <w:rPr>
                <w:rFonts w:ascii="Cambria Math" w:hAnsi="Cambria Math"/>
                <w:i/>
              </w:rPr>
            </m:ctrlPr>
          </m:sSubPr>
          <m:e>
            <m:r>
              <w:rPr>
                <w:rFonts w:ascii="Cambria Math" w:hAnsi="Cambria Math"/>
              </w:rPr>
              <m:t>ES_BS</m:t>
            </m:r>
          </m:e>
          <m:sub>
            <m:r>
              <w:rPr>
                <w:rFonts w:ascii="Cambria Math" w:hAnsi="Cambria Math"/>
              </w:rPr>
              <m:t>k,ARs,m</m:t>
            </m:r>
          </m:sub>
        </m:sSub>
      </m:oMath>
      <w:r w:rsidR="003346EF" w:rsidRPr="00A72A5A">
        <w:rPr>
          <w:i/>
          <w:iCs/>
        </w:rPr>
        <w:t xml:space="preserve"> is</w:t>
      </w:r>
      <w:r w:rsidR="003346EF" w:rsidRPr="00A72A5A">
        <w:t xml:space="preserve"> the total Energy supplied by the </w:t>
      </w:r>
      <w:r w:rsidR="00403C8A">
        <w:t>Default Supplier</w:t>
      </w:r>
      <w:r w:rsidR="003346EF" w:rsidRPr="00A72A5A">
        <w:t xml:space="preserve"> </w:t>
      </w:r>
      <w:r w:rsidR="003346EF" w:rsidRPr="00A72A5A">
        <w:rPr>
          <w:i/>
          <w:iCs/>
        </w:rPr>
        <w:t>“k”</w:t>
      </w:r>
      <w:r w:rsidR="003346EF" w:rsidRPr="00A72A5A">
        <w:t xml:space="preserve">, to its </w:t>
      </w:r>
      <w:r w:rsidR="00F013DF">
        <w:t>consumers</w:t>
      </w:r>
      <w:r w:rsidR="00F013DF" w:rsidRPr="00A72A5A">
        <w:t xml:space="preserve"> </w:t>
      </w:r>
      <w:r w:rsidR="003346EF" w:rsidRPr="00A72A5A">
        <w:t xml:space="preserve">located in the </w:t>
      </w:r>
      <w:r w:rsidR="00B138ED">
        <w:t>Congested Zone</w:t>
      </w:r>
      <w:r w:rsidR="003346EF" w:rsidRPr="00A72A5A">
        <w:t xml:space="preserve"> </w:t>
      </w:r>
      <w:r w:rsidR="003346EF" w:rsidRPr="00A72A5A">
        <w:rPr>
          <w:i/>
          <w:iCs/>
        </w:rPr>
        <w:t>“ARs”</w:t>
      </w:r>
      <w:r w:rsidR="003346EF" w:rsidRPr="00A72A5A">
        <w:t xml:space="preserve">, during the Settlement Period </w:t>
      </w:r>
      <w:r w:rsidR="003346EF" w:rsidRPr="00A72A5A">
        <w:rPr>
          <w:i/>
          <w:iCs/>
        </w:rPr>
        <w:t>“m”</w:t>
      </w:r>
      <w:r w:rsidR="003346EF" w:rsidRPr="00A72A5A">
        <w:t>, in MWh;</w:t>
      </w:r>
    </w:p>
    <w:p w14:paraId="0C85E475" w14:textId="4CBBD80D" w:rsidR="00FE78AF" w:rsidRPr="00A72A5A" w:rsidRDefault="004D6075" w:rsidP="00FE78AF">
      <w:pPr>
        <w:pStyle w:val="BodyText"/>
        <w:ind w:left="3544" w:hanging="992"/>
      </w:pPr>
      <m:oMath>
        <m:sSub>
          <m:sSubPr>
            <m:ctrlPr>
              <w:rPr>
                <w:rFonts w:ascii="Cambria Math" w:eastAsiaTheme="minorEastAsia" w:hAnsi="Cambria Math"/>
              </w:rPr>
            </m:ctrlPr>
          </m:sSubPr>
          <m:e>
            <m:r>
              <w:rPr>
                <w:rFonts w:ascii="Cambria Math" w:eastAsiaTheme="minorEastAsia" w:hAnsi="Cambria Math"/>
              </w:rPr>
              <m:t>Act_E</m:t>
            </m:r>
          </m:e>
          <m:sub>
            <m:sSub>
              <m:sSubPr>
                <m:ctrlPr>
                  <w:rPr>
                    <w:rFonts w:ascii="Cambria Math" w:eastAsiaTheme="minorEastAsia" w:hAnsi="Cambria Math"/>
                  </w:rPr>
                </m:ctrlPr>
              </m:sSubPr>
              <m:e>
                <m:r>
                  <w:rPr>
                    <w:rFonts w:ascii="Cambria Math" w:eastAsiaTheme="minorEastAsia" w:hAnsi="Cambria Math"/>
                  </w:rPr>
                  <m:t>TP</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ARs</m:t>
                </m:r>
                <m:r>
                  <m:rPr>
                    <m:sty m:val="p"/>
                  </m:rPr>
                  <w:rPr>
                    <w:rFonts w:ascii="Cambria Math" w:eastAsiaTheme="minorEastAsia" w:hAnsi="Cambria Math"/>
                  </w:rPr>
                  <m:t>,</m:t>
                </m:r>
                <m:r>
                  <w:rPr>
                    <w:rFonts w:ascii="Cambria Math" w:eastAsiaTheme="minorEastAsia" w:hAnsi="Cambria Math"/>
                  </w:rPr>
                  <m:t>h</m:t>
                </m:r>
              </m:sub>
            </m:sSub>
          </m:sub>
        </m:sSub>
      </m:oMath>
      <w:r w:rsidR="003346EF" w:rsidRPr="00A72A5A">
        <w:rPr>
          <w:i/>
          <w:iCs/>
        </w:rPr>
        <w:tab/>
      </w:r>
      <w:r w:rsidR="003346EF" w:rsidRPr="00A72A5A">
        <w:t xml:space="preserve">is the Energy </w:t>
      </w:r>
      <w:r w:rsidR="00EA529A">
        <w:rPr>
          <w:rStyle w:val="NoSpacingChar"/>
        </w:rPr>
        <w:t>injected/extracted</w:t>
      </w:r>
      <w:r w:rsidR="00EA529A" w:rsidRPr="00A72A5A">
        <w:rPr>
          <w:rStyle w:val="NoSpacingChar"/>
        </w:rPr>
        <w:t xml:space="preserve"> </w:t>
      </w:r>
      <w:r w:rsidR="00533F7F" w:rsidRPr="00A72A5A">
        <w:rPr>
          <w:rStyle w:val="NoSpacingChar"/>
        </w:rPr>
        <w:t>at the Trading Point “</w:t>
      </w:r>
      <w:r w:rsidR="003346EF" w:rsidRPr="00A72A5A">
        <w:rPr>
          <w:i/>
          <w:iCs/>
        </w:rPr>
        <w:t>i”</w:t>
      </w:r>
      <w:r w:rsidR="00FE78AF" w:rsidRPr="00A72A5A">
        <w:rPr>
          <w:iCs/>
        </w:rPr>
        <w:t xml:space="preserve">, </w:t>
      </w:r>
      <w:r w:rsidR="00FE78AF" w:rsidRPr="00A72A5A">
        <w:t>b</w:t>
      </w:r>
      <w:r w:rsidR="00533F7F" w:rsidRPr="00A72A5A">
        <w:t xml:space="preserve">elonging to the </w:t>
      </w:r>
      <w:r w:rsidR="00403C8A">
        <w:t>Default Supplier</w:t>
      </w:r>
      <w:r w:rsidR="00533F7F" w:rsidRPr="00A72A5A">
        <w:t xml:space="preserve"> </w:t>
      </w:r>
      <w:r w:rsidR="00533F7F" w:rsidRPr="00A72A5A">
        <w:rPr>
          <w:i/>
          <w:iCs/>
        </w:rPr>
        <w:t>“k”</w:t>
      </w:r>
      <w:r w:rsidR="00533F7F" w:rsidRPr="00A72A5A">
        <w:t xml:space="preserve">, </w:t>
      </w:r>
      <w:r w:rsidR="003346EF" w:rsidRPr="00A72A5A">
        <w:t xml:space="preserve">located in the </w:t>
      </w:r>
      <w:r w:rsidR="00B138ED">
        <w:t>Congested Zone</w:t>
      </w:r>
      <w:r w:rsidR="003346EF" w:rsidRPr="00A72A5A">
        <w:t xml:space="preserve"> </w:t>
      </w:r>
      <w:r w:rsidR="003346EF" w:rsidRPr="00A72A5A">
        <w:rPr>
          <w:i/>
          <w:iCs/>
        </w:rPr>
        <w:t>“ARs”,</w:t>
      </w:r>
      <w:r w:rsidR="003346EF" w:rsidRPr="00A72A5A">
        <w:t xml:space="preserve"> in hour </w:t>
      </w:r>
      <w:r w:rsidR="003346EF" w:rsidRPr="00A72A5A">
        <w:rPr>
          <w:i/>
          <w:iCs/>
        </w:rPr>
        <w:t>“h”,</w:t>
      </w:r>
      <w:r w:rsidR="003346EF" w:rsidRPr="00A72A5A">
        <w:t xml:space="preserve"> </w:t>
      </w:r>
      <w:r w:rsidR="00FE78AF" w:rsidRPr="00A72A5A">
        <w:rPr>
          <w:iCs/>
        </w:rPr>
        <w:t>calculated pursuant</w:t>
      </w:r>
      <w:r w:rsidR="00F013DF">
        <w:rPr>
          <w:iCs/>
        </w:rPr>
        <w:t xml:space="preserve"> to</w:t>
      </w:r>
      <w:r w:rsidR="001A7D29" w:rsidRPr="001A7D29">
        <w:t xml:space="preserve"> Clause </w:t>
      </w:r>
      <w:r w:rsidR="001A7D29" w:rsidRPr="001A7D29">
        <w:fldChar w:fldCharType="begin"/>
      </w:r>
      <w:r w:rsidR="001A7D29" w:rsidRPr="001A7D29">
        <w:instrText xml:space="preserve"> REF _Ref59456858 \r \h  \* MERGEFORMAT </w:instrText>
      </w:r>
      <w:r w:rsidR="001A7D29" w:rsidRPr="001A7D29">
        <w:fldChar w:fldCharType="separate"/>
      </w:r>
      <w:r w:rsidR="00251DBF">
        <w:t>6.3.3.3</w:t>
      </w:r>
      <w:r w:rsidR="001A7D29" w:rsidRPr="001A7D29">
        <w:fldChar w:fldCharType="end"/>
      </w:r>
      <w:r w:rsidR="00FE78AF" w:rsidRPr="00A72A5A">
        <w:rPr>
          <w:iCs/>
        </w:rPr>
        <w:t xml:space="preserve">, </w:t>
      </w:r>
      <w:r w:rsidR="003346EF" w:rsidRPr="00A72A5A">
        <w:t>in MWh</w:t>
      </w:r>
      <w:r w:rsidR="00FC02FD">
        <w:t>;</w:t>
      </w:r>
      <w:r w:rsidR="00533F7F" w:rsidRPr="00A72A5A">
        <w:t xml:space="preserve"> </w:t>
      </w:r>
    </w:p>
    <w:p w14:paraId="29951DDB" w14:textId="0CAF61B1" w:rsidR="003346EF" w:rsidRPr="00A72A5A" w:rsidRDefault="00533F7F" w:rsidP="00FE78AF">
      <w:pPr>
        <w:pStyle w:val="BodyText"/>
        <w:ind w:left="3544"/>
      </w:pPr>
      <w:r w:rsidRPr="00A72A5A">
        <w:t>T</w:t>
      </w:r>
      <w:r w:rsidR="00EA529A">
        <w:t>h</w:t>
      </w:r>
      <w:r w:rsidRPr="00A72A5A">
        <w:t xml:space="preserve">e Energy </w:t>
      </w:r>
      <w:r w:rsidR="00F013DF">
        <w:t>injected</w:t>
      </w:r>
      <w:r w:rsidR="00F013DF" w:rsidRPr="00A72A5A">
        <w:t xml:space="preserve"> </w:t>
      </w:r>
      <w:r w:rsidRPr="00A72A5A">
        <w:t xml:space="preserve">into the </w:t>
      </w:r>
      <w:commentRangeStart w:id="304"/>
      <w:r w:rsidR="00F013DF">
        <w:t xml:space="preserve">relevant </w:t>
      </w:r>
      <w:r w:rsidR="00EA529A">
        <w:t>network</w:t>
      </w:r>
      <w:r w:rsidRPr="00A72A5A">
        <w:t xml:space="preserve"> </w:t>
      </w:r>
      <w:r w:rsidR="00EA529A">
        <w:t xml:space="preserve">shall </w:t>
      </w:r>
      <w:commentRangeEnd w:id="304"/>
      <w:r w:rsidR="00EA529A">
        <w:rPr>
          <w:rStyle w:val="CommentReference"/>
        </w:rPr>
        <w:commentReference w:id="304"/>
      </w:r>
      <w:r w:rsidR="00EA529A">
        <w:t xml:space="preserve">be considered positive </w:t>
      </w:r>
      <w:r w:rsidRPr="00A72A5A">
        <w:t>and</w:t>
      </w:r>
      <w:r w:rsidR="00EA529A">
        <w:t xml:space="preserve"> the Energy extracted from such network shall be considered negative</w:t>
      </w:r>
      <w:r w:rsidR="00FC02FD">
        <w:t>;</w:t>
      </w:r>
      <w:r w:rsidR="00EA529A">
        <w:t xml:space="preserve"> </w:t>
      </w:r>
      <w:r w:rsidRPr="00A72A5A">
        <w:t xml:space="preserve"> </w:t>
      </w:r>
    </w:p>
    <w:p w14:paraId="35E39DCF" w14:textId="737744C2" w:rsidR="00533F7F" w:rsidRPr="00A72A5A" w:rsidRDefault="004D6075" w:rsidP="00533F7F">
      <w:pPr>
        <w:pStyle w:val="BodyText"/>
        <w:ind w:left="3544" w:hanging="992"/>
      </w:pP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MP</m:t>
                </m:r>
              </m:sub>
            </m:sSub>
          </m:e>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ARs,h</m:t>
            </m:r>
          </m:sub>
        </m:sSub>
      </m:oMath>
      <w:r w:rsidR="00533F7F" w:rsidRPr="00A72A5A">
        <w:rPr>
          <w:i/>
          <w:iCs/>
        </w:rPr>
        <w:tab/>
      </w:r>
      <w:commentRangeStart w:id="305"/>
      <w:r w:rsidR="00533F7F" w:rsidRPr="00C20B0E">
        <w:t>is th</w:t>
      </w:r>
      <w:commentRangeEnd w:id="305"/>
      <w:r w:rsidR="00502E21">
        <w:rPr>
          <w:rStyle w:val="CommentReference"/>
        </w:rPr>
        <w:commentReference w:id="305"/>
      </w:r>
      <w:r w:rsidR="00533F7F" w:rsidRPr="00C20B0E">
        <w:t xml:space="preserve">e Energy </w:t>
      </w:r>
      <w:r w:rsidR="00EA529A" w:rsidRPr="00B03C4A">
        <w:rPr>
          <w:rStyle w:val="NoSpacingChar"/>
          <w:rFonts w:ascii="Gill Sans MT" w:hAnsi="Gill Sans MT"/>
        </w:rPr>
        <w:t xml:space="preserve">injected/extracted </w:t>
      </w:r>
      <w:r w:rsidR="00533F7F" w:rsidRPr="00B03C4A">
        <w:rPr>
          <w:rStyle w:val="NoSpacingChar"/>
          <w:rFonts w:ascii="Gill Sans MT" w:hAnsi="Gill Sans MT"/>
        </w:rPr>
        <w:t>at the Metering Point “</w:t>
      </w:r>
      <w:r w:rsidR="00533F7F" w:rsidRPr="00C20B0E">
        <w:rPr>
          <w:i/>
          <w:iCs/>
          <w:lang w:val="en-US"/>
        </w:rPr>
        <w:t>j</w:t>
      </w:r>
      <w:r w:rsidR="00533F7F" w:rsidRPr="00C20B0E">
        <w:rPr>
          <w:i/>
          <w:iCs/>
        </w:rPr>
        <w:t>”</w:t>
      </w:r>
      <w:r w:rsidR="00533F7F" w:rsidRPr="00C20B0E">
        <w:t xml:space="preserve">, which is not a Trading Point, belonging to the </w:t>
      </w:r>
      <w:r w:rsidR="00403C8A" w:rsidRPr="00C20B0E">
        <w:t>Default Supplier</w:t>
      </w:r>
      <w:r w:rsidR="00533F7F" w:rsidRPr="00C20B0E">
        <w:t xml:space="preserve"> </w:t>
      </w:r>
      <w:r w:rsidR="00533F7F" w:rsidRPr="00C20B0E">
        <w:rPr>
          <w:i/>
          <w:iCs/>
        </w:rPr>
        <w:t>“k”</w:t>
      </w:r>
      <w:r w:rsidR="00533F7F" w:rsidRPr="00C20B0E">
        <w:t xml:space="preserve">, located in the </w:t>
      </w:r>
      <w:r w:rsidR="00B138ED" w:rsidRPr="00C20B0E">
        <w:t>Congested Zone</w:t>
      </w:r>
      <w:r w:rsidR="00533F7F" w:rsidRPr="00A72A5A">
        <w:t xml:space="preserve"> </w:t>
      </w:r>
      <w:r w:rsidR="00533F7F" w:rsidRPr="00A72A5A">
        <w:rPr>
          <w:i/>
          <w:iCs/>
        </w:rPr>
        <w:t>“ARs”,</w:t>
      </w:r>
      <w:r w:rsidR="00533F7F" w:rsidRPr="00A72A5A">
        <w:t xml:space="preserve"> in hour </w:t>
      </w:r>
      <w:r w:rsidR="00533F7F" w:rsidRPr="00A72A5A">
        <w:rPr>
          <w:i/>
          <w:iCs/>
        </w:rPr>
        <w:t>“h”,</w:t>
      </w:r>
      <w:r w:rsidR="00533F7F" w:rsidRPr="00A72A5A">
        <w:t xml:space="preserve"> measured by the corresponding Commercial Metering Systems</w:t>
      </w:r>
      <w:r w:rsidR="00EA529A">
        <w:t xml:space="preserve"> and considered by the Market Operator as per provision of </w:t>
      </w:r>
      <w:r w:rsidR="00F54A87">
        <w:rPr>
          <w:rFonts w:eastAsiaTheme="minorEastAsia" w:cstheme="minorHAnsi"/>
          <w:color w:val="auto"/>
        </w:rPr>
        <w:fldChar w:fldCharType="begin"/>
      </w:r>
      <w:r w:rsidR="00F54A87">
        <w:rPr>
          <w:rFonts w:eastAsiaTheme="minorEastAsia" w:cstheme="minorHAnsi"/>
          <w:color w:val="auto"/>
        </w:rPr>
        <w:instrText xml:space="preserve"> REF _Ref76854808 \r \h </w:instrText>
      </w:r>
      <w:r w:rsidR="00F54A87">
        <w:rPr>
          <w:rFonts w:eastAsiaTheme="minorEastAsia" w:cstheme="minorHAnsi"/>
          <w:color w:val="auto"/>
        </w:rPr>
      </w:r>
      <w:r w:rsidR="00F54A87">
        <w:rPr>
          <w:rFonts w:eastAsiaTheme="minorEastAsia" w:cstheme="minorHAnsi"/>
          <w:color w:val="auto"/>
        </w:rPr>
        <w:fldChar w:fldCharType="separate"/>
      </w:r>
      <w:r w:rsidR="00F54A87">
        <w:rPr>
          <w:rFonts w:eastAsiaTheme="minorEastAsia" w:cstheme="minorHAnsi"/>
          <w:color w:val="auto"/>
        </w:rPr>
        <w:t>Chapter 5</w:t>
      </w:r>
      <w:r w:rsidR="00F54A87">
        <w:rPr>
          <w:rFonts w:eastAsiaTheme="minorEastAsia" w:cstheme="minorHAnsi"/>
          <w:color w:val="auto"/>
        </w:rPr>
        <w:fldChar w:fldCharType="end"/>
      </w:r>
      <w:r w:rsidR="00533F7F" w:rsidRPr="00A72A5A">
        <w:t xml:space="preserve">, in MWh. </w:t>
      </w:r>
      <w:r w:rsidR="00EA529A" w:rsidRPr="00A72A5A">
        <w:t>T</w:t>
      </w:r>
      <w:r w:rsidR="00EA529A">
        <w:t>h</w:t>
      </w:r>
      <w:r w:rsidR="00EA529A" w:rsidRPr="00A72A5A">
        <w:t xml:space="preserve">e Energy </w:t>
      </w:r>
      <w:r w:rsidR="00EA529A">
        <w:t>injected</w:t>
      </w:r>
      <w:r w:rsidR="00EA529A" w:rsidRPr="00A72A5A">
        <w:t xml:space="preserve"> into the </w:t>
      </w:r>
      <w:r w:rsidR="00EA529A">
        <w:t>relevant network</w:t>
      </w:r>
      <w:r w:rsidR="00EA529A" w:rsidRPr="00A72A5A">
        <w:t xml:space="preserve"> </w:t>
      </w:r>
      <w:r w:rsidR="00EA529A">
        <w:t xml:space="preserve">shall be considered positive </w:t>
      </w:r>
      <w:r w:rsidR="00EA529A" w:rsidRPr="00A72A5A">
        <w:t>and</w:t>
      </w:r>
      <w:r w:rsidR="00EA529A">
        <w:t xml:space="preserve"> the Energy extracted from such network shall be considered negative</w:t>
      </w:r>
      <w:r w:rsidR="00533F7F" w:rsidRPr="00A72A5A">
        <w:t xml:space="preserve">. Only positive values shall be used in the </w:t>
      </w:r>
      <w:r w:rsidR="005C30E1" w:rsidRPr="00A72A5A">
        <w:t>c</w:t>
      </w:r>
      <w:r w:rsidR="00533F7F" w:rsidRPr="00A72A5A">
        <w:t>alculation</w:t>
      </w:r>
      <w:r w:rsidR="00FC02FD">
        <w:t>;</w:t>
      </w:r>
    </w:p>
    <w:p w14:paraId="58A72D6E" w14:textId="26815A96" w:rsidR="003346EF" w:rsidRPr="00A72A5A" w:rsidRDefault="00BD1859" w:rsidP="00FE78AF">
      <w:pPr>
        <w:pStyle w:val="BodyText"/>
        <w:ind w:left="3544"/>
        <w:rPr>
          <w:rFonts w:eastAsiaTheme="minorEastAsia"/>
          <w:i/>
          <w:iCs/>
          <w:sz w:val="24"/>
          <w:szCs w:val="24"/>
        </w:rPr>
      </w:pPr>
      <w:r w:rsidRPr="00A72A5A">
        <w:rPr>
          <w:noProof/>
        </w:rPr>
        <w:drawing>
          <wp:anchor distT="0" distB="0" distL="114300" distR="114300" simplePos="0" relativeHeight="251698176" behindDoc="0" locked="0" layoutInCell="1" allowOverlap="1" wp14:anchorId="4A4C7690" wp14:editId="04576EDC">
            <wp:simplePos x="0" y="0"/>
            <wp:positionH relativeFrom="column">
              <wp:posOffset>1575083</wp:posOffset>
            </wp:positionH>
            <wp:positionV relativeFrom="paragraph">
              <wp:posOffset>54403</wp:posOffset>
            </wp:positionV>
            <wp:extent cx="495935" cy="5099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40813" r="49862"/>
                    <a:stretch/>
                  </pic:blipFill>
                  <pic:spPr bwMode="auto">
                    <a:xfrm>
                      <a:off x="0" y="0"/>
                      <a:ext cx="495935" cy="5099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46EF" w:rsidRPr="00A72A5A">
        <w:rPr>
          <w:rFonts w:eastAsiaTheme="minorEastAsia"/>
          <w:sz w:val="24"/>
          <w:szCs w:val="24"/>
        </w:rPr>
        <w:t xml:space="preserve">means the addition over all </w:t>
      </w:r>
      <w:r w:rsidR="00D35677" w:rsidRPr="00A72A5A">
        <w:rPr>
          <w:rFonts w:eastAsiaTheme="minorEastAsia"/>
          <w:sz w:val="24"/>
          <w:szCs w:val="24"/>
        </w:rPr>
        <w:t xml:space="preserve">Trading Points belonging to the </w:t>
      </w:r>
      <w:r w:rsidR="00403C8A">
        <w:rPr>
          <w:rFonts w:eastAsiaTheme="minorEastAsia"/>
          <w:sz w:val="24"/>
          <w:szCs w:val="24"/>
        </w:rPr>
        <w:t>Default Supplier</w:t>
      </w:r>
      <w:r w:rsidR="00D35677" w:rsidRPr="00A72A5A">
        <w:rPr>
          <w:rFonts w:eastAsiaTheme="minorEastAsia"/>
          <w:sz w:val="24"/>
          <w:szCs w:val="24"/>
        </w:rPr>
        <w:t xml:space="preserve"> “k”,</w:t>
      </w:r>
      <w:r w:rsidR="003346EF" w:rsidRPr="00A72A5A">
        <w:rPr>
          <w:rFonts w:eastAsiaTheme="minorEastAsia"/>
          <w:sz w:val="24"/>
          <w:szCs w:val="24"/>
        </w:rPr>
        <w:t xml:space="preserve"> which are located in the </w:t>
      </w:r>
      <w:r w:rsidR="00B138ED">
        <w:rPr>
          <w:rFonts w:eastAsiaTheme="minorEastAsia"/>
          <w:sz w:val="24"/>
          <w:szCs w:val="24"/>
        </w:rPr>
        <w:t>Congested Zone</w:t>
      </w:r>
      <w:r w:rsidR="003346EF" w:rsidRPr="00A72A5A">
        <w:rPr>
          <w:rFonts w:eastAsiaTheme="minorEastAsia"/>
          <w:sz w:val="24"/>
          <w:szCs w:val="24"/>
        </w:rPr>
        <w:t xml:space="preserve"> </w:t>
      </w:r>
      <w:r w:rsidR="003346EF" w:rsidRPr="00A72A5A">
        <w:rPr>
          <w:rFonts w:eastAsiaTheme="minorEastAsia"/>
          <w:i/>
          <w:iCs/>
          <w:sz w:val="24"/>
          <w:szCs w:val="24"/>
        </w:rPr>
        <w:t>“ARs”</w:t>
      </w:r>
      <w:r w:rsidR="00FC02FD">
        <w:rPr>
          <w:rFonts w:eastAsiaTheme="minorEastAsia"/>
          <w:i/>
          <w:iCs/>
          <w:sz w:val="24"/>
          <w:szCs w:val="24"/>
        </w:rPr>
        <w:t>;</w:t>
      </w:r>
    </w:p>
    <w:p w14:paraId="02377D91" w14:textId="1637DEC1" w:rsidR="00D35677" w:rsidRPr="00A72A5A" w:rsidRDefault="00BD1859" w:rsidP="00BD1859">
      <w:pPr>
        <w:pStyle w:val="BodyText"/>
        <w:ind w:left="3544"/>
        <w:rPr>
          <w:rFonts w:eastAsiaTheme="minorEastAsia"/>
          <w:i/>
          <w:iCs/>
          <w:sz w:val="24"/>
          <w:szCs w:val="24"/>
        </w:rPr>
      </w:pPr>
      <w:r w:rsidRPr="00BD1859">
        <w:rPr>
          <w:noProof/>
        </w:rPr>
        <w:drawing>
          <wp:anchor distT="0" distB="0" distL="114300" distR="114300" simplePos="0" relativeHeight="251716608" behindDoc="0" locked="0" layoutInCell="1" allowOverlap="1" wp14:anchorId="49E00109" wp14:editId="343765CC">
            <wp:simplePos x="0" y="0"/>
            <wp:positionH relativeFrom="column">
              <wp:posOffset>1530425</wp:posOffset>
            </wp:positionH>
            <wp:positionV relativeFrom="paragraph">
              <wp:posOffset>1628</wp:posOffset>
            </wp:positionV>
            <wp:extent cx="504024" cy="469784"/>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39634" r="50065"/>
                    <a:stretch/>
                  </pic:blipFill>
                  <pic:spPr bwMode="auto">
                    <a:xfrm>
                      <a:off x="0" y="0"/>
                      <a:ext cx="504024" cy="469784"/>
                    </a:xfrm>
                    <a:prstGeom prst="rect">
                      <a:avLst/>
                    </a:prstGeom>
                    <a:noFill/>
                    <a:ln>
                      <a:noFill/>
                    </a:ln>
                    <a:extLst>
                      <a:ext uri="{53640926-AAD7-44D8-BBD7-CCE9431645EC}">
                        <a14:shadowObscured xmlns:a14="http://schemas.microsoft.com/office/drawing/2010/main"/>
                      </a:ext>
                    </a:extLst>
                  </pic:spPr>
                </pic:pic>
              </a:graphicData>
            </a:graphic>
          </wp:anchor>
        </w:drawing>
      </w:r>
      <w:r w:rsidR="00D35677" w:rsidRPr="00A72A5A">
        <w:rPr>
          <w:rFonts w:eastAsiaTheme="minorEastAsia"/>
          <w:sz w:val="24"/>
          <w:szCs w:val="24"/>
        </w:rPr>
        <w:t xml:space="preserve">means the addition over all Metering Points which are not Trading Points, belonging to the </w:t>
      </w:r>
      <w:r w:rsidR="00403C8A">
        <w:rPr>
          <w:rFonts w:eastAsiaTheme="minorEastAsia"/>
          <w:sz w:val="24"/>
          <w:szCs w:val="24"/>
        </w:rPr>
        <w:t>Default Supplier</w:t>
      </w:r>
      <w:r w:rsidR="00D35677" w:rsidRPr="00A72A5A">
        <w:rPr>
          <w:rFonts w:eastAsiaTheme="minorEastAsia"/>
          <w:sz w:val="24"/>
          <w:szCs w:val="24"/>
        </w:rPr>
        <w:t xml:space="preserve"> “k”, which are located in the </w:t>
      </w:r>
      <w:r w:rsidR="00B138ED">
        <w:rPr>
          <w:rFonts w:eastAsiaTheme="minorEastAsia"/>
          <w:sz w:val="24"/>
          <w:szCs w:val="24"/>
        </w:rPr>
        <w:t>Congested Zone</w:t>
      </w:r>
      <w:r w:rsidR="00D35677" w:rsidRPr="00A72A5A">
        <w:rPr>
          <w:rFonts w:eastAsiaTheme="minorEastAsia"/>
          <w:sz w:val="24"/>
          <w:szCs w:val="24"/>
        </w:rPr>
        <w:t xml:space="preserve"> </w:t>
      </w:r>
      <w:r w:rsidR="00D35677" w:rsidRPr="00A72A5A">
        <w:rPr>
          <w:rFonts w:eastAsiaTheme="minorEastAsia"/>
          <w:i/>
          <w:iCs/>
          <w:sz w:val="24"/>
          <w:szCs w:val="24"/>
        </w:rPr>
        <w:t>“ARs”</w:t>
      </w:r>
      <w:r w:rsidR="00FC02FD">
        <w:rPr>
          <w:rFonts w:eastAsiaTheme="minorEastAsia"/>
          <w:i/>
          <w:iCs/>
          <w:sz w:val="24"/>
          <w:szCs w:val="24"/>
        </w:rPr>
        <w:t>;</w:t>
      </w:r>
    </w:p>
    <w:p w14:paraId="2086AAC2" w14:textId="3D8F7E2D" w:rsidR="003346EF" w:rsidRPr="00A72A5A" w:rsidRDefault="003346EF" w:rsidP="003346EF">
      <w:pPr>
        <w:pStyle w:val="BodyText"/>
        <w:ind w:left="3544" w:hanging="992"/>
      </w:pPr>
      <w:r w:rsidRPr="00A72A5A">
        <w:rPr>
          <w:i/>
          <w:iCs/>
        </w:rPr>
        <w:t>T</w:t>
      </w:r>
      <w:r w:rsidRPr="00A72A5A">
        <w:rPr>
          <w:i/>
          <w:iCs/>
        </w:rPr>
        <w:tab/>
      </w:r>
      <w:r w:rsidRPr="00A72A5A">
        <w:t xml:space="preserve">is the total number of hours in the Settlement Period </w:t>
      </w:r>
      <w:r w:rsidRPr="00A72A5A">
        <w:rPr>
          <w:i/>
          <w:iCs/>
        </w:rPr>
        <w:t>“m”</w:t>
      </w:r>
      <w:r w:rsidR="00FC02FD">
        <w:rPr>
          <w:i/>
          <w:iCs/>
        </w:rPr>
        <w:t>.</w:t>
      </w:r>
    </w:p>
    <w:p w14:paraId="14AFE3E7" w14:textId="585448C2" w:rsidR="009F31B4" w:rsidRPr="00A72A5A" w:rsidRDefault="00FE78AF" w:rsidP="00A72A5A">
      <w:pPr>
        <w:pStyle w:val="Heading6"/>
      </w:pPr>
      <w:r w:rsidRPr="00A72A5A">
        <w:t xml:space="preserve">In the case of </w:t>
      </w:r>
      <w:r w:rsidR="00BF564D">
        <w:t>Electric Power Trader</w:t>
      </w:r>
      <w:r w:rsidR="00EA529A">
        <w:t xml:space="preserve">s involved in </w:t>
      </w:r>
      <w:r w:rsidRPr="00A72A5A">
        <w:t xml:space="preserve">Exports, the Energy </w:t>
      </w:r>
      <w:r w:rsidR="00A23E6E" w:rsidRPr="00A72A5A">
        <w:t>demanded</w:t>
      </w:r>
      <w:r w:rsidRPr="00A72A5A">
        <w:t xml:space="preserve"> </w:t>
      </w:r>
      <w:r w:rsidR="00A23E6E" w:rsidRPr="00A72A5A">
        <w:t>shall be the Energy registered at the corresponding Metering Point:</w:t>
      </w:r>
    </w:p>
    <w:p w14:paraId="6EC3125D" w14:textId="4A93EEE8" w:rsidR="00A23E6E" w:rsidRPr="00A72A5A" w:rsidRDefault="004D6075" w:rsidP="00A23E6E">
      <w:pPr>
        <w:ind w:left="1276"/>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ES_EXP</m:t>
              </m:r>
            </m:e>
            <m:sub>
              <m:r>
                <w:rPr>
                  <w:rFonts w:ascii="Cambria Math" w:hAnsi="Cambria Math"/>
                </w:rPr>
                <m:t>l,ARs,m</m:t>
              </m:r>
            </m:sub>
          </m:sSub>
          <m:d>
            <m:dPr>
              <m:begChr m:val="["/>
              <m:endChr m:val="]"/>
              <m:ctrlPr>
                <w:rPr>
                  <w:rFonts w:ascii="Cambria Math" w:hAnsi="Cambria Math"/>
                  <w:i/>
                </w:rPr>
              </m:ctrlPr>
            </m:dPr>
            <m:e>
              <m:r>
                <w:rPr>
                  <w:rFonts w:ascii="Cambria Math" w:hAnsi="Cambria Math"/>
                </w:rPr>
                <m:t>MWh</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T</m:t>
              </m:r>
            </m:sup>
            <m:e>
              <m:r>
                <w:rPr>
                  <w:rFonts w:ascii="Cambria Math" w:hAnsi="Cambria Math"/>
                </w:rPr>
                <m:t>Act_</m:t>
              </m:r>
              <m:sSub>
                <m:sSubPr>
                  <m:ctrlPr>
                    <w:rPr>
                      <w:rFonts w:ascii="Cambria Math" w:eastAsiaTheme="minorEastAsia" w:hAnsi="Cambria Math"/>
                    </w:rPr>
                  </m:ctrlPr>
                </m:sSubPr>
                <m:e>
                  <m:r>
                    <w:rPr>
                      <w:rFonts w:ascii="Cambria Math" w:eastAsiaTheme="minorEastAsia" w:hAnsi="Cambria Math"/>
                    </w:rPr>
                    <m:t>E</m:t>
                  </m:r>
                </m:e>
                <m:sub>
                  <m:sSub>
                    <m:sSubPr>
                      <m:ctrlPr>
                        <w:rPr>
                          <w:rFonts w:ascii="Cambria Math" w:eastAsiaTheme="minorEastAsia" w:hAnsi="Cambria Math"/>
                        </w:rPr>
                      </m:ctrlPr>
                    </m:sSubPr>
                    <m:e>
                      <m:r>
                        <w:rPr>
                          <w:rFonts w:ascii="Cambria Math" w:eastAsiaTheme="minorEastAsia" w:hAnsi="Cambria Math"/>
                        </w:rPr>
                        <m:t>MP</m:t>
                      </m:r>
                    </m:e>
                    <m:sub>
                      <m:r>
                        <w:rPr>
                          <w:rFonts w:ascii="Cambria Math" w:eastAsiaTheme="minorEastAsia" w:hAnsi="Cambria Math"/>
                        </w:rPr>
                        <m:t>l,</m:t>
                      </m:r>
                      <m:r>
                        <m:rPr>
                          <m:sty m:val="p"/>
                        </m:rPr>
                        <w:rPr>
                          <w:rFonts w:ascii="Cambria Math" w:eastAsiaTheme="minorEastAsia" w:hAnsi="Cambria Math"/>
                        </w:rPr>
                        <m:t>ARs,</m:t>
                      </m:r>
                      <m:r>
                        <w:rPr>
                          <w:rFonts w:ascii="Cambria Math" w:eastAsiaTheme="minorEastAsia" w:hAnsi="Cambria Math"/>
                        </w:rPr>
                        <m:t>h</m:t>
                      </m:r>
                    </m:sub>
                  </m:sSub>
                </m:sub>
              </m:sSub>
            </m:e>
          </m:nary>
        </m:oMath>
      </m:oMathPara>
    </w:p>
    <w:p w14:paraId="58458624" w14:textId="77777777" w:rsidR="00A23E6E" w:rsidRPr="00A72A5A" w:rsidRDefault="00A23E6E" w:rsidP="00A23E6E">
      <w:pPr>
        <w:pStyle w:val="BodyText"/>
        <w:ind w:left="3544" w:hanging="992"/>
      </w:pPr>
      <w:r w:rsidRPr="00A72A5A">
        <w:t xml:space="preserve">Where: </w:t>
      </w:r>
    </w:p>
    <w:p w14:paraId="7E38086A" w14:textId="788E6FCF" w:rsidR="00A23E6E" w:rsidRPr="00A72A5A" w:rsidRDefault="004D6075" w:rsidP="00A23E6E">
      <w:pPr>
        <w:pStyle w:val="BodyText"/>
        <w:ind w:left="3544" w:hanging="992"/>
      </w:pPr>
      <m:oMath>
        <m:sSub>
          <m:sSubPr>
            <m:ctrlPr>
              <w:rPr>
                <w:rFonts w:ascii="Cambria Math" w:hAnsi="Cambria Math"/>
                <w:i/>
              </w:rPr>
            </m:ctrlPr>
          </m:sSubPr>
          <m:e>
            <m:r>
              <w:rPr>
                <w:rFonts w:ascii="Cambria Math" w:hAnsi="Cambria Math"/>
              </w:rPr>
              <m:t>ES_EXP</m:t>
            </m:r>
          </m:e>
          <m:sub>
            <m:r>
              <w:rPr>
                <w:rFonts w:ascii="Cambria Math" w:hAnsi="Cambria Math"/>
              </w:rPr>
              <m:t>l,ARs,m</m:t>
            </m:r>
          </m:sub>
        </m:sSub>
      </m:oMath>
      <w:r w:rsidR="00A23E6E" w:rsidRPr="00A72A5A">
        <w:rPr>
          <w:i/>
          <w:iCs/>
        </w:rPr>
        <w:t xml:space="preserve"> is</w:t>
      </w:r>
      <w:r w:rsidR="00A23E6E" w:rsidRPr="00A72A5A">
        <w:t xml:space="preserve"> the total Energy exported by the </w:t>
      </w:r>
      <w:r w:rsidR="00BF564D">
        <w:t>Electric Power Trader</w:t>
      </w:r>
      <w:r w:rsidR="00A23E6E" w:rsidRPr="00A72A5A">
        <w:t xml:space="preserve"> </w:t>
      </w:r>
      <w:r w:rsidR="00A23E6E" w:rsidRPr="00A72A5A">
        <w:rPr>
          <w:i/>
          <w:iCs/>
        </w:rPr>
        <w:t>“l”,</w:t>
      </w:r>
      <w:r w:rsidR="00A23E6E" w:rsidRPr="00A72A5A">
        <w:t xml:space="preserve"> which is located in the </w:t>
      </w:r>
      <w:r w:rsidR="00B138ED">
        <w:t>Congested Zone</w:t>
      </w:r>
      <w:r w:rsidR="00A23E6E" w:rsidRPr="00A72A5A">
        <w:t xml:space="preserve"> </w:t>
      </w:r>
      <w:r w:rsidR="00A23E6E" w:rsidRPr="00A72A5A">
        <w:rPr>
          <w:i/>
          <w:iCs/>
        </w:rPr>
        <w:t>“ARs”</w:t>
      </w:r>
      <w:r w:rsidR="00A23E6E" w:rsidRPr="00A72A5A">
        <w:t xml:space="preserve">, during the Settlement Period </w:t>
      </w:r>
      <w:r w:rsidR="00A23E6E" w:rsidRPr="00A72A5A">
        <w:rPr>
          <w:i/>
          <w:iCs/>
        </w:rPr>
        <w:t>“m”</w:t>
      </w:r>
      <w:r w:rsidR="00A23E6E" w:rsidRPr="00A72A5A">
        <w:t>, in MWh;</w:t>
      </w:r>
    </w:p>
    <w:p w14:paraId="46A7B595" w14:textId="40278352" w:rsidR="00A23E6E" w:rsidRPr="00A72A5A" w:rsidRDefault="00A23E6E" w:rsidP="00A23E6E">
      <w:pPr>
        <w:pStyle w:val="BodyText"/>
        <w:ind w:left="3544" w:hanging="992"/>
        <w:rPr>
          <w:iCs/>
        </w:rPr>
      </w:pPr>
      <m:oMath>
        <m:r>
          <w:rPr>
            <w:rFonts w:ascii="Cambria Math" w:hAnsi="Cambria Math"/>
          </w:rPr>
          <w:lastRenderedPageBreak/>
          <m:t>Act_</m:t>
        </m:r>
        <m:sSub>
          <m:sSubPr>
            <m:ctrlPr>
              <w:rPr>
                <w:rFonts w:ascii="Cambria Math" w:eastAsiaTheme="minorEastAsia" w:hAnsi="Cambria Math"/>
              </w:rPr>
            </m:ctrlPr>
          </m:sSubPr>
          <m:e>
            <m:r>
              <w:rPr>
                <w:rFonts w:ascii="Cambria Math" w:eastAsiaTheme="minorEastAsia" w:hAnsi="Cambria Math"/>
              </w:rPr>
              <m:t>E</m:t>
            </m:r>
          </m:e>
          <m:sub>
            <m:sSub>
              <m:sSubPr>
                <m:ctrlPr>
                  <w:rPr>
                    <w:rFonts w:ascii="Cambria Math" w:eastAsiaTheme="minorEastAsia" w:hAnsi="Cambria Math"/>
                  </w:rPr>
                </m:ctrlPr>
              </m:sSubPr>
              <m:e>
                <m:r>
                  <w:rPr>
                    <w:rFonts w:ascii="Cambria Math" w:eastAsiaTheme="minorEastAsia" w:hAnsi="Cambria Math"/>
                  </w:rPr>
                  <m:t>MP</m:t>
                </m:r>
              </m:e>
              <m:sub>
                <m:r>
                  <w:rPr>
                    <w:rFonts w:ascii="Cambria Math" w:eastAsiaTheme="minorEastAsia" w:hAnsi="Cambria Math"/>
                  </w:rPr>
                  <m:t>l</m:t>
                </m:r>
                <m:r>
                  <m:rPr>
                    <m:sty m:val="p"/>
                  </m:rPr>
                  <w:rPr>
                    <w:rFonts w:ascii="Cambria Math" w:eastAsiaTheme="minorEastAsia" w:hAnsi="Cambria Math"/>
                  </w:rPr>
                  <m:t>,</m:t>
                </m:r>
                <m:r>
                  <w:rPr>
                    <w:rFonts w:ascii="Cambria Math" w:eastAsiaTheme="minorEastAsia" w:hAnsi="Cambria Math"/>
                  </w:rPr>
                  <m:t>h</m:t>
                </m:r>
              </m:sub>
            </m:sSub>
          </m:sub>
        </m:sSub>
      </m:oMath>
      <w:r w:rsidRPr="00A72A5A">
        <w:rPr>
          <w:rFonts w:ascii="Cambria Math" w:hAnsi="Cambria Math"/>
          <w:i/>
        </w:rPr>
        <w:tab/>
      </w:r>
      <w:r w:rsidRPr="00A72A5A">
        <w:rPr>
          <w:iCs/>
        </w:rPr>
        <w:t xml:space="preserve">is the Energy exported  by the </w:t>
      </w:r>
      <w:r w:rsidR="00BF564D">
        <w:rPr>
          <w:iCs/>
        </w:rPr>
        <w:t>Electric Power Trader</w:t>
      </w:r>
      <w:r w:rsidRPr="00A72A5A">
        <w:rPr>
          <w:iCs/>
        </w:rPr>
        <w:t xml:space="preserve"> </w:t>
      </w:r>
      <w:r w:rsidRPr="00A72A5A">
        <w:rPr>
          <w:i/>
        </w:rPr>
        <w:t xml:space="preserve">“l”, </w:t>
      </w:r>
      <w:r w:rsidRPr="00A72A5A">
        <w:rPr>
          <w:iCs/>
        </w:rPr>
        <w:t xml:space="preserve">which is located in the </w:t>
      </w:r>
      <w:r w:rsidR="00B138ED">
        <w:rPr>
          <w:iCs/>
        </w:rPr>
        <w:t>Congested Zone</w:t>
      </w:r>
      <w:r w:rsidRPr="00A72A5A">
        <w:rPr>
          <w:iCs/>
        </w:rPr>
        <w:t xml:space="preserve"> “</w:t>
      </w:r>
      <w:r w:rsidRPr="00A72A5A">
        <w:rPr>
          <w:i/>
        </w:rPr>
        <w:t>ARs”,</w:t>
      </w:r>
      <w:r w:rsidRPr="00A72A5A">
        <w:rPr>
          <w:iCs/>
        </w:rPr>
        <w:t xml:space="preserve"> in hour </w:t>
      </w:r>
      <w:r w:rsidRPr="00A72A5A">
        <w:rPr>
          <w:i/>
        </w:rPr>
        <w:t>“h”</w:t>
      </w:r>
      <w:r w:rsidRPr="00A72A5A">
        <w:rPr>
          <w:iCs/>
        </w:rPr>
        <w:t>,  calculated pursuant</w:t>
      </w:r>
      <w:r w:rsidR="001A7D29" w:rsidRPr="001A7D29">
        <w:t xml:space="preserve"> Clause </w:t>
      </w:r>
      <w:r w:rsidR="001A7D29" w:rsidRPr="001A7D29">
        <w:fldChar w:fldCharType="begin"/>
      </w:r>
      <w:r w:rsidR="001A7D29" w:rsidRPr="001A7D29">
        <w:instrText xml:space="preserve"> REF _Ref59456858 \r \h  \* MERGEFORMAT </w:instrText>
      </w:r>
      <w:r w:rsidR="001A7D29" w:rsidRPr="001A7D29">
        <w:fldChar w:fldCharType="separate"/>
      </w:r>
      <w:r w:rsidR="00251DBF">
        <w:t>6.3.3.3</w:t>
      </w:r>
      <w:r w:rsidR="001A7D29" w:rsidRPr="001A7D29">
        <w:fldChar w:fldCharType="end"/>
      </w:r>
      <w:r w:rsidR="00FC02FD">
        <w:rPr>
          <w:iCs/>
        </w:rPr>
        <w:t>;</w:t>
      </w:r>
    </w:p>
    <w:p w14:paraId="360A71DE" w14:textId="1EA38971" w:rsidR="00A23E6E" w:rsidRPr="00A72A5A" w:rsidRDefault="00A23E6E" w:rsidP="00A23E6E">
      <w:pPr>
        <w:pStyle w:val="BodyText"/>
        <w:ind w:left="3544" w:hanging="992"/>
      </w:pPr>
      <w:r w:rsidRPr="00A72A5A">
        <w:rPr>
          <w:i/>
          <w:iCs/>
        </w:rPr>
        <w:t>T</w:t>
      </w:r>
      <w:r w:rsidRPr="00A72A5A">
        <w:rPr>
          <w:i/>
          <w:iCs/>
        </w:rPr>
        <w:tab/>
      </w:r>
      <w:r w:rsidRPr="00A72A5A">
        <w:t xml:space="preserve">is the total number of hours in the Settlement Period </w:t>
      </w:r>
      <w:r w:rsidRPr="00A72A5A">
        <w:rPr>
          <w:i/>
          <w:iCs/>
        </w:rPr>
        <w:t>“m”</w:t>
      </w:r>
      <w:r w:rsidR="00FC02FD">
        <w:rPr>
          <w:i/>
          <w:iCs/>
        </w:rPr>
        <w:t>.</w:t>
      </w:r>
    </w:p>
    <w:p w14:paraId="0EE77C7F" w14:textId="0B0932A3" w:rsidR="00E069A1" w:rsidRPr="00A72A5A" w:rsidRDefault="00FC02FD" w:rsidP="00E069A1">
      <w:pPr>
        <w:pStyle w:val="Heading5"/>
        <w:ind w:left="1957"/>
      </w:pPr>
      <w:bookmarkStart w:id="306" w:name="_Ref68459590"/>
      <w:r>
        <w:t>t</w:t>
      </w:r>
      <w:r w:rsidR="00E069A1" w:rsidRPr="00A72A5A">
        <w:t xml:space="preserve">he total demand of the </w:t>
      </w:r>
      <w:r w:rsidR="00B138ED">
        <w:t>Congested Zone</w:t>
      </w:r>
      <w:r w:rsidR="00E069A1" w:rsidRPr="00A72A5A">
        <w:t xml:space="preserve"> “ARs” shall be calculated as:</w:t>
      </w:r>
      <w:bookmarkEnd w:id="306"/>
    </w:p>
    <w:p w14:paraId="619FD3E6" w14:textId="77777777" w:rsidR="00E069A1" w:rsidRPr="00A72A5A" w:rsidRDefault="004D6075" w:rsidP="00E069A1">
      <w:pPr>
        <w:pStyle w:val="BodyText"/>
        <w:rPr>
          <w:rFonts w:eastAsiaTheme="minorEastAsia"/>
        </w:rPr>
      </w:pPr>
      <m:oMathPara>
        <m:oMath>
          <m:sSub>
            <m:sSubPr>
              <m:ctrlPr>
                <w:rPr>
                  <w:rFonts w:ascii="Cambria Math" w:hAnsi="Cambria Math"/>
                  <w:i/>
                </w:rPr>
              </m:ctrlPr>
            </m:sSubPr>
            <m:e>
              <m:r>
                <w:rPr>
                  <w:rFonts w:ascii="Cambria Math" w:hAnsi="Cambria Math"/>
                </w:rPr>
                <m:t>TD</m:t>
              </m:r>
            </m:e>
            <m:sub>
              <m:r>
                <w:rPr>
                  <w:rFonts w:ascii="Cambria Math" w:hAnsi="Cambria Math"/>
                </w:rPr>
                <m:t>ARs,m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ES_BPC</m:t>
                  </m:r>
                </m:e>
                <m:sub>
                  <m:r>
                    <w:rPr>
                      <w:rFonts w:ascii="Cambria Math" w:hAnsi="Cambria Math"/>
                    </w:rPr>
                    <m:t>i,ARs,m</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ES_CS</m:t>
                  </m:r>
                </m:e>
                <m:sub>
                  <m:r>
                    <w:rPr>
                      <w:rFonts w:ascii="Cambria Math" w:hAnsi="Cambria Math"/>
                    </w:rPr>
                    <m:t>j,ARS,m</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ES_BS</m:t>
                  </m:r>
                </m:e>
                <m:sub>
                  <m:r>
                    <w:rPr>
                      <w:rFonts w:ascii="Cambria Math" w:hAnsi="Cambria Math"/>
                    </w:rPr>
                    <m:t>k,ARS,m</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ES_EXP</m:t>
                  </m:r>
                </m:e>
                <m:sub>
                  <m:r>
                    <w:rPr>
                      <w:rFonts w:ascii="Cambria Math" w:hAnsi="Cambria Math"/>
                    </w:rPr>
                    <m:t>l,ARs,m</m:t>
                  </m:r>
                </m:sub>
              </m:sSub>
            </m:e>
          </m:nary>
        </m:oMath>
      </m:oMathPara>
    </w:p>
    <w:p w14:paraId="4B910E7F" w14:textId="77777777" w:rsidR="00E069A1" w:rsidRPr="00A72A5A" w:rsidRDefault="00E069A1" w:rsidP="00E069A1">
      <w:pPr>
        <w:pStyle w:val="BodyText"/>
        <w:ind w:left="3544" w:hanging="992"/>
      </w:pPr>
      <w:r w:rsidRPr="00A72A5A">
        <w:t xml:space="preserve">Where </w:t>
      </w:r>
    </w:p>
    <w:p w14:paraId="16E60637" w14:textId="7AE854BA" w:rsidR="00E069A1" w:rsidRPr="00A72A5A" w:rsidRDefault="004D6075" w:rsidP="00E069A1">
      <w:pPr>
        <w:pStyle w:val="BodyText"/>
        <w:ind w:left="2552"/>
      </w:pPr>
      <m:oMath>
        <m:sSub>
          <m:sSubPr>
            <m:ctrlPr>
              <w:rPr>
                <w:rFonts w:ascii="Cambria Math" w:hAnsi="Cambria Math"/>
              </w:rPr>
            </m:ctrlPr>
          </m:sSubPr>
          <m:e>
            <m:r>
              <w:rPr>
                <w:rFonts w:ascii="Cambria Math" w:hAnsi="Cambria Math"/>
              </w:rPr>
              <m:t>TD</m:t>
            </m:r>
          </m:e>
          <m:sub>
            <m:r>
              <w:rPr>
                <w:rFonts w:ascii="Cambria Math" w:hAnsi="Cambria Math"/>
              </w:rPr>
              <m:t>ARs</m:t>
            </m:r>
            <m:r>
              <m:rPr>
                <m:sty m:val="p"/>
              </m:rPr>
              <w:rPr>
                <w:rFonts w:ascii="Cambria Math" w:hAnsi="Cambria Math"/>
              </w:rPr>
              <m:t>,</m:t>
            </m:r>
            <m:r>
              <w:rPr>
                <w:rFonts w:ascii="Cambria Math" w:hAnsi="Cambria Math"/>
              </w:rPr>
              <m:t>m</m:t>
            </m:r>
          </m:sub>
        </m:sSub>
      </m:oMath>
      <w:r w:rsidR="00E069A1" w:rsidRPr="00A72A5A">
        <w:rPr>
          <w:rFonts w:eastAsiaTheme="minorEastAsia"/>
        </w:rPr>
        <w:t xml:space="preserve"> </w:t>
      </w:r>
      <w:r w:rsidR="00E069A1" w:rsidRPr="00A72A5A">
        <w:rPr>
          <w:rFonts w:eastAsiaTheme="minorEastAsia"/>
        </w:rPr>
        <w:tab/>
        <w:t xml:space="preserve">is  the total demand of the </w:t>
      </w:r>
      <w:r w:rsidR="00B138ED">
        <w:t>Congested Zone</w:t>
      </w:r>
      <w:r w:rsidR="00E069A1" w:rsidRPr="00A72A5A">
        <w:t xml:space="preserve"> </w:t>
      </w:r>
      <w:r w:rsidR="00E069A1" w:rsidRPr="00A72A5A">
        <w:rPr>
          <w:i/>
          <w:iCs/>
        </w:rPr>
        <w:t>“ARs”</w:t>
      </w:r>
      <w:r w:rsidR="00E069A1" w:rsidRPr="00A72A5A">
        <w:t xml:space="preserve">, during the Settlement Period </w:t>
      </w:r>
      <w:r w:rsidR="00E069A1" w:rsidRPr="00A72A5A">
        <w:rPr>
          <w:i/>
          <w:iCs/>
        </w:rPr>
        <w:t>“m”</w:t>
      </w:r>
      <w:r w:rsidR="00E069A1" w:rsidRPr="00A72A5A">
        <w:t>, in MWh;</w:t>
      </w:r>
    </w:p>
    <w:p w14:paraId="11892AEC" w14:textId="77777777" w:rsidR="00E069A1" w:rsidRPr="00A72A5A" w:rsidRDefault="004D6075" w:rsidP="00E069A1">
      <w:pPr>
        <w:pStyle w:val="BodyText"/>
        <w:ind w:left="2552"/>
        <w:rPr>
          <w:rFonts w:eastAsiaTheme="minorEastAsia"/>
        </w:rPr>
      </w:pPr>
      <m:oMath>
        <m:nary>
          <m:naryPr>
            <m:chr m:val="∑"/>
            <m:limLoc m:val="undOvr"/>
            <m:supHide m:val="1"/>
            <m:ctrlPr>
              <w:rPr>
                <w:rFonts w:ascii="Cambria Math" w:hAnsi="Cambria Math"/>
                <w:i/>
              </w:rPr>
            </m:ctrlPr>
          </m:naryPr>
          <m:sub>
            <m:r>
              <w:rPr>
                <w:rFonts w:ascii="Cambria Math" w:hAnsi="Cambria Math"/>
              </w:rPr>
              <m:t>i</m:t>
            </m:r>
          </m:sub>
          <m:sup/>
          <m:e/>
        </m:nary>
      </m:oMath>
      <w:r w:rsidR="00E069A1" w:rsidRPr="00A72A5A">
        <w:rPr>
          <w:rFonts w:eastAsiaTheme="minorEastAsia"/>
        </w:rPr>
        <w:t xml:space="preserve"> </w:t>
      </w:r>
      <w:r w:rsidR="00E069A1" w:rsidRPr="00A72A5A">
        <w:rPr>
          <w:rFonts w:eastAsiaTheme="minorEastAsia"/>
        </w:rPr>
        <w:tab/>
        <w:t xml:space="preserve">is the sum over all BPCs which are Market Participants; </w:t>
      </w:r>
    </w:p>
    <w:p w14:paraId="56406963" w14:textId="3E0768A5" w:rsidR="00E069A1" w:rsidRPr="00A72A5A" w:rsidRDefault="004D6075" w:rsidP="00E069A1">
      <w:pPr>
        <w:pStyle w:val="BodyText"/>
        <w:ind w:left="2552"/>
        <w:rPr>
          <w:rFonts w:eastAsiaTheme="minorEastAsia"/>
        </w:rPr>
      </w:pPr>
      <m:oMath>
        <m:nary>
          <m:naryPr>
            <m:chr m:val="∑"/>
            <m:limLoc m:val="undOvr"/>
            <m:supHide m:val="1"/>
            <m:ctrlPr>
              <w:rPr>
                <w:rFonts w:ascii="Cambria Math" w:hAnsi="Cambria Math"/>
                <w:i/>
              </w:rPr>
            </m:ctrlPr>
          </m:naryPr>
          <m:sub>
            <m:r>
              <w:rPr>
                <w:rFonts w:ascii="Cambria Math" w:hAnsi="Cambria Math"/>
              </w:rPr>
              <m:t>j</m:t>
            </m:r>
          </m:sub>
          <m:sup/>
          <m:e/>
        </m:nary>
      </m:oMath>
      <w:r w:rsidR="00E069A1" w:rsidRPr="00A72A5A">
        <w:rPr>
          <w:rFonts w:eastAsiaTheme="minorEastAsia"/>
        </w:rPr>
        <w:t xml:space="preserve"> </w:t>
      </w:r>
      <w:r w:rsidR="00E069A1" w:rsidRPr="00A72A5A">
        <w:rPr>
          <w:rFonts w:eastAsiaTheme="minorEastAsia"/>
        </w:rPr>
        <w:tab/>
        <w:t xml:space="preserve">is the sum over all Competitive </w:t>
      </w:r>
      <w:r w:rsidR="00BF564D">
        <w:rPr>
          <w:rFonts w:eastAsiaTheme="minorEastAsia"/>
        </w:rPr>
        <w:t>Electric Power Supplier</w:t>
      </w:r>
      <w:r w:rsidR="00E069A1" w:rsidRPr="00A72A5A">
        <w:rPr>
          <w:rFonts w:eastAsiaTheme="minorEastAsia"/>
        </w:rPr>
        <w:t xml:space="preserve">s; </w:t>
      </w:r>
    </w:p>
    <w:p w14:paraId="0017EA03" w14:textId="3F67E953" w:rsidR="00E069A1" w:rsidRPr="00A72A5A" w:rsidRDefault="004D6075" w:rsidP="00E069A1">
      <w:pPr>
        <w:pStyle w:val="BodyText"/>
        <w:ind w:left="2552"/>
        <w:rPr>
          <w:rFonts w:eastAsiaTheme="minorEastAsia"/>
        </w:rPr>
      </w:pPr>
      <m:oMath>
        <m:nary>
          <m:naryPr>
            <m:chr m:val="∑"/>
            <m:limLoc m:val="undOvr"/>
            <m:supHide m:val="1"/>
            <m:ctrlPr>
              <w:rPr>
                <w:rFonts w:ascii="Cambria Math" w:hAnsi="Cambria Math"/>
                <w:i/>
              </w:rPr>
            </m:ctrlPr>
          </m:naryPr>
          <m:sub>
            <m:r>
              <w:rPr>
                <w:rFonts w:ascii="Cambria Math" w:hAnsi="Cambria Math"/>
              </w:rPr>
              <m:t>k</m:t>
            </m:r>
          </m:sub>
          <m:sup/>
          <m:e/>
        </m:nary>
      </m:oMath>
      <w:r w:rsidR="00E069A1" w:rsidRPr="00A72A5A">
        <w:rPr>
          <w:rFonts w:eastAsiaTheme="minorEastAsia"/>
        </w:rPr>
        <w:t xml:space="preserve"> </w:t>
      </w:r>
      <w:r w:rsidR="00E069A1" w:rsidRPr="00A72A5A">
        <w:rPr>
          <w:rFonts w:eastAsiaTheme="minorEastAsia"/>
        </w:rPr>
        <w:tab/>
        <w:t xml:space="preserve">is the sum over all </w:t>
      </w:r>
      <w:r w:rsidR="00403C8A">
        <w:rPr>
          <w:rFonts w:eastAsiaTheme="minorEastAsia"/>
        </w:rPr>
        <w:t>Default Supplier</w:t>
      </w:r>
      <w:r w:rsidR="00E069A1" w:rsidRPr="00A72A5A">
        <w:rPr>
          <w:rFonts w:eastAsiaTheme="minorEastAsia"/>
        </w:rPr>
        <w:t xml:space="preserve">s; </w:t>
      </w:r>
    </w:p>
    <w:p w14:paraId="30792FE9" w14:textId="3D464C32" w:rsidR="00E069A1" w:rsidRPr="00A72A5A" w:rsidRDefault="004D6075" w:rsidP="00E069A1">
      <w:pPr>
        <w:pStyle w:val="BodyText"/>
        <w:ind w:left="2552"/>
        <w:rPr>
          <w:rFonts w:eastAsiaTheme="minorEastAsia"/>
        </w:rPr>
      </w:pPr>
      <m:oMath>
        <m:nary>
          <m:naryPr>
            <m:chr m:val="∑"/>
            <m:limLoc m:val="undOvr"/>
            <m:supHide m:val="1"/>
            <m:ctrlPr>
              <w:rPr>
                <w:rFonts w:ascii="Cambria Math" w:hAnsi="Cambria Math"/>
                <w:i/>
              </w:rPr>
            </m:ctrlPr>
          </m:naryPr>
          <m:sub>
            <m:r>
              <w:rPr>
                <w:rFonts w:ascii="Cambria Math" w:hAnsi="Cambria Math"/>
              </w:rPr>
              <m:t>l</m:t>
            </m:r>
          </m:sub>
          <m:sup/>
          <m:e/>
        </m:nary>
      </m:oMath>
      <w:r w:rsidR="00E069A1" w:rsidRPr="00A72A5A">
        <w:rPr>
          <w:rFonts w:eastAsiaTheme="minorEastAsia"/>
        </w:rPr>
        <w:t xml:space="preserve"> </w:t>
      </w:r>
      <w:r w:rsidR="00E069A1" w:rsidRPr="00A72A5A">
        <w:rPr>
          <w:rFonts w:eastAsiaTheme="minorEastAsia"/>
        </w:rPr>
        <w:tab/>
        <w:t xml:space="preserve">is the sum over all </w:t>
      </w:r>
      <w:r w:rsidR="00BF564D">
        <w:rPr>
          <w:rFonts w:eastAsiaTheme="minorEastAsia"/>
        </w:rPr>
        <w:t>Electric Power Trader</w:t>
      </w:r>
      <w:r w:rsidR="00E069A1" w:rsidRPr="00A72A5A">
        <w:rPr>
          <w:rFonts w:eastAsiaTheme="minorEastAsia"/>
        </w:rPr>
        <w:t>s which are performing  Exports</w:t>
      </w:r>
      <w:r w:rsidR="00FC02FD">
        <w:rPr>
          <w:rFonts w:eastAsiaTheme="minorEastAsia"/>
        </w:rPr>
        <w:t>.</w:t>
      </w:r>
      <w:r w:rsidR="00E069A1" w:rsidRPr="00A72A5A">
        <w:rPr>
          <w:rFonts w:eastAsiaTheme="minorEastAsia"/>
        </w:rPr>
        <w:t xml:space="preserve"> </w:t>
      </w:r>
    </w:p>
    <w:p w14:paraId="4BC822AA" w14:textId="60505EA6" w:rsidR="00D35677" w:rsidRPr="00A72A5A" w:rsidRDefault="00E069A1" w:rsidP="00A72A5A">
      <w:pPr>
        <w:pStyle w:val="Heading5"/>
        <w:ind w:left="1957"/>
      </w:pPr>
      <w:r w:rsidRPr="00A72A5A">
        <w:t xml:space="preserve"> </w:t>
      </w:r>
      <w:r w:rsidR="00D35677" w:rsidRPr="00B03C4A">
        <w:t>the</w:t>
      </w:r>
      <w:r w:rsidR="00D35677" w:rsidRPr="00A72A5A">
        <w:t xml:space="preserve"> charges applicable to each Market Participant registered as </w:t>
      </w:r>
      <w:r w:rsidR="00BF564D">
        <w:t>Electric Power Supplier</w:t>
      </w:r>
      <w:r w:rsidR="00D35677" w:rsidRPr="00A72A5A">
        <w:t xml:space="preserve"> or BPC</w:t>
      </w:r>
      <w:r w:rsidR="0068533C">
        <w:t xml:space="preserve"> or </w:t>
      </w:r>
      <w:r w:rsidR="00BF564D">
        <w:t>Electric Power Trader</w:t>
      </w:r>
      <w:r w:rsidR="0068533C">
        <w:t>s involved in Exports</w:t>
      </w:r>
      <w:r w:rsidR="00D35677" w:rsidRPr="00A72A5A">
        <w:t xml:space="preserve"> </w:t>
      </w:r>
      <w:r w:rsidR="00025AEB" w:rsidRPr="00A72A5A">
        <w:t xml:space="preserve">be calculated as: </w:t>
      </w:r>
    </w:p>
    <w:p w14:paraId="60F87285" w14:textId="79222F42" w:rsidR="00025AEB" w:rsidRPr="00A72A5A" w:rsidRDefault="00025AEB" w:rsidP="00CF7164">
      <w:pPr>
        <w:pStyle w:val="Heading6"/>
      </w:pPr>
      <w:r w:rsidRPr="00A72A5A">
        <w:t>For a BPC which is a Market Participant:</w:t>
      </w:r>
    </w:p>
    <w:p w14:paraId="5FD2E3B7" w14:textId="567A3BCA" w:rsidR="00E6482C" w:rsidRDefault="004D6075" w:rsidP="00780E4E">
      <w:pPr>
        <w:pStyle w:val="BodyText"/>
        <w:ind w:left="567"/>
      </w:pPr>
      <m:oMathPara>
        <m:oMath>
          <m:sSub>
            <m:sSubPr>
              <m:ctrlPr>
                <w:rPr>
                  <w:rFonts w:ascii="Cambria Math" w:hAnsi="Cambria Math"/>
                  <w:i/>
                </w:rPr>
              </m:ctrlPr>
            </m:sSubPr>
            <m:e>
              <m:r>
                <w:rPr>
                  <w:rFonts w:ascii="Cambria Math" w:hAnsi="Cambria Math"/>
                </w:rPr>
                <m:t>TC_BPC</m:t>
              </m:r>
            </m:e>
            <m:sub>
              <m:r>
                <w:rPr>
                  <w:rFonts w:ascii="Cambria Math" w:hAnsi="Cambria Math"/>
                </w:rPr>
                <m:t>i,m</m:t>
              </m:r>
            </m:sub>
          </m:sSub>
          <m:d>
            <m:dPr>
              <m:begChr m:val="["/>
              <m:endChr m:val="]"/>
              <m:ctrlPr>
                <w:rPr>
                  <w:rFonts w:ascii="Cambria Math" w:hAnsi="Cambria Math"/>
                </w:rPr>
              </m:ctrlPr>
            </m:dPr>
            <m:e>
              <m:r>
                <w:rPr>
                  <w:rFonts w:ascii="Cambria Math" w:hAnsi="Cambria Math"/>
                </w:rPr>
                <m:t>PKR</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s=1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ES_BPC</m:t>
                      </m:r>
                    </m:e>
                    <m:sub>
                      <m:r>
                        <w:rPr>
                          <w:rFonts w:ascii="Cambria Math" w:hAnsi="Cambria Math"/>
                        </w:rPr>
                        <m:t>i,ARs,m</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TAC</m:t>
                          </m:r>
                        </m:e>
                        <m:sub>
                          <m:sSub>
                            <m:sSubPr>
                              <m:ctrlPr>
                                <w:rPr>
                                  <w:rFonts w:ascii="Cambria Math" w:hAnsi="Cambria Math"/>
                                  <w:i/>
                                </w:rPr>
                              </m:ctrlPr>
                            </m:sSubPr>
                            <m:e>
                              <m:r>
                                <w:rPr>
                                  <w:rFonts w:ascii="Cambria Math" w:hAnsi="Cambria Math"/>
                                </w:rPr>
                                <m:t>AR</m:t>
                              </m:r>
                            </m:e>
                            <m:sub>
                              <m:r>
                                <w:rPr>
                                  <w:rFonts w:ascii="Cambria Math" w:hAnsi="Cambria Math"/>
                                </w:rPr>
                                <m:t>s</m:t>
                              </m:r>
                            </m:sub>
                          </m:sSub>
                          <m:r>
                            <w:rPr>
                              <w:rFonts w:ascii="Cambria Math" w:hAnsi="Cambria Math"/>
                            </w:rPr>
                            <m:t>,m</m:t>
                          </m:r>
                        </m:sub>
                      </m:sSub>
                    </m:num>
                    <m:den>
                      <m:sSub>
                        <m:sSubPr>
                          <m:ctrlPr>
                            <w:rPr>
                              <w:rFonts w:ascii="Cambria Math" w:hAnsi="Cambria Math"/>
                              <w:i/>
                            </w:rPr>
                          </m:ctrlPr>
                        </m:sSubPr>
                        <m:e>
                          <m:r>
                            <w:rPr>
                              <w:rFonts w:ascii="Cambria Math" w:hAnsi="Cambria Math"/>
                            </w:rPr>
                            <m:t>TD</m:t>
                          </m:r>
                        </m:e>
                        <m:sub>
                          <m:r>
                            <w:rPr>
                              <w:rFonts w:ascii="Cambria Math" w:hAnsi="Cambria Math"/>
                            </w:rPr>
                            <m:t>ARs,m</m:t>
                          </m:r>
                        </m:sub>
                      </m:sSub>
                    </m:den>
                  </m:f>
                </m:e>
              </m:d>
            </m:e>
          </m:nary>
        </m:oMath>
      </m:oMathPara>
    </w:p>
    <w:p w14:paraId="5AD2CD34" w14:textId="064BECCF" w:rsidR="00025AEB" w:rsidRPr="00025AEB" w:rsidRDefault="00025AEB" w:rsidP="00CF7164">
      <w:pPr>
        <w:pStyle w:val="Heading6"/>
      </w:pPr>
      <w:r w:rsidRPr="00025AEB">
        <w:t>For a Market Participant</w:t>
      </w:r>
      <w:r w:rsidR="00780E4E">
        <w:t xml:space="preserve"> registered as Competitive </w:t>
      </w:r>
      <w:r w:rsidR="00BF564D">
        <w:t>Electric Power Supplier</w:t>
      </w:r>
      <w:r w:rsidRPr="00025AEB">
        <w:t>:</w:t>
      </w:r>
    </w:p>
    <w:p w14:paraId="64172B11" w14:textId="266EFB31" w:rsidR="00025AEB" w:rsidRDefault="004D6075" w:rsidP="00780E4E">
      <w:pPr>
        <w:pStyle w:val="BodyText"/>
        <w:ind w:left="709"/>
      </w:pPr>
      <m:oMathPara>
        <m:oMath>
          <m:sSub>
            <m:sSubPr>
              <m:ctrlPr>
                <w:rPr>
                  <w:rFonts w:ascii="Cambria Math" w:hAnsi="Cambria Math"/>
                  <w:i/>
                </w:rPr>
              </m:ctrlPr>
            </m:sSubPr>
            <m:e>
              <m:r>
                <w:rPr>
                  <w:rFonts w:ascii="Cambria Math" w:hAnsi="Cambria Math"/>
                </w:rPr>
                <m:t>TC_CS</m:t>
              </m:r>
            </m:e>
            <m:sub>
              <m:r>
                <w:rPr>
                  <w:rFonts w:ascii="Cambria Math" w:hAnsi="Cambria Math"/>
                </w:rPr>
                <m:t>j,m</m:t>
              </m:r>
            </m:sub>
          </m:sSub>
          <m:d>
            <m:dPr>
              <m:begChr m:val="["/>
              <m:endChr m:val="]"/>
              <m:ctrlPr>
                <w:rPr>
                  <w:rFonts w:ascii="Cambria Math" w:hAnsi="Cambria Math"/>
                </w:rPr>
              </m:ctrlPr>
            </m:dPr>
            <m:e>
              <m:r>
                <w:rPr>
                  <w:rFonts w:ascii="Cambria Math" w:hAnsi="Cambria Math"/>
                </w:rPr>
                <m:t>PKR</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s=1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ES_CS</m:t>
                      </m:r>
                    </m:e>
                    <m:sub>
                      <m:r>
                        <w:rPr>
                          <w:rFonts w:ascii="Cambria Math" w:hAnsi="Cambria Math"/>
                        </w:rPr>
                        <m:t>j,ARS,m</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TAC</m:t>
                          </m:r>
                        </m:e>
                        <m:sub>
                          <m:sSub>
                            <m:sSubPr>
                              <m:ctrlPr>
                                <w:rPr>
                                  <w:rFonts w:ascii="Cambria Math" w:hAnsi="Cambria Math"/>
                                  <w:i/>
                                </w:rPr>
                              </m:ctrlPr>
                            </m:sSubPr>
                            <m:e>
                              <m:r>
                                <w:rPr>
                                  <w:rFonts w:ascii="Cambria Math" w:hAnsi="Cambria Math"/>
                                </w:rPr>
                                <m:t>AR</m:t>
                              </m:r>
                            </m:e>
                            <m:sub>
                              <m:r>
                                <w:rPr>
                                  <w:rFonts w:ascii="Cambria Math" w:hAnsi="Cambria Math"/>
                                </w:rPr>
                                <m:t>s</m:t>
                              </m:r>
                            </m:sub>
                          </m:sSub>
                          <m:r>
                            <w:rPr>
                              <w:rFonts w:ascii="Cambria Math" w:hAnsi="Cambria Math"/>
                            </w:rPr>
                            <m:t>,m</m:t>
                          </m:r>
                        </m:sub>
                      </m:sSub>
                    </m:num>
                    <m:den>
                      <m:sSub>
                        <m:sSubPr>
                          <m:ctrlPr>
                            <w:rPr>
                              <w:rFonts w:ascii="Cambria Math" w:hAnsi="Cambria Math"/>
                              <w:i/>
                            </w:rPr>
                          </m:ctrlPr>
                        </m:sSubPr>
                        <m:e>
                          <m:r>
                            <w:rPr>
                              <w:rFonts w:ascii="Cambria Math" w:hAnsi="Cambria Math"/>
                            </w:rPr>
                            <m:t>TD</m:t>
                          </m:r>
                        </m:e>
                        <m:sub>
                          <m:r>
                            <w:rPr>
                              <w:rFonts w:ascii="Cambria Math" w:hAnsi="Cambria Math"/>
                            </w:rPr>
                            <m:t>ARs,m</m:t>
                          </m:r>
                        </m:sub>
                      </m:sSub>
                    </m:den>
                  </m:f>
                </m:e>
              </m:d>
            </m:e>
          </m:nary>
        </m:oMath>
      </m:oMathPara>
    </w:p>
    <w:p w14:paraId="43C9B3C9" w14:textId="09076CA4" w:rsidR="00780E4E" w:rsidRPr="00025AEB" w:rsidRDefault="00780E4E" w:rsidP="00CF7164">
      <w:pPr>
        <w:pStyle w:val="Heading6"/>
      </w:pPr>
      <w:r w:rsidRPr="00025AEB">
        <w:t>For a Market Participant</w:t>
      </w:r>
      <w:r>
        <w:t xml:space="preserve"> registered as </w:t>
      </w:r>
      <w:r w:rsidR="00403C8A">
        <w:t>Default Supplier</w:t>
      </w:r>
      <w:r w:rsidRPr="00025AEB">
        <w:t>:</w:t>
      </w:r>
    </w:p>
    <w:p w14:paraId="7B762572" w14:textId="216DF191" w:rsidR="00200267" w:rsidRDefault="004D6075" w:rsidP="00200267">
      <w:pPr>
        <w:pStyle w:val="BodyText"/>
        <w:ind w:left="709"/>
      </w:pPr>
      <m:oMathPara>
        <m:oMath>
          <m:sSub>
            <m:sSubPr>
              <m:ctrlPr>
                <w:rPr>
                  <w:rFonts w:ascii="Cambria Math" w:hAnsi="Cambria Math"/>
                  <w:i/>
                </w:rPr>
              </m:ctrlPr>
            </m:sSubPr>
            <m:e>
              <m:r>
                <w:rPr>
                  <w:rFonts w:ascii="Cambria Math" w:hAnsi="Cambria Math"/>
                </w:rPr>
                <m:t>TC_BS</m:t>
              </m:r>
            </m:e>
            <m:sub>
              <m:r>
                <w:rPr>
                  <w:rFonts w:ascii="Cambria Math" w:hAnsi="Cambria Math"/>
                </w:rPr>
                <m:t>k,m</m:t>
              </m:r>
            </m:sub>
          </m:sSub>
          <m:d>
            <m:dPr>
              <m:begChr m:val="["/>
              <m:endChr m:val="]"/>
              <m:ctrlPr>
                <w:rPr>
                  <w:rFonts w:ascii="Cambria Math" w:hAnsi="Cambria Math"/>
                </w:rPr>
              </m:ctrlPr>
            </m:dPr>
            <m:e>
              <m:r>
                <w:rPr>
                  <w:rFonts w:ascii="Cambria Math" w:hAnsi="Cambria Math"/>
                </w:rPr>
                <m:t>PKR</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s=1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ES_BS</m:t>
                      </m:r>
                    </m:e>
                    <m:sub>
                      <m:r>
                        <w:rPr>
                          <w:rFonts w:ascii="Cambria Math" w:hAnsi="Cambria Math"/>
                        </w:rPr>
                        <m:t>k,ARS,m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TAC</m:t>
                          </m:r>
                        </m:e>
                        <m:sub>
                          <m:r>
                            <w:rPr>
                              <w:rFonts w:ascii="Cambria Math" w:hAnsi="Cambria Math"/>
                            </w:rPr>
                            <m:t>ARs,m</m:t>
                          </m:r>
                        </m:sub>
                      </m:sSub>
                    </m:num>
                    <m:den>
                      <m:sSub>
                        <m:sSubPr>
                          <m:ctrlPr>
                            <w:rPr>
                              <w:rFonts w:ascii="Cambria Math" w:hAnsi="Cambria Math"/>
                              <w:i/>
                            </w:rPr>
                          </m:ctrlPr>
                        </m:sSubPr>
                        <m:e>
                          <m:r>
                            <w:rPr>
                              <w:rFonts w:ascii="Cambria Math" w:hAnsi="Cambria Math"/>
                            </w:rPr>
                            <m:t>TD</m:t>
                          </m:r>
                        </m:e>
                        <m:sub>
                          <m:r>
                            <w:rPr>
                              <w:rFonts w:ascii="Cambria Math" w:hAnsi="Cambria Math"/>
                            </w:rPr>
                            <m:t>ARs,m</m:t>
                          </m:r>
                        </m:sub>
                      </m:sSub>
                    </m:den>
                  </m:f>
                </m:e>
              </m:d>
            </m:e>
          </m:nary>
        </m:oMath>
      </m:oMathPara>
    </w:p>
    <w:p w14:paraId="74D329FE" w14:textId="29C88742" w:rsidR="00200267" w:rsidRPr="00025AEB" w:rsidRDefault="00200267" w:rsidP="00200267">
      <w:pPr>
        <w:pStyle w:val="Heading6"/>
      </w:pPr>
      <w:r w:rsidRPr="00025AEB">
        <w:t>For a Market Participant</w:t>
      </w:r>
      <w:r>
        <w:t xml:space="preserve"> registered as </w:t>
      </w:r>
      <w:r w:rsidR="00BF564D">
        <w:t>Electric Power Trader</w:t>
      </w:r>
      <w:r>
        <w:t xml:space="preserve"> with Exports</w:t>
      </w:r>
      <w:r w:rsidRPr="00025AEB">
        <w:t>:</w:t>
      </w:r>
    </w:p>
    <w:p w14:paraId="76597A06" w14:textId="4C1DF3EF" w:rsidR="00200267" w:rsidRPr="00200267" w:rsidRDefault="00200267" w:rsidP="00200267">
      <w:pPr>
        <w:pStyle w:val="BodyText"/>
        <w:ind w:left="709"/>
        <w:jc w:val="center"/>
        <w:rPr>
          <w:rFonts w:eastAsia="Times New Roman" w:cs="Times New Roman"/>
        </w:rPr>
      </w:pPr>
      <m:oMathPara>
        <m:oMath>
          <m:r>
            <w:rPr>
              <w:rFonts w:ascii="Cambria Math" w:hAnsi="Cambria Math"/>
            </w:rPr>
            <m:t>T</m:t>
          </m:r>
          <m:sSub>
            <m:sSubPr>
              <m:ctrlPr>
                <w:rPr>
                  <w:rFonts w:ascii="Cambria Math" w:hAnsi="Cambria Math"/>
                  <w:i/>
                </w:rPr>
              </m:ctrlPr>
            </m:sSubPr>
            <m:e>
              <m:r>
                <w:rPr>
                  <w:rFonts w:ascii="Cambria Math" w:hAnsi="Cambria Math"/>
                </w:rPr>
                <m:t>C_EXP</m:t>
              </m:r>
            </m:e>
            <m:sub>
              <m:r>
                <w:rPr>
                  <w:rFonts w:ascii="Cambria Math" w:hAnsi="Cambria Math"/>
                </w:rPr>
                <m:t>l,m</m:t>
              </m:r>
            </m:sub>
          </m:sSub>
          <m:d>
            <m:dPr>
              <m:begChr m:val="["/>
              <m:endChr m:val="]"/>
              <m:ctrlPr>
                <w:rPr>
                  <w:rFonts w:ascii="Cambria Math" w:hAnsi="Cambria Math"/>
                </w:rPr>
              </m:ctrlPr>
            </m:dPr>
            <m:e>
              <m:r>
                <w:rPr>
                  <w:rFonts w:ascii="Cambria Math" w:hAnsi="Cambria Math"/>
                </w:rPr>
                <m:t>PKR</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s=1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ES_EXP</m:t>
                      </m:r>
                    </m:e>
                    <m:sub>
                      <m:r>
                        <w:rPr>
                          <w:rFonts w:ascii="Cambria Math" w:hAnsi="Cambria Math"/>
                        </w:rPr>
                        <m:t>l,ARS,m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TAC</m:t>
                          </m:r>
                        </m:e>
                        <m:sub>
                          <m:r>
                            <w:rPr>
                              <w:rFonts w:ascii="Cambria Math" w:hAnsi="Cambria Math"/>
                            </w:rPr>
                            <m:t>ARs,m</m:t>
                          </m:r>
                        </m:sub>
                      </m:sSub>
                    </m:num>
                    <m:den>
                      <m:sSub>
                        <m:sSubPr>
                          <m:ctrlPr>
                            <w:rPr>
                              <w:rFonts w:ascii="Cambria Math" w:hAnsi="Cambria Math"/>
                              <w:i/>
                            </w:rPr>
                          </m:ctrlPr>
                        </m:sSubPr>
                        <m:e>
                          <m:r>
                            <w:rPr>
                              <w:rFonts w:ascii="Cambria Math" w:hAnsi="Cambria Math"/>
                            </w:rPr>
                            <m:t>TD</m:t>
                          </m:r>
                        </m:e>
                        <m:sub>
                          <m:r>
                            <w:rPr>
                              <w:rFonts w:ascii="Cambria Math" w:hAnsi="Cambria Math"/>
                            </w:rPr>
                            <m:t>ARs,m</m:t>
                          </m:r>
                        </m:sub>
                      </m:sSub>
                    </m:den>
                  </m:f>
                </m:e>
              </m:d>
            </m:e>
          </m:nary>
        </m:oMath>
      </m:oMathPara>
    </w:p>
    <w:p w14:paraId="7EBF5588" w14:textId="470AFA5B" w:rsidR="00780E4E" w:rsidRDefault="00780E4E" w:rsidP="00780E4E">
      <w:pPr>
        <w:pStyle w:val="BodyText"/>
        <w:ind w:left="3544" w:hanging="992"/>
      </w:pPr>
      <w:r w:rsidRPr="00B90F6F">
        <w:t xml:space="preserve">Where: </w:t>
      </w:r>
    </w:p>
    <w:p w14:paraId="44EA0A28" w14:textId="0CF9C273" w:rsidR="00331413" w:rsidRDefault="004D6075" w:rsidP="00331413">
      <w:pPr>
        <w:pStyle w:val="BodyText"/>
        <w:ind w:left="3686" w:hanging="1134"/>
      </w:pPr>
      <m:oMath>
        <m:sSub>
          <m:sSubPr>
            <m:ctrlPr>
              <w:rPr>
                <w:rFonts w:ascii="Cambria Math" w:hAnsi="Cambria Math"/>
                <w:i/>
              </w:rPr>
            </m:ctrlPr>
          </m:sSubPr>
          <m:e>
            <m:r>
              <w:rPr>
                <w:rFonts w:ascii="Cambria Math" w:hAnsi="Cambria Math"/>
              </w:rPr>
              <m:t>TC_BPC</m:t>
            </m:r>
          </m:e>
          <m:sub>
            <m:r>
              <w:rPr>
                <w:rFonts w:ascii="Cambria Math" w:hAnsi="Cambria Math"/>
              </w:rPr>
              <m:t>i,m</m:t>
            </m:r>
          </m:sub>
        </m:sSub>
      </m:oMath>
      <w:r w:rsidR="00331413">
        <w:rPr>
          <w:rFonts w:eastAsiaTheme="minorEastAsia"/>
          <w:i/>
        </w:rPr>
        <w:tab/>
      </w:r>
      <w:r w:rsidR="00331413">
        <w:t>are the total charges to be applied to Market Participant “i”, registered with the Market Operator as BPC, for Ancillary Services and Must Run Generation, in the Settlement Period “m”, in PKR</w:t>
      </w:r>
      <w:r w:rsidR="00FC02FD">
        <w:t>;</w:t>
      </w:r>
      <w:r w:rsidR="00331413">
        <w:t xml:space="preserve"> </w:t>
      </w:r>
    </w:p>
    <w:p w14:paraId="2D76665B" w14:textId="3AC35D44" w:rsidR="00331413" w:rsidRDefault="004D6075" w:rsidP="00331413">
      <w:pPr>
        <w:pStyle w:val="BodyText"/>
        <w:ind w:left="3686" w:hanging="1134"/>
      </w:pPr>
      <m:oMath>
        <m:sSub>
          <m:sSubPr>
            <m:ctrlPr>
              <w:rPr>
                <w:rFonts w:ascii="Cambria Math" w:hAnsi="Cambria Math"/>
                <w:i/>
              </w:rPr>
            </m:ctrlPr>
          </m:sSubPr>
          <m:e>
            <m:r>
              <w:rPr>
                <w:rFonts w:ascii="Cambria Math" w:hAnsi="Cambria Math"/>
              </w:rPr>
              <m:t>TC_CS</m:t>
            </m:r>
          </m:e>
          <m:sub>
            <m:r>
              <w:rPr>
                <w:rFonts w:ascii="Cambria Math" w:hAnsi="Cambria Math"/>
              </w:rPr>
              <m:t>j,m</m:t>
            </m:r>
          </m:sub>
        </m:sSub>
      </m:oMath>
      <w:r w:rsidR="00331413">
        <w:rPr>
          <w:rFonts w:eastAsiaTheme="minorEastAsia"/>
          <w:i/>
        </w:rPr>
        <w:tab/>
      </w:r>
      <w:r w:rsidR="00331413">
        <w:t xml:space="preserve">are the total charges to be applied to Market Participant “j”, registered with the Market Operator as Competitive </w:t>
      </w:r>
      <w:r w:rsidR="00BF564D">
        <w:t xml:space="preserve">Electric </w:t>
      </w:r>
      <w:r w:rsidR="00BF564D">
        <w:lastRenderedPageBreak/>
        <w:t>Power Supplier</w:t>
      </w:r>
      <w:r w:rsidR="00331413">
        <w:t>, for Ancillary Services and Must Run Generation, in the Settlement Period “m”, in PKR</w:t>
      </w:r>
      <w:r w:rsidR="00FC02FD">
        <w:t>;</w:t>
      </w:r>
      <w:r w:rsidR="00331413">
        <w:t xml:space="preserve"> </w:t>
      </w:r>
    </w:p>
    <w:p w14:paraId="035639F0" w14:textId="73DDCE72" w:rsidR="00331413" w:rsidRDefault="004D6075" w:rsidP="00331413">
      <w:pPr>
        <w:pStyle w:val="BodyText"/>
        <w:ind w:left="3686" w:hanging="1134"/>
      </w:pPr>
      <m:oMath>
        <m:sSub>
          <m:sSubPr>
            <m:ctrlPr>
              <w:rPr>
                <w:rFonts w:ascii="Cambria Math" w:hAnsi="Cambria Math"/>
                <w:i/>
              </w:rPr>
            </m:ctrlPr>
          </m:sSubPr>
          <m:e>
            <m:r>
              <w:rPr>
                <w:rFonts w:ascii="Cambria Math" w:hAnsi="Cambria Math"/>
              </w:rPr>
              <m:t>TC_BS</m:t>
            </m:r>
          </m:e>
          <m:sub>
            <m:r>
              <w:rPr>
                <w:rFonts w:ascii="Cambria Math" w:hAnsi="Cambria Math"/>
              </w:rPr>
              <m:t>k,m</m:t>
            </m:r>
          </m:sub>
        </m:sSub>
      </m:oMath>
      <w:r w:rsidR="00780E4E">
        <w:rPr>
          <w:rFonts w:eastAsiaTheme="minorEastAsia"/>
          <w:i/>
        </w:rPr>
        <w:tab/>
      </w:r>
      <w:r w:rsidR="00780E4E">
        <w:t xml:space="preserve">are the total charges to be applied to </w:t>
      </w:r>
      <w:r w:rsidR="00331413">
        <w:t xml:space="preserve">Market Participant “k”, registered with the Market Operator as </w:t>
      </w:r>
      <w:r w:rsidR="00403C8A">
        <w:t>Default Supplier</w:t>
      </w:r>
      <w:r w:rsidR="00331413">
        <w:t>, for Ancillary Services and Must Run Generation, in the Settlement Period “m”, in PKR</w:t>
      </w:r>
      <w:r w:rsidR="00FC02FD">
        <w:t>;</w:t>
      </w:r>
      <w:r w:rsidR="00331413">
        <w:t xml:space="preserve"> </w:t>
      </w:r>
    </w:p>
    <w:p w14:paraId="7E198BCA" w14:textId="552E2398" w:rsidR="00200267" w:rsidRDefault="004D6075" w:rsidP="00200267">
      <w:pPr>
        <w:pStyle w:val="BodyText"/>
        <w:ind w:left="3686" w:hanging="1134"/>
      </w:pPr>
      <m:oMath>
        <m:sSub>
          <m:sSubPr>
            <m:ctrlPr>
              <w:rPr>
                <w:rFonts w:ascii="Cambria Math" w:hAnsi="Cambria Math"/>
                <w:i/>
              </w:rPr>
            </m:ctrlPr>
          </m:sSubPr>
          <m:e>
            <m:r>
              <w:rPr>
                <w:rFonts w:ascii="Cambria Math" w:hAnsi="Cambria Math"/>
              </w:rPr>
              <m:t>TC_EXP</m:t>
            </m:r>
          </m:e>
          <m:sub>
            <m:r>
              <w:rPr>
                <w:rFonts w:ascii="Cambria Math" w:hAnsi="Cambria Math"/>
              </w:rPr>
              <m:t>l,m</m:t>
            </m:r>
          </m:sub>
        </m:sSub>
      </m:oMath>
      <w:r w:rsidR="00200267">
        <w:rPr>
          <w:rFonts w:eastAsiaTheme="minorEastAsia"/>
          <w:i/>
        </w:rPr>
        <w:tab/>
      </w:r>
      <w:r w:rsidR="00200267">
        <w:t>are the total charges to be applied to Market Participant “</w:t>
      </w:r>
      <w:r w:rsidR="00BA028D">
        <w:t>l</w:t>
      </w:r>
      <w:r w:rsidR="00200267">
        <w:t xml:space="preserve">”, registered with the Market Operator as </w:t>
      </w:r>
      <w:r w:rsidR="00BF564D">
        <w:t>Electric Power Trader</w:t>
      </w:r>
      <w:r w:rsidR="00BA028D">
        <w:t xml:space="preserve"> and involved in Exports, </w:t>
      </w:r>
      <w:r w:rsidR="00200267">
        <w:t>for Ancillary Services and Must Run Generation, in the Settlement Period “m”, in PKR</w:t>
      </w:r>
      <w:r w:rsidR="00FC02FD">
        <w:t>;</w:t>
      </w:r>
      <w:r w:rsidR="00200267">
        <w:t xml:space="preserve"> </w:t>
      </w:r>
    </w:p>
    <w:p w14:paraId="2FA469EB" w14:textId="67FBBB74" w:rsidR="00331413" w:rsidRDefault="004D6075" w:rsidP="00331413">
      <w:pPr>
        <w:pStyle w:val="BodyText"/>
        <w:ind w:left="3686" w:hanging="1134"/>
      </w:pPr>
      <m:oMath>
        <m:sSub>
          <m:sSubPr>
            <m:ctrlPr>
              <w:rPr>
                <w:rFonts w:ascii="Cambria Math" w:hAnsi="Cambria Math"/>
              </w:rPr>
            </m:ctrlPr>
          </m:sSubPr>
          <m:e>
            <m:r>
              <w:rPr>
                <w:rFonts w:ascii="Cambria Math" w:hAnsi="Cambria Math"/>
              </w:rPr>
              <m:t>TAC</m:t>
            </m:r>
          </m:e>
          <m:sub>
            <m:sSub>
              <m:sSubPr>
                <m:ctrlPr>
                  <w:rPr>
                    <w:rFonts w:ascii="Cambria Math" w:hAnsi="Cambria Math"/>
                    <w:i/>
                  </w:rPr>
                </m:ctrlPr>
              </m:sSubPr>
              <m:e>
                <m:r>
                  <w:rPr>
                    <w:rFonts w:ascii="Cambria Math" w:hAnsi="Cambria Math"/>
                  </w:rPr>
                  <m:t>AR</m:t>
                </m:r>
              </m:e>
              <m:sub>
                <m:r>
                  <w:rPr>
                    <w:rFonts w:ascii="Cambria Math" w:hAnsi="Cambria Math"/>
                  </w:rPr>
                  <m:t>s</m:t>
                </m:r>
              </m:sub>
            </m:sSub>
            <m:r>
              <w:rPr>
                <w:rFonts w:ascii="Cambria Math" w:hAnsi="Cambria Math"/>
              </w:rPr>
              <m:t>,m</m:t>
            </m:r>
          </m:sub>
        </m:sSub>
      </m:oMath>
      <w:r w:rsidR="00331413">
        <w:rPr>
          <w:rFonts w:eastAsiaTheme="minorEastAsia"/>
          <w:i/>
        </w:rPr>
        <w:tab/>
      </w:r>
      <w:r w:rsidR="00331413" w:rsidRPr="00331413">
        <w:t xml:space="preserve">is the total amount to be compensated to Generators located in the </w:t>
      </w:r>
      <w:r w:rsidR="00B138ED">
        <w:t>Congested Zone</w:t>
      </w:r>
      <w:r w:rsidR="00331413" w:rsidRPr="00331413">
        <w:t xml:space="preserve"> </w:t>
      </w:r>
      <w:r w:rsidR="00331413" w:rsidRPr="00331413">
        <w:rPr>
          <w:i/>
          <w:iCs/>
        </w:rPr>
        <w:t>“</w:t>
      </w:r>
      <w:r w:rsidR="0068533C">
        <w:rPr>
          <w:i/>
          <w:iCs/>
        </w:rPr>
        <w:t>AR</w:t>
      </w:r>
      <w:r w:rsidR="00331413" w:rsidRPr="00331413">
        <w:rPr>
          <w:i/>
          <w:iCs/>
        </w:rPr>
        <w:t>s”</w:t>
      </w:r>
      <w:r w:rsidR="00331413" w:rsidRPr="00331413">
        <w:t xml:space="preserve">, for provision of Ancillary Services and Must Run Generation in the Settlement Period </w:t>
      </w:r>
      <w:r w:rsidR="00331413" w:rsidRPr="00331413">
        <w:rPr>
          <w:i/>
          <w:iCs/>
        </w:rPr>
        <w:t>“m”</w:t>
      </w:r>
      <w:r w:rsidR="00331413" w:rsidRPr="00331413">
        <w:t xml:space="preserve">, </w:t>
      </w:r>
      <w:r w:rsidR="00331413">
        <w:t xml:space="preserve">calculated pursuant </w:t>
      </w:r>
      <w:r w:rsidR="0068533C">
        <w:t>to</w:t>
      </w:r>
      <w:r w:rsidR="00331413">
        <w:t xml:space="preserve"> </w:t>
      </w:r>
      <w:r w:rsidR="005C30E1">
        <w:t xml:space="preserve">Clause </w:t>
      </w:r>
      <w:r w:rsidR="004A1349">
        <w:fldChar w:fldCharType="begin"/>
      </w:r>
      <w:r w:rsidR="004A1349">
        <w:instrText xml:space="preserve"> REF _Ref64714904 \w \h </w:instrText>
      </w:r>
      <w:r w:rsidR="004A1349">
        <w:fldChar w:fldCharType="separate"/>
      </w:r>
      <w:r w:rsidR="00251DBF">
        <w:t>7.4.2.2.a)</w:t>
      </w:r>
      <w:r w:rsidR="004A1349">
        <w:fldChar w:fldCharType="end"/>
      </w:r>
      <w:r w:rsidR="00FC02FD">
        <w:t>;</w:t>
      </w:r>
    </w:p>
    <w:p w14:paraId="43A622B9" w14:textId="54D98CE6" w:rsidR="00BA028D" w:rsidRDefault="004D6075" w:rsidP="00BA028D">
      <w:pPr>
        <w:pStyle w:val="BodyText"/>
        <w:ind w:left="3686" w:hanging="1134"/>
      </w:pPr>
      <m:oMath>
        <m:sSub>
          <m:sSubPr>
            <m:ctrlPr>
              <w:rPr>
                <w:rFonts w:ascii="Cambria Math" w:hAnsi="Cambria Math"/>
              </w:rPr>
            </m:ctrlPr>
          </m:sSubPr>
          <m:e>
            <m:r>
              <w:rPr>
                <w:rFonts w:ascii="Cambria Math" w:hAnsi="Cambria Math"/>
              </w:rPr>
              <m:t>TAC</m:t>
            </m:r>
          </m:e>
          <m:sub>
            <m:sSub>
              <m:sSubPr>
                <m:ctrlPr>
                  <w:rPr>
                    <w:rFonts w:ascii="Cambria Math" w:hAnsi="Cambria Math"/>
                    <w:i/>
                  </w:rPr>
                </m:ctrlPr>
              </m:sSubPr>
              <m:e>
                <m:r>
                  <w:rPr>
                    <w:rFonts w:ascii="Cambria Math" w:hAnsi="Cambria Math"/>
                  </w:rPr>
                  <m:t>AR</m:t>
                </m:r>
              </m:e>
              <m:sub>
                <m:r>
                  <w:rPr>
                    <w:rFonts w:ascii="Cambria Math" w:hAnsi="Cambria Math"/>
                  </w:rPr>
                  <m:t>s</m:t>
                </m:r>
              </m:sub>
            </m:sSub>
            <m:r>
              <w:rPr>
                <w:rFonts w:ascii="Cambria Math" w:hAnsi="Cambria Math"/>
              </w:rPr>
              <m:t>,m</m:t>
            </m:r>
          </m:sub>
        </m:sSub>
      </m:oMath>
      <w:r w:rsidR="00BA028D">
        <w:rPr>
          <w:rFonts w:eastAsiaTheme="minorEastAsia"/>
          <w:i/>
        </w:rPr>
        <w:tab/>
      </w:r>
      <w:r w:rsidR="00BA028D" w:rsidRPr="00331413">
        <w:t xml:space="preserve">is the total </w:t>
      </w:r>
      <w:r w:rsidR="00BA028D">
        <w:t xml:space="preserve">demand </w:t>
      </w:r>
      <w:r w:rsidR="00BA028D" w:rsidRPr="00331413">
        <w:t xml:space="preserve">in the </w:t>
      </w:r>
      <w:r w:rsidR="00B138ED">
        <w:t>Congested Zone</w:t>
      </w:r>
      <w:r w:rsidR="00BA028D" w:rsidRPr="00331413">
        <w:t xml:space="preserve"> </w:t>
      </w:r>
      <w:r w:rsidR="00BA028D" w:rsidRPr="00331413">
        <w:rPr>
          <w:i/>
          <w:iCs/>
        </w:rPr>
        <w:t>“</w:t>
      </w:r>
      <w:r w:rsidR="0068533C">
        <w:rPr>
          <w:i/>
          <w:iCs/>
        </w:rPr>
        <w:t>AR</w:t>
      </w:r>
      <w:r w:rsidR="00BA028D" w:rsidRPr="00331413">
        <w:rPr>
          <w:i/>
          <w:iCs/>
        </w:rPr>
        <w:t>s”</w:t>
      </w:r>
      <w:r w:rsidR="00BA028D">
        <w:t xml:space="preserve">, </w:t>
      </w:r>
      <w:r w:rsidR="00BA028D" w:rsidRPr="00331413">
        <w:t xml:space="preserve">in the Settlement Period </w:t>
      </w:r>
      <w:r w:rsidR="00BA028D" w:rsidRPr="00331413">
        <w:rPr>
          <w:i/>
          <w:iCs/>
        </w:rPr>
        <w:t>“m”</w:t>
      </w:r>
      <w:r w:rsidR="00BA028D" w:rsidRPr="00331413">
        <w:t xml:space="preserve">, </w:t>
      </w:r>
      <w:r w:rsidR="00BA028D">
        <w:t xml:space="preserve">calculated pursuant </w:t>
      </w:r>
      <w:r w:rsidR="0068533C">
        <w:t>to</w:t>
      </w:r>
      <w:r w:rsidR="00BA028D">
        <w:t xml:space="preserve"> Clause </w:t>
      </w:r>
      <w:r w:rsidR="00BA028D">
        <w:fldChar w:fldCharType="begin"/>
      </w:r>
      <w:r w:rsidR="00BA028D">
        <w:instrText xml:space="preserve"> REF _Ref68459590 \w \h </w:instrText>
      </w:r>
      <w:r w:rsidR="00BA028D">
        <w:fldChar w:fldCharType="separate"/>
      </w:r>
      <w:r w:rsidR="00251DBF">
        <w:t>7.4.2.2.c)</w:t>
      </w:r>
      <w:r w:rsidR="00BA028D">
        <w:fldChar w:fldCharType="end"/>
      </w:r>
      <w:r w:rsidR="00BA028D">
        <w:t>;</w:t>
      </w:r>
    </w:p>
    <w:p w14:paraId="6D68F29B" w14:textId="38FF3124" w:rsidR="00562B19" w:rsidRDefault="004D6075" w:rsidP="00BA028D">
      <w:pPr>
        <w:pStyle w:val="BodyText"/>
        <w:ind w:left="3686" w:hanging="1134"/>
      </w:pPr>
      <m:oMath>
        <m:nary>
          <m:naryPr>
            <m:chr m:val="∑"/>
            <m:limLoc m:val="undOvr"/>
            <m:ctrlPr>
              <w:rPr>
                <w:rFonts w:ascii="Cambria Math" w:hAnsi="Cambria Math"/>
              </w:rPr>
            </m:ctrlPr>
          </m:naryPr>
          <m:sub>
            <m:r>
              <w:rPr>
                <w:rFonts w:ascii="Cambria Math" w:hAnsi="Cambria Math"/>
              </w:rPr>
              <m:t>s=1</m:t>
            </m:r>
          </m:sub>
          <m:sup>
            <m:r>
              <w:rPr>
                <w:rFonts w:ascii="Cambria Math" w:hAnsi="Cambria Math"/>
              </w:rPr>
              <m:t>n</m:t>
            </m:r>
          </m:sup>
          <m:e/>
        </m:nary>
      </m:oMath>
      <w:r w:rsidR="00BA028D">
        <w:tab/>
      </w:r>
      <w:r w:rsidR="00331413">
        <w:t xml:space="preserve"> </w:t>
      </w:r>
      <w:r w:rsidR="006B555E">
        <w:t xml:space="preserve">means the addition of all the </w:t>
      </w:r>
      <w:r w:rsidR="00B138ED">
        <w:t>Congested Zone</w:t>
      </w:r>
      <w:r w:rsidR="00F42855">
        <w:t>s</w:t>
      </w:r>
      <w:r w:rsidR="006B555E">
        <w:t xml:space="preserve"> of Pakistan.</w:t>
      </w:r>
    </w:p>
    <w:p w14:paraId="1438C18C" w14:textId="310D06E6" w:rsidR="00E54098" w:rsidRPr="00E54098" w:rsidRDefault="00E54098" w:rsidP="00E54098">
      <w:pPr>
        <w:pStyle w:val="Heading3"/>
      </w:pPr>
      <w:bookmarkStart w:id="307" w:name="_Toc1116453"/>
      <w:bookmarkStart w:id="308" w:name="_Toc1548180"/>
      <w:r w:rsidRPr="00E54098">
        <w:t>Publication of Ancillary Services and Must Run Generation Results</w:t>
      </w:r>
    </w:p>
    <w:p w14:paraId="6065D227" w14:textId="19C6B0B7" w:rsidR="00E54098" w:rsidRPr="00E54098" w:rsidRDefault="00E54098" w:rsidP="005B295A">
      <w:pPr>
        <w:pStyle w:val="Heading4"/>
      </w:pPr>
      <w:r w:rsidRPr="00E54098">
        <w:t xml:space="preserve">The Market Operator shall document and publish, </w:t>
      </w:r>
      <w:r w:rsidR="00160BF7">
        <w:t>on</w:t>
      </w:r>
      <w:r w:rsidR="00160BF7" w:rsidRPr="00E54098">
        <w:t xml:space="preserve"> </w:t>
      </w:r>
      <w:r w:rsidRPr="00E54098">
        <w:t xml:space="preserve">its </w:t>
      </w:r>
      <w:r w:rsidR="008A2001">
        <w:t>W</w:t>
      </w:r>
      <w:r w:rsidRPr="00E54098">
        <w:t xml:space="preserve">ebsite, the results of the calculation of Amounts Payable and Amounts Receivable, for the provision of Ancillary Services and Must Run Generation, on a monthly basis. </w:t>
      </w:r>
    </w:p>
    <w:p w14:paraId="3D3C0825" w14:textId="2A8E38D5" w:rsidR="00E54098" w:rsidRPr="002B6A4C" w:rsidRDefault="00E54098" w:rsidP="005B295A">
      <w:pPr>
        <w:pStyle w:val="Heading4"/>
      </w:pPr>
      <w:r w:rsidRPr="002B6A4C">
        <w:t xml:space="preserve">The information </w:t>
      </w:r>
      <w:r w:rsidR="005C30E1">
        <w:t xml:space="preserve">that </w:t>
      </w:r>
      <w:r w:rsidRPr="002B6A4C">
        <w:t xml:space="preserve">the Market Operator shall make publicly available </w:t>
      </w:r>
      <w:r w:rsidR="00160BF7">
        <w:t>on</w:t>
      </w:r>
      <w:r w:rsidR="00160BF7" w:rsidRPr="002B6A4C">
        <w:t xml:space="preserve"> </w:t>
      </w:r>
      <w:r w:rsidRPr="002B6A4C">
        <w:t xml:space="preserve">its </w:t>
      </w:r>
      <w:r w:rsidR="008A2001">
        <w:t>Website</w:t>
      </w:r>
      <w:r w:rsidRPr="002B6A4C">
        <w:t xml:space="preserve">, </w:t>
      </w:r>
      <w:r w:rsidR="00160BF7">
        <w:t>may</w:t>
      </w:r>
      <w:r w:rsidR="00160BF7" w:rsidRPr="002B6A4C">
        <w:t xml:space="preserve"> </w:t>
      </w:r>
      <w:r w:rsidRPr="002B6A4C">
        <w:t>include:</w:t>
      </w:r>
    </w:p>
    <w:p w14:paraId="13890C11" w14:textId="6BDAA20F" w:rsidR="00E54098" w:rsidRPr="002B6A4C" w:rsidRDefault="00160BF7" w:rsidP="00B03234">
      <w:pPr>
        <w:pStyle w:val="Heading5"/>
      </w:pPr>
      <w:r>
        <w:t>t</w:t>
      </w:r>
      <w:r w:rsidR="00E54098" w:rsidRPr="002B6A4C">
        <w:t xml:space="preserve">he compensation that Generators </w:t>
      </w:r>
      <w:r>
        <w:t>may be eligible</w:t>
      </w:r>
      <w:r w:rsidR="00E54098" w:rsidRPr="002B6A4C">
        <w:t xml:space="preserve"> to receive for </w:t>
      </w:r>
      <w:r>
        <w:t xml:space="preserve">provision of </w:t>
      </w:r>
      <w:r w:rsidR="00E54098" w:rsidRPr="002B6A4C">
        <w:t xml:space="preserve"> Ancillary Services and Must Run Generation</w:t>
      </w:r>
      <w:r w:rsidR="003F43F8">
        <w:t xml:space="preserve">, </w:t>
      </w:r>
      <w:r w:rsidR="00622CC0">
        <w:t>for each</w:t>
      </w:r>
      <w:r w:rsidR="003F43F8">
        <w:t xml:space="preserve"> Generation Unit</w:t>
      </w:r>
      <w:r w:rsidR="00E54098" w:rsidRPr="002B6A4C">
        <w:t>;</w:t>
      </w:r>
    </w:p>
    <w:p w14:paraId="2AFE64CD" w14:textId="26A3AC24" w:rsidR="00E54098" w:rsidRPr="002B6A4C" w:rsidRDefault="00160BF7" w:rsidP="00B03234">
      <w:pPr>
        <w:pStyle w:val="Heading5"/>
      </w:pPr>
      <w:r>
        <w:t>t</w:t>
      </w:r>
      <w:r w:rsidR="00E54098" w:rsidRPr="002B6A4C">
        <w:t xml:space="preserve">he </w:t>
      </w:r>
      <w:r>
        <w:t>assigning</w:t>
      </w:r>
      <w:r w:rsidRPr="002B6A4C">
        <w:t xml:space="preserve"> </w:t>
      </w:r>
      <w:r w:rsidR="00E54098" w:rsidRPr="002B6A4C">
        <w:t xml:space="preserve">of the compensations to </w:t>
      </w:r>
      <w:r w:rsidR="00E54098" w:rsidRPr="0068061A">
        <w:t xml:space="preserve">Generators </w:t>
      </w:r>
      <w:r w:rsidR="00036E30" w:rsidRPr="0068061A">
        <w:t xml:space="preserve">or </w:t>
      </w:r>
      <w:r w:rsidR="00E54098" w:rsidRPr="0068061A">
        <w:t xml:space="preserve">to </w:t>
      </w:r>
      <w:r w:rsidR="00036E30" w:rsidRPr="0068061A">
        <w:t>other</w:t>
      </w:r>
      <w:r w:rsidR="00036E30">
        <w:t xml:space="preserve"> </w:t>
      </w:r>
      <w:r w:rsidR="00E54098" w:rsidRPr="002B6A4C">
        <w:t xml:space="preserve">Market Participants; </w:t>
      </w:r>
    </w:p>
    <w:p w14:paraId="0B07E6BC" w14:textId="32D4AF11" w:rsidR="00E54098" w:rsidRPr="002B6A4C" w:rsidRDefault="00160BF7" w:rsidP="00B03234">
      <w:pPr>
        <w:pStyle w:val="Heading5"/>
      </w:pPr>
      <w:r>
        <w:t>t</w:t>
      </w:r>
      <w:r w:rsidR="00E54098" w:rsidRPr="002B6A4C">
        <w:t xml:space="preserve">he </w:t>
      </w:r>
      <w:r w:rsidR="00622CC0">
        <w:t>A</w:t>
      </w:r>
      <w:r w:rsidR="00E54098" w:rsidRPr="002B6A4C">
        <w:t xml:space="preserve">mounts </w:t>
      </w:r>
      <w:r w:rsidR="00622CC0">
        <w:t>P</w:t>
      </w:r>
      <w:r w:rsidR="00E54098" w:rsidRPr="002B6A4C">
        <w:t xml:space="preserve">ayable and </w:t>
      </w:r>
      <w:r w:rsidR="00622CC0">
        <w:t>A</w:t>
      </w:r>
      <w:r w:rsidR="00622CC0" w:rsidRPr="002B6A4C">
        <w:t>mounts</w:t>
      </w:r>
      <w:r w:rsidR="00622CC0">
        <w:t xml:space="preserve"> R</w:t>
      </w:r>
      <w:r w:rsidR="00E54098" w:rsidRPr="002B6A4C">
        <w:t xml:space="preserve">eceivable </w:t>
      </w:r>
      <w:r w:rsidR="00452605">
        <w:t>by</w:t>
      </w:r>
      <w:r w:rsidR="00452605" w:rsidRPr="002B6A4C">
        <w:t xml:space="preserve"> </w:t>
      </w:r>
      <w:r w:rsidR="00E54098" w:rsidRPr="002B6A4C">
        <w:t>each Market Participant; and</w:t>
      </w:r>
    </w:p>
    <w:p w14:paraId="492B787D" w14:textId="379544A7" w:rsidR="00E54098" w:rsidRPr="002B6A4C" w:rsidRDefault="00E54098" w:rsidP="00B03234">
      <w:pPr>
        <w:pStyle w:val="Heading5"/>
      </w:pPr>
      <w:r w:rsidRPr="002B6A4C">
        <w:t xml:space="preserve">Any </w:t>
      </w:r>
      <w:r w:rsidR="00B5771C">
        <w:t xml:space="preserve">other relevant </w:t>
      </w:r>
      <w:r w:rsidR="00452605">
        <w:t>information</w:t>
      </w:r>
      <w:r w:rsidRPr="002B6A4C">
        <w:t xml:space="preserve">.  </w:t>
      </w:r>
    </w:p>
    <w:p w14:paraId="3BC13243" w14:textId="32F4ED28" w:rsidR="005A4FF6" w:rsidRPr="00153BE6" w:rsidRDefault="005A4FF6" w:rsidP="005A4FF6">
      <w:pPr>
        <w:pStyle w:val="Heading2"/>
      </w:pPr>
      <w:bookmarkStart w:id="309" w:name="_Toc69476986"/>
      <w:bookmarkEnd w:id="307"/>
      <w:bookmarkEnd w:id="308"/>
      <w:r w:rsidRPr="00153BE6">
        <w:t xml:space="preserve">Operators </w:t>
      </w:r>
      <w:r w:rsidR="00443D5A" w:rsidRPr="00153BE6">
        <w:t>Fee</w:t>
      </w:r>
      <w:bookmarkEnd w:id="309"/>
    </w:p>
    <w:p w14:paraId="193C289C" w14:textId="1ADAA9AB" w:rsidR="005A4FF6" w:rsidRPr="00830F98" w:rsidRDefault="005A4FF6" w:rsidP="005A4FF6">
      <w:pPr>
        <w:pStyle w:val="Heading3"/>
      </w:pPr>
      <w:r w:rsidRPr="00830F98">
        <w:t xml:space="preserve">Market Operator </w:t>
      </w:r>
      <w:r w:rsidR="00FC02FD">
        <w:t xml:space="preserve">Fee </w:t>
      </w:r>
      <w:r w:rsidRPr="00830F98">
        <w:t xml:space="preserve">and </w:t>
      </w:r>
      <w:r w:rsidRPr="00452605">
        <w:rPr>
          <w:highlight w:val="yellow"/>
        </w:rPr>
        <w:t>System Operator Fee</w:t>
      </w:r>
    </w:p>
    <w:p w14:paraId="216F0936" w14:textId="7E083C1C" w:rsidR="005A4FF6" w:rsidRDefault="005A4FF6" w:rsidP="005B295A">
      <w:pPr>
        <w:pStyle w:val="Heading4"/>
      </w:pPr>
      <w:r w:rsidRPr="00830F98">
        <w:t xml:space="preserve">The Market Operator shall </w:t>
      </w:r>
      <w:r w:rsidR="00452605">
        <w:t>charge</w:t>
      </w:r>
      <w:r w:rsidR="00452605" w:rsidRPr="00830F98">
        <w:t xml:space="preserve"> </w:t>
      </w:r>
      <w:r w:rsidRPr="00830F98">
        <w:t>the Market Operator Fee and</w:t>
      </w:r>
      <w:r w:rsidR="00622CC0" w:rsidRPr="00830F98">
        <w:t xml:space="preserve">, if </w:t>
      </w:r>
      <w:r w:rsidR="00452605">
        <w:t>required</w:t>
      </w:r>
      <w:r w:rsidR="00622CC0" w:rsidRPr="00830F98">
        <w:t>,</w:t>
      </w:r>
      <w:r w:rsidRPr="00830F98">
        <w:t xml:space="preserve"> the System Operator Fee, payable by each Market Participant, in accordance with </w:t>
      </w:r>
      <w:r w:rsidR="00452605">
        <w:t xml:space="preserve">the determination of </w:t>
      </w:r>
      <w:r w:rsidRPr="00830F98">
        <w:t>the Authority.</w:t>
      </w:r>
      <w:r w:rsidR="008B1E9C">
        <w:t xml:space="preserve"> </w:t>
      </w:r>
    </w:p>
    <w:p w14:paraId="2635D2CA" w14:textId="72DD09FD" w:rsidR="008B1E9C" w:rsidRDefault="008B1E9C" w:rsidP="008B1E9C">
      <w:pPr>
        <w:pStyle w:val="Heading4"/>
      </w:pPr>
      <w:r>
        <w:t xml:space="preserve">The following costs associated with the services being rendered by the Market Operator, and if applicable, the System Operator are to be recovered through the </w:t>
      </w:r>
      <w:r w:rsidR="009A50BE">
        <w:t xml:space="preserve">Market Operator </w:t>
      </w:r>
      <w:r>
        <w:t>Fee</w:t>
      </w:r>
      <w:r w:rsidR="009A50BE">
        <w:t xml:space="preserve"> and, if applicable, the System Operator Fee</w:t>
      </w:r>
      <w:r>
        <w:t xml:space="preserve">: </w:t>
      </w:r>
    </w:p>
    <w:p w14:paraId="79E44AF3" w14:textId="6F40A8A9" w:rsidR="008B1E9C" w:rsidRDefault="00EF6748" w:rsidP="008B1E9C">
      <w:pPr>
        <w:pStyle w:val="Heading5"/>
      </w:pPr>
      <w:r>
        <w:t>g</w:t>
      </w:r>
      <w:r w:rsidR="008B1E9C">
        <w:t xml:space="preserve">eneral </w:t>
      </w:r>
      <w:r w:rsidR="009A50BE">
        <w:t>e</w:t>
      </w:r>
      <w:r w:rsidR="008B1E9C">
        <w:t xml:space="preserve">stablishment and </w:t>
      </w:r>
      <w:r w:rsidR="009A50BE">
        <w:t>a</w:t>
      </w:r>
      <w:r w:rsidR="008B1E9C">
        <w:t xml:space="preserve">dministration </w:t>
      </w:r>
      <w:r w:rsidR="009A50BE">
        <w:t>e</w:t>
      </w:r>
      <w:r w:rsidR="008B1E9C">
        <w:t>xpenses;</w:t>
      </w:r>
    </w:p>
    <w:p w14:paraId="461C35A0" w14:textId="13C6AA02" w:rsidR="008B1E9C" w:rsidRDefault="00EF6748" w:rsidP="008B1E9C">
      <w:pPr>
        <w:pStyle w:val="Heading5"/>
      </w:pPr>
      <w:r>
        <w:t>r</w:t>
      </w:r>
      <w:r w:rsidR="008B1E9C">
        <w:t xml:space="preserve">epair and </w:t>
      </w:r>
      <w:r w:rsidR="009A50BE">
        <w:t>m</w:t>
      </w:r>
      <w:r w:rsidR="008B1E9C">
        <w:t>aintenance;</w:t>
      </w:r>
    </w:p>
    <w:p w14:paraId="434223F3" w14:textId="6633EC16" w:rsidR="008B1E9C" w:rsidRDefault="00EF6748" w:rsidP="008B1E9C">
      <w:pPr>
        <w:pStyle w:val="Heading5"/>
      </w:pPr>
      <w:r>
        <w:t>i</w:t>
      </w:r>
      <w:r w:rsidR="008B1E9C">
        <w:t>nsurance;</w:t>
      </w:r>
    </w:p>
    <w:p w14:paraId="5B69FF89" w14:textId="7F2F0709" w:rsidR="008B1E9C" w:rsidRDefault="00EF6748" w:rsidP="008B1E9C">
      <w:pPr>
        <w:pStyle w:val="Heading5"/>
      </w:pPr>
      <w:r>
        <w:lastRenderedPageBreak/>
        <w:t>d</w:t>
      </w:r>
      <w:r w:rsidR="008B1E9C">
        <w:t xml:space="preserve">epreciation, if any; </w:t>
      </w:r>
    </w:p>
    <w:p w14:paraId="1A86EB7E" w14:textId="2809C483" w:rsidR="009A50BE" w:rsidRPr="009A50BE" w:rsidRDefault="00EF6748" w:rsidP="00AE1AD1">
      <w:pPr>
        <w:pStyle w:val="Heading5"/>
        <w:rPr>
          <w:rFonts w:eastAsiaTheme="minorHAnsi"/>
        </w:rPr>
      </w:pPr>
      <w:r>
        <w:t>f</w:t>
      </w:r>
      <w:r w:rsidR="008B1E9C">
        <w:t xml:space="preserve">inancial </w:t>
      </w:r>
      <w:r w:rsidR="009A50BE">
        <w:t>c</w:t>
      </w:r>
      <w:r w:rsidR="008B1E9C">
        <w:t>harges and other relevant costs</w:t>
      </w:r>
      <w:bookmarkStart w:id="310" w:name="_Ref60601965"/>
      <w:r w:rsidR="0029337F">
        <w:t>;</w:t>
      </w:r>
    </w:p>
    <w:p w14:paraId="57270206" w14:textId="0ECDF33D" w:rsidR="008B1E9C" w:rsidRDefault="008B1E9C" w:rsidP="00AE1AD1">
      <w:pPr>
        <w:pStyle w:val="Heading5"/>
      </w:pPr>
      <w:r w:rsidRPr="009A50BE">
        <w:t xml:space="preserve">any estimated future capital expenditures required for compliance </w:t>
      </w:r>
      <w:r w:rsidR="009A50BE">
        <w:rPr>
          <w:lang w:val="en-IN"/>
        </w:rPr>
        <w:t xml:space="preserve">with the </w:t>
      </w:r>
      <w:r w:rsidRPr="009A50BE">
        <w:t xml:space="preserve">provisions </w:t>
      </w:r>
      <w:r w:rsidR="009A50BE">
        <w:rPr>
          <w:lang w:val="en-IN"/>
        </w:rPr>
        <w:t>in this</w:t>
      </w:r>
      <w:r w:rsidRPr="009A50BE">
        <w:t xml:space="preserve"> Code</w:t>
      </w:r>
      <w:r w:rsidR="009A50BE">
        <w:rPr>
          <w:lang w:val="en-IN"/>
        </w:rPr>
        <w:t xml:space="preserve"> and, if applicable, the Grid Code</w:t>
      </w:r>
      <w:bookmarkEnd w:id="310"/>
      <w:r w:rsidR="00452605">
        <w:t>; and</w:t>
      </w:r>
    </w:p>
    <w:p w14:paraId="586CC9D1" w14:textId="19C4A1CB" w:rsidR="00452605" w:rsidRPr="00452605" w:rsidRDefault="00EF6748" w:rsidP="00452605">
      <w:pPr>
        <w:pStyle w:val="Heading5"/>
      </w:pPr>
      <w:r>
        <w:t>a</w:t>
      </w:r>
      <w:r w:rsidR="00452605">
        <w:t>ny other relevant charges</w:t>
      </w:r>
      <w:r w:rsidR="0029337F">
        <w:t>.</w:t>
      </w:r>
    </w:p>
    <w:p w14:paraId="22C6559D" w14:textId="77777777" w:rsidR="0012110D" w:rsidRDefault="0012110D">
      <w:pPr>
        <w:spacing w:line="240" w:lineRule="auto"/>
        <w:rPr>
          <w:rFonts w:eastAsiaTheme="majorEastAsia" w:cstheme="majorBidi"/>
          <w:b/>
          <w:bCs/>
          <w:smallCaps/>
          <w:color w:val="C2113A"/>
          <w:sz w:val="28"/>
          <w:szCs w:val="28"/>
        </w:rPr>
      </w:pPr>
      <w:bookmarkStart w:id="311" w:name="_Ref53599302"/>
      <w:bookmarkStart w:id="312" w:name="_Toc64846689"/>
      <w:r>
        <w:br w:type="page"/>
      </w:r>
    </w:p>
    <w:p w14:paraId="3B583501" w14:textId="541A6747" w:rsidR="00D34F1F" w:rsidRPr="0067086E" w:rsidRDefault="00D34F1F" w:rsidP="00A40A5D">
      <w:pPr>
        <w:pStyle w:val="Heading1"/>
      </w:pPr>
      <w:bookmarkStart w:id="313" w:name="_Toc69476987"/>
      <w:bookmarkStart w:id="314" w:name="_Ref76216095"/>
      <w:r w:rsidRPr="0067086E">
        <w:lastRenderedPageBreak/>
        <w:t>MONTHLY SETTLEMENT (</w:t>
      </w:r>
      <w:r w:rsidR="0012110D">
        <w:t>Market Participants</w:t>
      </w:r>
      <w:r w:rsidR="0012110D" w:rsidRPr="0067086E">
        <w:t xml:space="preserve"> </w:t>
      </w:r>
      <w:r w:rsidR="0012110D">
        <w:t>a</w:t>
      </w:r>
      <w:r w:rsidR="0012110D" w:rsidRPr="0067086E">
        <w:t>nd Service Providers</w:t>
      </w:r>
      <w:r w:rsidRPr="0067086E">
        <w:t>)</w:t>
      </w:r>
      <w:bookmarkEnd w:id="311"/>
      <w:bookmarkEnd w:id="312"/>
      <w:bookmarkEnd w:id="313"/>
      <w:bookmarkEnd w:id="314"/>
      <w:r w:rsidRPr="0067086E">
        <w:t xml:space="preserve"> </w:t>
      </w:r>
    </w:p>
    <w:p w14:paraId="69C93823" w14:textId="0DA361D7" w:rsidR="0029337F" w:rsidRDefault="0029337F" w:rsidP="00D34F1F">
      <w:pPr>
        <w:pStyle w:val="Heading2"/>
      </w:pPr>
      <w:bookmarkStart w:id="315" w:name="_Toc64846690"/>
      <w:bookmarkStart w:id="316" w:name="_Toc69476988"/>
      <w:r>
        <w:t>Purpose</w:t>
      </w:r>
    </w:p>
    <w:p w14:paraId="4FED2881" w14:textId="2365FB2D" w:rsidR="0029337F" w:rsidRPr="003018FA" w:rsidRDefault="0029337F" w:rsidP="00B03C4A">
      <w:pPr>
        <w:pStyle w:val="Heading4"/>
      </w:pPr>
      <w:r>
        <w:t>The purpose of this Chapter is to provide a procedure for administration of a Market Settlement System to issue the monthly Settlement Statements to Market Participants.</w:t>
      </w:r>
    </w:p>
    <w:p w14:paraId="41F63297" w14:textId="277FB82C" w:rsidR="00D34F1F" w:rsidRDefault="00D34F1F" w:rsidP="00D34F1F">
      <w:pPr>
        <w:pStyle w:val="Heading2"/>
      </w:pPr>
      <w:r>
        <w:t>Market Settlement System</w:t>
      </w:r>
      <w:bookmarkEnd w:id="315"/>
      <w:bookmarkEnd w:id="316"/>
    </w:p>
    <w:p w14:paraId="1CFFB2C9" w14:textId="77777777" w:rsidR="00D34F1F" w:rsidRDefault="00D34F1F" w:rsidP="00D34F1F">
      <w:pPr>
        <w:pStyle w:val="Heading3"/>
      </w:pPr>
      <w:r>
        <w:t xml:space="preserve">Market Settlement System Administration </w:t>
      </w:r>
    </w:p>
    <w:p w14:paraId="187A7A06" w14:textId="402578F9" w:rsidR="00D34F1F" w:rsidRPr="003858A9" w:rsidRDefault="00D34F1F" w:rsidP="005B295A">
      <w:pPr>
        <w:pStyle w:val="Heading4"/>
      </w:pPr>
      <w:bookmarkStart w:id="317" w:name="_Toc1116535"/>
      <w:bookmarkStart w:id="318" w:name="_Toc1548261"/>
      <w:r>
        <w:t>The Market Operator</w:t>
      </w:r>
      <w:r w:rsidRPr="003858A9">
        <w:t xml:space="preserve"> shall </w:t>
      </w:r>
      <w:r w:rsidR="00B41230">
        <w:t xml:space="preserve">establish and </w:t>
      </w:r>
      <w:r w:rsidRPr="003858A9">
        <w:t>administer a Market Settlement System</w:t>
      </w:r>
      <w:r>
        <w:t xml:space="preserve"> </w:t>
      </w:r>
      <w:r w:rsidR="00B41230">
        <w:t>for administration of the market</w:t>
      </w:r>
      <w:bookmarkStart w:id="319" w:name="_Toc1116536"/>
      <w:bookmarkStart w:id="320" w:name="_Toc1548262"/>
      <w:bookmarkEnd w:id="317"/>
      <w:bookmarkEnd w:id="318"/>
      <w:r w:rsidR="00B41230">
        <w:t xml:space="preserve"> and</w:t>
      </w:r>
      <w:r>
        <w:t xml:space="preserve"> </w:t>
      </w:r>
      <w:r w:rsidRPr="003858A9">
        <w:t xml:space="preserve">shall be responsible for the development and maintenance of the required </w:t>
      </w:r>
      <w:r w:rsidR="00D2283C">
        <w:t>digital infrastructure</w:t>
      </w:r>
      <w:r>
        <w:t xml:space="preserve"> </w:t>
      </w:r>
      <w:r w:rsidRPr="003858A9">
        <w:t>for the operation of the Market Settlement System.</w:t>
      </w:r>
      <w:bookmarkEnd w:id="319"/>
      <w:bookmarkEnd w:id="320"/>
    </w:p>
    <w:p w14:paraId="2DA80A14" w14:textId="789ECE82" w:rsidR="00D34F1F" w:rsidRDefault="00D34F1F" w:rsidP="005B295A">
      <w:pPr>
        <w:pStyle w:val="Heading4"/>
      </w:pPr>
      <w:bookmarkStart w:id="321" w:name="_Toc1116537"/>
      <w:bookmarkStart w:id="322" w:name="_Toc1548263"/>
      <w:r>
        <w:t>The Market Operator</w:t>
      </w:r>
      <w:r w:rsidRPr="003858A9">
        <w:t xml:space="preserve"> shall be responsible for verification of data and the accuracy of the outputs of the Market Settlement System</w:t>
      </w:r>
      <w:r>
        <w:t xml:space="preserve">, which, shall be based on: </w:t>
      </w:r>
    </w:p>
    <w:p w14:paraId="22976933" w14:textId="6F688138" w:rsidR="00D34F1F" w:rsidRDefault="00B41230" w:rsidP="00B03234">
      <w:pPr>
        <w:pStyle w:val="Heading5"/>
      </w:pPr>
      <w:r>
        <w:t>t</w:t>
      </w:r>
      <w:r w:rsidR="00D34F1F">
        <w:t xml:space="preserve">he </w:t>
      </w:r>
      <w:r w:rsidR="007433D6">
        <w:t>relevant legal instruments</w:t>
      </w:r>
      <w:r w:rsidR="00D34F1F">
        <w:t>;</w:t>
      </w:r>
    </w:p>
    <w:p w14:paraId="25AB8B64" w14:textId="173246A5" w:rsidR="00D34F1F" w:rsidRDefault="00B41230" w:rsidP="00B03234">
      <w:pPr>
        <w:pStyle w:val="Heading5"/>
      </w:pPr>
      <w:r>
        <w:t>t</w:t>
      </w:r>
      <w:r w:rsidR="00D34F1F">
        <w:t xml:space="preserve">he information provided by the Metering Service Providers; </w:t>
      </w:r>
    </w:p>
    <w:p w14:paraId="410F4834" w14:textId="724D9B29" w:rsidR="00D34F1F" w:rsidRDefault="00B41230" w:rsidP="00B03234">
      <w:pPr>
        <w:pStyle w:val="Heading5"/>
      </w:pPr>
      <w:r>
        <w:t>t</w:t>
      </w:r>
      <w:r w:rsidR="00D34F1F">
        <w:t xml:space="preserve">he information </w:t>
      </w:r>
      <w:r>
        <w:t xml:space="preserve">provided </w:t>
      </w:r>
      <w:r w:rsidR="00D34F1F">
        <w:t xml:space="preserve">by the </w:t>
      </w:r>
      <w:r w:rsidR="00EF063C">
        <w:t>System Operator</w:t>
      </w:r>
      <w:r w:rsidR="00D34F1F">
        <w:t xml:space="preserve">; </w:t>
      </w:r>
    </w:p>
    <w:p w14:paraId="0251DAAC" w14:textId="520DDDCF" w:rsidR="00D34F1F" w:rsidRDefault="00B41230" w:rsidP="00B03234">
      <w:pPr>
        <w:pStyle w:val="Heading5"/>
      </w:pPr>
      <w:r>
        <w:t>t</w:t>
      </w:r>
      <w:r w:rsidR="00D34F1F">
        <w:t xml:space="preserve">he information </w:t>
      </w:r>
      <w:r>
        <w:t xml:space="preserve">available </w:t>
      </w:r>
      <w:r w:rsidR="00D34F1F">
        <w:t>in the Market Participants</w:t>
      </w:r>
      <w:r>
        <w:t xml:space="preserve"> Register</w:t>
      </w:r>
      <w:r w:rsidR="00D34F1F">
        <w:t xml:space="preserve"> </w:t>
      </w:r>
      <w:r>
        <w:t xml:space="preserve">as well as </w:t>
      </w:r>
      <w:r w:rsidR="00D34F1F">
        <w:t xml:space="preserve">Contract </w:t>
      </w:r>
      <w:r w:rsidR="00D2283C">
        <w:t>R</w:t>
      </w:r>
      <w:r w:rsidR="00D34F1F">
        <w:t>egister</w:t>
      </w:r>
      <w:r>
        <w:t>; and</w:t>
      </w:r>
    </w:p>
    <w:p w14:paraId="1D13FADA" w14:textId="23B0A154" w:rsidR="00B41230" w:rsidRPr="00B41230" w:rsidRDefault="00B41230" w:rsidP="00B41230">
      <w:pPr>
        <w:pStyle w:val="Heading5"/>
      </w:pPr>
      <w:r>
        <w:t xml:space="preserve">the information available </w:t>
      </w:r>
      <w:r w:rsidR="003A7CCB">
        <w:t xml:space="preserve">in </w:t>
      </w:r>
      <w:r>
        <w:t>any other database of the Market Operator</w:t>
      </w:r>
    </w:p>
    <w:p w14:paraId="314BAFF9" w14:textId="77777777" w:rsidR="00D34F1F" w:rsidRDefault="00D34F1F" w:rsidP="00D34F1F">
      <w:pPr>
        <w:pStyle w:val="Heading3"/>
      </w:pPr>
      <w:bookmarkStart w:id="323" w:name="_Ref76900069"/>
      <w:r>
        <w:t>Market Settlement System Functions</w:t>
      </w:r>
      <w:bookmarkEnd w:id="323"/>
    </w:p>
    <w:p w14:paraId="3FAAA34C" w14:textId="5EFE708E" w:rsidR="00D34F1F" w:rsidRPr="003858A9" w:rsidRDefault="00D34F1F" w:rsidP="005B295A">
      <w:pPr>
        <w:pStyle w:val="Heading4"/>
      </w:pPr>
      <w:bookmarkStart w:id="324" w:name="_Toc1116538"/>
      <w:bookmarkStart w:id="325" w:name="_Toc1548264"/>
      <w:bookmarkEnd w:id="321"/>
      <w:bookmarkEnd w:id="322"/>
      <w:r w:rsidRPr="003858A9">
        <w:t>The Market Settlement System</w:t>
      </w:r>
      <w:r>
        <w:t xml:space="preserve"> shall be capable to perform the following functions: </w:t>
      </w:r>
      <w:bookmarkEnd w:id="324"/>
      <w:bookmarkEnd w:id="325"/>
    </w:p>
    <w:p w14:paraId="10476B29" w14:textId="1786FC0B" w:rsidR="00D34F1F" w:rsidRDefault="0029337F" w:rsidP="00B03234">
      <w:pPr>
        <w:pStyle w:val="Heading5"/>
      </w:pPr>
      <w:r>
        <w:t>c</w:t>
      </w:r>
      <w:r w:rsidR="00D34F1F" w:rsidRPr="00C414B6">
        <w:t xml:space="preserve">alculate the settlement of </w:t>
      </w:r>
      <w:r w:rsidR="00D34F1F">
        <w:t xml:space="preserve">the Balancing Mechanism for Energy, for </w:t>
      </w:r>
      <w:r w:rsidR="00D34F1F" w:rsidRPr="00C414B6">
        <w:t xml:space="preserve">all Market Participants </w:t>
      </w:r>
      <w:r w:rsidR="003A7CCB">
        <w:t>according to the provisions of</w:t>
      </w:r>
      <w:r w:rsidR="00D34F1F" w:rsidRPr="00657B45">
        <w:t xml:space="preserve"> </w:t>
      </w:r>
      <w:r w:rsidR="003F43F8" w:rsidRPr="00657B45">
        <w:fldChar w:fldCharType="begin"/>
      </w:r>
      <w:r w:rsidR="003F43F8" w:rsidRPr="00657B45">
        <w:instrText xml:space="preserve"> REF _Ref65937030 \r \h </w:instrText>
      </w:r>
      <w:r w:rsidR="00657B45">
        <w:instrText xml:space="preserve"> \* MERGEFORMAT </w:instrText>
      </w:r>
      <w:r w:rsidR="003F43F8" w:rsidRPr="00657B45">
        <w:fldChar w:fldCharType="separate"/>
      </w:r>
      <w:r w:rsidR="00251DBF" w:rsidRPr="00657B45">
        <w:t>Chapter 6</w:t>
      </w:r>
      <w:r w:rsidR="003F43F8" w:rsidRPr="00657B45">
        <w:fldChar w:fldCharType="end"/>
      </w:r>
      <w:r w:rsidR="00D34F1F" w:rsidRPr="00657B45">
        <w:t>;</w:t>
      </w:r>
    </w:p>
    <w:p w14:paraId="5F8609B2" w14:textId="7D4B4D7F" w:rsidR="0033308D" w:rsidRPr="00C414B6" w:rsidRDefault="0029337F" w:rsidP="0033308D">
      <w:pPr>
        <w:pStyle w:val="Heading5"/>
      </w:pPr>
      <w:r>
        <w:t>c</w:t>
      </w:r>
      <w:r w:rsidR="0033308D" w:rsidRPr="00C414B6">
        <w:t xml:space="preserve">alculate the settlement of </w:t>
      </w:r>
      <w:r w:rsidR="0033308D">
        <w:t xml:space="preserve">the Balancing Mechanism for Capacity, for </w:t>
      </w:r>
      <w:r w:rsidR="0033308D" w:rsidRPr="00C414B6">
        <w:t xml:space="preserve">all Market Participants </w:t>
      </w:r>
      <w:r w:rsidR="003A7CCB">
        <w:t>according to provisions of</w:t>
      </w:r>
      <w:r w:rsidR="0033308D" w:rsidRPr="00657B45">
        <w:t xml:space="preserve"> </w:t>
      </w:r>
      <w:r w:rsidR="0033308D">
        <w:fldChar w:fldCharType="begin"/>
      </w:r>
      <w:r w:rsidR="0033308D">
        <w:instrText xml:space="preserve"> REF _Ref73521660 \n \h </w:instrText>
      </w:r>
      <w:r w:rsidR="0033308D">
        <w:fldChar w:fldCharType="separate"/>
      </w:r>
      <w:r w:rsidR="0033308D">
        <w:t>Chapter 12</w:t>
      </w:r>
      <w:r w:rsidR="0033308D">
        <w:fldChar w:fldCharType="end"/>
      </w:r>
      <w:r w:rsidR="0033308D" w:rsidRPr="00657B45">
        <w:t>;</w:t>
      </w:r>
    </w:p>
    <w:p w14:paraId="1EE6C17D" w14:textId="7AEA9E2B" w:rsidR="00D34F1F" w:rsidRPr="00C414B6" w:rsidRDefault="0029337F" w:rsidP="00B03234">
      <w:pPr>
        <w:pStyle w:val="Heading5"/>
      </w:pPr>
      <w:r>
        <w:t>c</w:t>
      </w:r>
      <w:r w:rsidR="00D34F1F" w:rsidRPr="00C414B6">
        <w:t xml:space="preserve">alculate the settlement of </w:t>
      </w:r>
      <w:r w:rsidR="00D34F1F">
        <w:t xml:space="preserve">the Ancillary Services and Must </w:t>
      </w:r>
      <w:r w:rsidR="003A7CCB">
        <w:t>R</w:t>
      </w:r>
      <w:r w:rsidR="00D34F1F">
        <w:t xml:space="preserve">un Generation, for </w:t>
      </w:r>
      <w:r w:rsidR="00D34F1F" w:rsidRPr="00C414B6">
        <w:t xml:space="preserve">all Market Participants </w:t>
      </w:r>
      <w:r w:rsidR="003A7CCB">
        <w:t>according to provisions of</w:t>
      </w:r>
      <w:r w:rsidR="00D34F1F">
        <w:t xml:space="preserve"> </w:t>
      </w:r>
      <w:r w:rsidR="00D34F1F">
        <w:fldChar w:fldCharType="begin"/>
      </w:r>
      <w:r w:rsidR="00D34F1F">
        <w:instrText xml:space="preserve"> REF _Ref59727985 \r \h </w:instrText>
      </w:r>
      <w:r w:rsidR="00D34F1F">
        <w:fldChar w:fldCharType="separate"/>
      </w:r>
      <w:r w:rsidR="00251DBF">
        <w:t>Chapter 7</w:t>
      </w:r>
      <w:r w:rsidR="00D34F1F">
        <w:fldChar w:fldCharType="end"/>
      </w:r>
      <w:r w:rsidR="00D34F1F" w:rsidRPr="00C414B6">
        <w:t>;</w:t>
      </w:r>
    </w:p>
    <w:p w14:paraId="047C53D5" w14:textId="6E790699" w:rsidR="00D34F1F" w:rsidRPr="009F08F3" w:rsidRDefault="0029337F" w:rsidP="00B03234">
      <w:pPr>
        <w:pStyle w:val="Heading5"/>
      </w:pPr>
      <w:r>
        <w:t>c</w:t>
      </w:r>
      <w:r w:rsidR="00D34F1F" w:rsidRPr="009F08F3">
        <w:t xml:space="preserve">alculate the </w:t>
      </w:r>
      <w:r w:rsidR="00B24FE6" w:rsidRPr="009F08F3">
        <w:t xml:space="preserve">accrued </w:t>
      </w:r>
      <w:r w:rsidR="00D34F1F" w:rsidRPr="009F08F3">
        <w:t>Default Interest</w:t>
      </w:r>
      <w:r w:rsidR="003A7CCB">
        <w:t xml:space="preserve"> </w:t>
      </w:r>
      <w:r w:rsidR="00D34F1F" w:rsidRPr="009F08F3">
        <w:t xml:space="preserve">payable </w:t>
      </w:r>
      <w:r w:rsidR="00B24FE6">
        <w:t xml:space="preserve">to or </w:t>
      </w:r>
      <w:r w:rsidR="00D34F1F" w:rsidRPr="009F08F3">
        <w:t xml:space="preserve">by </w:t>
      </w:r>
      <w:r w:rsidR="00B24FE6" w:rsidRPr="00B24FE6">
        <w:t xml:space="preserve">accrued </w:t>
      </w:r>
      <w:r w:rsidR="00B24FE6">
        <w:t xml:space="preserve">he </w:t>
      </w:r>
      <w:r w:rsidR="00D34F1F" w:rsidRPr="009F08F3">
        <w:t xml:space="preserve">Market Participants, as </w:t>
      </w:r>
      <w:r w:rsidR="00B24FE6">
        <w:t>provided</w:t>
      </w:r>
      <w:r w:rsidR="00B24FE6" w:rsidRPr="009F08F3">
        <w:t xml:space="preserve"> </w:t>
      </w:r>
      <w:r w:rsidR="00D34F1F" w:rsidRPr="009F08F3">
        <w:t xml:space="preserve">in Clauses </w:t>
      </w:r>
      <w:r w:rsidR="00D34F1F" w:rsidRPr="009F08F3">
        <w:fldChar w:fldCharType="begin"/>
      </w:r>
      <w:r w:rsidR="00D34F1F" w:rsidRPr="009F08F3">
        <w:instrText xml:space="preserve"> REF _Ref60946509 \r \h </w:instrText>
      </w:r>
      <w:r w:rsidR="00D34F1F">
        <w:instrText xml:space="preserve"> \* MERGEFORMAT </w:instrText>
      </w:r>
      <w:r w:rsidR="00D34F1F" w:rsidRPr="009F08F3">
        <w:fldChar w:fldCharType="separate"/>
      </w:r>
      <w:r w:rsidR="00251DBF">
        <w:t>8.1.3.1</w:t>
      </w:r>
      <w:r w:rsidR="00D34F1F" w:rsidRPr="009F08F3">
        <w:fldChar w:fldCharType="end"/>
      </w:r>
      <w:r w:rsidR="00D34F1F" w:rsidRPr="009F08F3">
        <w:t xml:space="preserve"> and </w:t>
      </w:r>
      <w:r w:rsidR="00D34F1F" w:rsidRPr="009F08F3">
        <w:fldChar w:fldCharType="begin"/>
      </w:r>
      <w:r w:rsidR="00D34F1F" w:rsidRPr="009F08F3">
        <w:instrText xml:space="preserve"> REF _Ref60946517 \r \h </w:instrText>
      </w:r>
      <w:r w:rsidR="00D34F1F">
        <w:instrText xml:space="preserve"> \* MERGEFORMAT </w:instrText>
      </w:r>
      <w:r w:rsidR="00D34F1F" w:rsidRPr="009F08F3">
        <w:fldChar w:fldCharType="separate"/>
      </w:r>
      <w:r w:rsidR="00251DBF">
        <w:t>8.1.3.2</w:t>
      </w:r>
      <w:r w:rsidR="00D34F1F" w:rsidRPr="009F08F3">
        <w:fldChar w:fldCharType="end"/>
      </w:r>
      <w:r w:rsidR="00D34F1F" w:rsidRPr="009F08F3">
        <w:t>; and</w:t>
      </w:r>
    </w:p>
    <w:p w14:paraId="30A8CF12" w14:textId="5B9DF79B" w:rsidR="00D34F1F" w:rsidRPr="009F08F3" w:rsidRDefault="0029337F" w:rsidP="00B03234">
      <w:pPr>
        <w:pStyle w:val="Heading5"/>
      </w:pPr>
      <w:r>
        <w:t>c</w:t>
      </w:r>
      <w:r w:rsidR="00D34F1F" w:rsidRPr="009F08F3">
        <w:t xml:space="preserve">alculate the Market Operator Fee </w:t>
      </w:r>
      <w:r w:rsidR="00EF063C">
        <w:t xml:space="preserve">and, if </w:t>
      </w:r>
      <w:r w:rsidR="00B24FE6">
        <w:t>required</w:t>
      </w:r>
      <w:r w:rsidR="00EF063C">
        <w:t>, the System Operator Fee</w:t>
      </w:r>
      <w:r w:rsidR="00D34F1F" w:rsidRPr="009F08F3">
        <w:t>.</w:t>
      </w:r>
    </w:p>
    <w:p w14:paraId="571CC453" w14:textId="3F12D88F" w:rsidR="00D34F1F" w:rsidRPr="009F08F3" w:rsidRDefault="00D34F1F" w:rsidP="005B295A">
      <w:pPr>
        <w:pStyle w:val="Heading4"/>
      </w:pPr>
      <w:bookmarkStart w:id="326" w:name="_Toc1116539"/>
      <w:bookmarkStart w:id="327" w:name="_Toc1548265"/>
      <w:r w:rsidRPr="009F08F3">
        <w:t xml:space="preserve">The Settlement of </w:t>
      </w:r>
      <w:r w:rsidR="003225A5">
        <w:t xml:space="preserve">charges to be paid </w:t>
      </w:r>
      <w:r w:rsidR="00B24FE6">
        <w:t xml:space="preserve">to or by </w:t>
      </w:r>
      <w:r w:rsidRPr="009F08F3">
        <w:t xml:space="preserve">a Market Participant, for a month, shall </w:t>
      </w:r>
      <w:r w:rsidR="00B24FE6">
        <w:t>include</w:t>
      </w:r>
      <w:r w:rsidR="00B24FE6" w:rsidRPr="009F08F3">
        <w:t xml:space="preserve"> </w:t>
      </w:r>
      <w:r w:rsidR="00B24FE6">
        <w:t xml:space="preserve">the </w:t>
      </w:r>
      <w:r w:rsidR="0029337F">
        <w:t xml:space="preserve">Amounts </w:t>
      </w:r>
      <w:r w:rsidR="00A14565">
        <w:t>P</w:t>
      </w:r>
      <w:r w:rsidR="00B24FE6" w:rsidRPr="00530AED">
        <w:t xml:space="preserve">ayable or </w:t>
      </w:r>
      <w:r w:rsidR="00A14565">
        <w:t>A</w:t>
      </w:r>
      <w:r w:rsidR="00A14565" w:rsidRPr="00530AED">
        <w:t>mount</w:t>
      </w:r>
      <w:r w:rsidR="0029337F">
        <w:t>s</w:t>
      </w:r>
      <w:r w:rsidR="00A14565" w:rsidRPr="00530AED">
        <w:t xml:space="preserve"> </w:t>
      </w:r>
      <w:r w:rsidR="00A14565">
        <w:t>R</w:t>
      </w:r>
      <w:r w:rsidR="00B24FE6" w:rsidRPr="00530AED">
        <w:t>eceivable by the Market Participant, as the case may be</w:t>
      </w:r>
      <w:r w:rsidR="00A14565">
        <w:t>,</w:t>
      </w:r>
      <w:r w:rsidR="00B24FE6" w:rsidRPr="009F08F3">
        <w:t xml:space="preserve"> </w:t>
      </w:r>
      <w:r w:rsidR="00B24FE6">
        <w:t>for</w:t>
      </w:r>
      <w:r w:rsidRPr="009F08F3">
        <w:t>:</w:t>
      </w:r>
      <w:bookmarkEnd w:id="326"/>
      <w:bookmarkEnd w:id="327"/>
    </w:p>
    <w:p w14:paraId="05A47561" w14:textId="6DD49377" w:rsidR="00D34F1F" w:rsidRPr="00530AED" w:rsidRDefault="00B24FE6" w:rsidP="00B03234">
      <w:pPr>
        <w:pStyle w:val="Heading5"/>
      </w:pPr>
      <w:r>
        <w:t xml:space="preserve">its </w:t>
      </w:r>
      <w:r w:rsidR="00D34F1F" w:rsidRPr="00530AED">
        <w:t xml:space="preserve">participation in the Balancing Mechanism for Energy, </w:t>
      </w:r>
      <w:r>
        <w:t xml:space="preserve">duly </w:t>
      </w:r>
      <w:r w:rsidR="00D34F1F" w:rsidRPr="00530AED">
        <w:t xml:space="preserve">calculated as </w:t>
      </w:r>
      <w:r w:rsidR="00D34F1F" w:rsidRPr="00DD254A">
        <w:t xml:space="preserve">per </w:t>
      </w:r>
      <w:r w:rsidR="003F43F8">
        <w:t xml:space="preserve">Section </w:t>
      </w:r>
      <w:r w:rsidR="003F43F8">
        <w:fldChar w:fldCharType="begin"/>
      </w:r>
      <w:r w:rsidR="003F43F8">
        <w:instrText xml:space="preserve"> REF _Ref65937186 \r \h </w:instrText>
      </w:r>
      <w:r w:rsidR="003F43F8">
        <w:fldChar w:fldCharType="separate"/>
      </w:r>
      <w:r w:rsidR="00251DBF">
        <w:t>6.6</w:t>
      </w:r>
      <w:r w:rsidR="003F43F8">
        <w:fldChar w:fldCharType="end"/>
      </w:r>
      <w:r w:rsidR="00D34F1F" w:rsidRPr="00530AED">
        <w:t xml:space="preserve">; </w:t>
      </w:r>
    </w:p>
    <w:p w14:paraId="1137B9D2" w14:textId="64F9617B" w:rsidR="00D34F1F" w:rsidRPr="00530AED" w:rsidRDefault="00D34F1F" w:rsidP="00B03234">
      <w:pPr>
        <w:pStyle w:val="Heading5"/>
      </w:pPr>
      <w:r w:rsidRPr="00530AED">
        <w:t>dispatch of Must Run Generation</w:t>
      </w:r>
      <w:r>
        <w:t xml:space="preserve"> and the Ancillary Services</w:t>
      </w:r>
      <w:r w:rsidRPr="00530AED">
        <w:t xml:space="preserve">, calculated as per </w:t>
      </w:r>
      <w:r w:rsidRPr="00530AED">
        <w:fldChar w:fldCharType="begin"/>
      </w:r>
      <w:r w:rsidRPr="00530AED">
        <w:instrText xml:space="preserve"> REF _Ref59727985 \r \h </w:instrText>
      </w:r>
      <w:r>
        <w:instrText xml:space="preserve"> \* MERGEFORMAT </w:instrText>
      </w:r>
      <w:r w:rsidRPr="00530AED">
        <w:fldChar w:fldCharType="separate"/>
      </w:r>
      <w:r w:rsidR="00251DBF">
        <w:t>Chapter 7</w:t>
      </w:r>
      <w:r w:rsidRPr="00530AED">
        <w:fldChar w:fldCharType="end"/>
      </w:r>
      <w:r w:rsidRPr="00530AED">
        <w:t xml:space="preserve">;  </w:t>
      </w:r>
    </w:p>
    <w:p w14:paraId="39E41A3E" w14:textId="2F90985B" w:rsidR="00D34F1F" w:rsidRDefault="00D34F1F" w:rsidP="00B03234">
      <w:pPr>
        <w:pStyle w:val="Heading5"/>
      </w:pPr>
      <w:r>
        <w:lastRenderedPageBreak/>
        <w:t xml:space="preserve">the Market Operator fee and, if </w:t>
      </w:r>
      <w:r w:rsidR="00B24FE6">
        <w:t>required</w:t>
      </w:r>
      <w:r>
        <w:t xml:space="preserve">, the System Operator fee; </w:t>
      </w:r>
    </w:p>
    <w:p w14:paraId="7ECF9DA1" w14:textId="1A932F3C" w:rsidR="00D34F1F" w:rsidRPr="000B3747" w:rsidRDefault="00A14565" w:rsidP="00B03234">
      <w:pPr>
        <w:pStyle w:val="Heading5"/>
      </w:pPr>
      <w:r>
        <w:t>i</w:t>
      </w:r>
      <w:r w:rsidR="00D34F1F">
        <w:t xml:space="preserve">f </w:t>
      </w:r>
      <w:r w:rsidR="00B24FE6">
        <w:t>applicable</w:t>
      </w:r>
      <w:r w:rsidR="00D34F1F">
        <w:t>, the amount payable by the Market Participant for the provision of Metering Services</w:t>
      </w:r>
      <w:r w:rsidR="00D34F1F" w:rsidRPr="000B3747">
        <w:t xml:space="preserve">; </w:t>
      </w:r>
    </w:p>
    <w:p w14:paraId="7DDF12E9" w14:textId="01862C00" w:rsidR="00D34F1F" w:rsidRPr="000B3747" w:rsidRDefault="002818BF" w:rsidP="00B03234">
      <w:pPr>
        <w:pStyle w:val="Heading5"/>
      </w:pPr>
      <w:r>
        <w:t xml:space="preserve">corrections which arise from Extra Ordinary Settlement Statements as provided in </w:t>
      </w:r>
      <w:r w:rsidR="008C02F7">
        <w:t>Sub-Section</w:t>
      </w:r>
      <w:r w:rsidR="004D4D2B">
        <w:t xml:space="preserve"> </w:t>
      </w:r>
      <w:r w:rsidR="00D34F1F" w:rsidRPr="000B3747">
        <w:fldChar w:fldCharType="begin"/>
      </w:r>
      <w:r w:rsidR="00D34F1F" w:rsidRPr="000B3747">
        <w:instrText xml:space="preserve"> REF _Ref527014035 \r \h  \* MERGEFORMAT </w:instrText>
      </w:r>
      <w:r w:rsidR="00D34F1F" w:rsidRPr="000B3747">
        <w:fldChar w:fldCharType="separate"/>
      </w:r>
      <w:r w:rsidR="00251DBF">
        <w:t>8.2.4</w:t>
      </w:r>
      <w:r w:rsidR="00D34F1F" w:rsidRPr="000B3747">
        <w:fldChar w:fldCharType="end"/>
      </w:r>
      <w:r w:rsidR="00D34F1F" w:rsidRPr="000B3747">
        <w:t xml:space="preserve">; </w:t>
      </w:r>
      <w:r>
        <w:t>and</w:t>
      </w:r>
    </w:p>
    <w:p w14:paraId="08481709" w14:textId="2188577E" w:rsidR="00D34F1F" w:rsidRPr="000B3747" w:rsidRDefault="00D34F1F">
      <w:pPr>
        <w:pStyle w:val="Heading5"/>
      </w:pPr>
      <w:r w:rsidRPr="000B3747">
        <w:t xml:space="preserve">accrued interest for </w:t>
      </w:r>
      <w:r w:rsidRPr="001F10D3">
        <w:t>previous</w:t>
      </w:r>
      <w:r w:rsidRPr="000B3747">
        <w:t xml:space="preserve"> payments not made or received on time</w:t>
      </w:r>
      <w:r w:rsidR="001F10D3">
        <w:t>.</w:t>
      </w:r>
    </w:p>
    <w:p w14:paraId="7054222F" w14:textId="77777777" w:rsidR="00D34F1F" w:rsidRDefault="00D34F1F" w:rsidP="00D34F1F">
      <w:pPr>
        <w:pStyle w:val="Heading3"/>
      </w:pPr>
      <w:r>
        <w:t>Additional Charges and Payments</w:t>
      </w:r>
    </w:p>
    <w:p w14:paraId="5E2ED96A" w14:textId="518EDCA3" w:rsidR="002818BF" w:rsidRDefault="00E92C95" w:rsidP="005B295A">
      <w:pPr>
        <w:pStyle w:val="Heading4"/>
      </w:pPr>
      <w:bookmarkStart w:id="328" w:name="_Ref60946509"/>
      <w:r>
        <w:t xml:space="preserve">As </w:t>
      </w:r>
      <w:r w:rsidRPr="00DC1BE0">
        <w:t xml:space="preserve">provided in </w:t>
      </w:r>
      <w:r w:rsidR="008C02F7" w:rsidRPr="00DC1BE0">
        <w:t>Sub-Section</w:t>
      </w:r>
      <w:r w:rsidRPr="00DC1BE0">
        <w:t xml:space="preserve"> </w:t>
      </w:r>
      <w:r w:rsidR="00DC1BE0">
        <w:fldChar w:fldCharType="begin"/>
      </w:r>
      <w:r w:rsidR="00DC1BE0">
        <w:instrText xml:space="preserve"> REF _Ref76900502 \r \h </w:instrText>
      </w:r>
      <w:r w:rsidR="00DC1BE0">
        <w:fldChar w:fldCharType="separate"/>
      </w:r>
      <w:r w:rsidR="00DC1BE0">
        <w:t>13.3.6</w:t>
      </w:r>
      <w:r w:rsidR="00DC1BE0">
        <w:fldChar w:fldCharType="end"/>
      </w:r>
      <w:r w:rsidRPr="00DC1BE0">
        <w:t xml:space="preserve">, </w:t>
      </w:r>
      <w:r w:rsidR="00DC1BE0">
        <w:t>t</w:t>
      </w:r>
      <w:r w:rsidR="00D34F1F" w:rsidRPr="00DC1BE0">
        <w:t>he Market</w:t>
      </w:r>
      <w:r w:rsidR="00D34F1F">
        <w:t xml:space="preserve"> Operator </w:t>
      </w:r>
      <w:r w:rsidR="002818BF">
        <w:t xml:space="preserve">may impose </w:t>
      </w:r>
      <w:r w:rsidR="00D34F1F">
        <w:t>additional charges</w:t>
      </w:r>
      <w:r>
        <w:t xml:space="preserve"> on a Market Participant</w:t>
      </w:r>
      <w:r w:rsidR="00D34F1F">
        <w:t xml:space="preserve"> as special adjustments</w:t>
      </w:r>
      <w:r>
        <w:t xml:space="preserve"> and effect recovery</w:t>
      </w:r>
      <w:r w:rsidR="00D34F1F">
        <w:t xml:space="preserve"> in respect of</w:t>
      </w:r>
      <w:r w:rsidR="002818BF">
        <w:t>:</w:t>
      </w:r>
    </w:p>
    <w:p w14:paraId="3A807B30" w14:textId="2744400B" w:rsidR="002818BF" w:rsidRDefault="00D34F1F" w:rsidP="002818BF">
      <w:pPr>
        <w:pStyle w:val="Heading5"/>
      </w:pPr>
      <w:r>
        <w:t xml:space="preserve"> costs incurred by the Market Operator for </w:t>
      </w:r>
      <w:r w:rsidR="002818BF" w:rsidRPr="00B03C4A">
        <w:t>administration</w:t>
      </w:r>
      <w:r w:rsidR="002818BF">
        <w:t xml:space="preserve"> of Security </w:t>
      </w:r>
      <w:r>
        <w:t>Cover</w:t>
      </w:r>
      <w:r w:rsidR="00DC1BE0">
        <w:t>s and Settlement Guarantee Fund</w:t>
      </w:r>
      <w:r w:rsidR="002818BF">
        <w:t xml:space="preserve"> in case of non-payment;</w:t>
      </w:r>
    </w:p>
    <w:p w14:paraId="3C40FD43" w14:textId="6F454A92" w:rsidR="00E92C95" w:rsidRDefault="002818BF" w:rsidP="002818BF">
      <w:pPr>
        <w:pStyle w:val="Heading5"/>
      </w:pPr>
      <w:r>
        <w:t xml:space="preserve"> </w:t>
      </w:r>
      <w:r w:rsidR="00D34F1F">
        <w:t xml:space="preserve"> Default Interest</w:t>
      </w:r>
      <w:r w:rsidR="00C12195">
        <w:t>.</w:t>
      </w:r>
      <w:r w:rsidR="00D34F1F">
        <w:t xml:space="preserve"> </w:t>
      </w:r>
    </w:p>
    <w:p w14:paraId="142514D7" w14:textId="04678CF7" w:rsidR="00D34F1F" w:rsidRPr="001F10D3" w:rsidRDefault="00D34F1F" w:rsidP="005B295A">
      <w:pPr>
        <w:pStyle w:val="Heading4"/>
      </w:pPr>
      <w:bookmarkStart w:id="329" w:name="_Ref60946517"/>
      <w:bookmarkEnd w:id="328"/>
      <w:commentRangeStart w:id="330"/>
      <w:r w:rsidRPr="001F10D3">
        <w:t xml:space="preserve">The </w:t>
      </w:r>
      <w:r w:rsidRPr="00B03C4A">
        <w:t xml:space="preserve">Market Operator shall determine the Default Interest accrued by Market Participants and Service providers for payments not executed at the </w:t>
      </w:r>
      <w:r w:rsidR="008E7D79" w:rsidRPr="00B03C4A">
        <w:t>Payment Due Date</w:t>
      </w:r>
      <w:r w:rsidRPr="00B03C4A">
        <w:t xml:space="preserve"> due to insufficient funds in the Market Operator’s </w:t>
      </w:r>
      <w:r w:rsidR="00BC7FFD">
        <w:t>Credit Cover</w:t>
      </w:r>
      <w:r w:rsidR="00BC7FFD" w:rsidRPr="00B03C4A">
        <w:t xml:space="preserve"> </w:t>
      </w:r>
      <w:r w:rsidRPr="00B03C4A">
        <w:t>Account</w:t>
      </w:r>
      <w:r w:rsidR="00BC7FFD">
        <w:t xml:space="preserve"> for Monthly Settlements</w:t>
      </w:r>
      <w:r w:rsidRPr="00B03C4A">
        <w:t xml:space="preserve">. These amounts shall be </w:t>
      </w:r>
      <w:r w:rsidR="00E92C95" w:rsidRPr="00B03C4A">
        <w:t>recovered fr</w:t>
      </w:r>
      <w:r w:rsidR="00BC7FFD">
        <w:t>o</w:t>
      </w:r>
      <w:r w:rsidR="00E92C95" w:rsidRPr="00B03C4A">
        <w:t xml:space="preserve">m </w:t>
      </w:r>
      <w:r w:rsidRPr="00B03C4A">
        <w:t xml:space="preserve">to the Market Participants which payments were not transferred at the Payments </w:t>
      </w:r>
      <w:r w:rsidR="00E92C95" w:rsidRPr="00B03C4A">
        <w:t xml:space="preserve">Due </w:t>
      </w:r>
      <w:r w:rsidRPr="00B03C4A">
        <w:t>Date</w:t>
      </w:r>
      <w:r w:rsidRPr="001F10D3">
        <w:t>.</w:t>
      </w:r>
      <w:bookmarkEnd w:id="329"/>
      <w:r w:rsidRPr="001F10D3">
        <w:t xml:space="preserve"> </w:t>
      </w:r>
      <w:commentRangeEnd w:id="330"/>
      <w:r w:rsidR="00E92C95" w:rsidRPr="001F10D3">
        <w:rPr>
          <w:rStyle w:val="CommentReference"/>
          <w:rFonts w:eastAsiaTheme="minorHAnsi" w:cstheme="minorBidi"/>
          <w:bCs w:val="0"/>
          <w:iCs w:val="0"/>
          <w:color w:val="1C1C1C"/>
        </w:rPr>
        <w:commentReference w:id="330"/>
      </w:r>
    </w:p>
    <w:p w14:paraId="6D9D47A1" w14:textId="77777777" w:rsidR="00D34F1F" w:rsidRDefault="00D34F1F" w:rsidP="00D34F1F">
      <w:pPr>
        <w:pStyle w:val="Heading2"/>
      </w:pPr>
      <w:bookmarkStart w:id="331" w:name="_Toc61187817"/>
      <w:bookmarkStart w:id="332" w:name="_Toc61187982"/>
      <w:bookmarkStart w:id="333" w:name="_Toc61197820"/>
      <w:bookmarkStart w:id="334" w:name="_Toc61198092"/>
      <w:bookmarkStart w:id="335" w:name="_Toc61198380"/>
      <w:bookmarkStart w:id="336" w:name="_Toc61258178"/>
      <w:bookmarkStart w:id="337" w:name="_Toc61187818"/>
      <w:bookmarkStart w:id="338" w:name="_Toc61187983"/>
      <w:bookmarkStart w:id="339" w:name="_Toc61197821"/>
      <w:bookmarkStart w:id="340" w:name="_Toc61198093"/>
      <w:bookmarkStart w:id="341" w:name="_Toc61198381"/>
      <w:bookmarkStart w:id="342" w:name="_Toc61258179"/>
      <w:bookmarkStart w:id="343" w:name="_Toc61187819"/>
      <w:bookmarkStart w:id="344" w:name="_Toc61187984"/>
      <w:bookmarkStart w:id="345" w:name="_Toc61197822"/>
      <w:bookmarkStart w:id="346" w:name="_Toc61198094"/>
      <w:bookmarkStart w:id="347" w:name="_Toc61198382"/>
      <w:bookmarkStart w:id="348" w:name="_Toc61258180"/>
      <w:bookmarkStart w:id="349" w:name="_Toc61187820"/>
      <w:bookmarkStart w:id="350" w:name="_Toc61187985"/>
      <w:bookmarkStart w:id="351" w:name="_Toc61197823"/>
      <w:bookmarkStart w:id="352" w:name="_Toc61198095"/>
      <w:bookmarkStart w:id="353" w:name="_Toc61198383"/>
      <w:bookmarkStart w:id="354" w:name="_Toc61258181"/>
      <w:bookmarkStart w:id="355" w:name="_Toc61187821"/>
      <w:bookmarkStart w:id="356" w:name="_Toc61187986"/>
      <w:bookmarkStart w:id="357" w:name="_Toc61197824"/>
      <w:bookmarkStart w:id="358" w:name="_Toc61198096"/>
      <w:bookmarkStart w:id="359" w:name="_Toc61198384"/>
      <w:bookmarkStart w:id="360" w:name="_Toc61258182"/>
      <w:bookmarkStart w:id="361" w:name="_Toc61187822"/>
      <w:bookmarkStart w:id="362" w:name="_Toc61187987"/>
      <w:bookmarkStart w:id="363" w:name="_Toc61197825"/>
      <w:bookmarkStart w:id="364" w:name="_Toc61198097"/>
      <w:bookmarkStart w:id="365" w:name="_Toc61198385"/>
      <w:bookmarkStart w:id="366" w:name="_Toc61258183"/>
      <w:bookmarkStart w:id="367" w:name="_Toc61187823"/>
      <w:bookmarkStart w:id="368" w:name="_Toc61187988"/>
      <w:bookmarkStart w:id="369" w:name="_Toc61197826"/>
      <w:bookmarkStart w:id="370" w:name="_Toc61198098"/>
      <w:bookmarkStart w:id="371" w:name="_Toc61198386"/>
      <w:bookmarkStart w:id="372" w:name="_Toc61258184"/>
      <w:bookmarkStart w:id="373" w:name="_Toc61187824"/>
      <w:bookmarkStart w:id="374" w:name="_Toc61187989"/>
      <w:bookmarkStart w:id="375" w:name="_Toc61197827"/>
      <w:bookmarkStart w:id="376" w:name="_Toc61198099"/>
      <w:bookmarkStart w:id="377" w:name="_Toc61198387"/>
      <w:bookmarkStart w:id="378" w:name="_Toc61258185"/>
      <w:bookmarkStart w:id="379" w:name="_Toc61187825"/>
      <w:bookmarkStart w:id="380" w:name="_Toc61187990"/>
      <w:bookmarkStart w:id="381" w:name="_Toc61197828"/>
      <w:bookmarkStart w:id="382" w:name="_Toc61198100"/>
      <w:bookmarkStart w:id="383" w:name="_Toc61198388"/>
      <w:bookmarkStart w:id="384" w:name="_Toc61258186"/>
      <w:bookmarkStart w:id="385" w:name="_Toc61187826"/>
      <w:bookmarkStart w:id="386" w:name="_Toc61187991"/>
      <w:bookmarkStart w:id="387" w:name="_Toc61197829"/>
      <w:bookmarkStart w:id="388" w:name="_Toc61198101"/>
      <w:bookmarkStart w:id="389" w:name="_Toc61198389"/>
      <w:bookmarkStart w:id="390" w:name="_Toc61258187"/>
      <w:bookmarkStart w:id="391" w:name="_Toc61187827"/>
      <w:bookmarkStart w:id="392" w:name="_Toc61187992"/>
      <w:bookmarkStart w:id="393" w:name="_Toc61197830"/>
      <w:bookmarkStart w:id="394" w:name="_Toc61198102"/>
      <w:bookmarkStart w:id="395" w:name="_Toc61198390"/>
      <w:bookmarkStart w:id="396" w:name="_Toc61258188"/>
      <w:bookmarkStart w:id="397" w:name="_Toc61187828"/>
      <w:bookmarkStart w:id="398" w:name="_Toc61187993"/>
      <w:bookmarkStart w:id="399" w:name="_Toc61197831"/>
      <w:bookmarkStart w:id="400" w:name="_Toc61198103"/>
      <w:bookmarkStart w:id="401" w:name="_Toc61198391"/>
      <w:bookmarkStart w:id="402" w:name="_Toc61258189"/>
      <w:bookmarkStart w:id="403" w:name="_Toc61187829"/>
      <w:bookmarkStart w:id="404" w:name="_Toc61187994"/>
      <w:bookmarkStart w:id="405" w:name="_Toc61197832"/>
      <w:bookmarkStart w:id="406" w:name="_Toc61198104"/>
      <w:bookmarkStart w:id="407" w:name="_Toc61198392"/>
      <w:bookmarkStart w:id="408" w:name="_Toc61258190"/>
      <w:bookmarkStart w:id="409" w:name="_Toc64846691"/>
      <w:bookmarkStart w:id="410" w:name="_Toc69476989"/>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r>
        <w:t>Settlement Statements</w:t>
      </w:r>
      <w:bookmarkEnd w:id="409"/>
      <w:bookmarkEnd w:id="410"/>
    </w:p>
    <w:p w14:paraId="45D1EF4A" w14:textId="083B06DF" w:rsidR="00D34F1F" w:rsidRDefault="00D34F1F" w:rsidP="00D34F1F">
      <w:pPr>
        <w:pStyle w:val="Heading3"/>
      </w:pPr>
      <w:bookmarkStart w:id="411" w:name="_Ref59730941"/>
      <w:r>
        <w:t>P</w:t>
      </w:r>
      <w:r w:rsidRPr="0067086E">
        <w:t>reliminary settlement statements</w:t>
      </w:r>
      <w:bookmarkEnd w:id="411"/>
    </w:p>
    <w:p w14:paraId="21D5B0D8" w14:textId="4968703E" w:rsidR="00D34F1F" w:rsidRDefault="00D34F1F" w:rsidP="005B295A">
      <w:pPr>
        <w:pStyle w:val="Heading4"/>
      </w:pPr>
      <w:bookmarkStart w:id="412" w:name="_Toc1116546"/>
      <w:bookmarkStart w:id="413" w:name="_Toc1548272"/>
      <w:r w:rsidRPr="003858A9">
        <w:t xml:space="preserve">Within ten (10) </w:t>
      </w:r>
      <w:r w:rsidR="00E92C95">
        <w:t>Business Days</w:t>
      </w:r>
      <w:r w:rsidRPr="003858A9">
        <w:t xml:space="preserve"> of the beginning of each month, the </w:t>
      </w:r>
      <w:r>
        <w:t>Market Operator</w:t>
      </w:r>
      <w:r w:rsidRPr="003858A9">
        <w:t xml:space="preserve"> shall send</w:t>
      </w:r>
      <w:r>
        <w:t>, through electronic means,</w:t>
      </w:r>
      <w:r w:rsidRPr="003858A9">
        <w:t xml:space="preserve"> to each Market Participant</w:t>
      </w:r>
      <w:r>
        <w:t xml:space="preserve"> and Service Provider</w:t>
      </w:r>
      <w:r w:rsidRPr="003858A9">
        <w:t>, a Preliminary Settlement Statement</w:t>
      </w:r>
      <w:r w:rsidR="003F47A7">
        <w:t xml:space="preserve"> </w:t>
      </w:r>
      <w:r w:rsidR="00E92C95">
        <w:t xml:space="preserve">for the </w:t>
      </w:r>
      <w:r w:rsidR="003F47A7">
        <w:t>to the results</w:t>
      </w:r>
      <w:r w:rsidR="00E92C95">
        <w:t xml:space="preserve"> of the Settlements</w:t>
      </w:r>
      <w:r w:rsidR="003F47A7">
        <w:t xml:space="preserve"> of the previous month</w:t>
      </w:r>
      <w:r>
        <w:t>.</w:t>
      </w:r>
    </w:p>
    <w:p w14:paraId="1DEE0279" w14:textId="46A6E525" w:rsidR="00D34F1F" w:rsidRPr="003858A9" w:rsidRDefault="00D34F1F" w:rsidP="005B295A">
      <w:pPr>
        <w:pStyle w:val="Heading4"/>
      </w:pPr>
      <w:r>
        <w:t>The P</w:t>
      </w:r>
      <w:r w:rsidRPr="003858A9">
        <w:t xml:space="preserve">reliminary </w:t>
      </w:r>
      <w:r>
        <w:t>S</w:t>
      </w:r>
      <w:r w:rsidRPr="003858A9">
        <w:t xml:space="preserve">ettlement </w:t>
      </w:r>
      <w:r>
        <w:t>S</w:t>
      </w:r>
      <w:r w:rsidRPr="003858A9">
        <w:t xml:space="preserve">tatement </w:t>
      </w:r>
      <w:r>
        <w:t xml:space="preserve">for </w:t>
      </w:r>
      <w:r w:rsidR="00E92C95">
        <w:t xml:space="preserve">a </w:t>
      </w:r>
      <w:r>
        <w:t xml:space="preserve">Market Participant </w:t>
      </w:r>
      <w:r w:rsidRPr="003858A9">
        <w:t>shall</w:t>
      </w:r>
      <w:r>
        <w:t>, at least,</w:t>
      </w:r>
      <w:r w:rsidRPr="003858A9">
        <w:t xml:space="preserve"> include:</w:t>
      </w:r>
      <w:bookmarkEnd w:id="412"/>
      <w:bookmarkEnd w:id="413"/>
    </w:p>
    <w:p w14:paraId="4EE191AE" w14:textId="0BB1A87E" w:rsidR="00D34F1F" w:rsidRPr="007B1234" w:rsidRDefault="00B5771C" w:rsidP="00B03234">
      <w:pPr>
        <w:pStyle w:val="Heading5"/>
      </w:pPr>
      <w:r>
        <w:t>t</w:t>
      </w:r>
      <w:r w:rsidR="00D34F1F" w:rsidRPr="007B1234">
        <w:t>he results of the Balancing Mechanism for Energy</w:t>
      </w:r>
      <w:r>
        <w:t>:</w:t>
      </w:r>
    </w:p>
    <w:p w14:paraId="3E9EA31E" w14:textId="54C536D6" w:rsidR="00D34F1F" w:rsidRPr="007B1234" w:rsidRDefault="003F018C" w:rsidP="00CF7164">
      <w:pPr>
        <w:pStyle w:val="Heading6"/>
      </w:pPr>
      <w:r>
        <w:t>t</w:t>
      </w:r>
      <w:r w:rsidR="00D34F1F" w:rsidRPr="007B1234">
        <w:t xml:space="preserve">he hourly values of the </w:t>
      </w:r>
      <w:r w:rsidR="0046412E">
        <w:t>Energy</w:t>
      </w:r>
      <w:r w:rsidR="00D34F1F" w:rsidRPr="007B1234">
        <w:t xml:space="preserve"> injected or withdraw</w:t>
      </w:r>
      <w:r>
        <w:t>n</w:t>
      </w:r>
      <w:r w:rsidR="00D34F1F" w:rsidRPr="007B1234">
        <w:t xml:space="preserve"> from the </w:t>
      </w:r>
      <w:r>
        <w:t xml:space="preserve">Grid System </w:t>
      </w:r>
      <w:r w:rsidR="00D34F1F" w:rsidRPr="007B1234">
        <w:t xml:space="preserve">during the </w:t>
      </w:r>
      <w:r w:rsidR="00854791" w:rsidRPr="007B1234">
        <w:t>Settlement Period</w:t>
      </w:r>
      <w:r w:rsidR="00D34F1F" w:rsidRPr="007B1234">
        <w:t>;</w:t>
      </w:r>
    </w:p>
    <w:p w14:paraId="66E486BE" w14:textId="17736626" w:rsidR="00D34F1F" w:rsidRPr="007B1234" w:rsidRDefault="003F018C" w:rsidP="00CF7164">
      <w:pPr>
        <w:pStyle w:val="Heading6"/>
      </w:pPr>
      <w:r>
        <w:t>t</w:t>
      </w:r>
      <w:r w:rsidR="00D34F1F" w:rsidRPr="007B1234">
        <w:t xml:space="preserve">he </w:t>
      </w:r>
      <w:r w:rsidR="0046412E">
        <w:t>Energy</w:t>
      </w:r>
      <w:r w:rsidR="00D34F1F" w:rsidRPr="007B1234">
        <w:t xml:space="preserve"> </w:t>
      </w:r>
      <w:r w:rsidR="003F47A7">
        <w:t>sold and bought</w:t>
      </w:r>
      <w:r w:rsidR="00D34F1F" w:rsidRPr="007B1234">
        <w:t xml:space="preserve"> through </w:t>
      </w:r>
      <w:r w:rsidR="000C3757">
        <w:t>C</w:t>
      </w:r>
      <w:r w:rsidR="00D34F1F" w:rsidRPr="007B1234">
        <w:t>ontracts, registered with the Market Ope</w:t>
      </w:r>
      <w:r w:rsidR="003B01C5">
        <w:t>r</w:t>
      </w:r>
      <w:r w:rsidR="00D34F1F" w:rsidRPr="007B1234">
        <w:t xml:space="preserve">ator, for each hour of the </w:t>
      </w:r>
      <w:r w:rsidR="00854791" w:rsidRPr="007B1234">
        <w:t>Settlement Period</w:t>
      </w:r>
      <w:r w:rsidR="00D34F1F" w:rsidRPr="007B1234">
        <w:t xml:space="preserve">; </w:t>
      </w:r>
    </w:p>
    <w:p w14:paraId="681226D9" w14:textId="412277ED" w:rsidR="00D34F1F" w:rsidRPr="007B1234" w:rsidRDefault="003F018C" w:rsidP="00CF7164">
      <w:pPr>
        <w:pStyle w:val="Heading6"/>
      </w:pPr>
      <w:r>
        <w:t>t</w:t>
      </w:r>
      <w:r w:rsidR="00D34F1F" w:rsidRPr="007B1234">
        <w:t xml:space="preserve">he hourly </w:t>
      </w:r>
      <w:r w:rsidR="0046412E">
        <w:t>Energy</w:t>
      </w:r>
      <w:r w:rsidR="00D34F1F" w:rsidRPr="007B1234">
        <w:t xml:space="preserve"> </w:t>
      </w:r>
      <w:r w:rsidR="00D75DA6">
        <w:t>Imbalances</w:t>
      </w:r>
      <w:r w:rsidR="003F47A7">
        <w:t>;</w:t>
      </w:r>
      <w:r w:rsidR="00D34F1F" w:rsidRPr="007B1234">
        <w:t xml:space="preserve"> </w:t>
      </w:r>
    </w:p>
    <w:p w14:paraId="1B694E64" w14:textId="625F9ACF" w:rsidR="00D34F1F" w:rsidRPr="007B1234" w:rsidRDefault="003F018C" w:rsidP="00CF7164">
      <w:pPr>
        <w:pStyle w:val="Heading6"/>
      </w:pPr>
      <w:r>
        <w:t>t</w:t>
      </w:r>
      <w:r w:rsidR="00D34F1F" w:rsidRPr="007B1234">
        <w:t xml:space="preserve">he System Marginal Price for each hour of the </w:t>
      </w:r>
      <w:r w:rsidR="00854791" w:rsidRPr="007B1234">
        <w:t>Settlement Period</w:t>
      </w:r>
      <w:r w:rsidR="00D34F1F" w:rsidRPr="007B1234">
        <w:t>; and</w:t>
      </w:r>
    </w:p>
    <w:p w14:paraId="31F119F6" w14:textId="229DC2DD" w:rsidR="00D34F1F" w:rsidRDefault="00D34F1F" w:rsidP="00CF7164">
      <w:pPr>
        <w:pStyle w:val="Heading6"/>
      </w:pPr>
      <w:r w:rsidRPr="007B1234">
        <w:t xml:space="preserve">he </w:t>
      </w:r>
      <w:r w:rsidRPr="009F08F3">
        <w:t xml:space="preserve">total </w:t>
      </w:r>
      <w:r w:rsidR="003F018C">
        <w:t>P</w:t>
      </w:r>
      <w:r w:rsidRPr="009F08F3">
        <w:t>ayable or</w:t>
      </w:r>
      <w:r w:rsidR="003F018C">
        <w:t xml:space="preserve"> A</w:t>
      </w:r>
      <w:r w:rsidR="003F018C" w:rsidRPr="009F08F3">
        <w:t>mount</w:t>
      </w:r>
      <w:r w:rsidRPr="009F08F3">
        <w:t xml:space="preserve"> </w:t>
      </w:r>
      <w:r w:rsidR="003F018C">
        <w:t>R</w:t>
      </w:r>
      <w:r w:rsidRPr="009F08F3">
        <w:t>eceivable</w:t>
      </w:r>
      <w:r>
        <w:t>;</w:t>
      </w:r>
    </w:p>
    <w:p w14:paraId="73700CA7" w14:textId="194953DB" w:rsidR="00AE79A1" w:rsidRPr="00AE79A1" w:rsidRDefault="00B5771C" w:rsidP="00CF7164">
      <w:pPr>
        <w:pStyle w:val="Heading6"/>
      </w:pPr>
      <w:r>
        <w:t>t</w:t>
      </w:r>
      <w:r w:rsidR="00AE79A1">
        <w:t xml:space="preserve">he Transmission </w:t>
      </w:r>
      <w:r w:rsidR="00135791">
        <w:t>l</w:t>
      </w:r>
      <w:r w:rsidR="00AE79A1">
        <w:t>osses and the Transmission and Distribution Loss Factors used in the calculations;</w:t>
      </w:r>
    </w:p>
    <w:p w14:paraId="097DBEB9" w14:textId="52718519" w:rsidR="00D34F1F" w:rsidRPr="009F08F3" w:rsidRDefault="003F018C" w:rsidP="00B03234">
      <w:pPr>
        <w:pStyle w:val="Heading5"/>
      </w:pPr>
      <w:r>
        <w:t>t</w:t>
      </w:r>
      <w:r w:rsidR="00D34F1F" w:rsidRPr="009F08F3">
        <w:t xml:space="preserve">he </w:t>
      </w:r>
      <w:r>
        <w:t>compensation</w:t>
      </w:r>
      <w:r w:rsidRPr="009F08F3">
        <w:t xml:space="preserve"> </w:t>
      </w:r>
      <w:r>
        <w:t>for</w:t>
      </w:r>
      <w:r w:rsidR="00D34F1F" w:rsidRPr="009F08F3">
        <w:t xml:space="preserve"> Must Run Generation and Ancillary Services</w:t>
      </w:r>
      <w:r w:rsidR="00D34F1F">
        <w:t xml:space="preserve"> </w:t>
      </w:r>
      <w:r w:rsidR="00136176">
        <w:t xml:space="preserve"> </w:t>
      </w:r>
      <w:r w:rsidR="00D34F1F">
        <w:t xml:space="preserve">for the </w:t>
      </w:r>
      <w:r w:rsidR="00854791">
        <w:t>Settlement Period</w:t>
      </w:r>
      <w:r w:rsidR="00D34F1F">
        <w:t xml:space="preserve">; </w:t>
      </w:r>
    </w:p>
    <w:p w14:paraId="04658F2C" w14:textId="4D72D42B" w:rsidR="00D34F1F" w:rsidRDefault="003F018C" w:rsidP="00B03234">
      <w:pPr>
        <w:pStyle w:val="Heading5"/>
      </w:pPr>
      <w:r>
        <w:t>t</w:t>
      </w:r>
      <w:r w:rsidR="00D34F1F">
        <w:t xml:space="preserve">he </w:t>
      </w:r>
      <w:r w:rsidR="00AE79A1">
        <w:t xml:space="preserve">Market Operator Fee and, if </w:t>
      </w:r>
      <w:r>
        <w:t>required</w:t>
      </w:r>
      <w:r w:rsidR="00AE79A1">
        <w:t xml:space="preserve">, </w:t>
      </w:r>
      <w:r w:rsidR="00D34F1F">
        <w:t xml:space="preserve">System Operator </w:t>
      </w:r>
      <w:r w:rsidR="00AE79A1">
        <w:t>F</w:t>
      </w:r>
      <w:r w:rsidR="00D34F1F">
        <w:t xml:space="preserve">ee;   </w:t>
      </w:r>
    </w:p>
    <w:p w14:paraId="47323C23" w14:textId="4942426C" w:rsidR="00D34F1F" w:rsidRPr="00B03C4A" w:rsidRDefault="003F018C" w:rsidP="00B03234">
      <w:pPr>
        <w:pStyle w:val="Heading5"/>
      </w:pPr>
      <w:r w:rsidRPr="00B03C4A">
        <w:t>t</w:t>
      </w:r>
      <w:r w:rsidR="00D34F1F" w:rsidRPr="00B03C4A">
        <w:t xml:space="preserve">he payable or accrued interest for </w:t>
      </w:r>
      <w:commentRangeStart w:id="414"/>
      <w:r w:rsidR="00D34F1F" w:rsidRPr="00B03C4A">
        <w:t>previous payments not made on time</w:t>
      </w:r>
      <w:commentRangeEnd w:id="414"/>
      <w:r w:rsidRPr="002F3617">
        <w:rPr>
          <w:rStyle w:val="CommentReference"/>
          <w:rFonts w:eastAsiaTheme="minorHAnsi" w:cstheme="minorBidi"/>
          <w:color w:val="1C1C1C"/>
        </w:rPr>
        <w:commentReference w:id="414"/>
      </w:r>
      <w:r w:rsidR="00D34F1F" w:rsidRPr="00B03C4A">
        <w:t>;</w:t>
      </w:r>
      <w:r w:rsidR="002F3617">
        <w:t xml:space="preserve"> and</w:t>
      </w:r>
      <w:r w:rsidR="00D34F1F" w:rsidRPr="00B03C4A">
        <w:t xml:space="preserve"> </w:t>
      </w:r>
    </w:p>
    <w:p w14:paraId="6D39EA8C" w14:textId="72BD158B" w:rsidR="00D34F1F" w:rsidRDefault="00AF42B3" w:rsidP="00B03234">
      <w:pPr>
        <w:pStyle w:val="Heading5"/>
      </w:pPr>
      <w:r>
        <w:lastRenderedPageBreak/>
        <w:t>any adjustment resulting from an</w:t>
      </w:r>
      <w:r w:rsidR="00D34F1F">
        <w:t xml:space="preserve"> Extraordinary Settlement</w:t>
      </w:r>
      <w:r w:rsidR="003F018C">
        <w:t xml:space="preserve"> Statement</w:t>
      </w:r>
      <w:r w:rsidR="00D34F1F">
        <w:t xml:space="preserve">, </w:t>
      </w:r>
    </w:p>
    <w:p w14:paraId="32DAA1DE" w14:textId="42092641" w:rsidR="00D34F1F" w:rsidRDefault="00D34F1F" w:rsidP="00D34F1F">
      <w:pPr>
        <w:pStyle w:val="Heading3"/>
      </w:pPr>
      <w:r>
        <w:t xml:space="preserve">Claims </w:t>
      </w:r>
      <w:r w:rsidR="00AF42B3">
        <w:t xml:space="preserve">against </w:t>
      </w:r>
      <w:r>
        <w:t>the P</w:t>
      </w:r>
      <w:r w:rsidRPr="0067086E">
        <w:t>reliminary settlement statements</w:t>
      </w:r>
    </w:p>
    <w:p w14:paraId="08807DE5" w14:textId="03A1A92A" w:rsidR="00D34F1F" w:rsidRDefault="00AF42B3" w:rsidP="005B295A">
      <w:pPr>
        <w:pStyle w:val="Heading4"/>
      </w:pPr>
      <w:bookmarkStart w:id="415" w:name="_Toc1116547"/>
      <w:bookmarkStart w:id="416" w:name="_Toc1548273"/>
      <w:bookmarkStart w:id="417" w:name="_Ref60830376"/>
      <w:r>
        <w:t>Where</w:t>
      </w:r>
      <w:r w:rsidR="00D34F1F">
        <w:t xml:space="preserve"> a Market</w:t>
      </w:r>
      <w:r w:rsidR="00D34F1F" w:rsidRPr="003858A9">
        <w:t xml:space="preserve"> Participant c</w:t>
      </w:r>
      <w:r w:rsidR="00D34F1F">
        <w:t xml:space="preserve">onsiders that </w:t>
      </w:r>
      <w:r w:rsidR="00D34F1F" w:rsidRPr="003858A9">
        <w:t xml:space="preserve">an error or discrepancy exists in the Preliminary Settlement Statement, </w:t>
      </w:r>
      <w:r w:rsidR="00D34F1F">
        <w:t xml:space="preserve">it shall </w:t>
      </w:r>
      <w:r>
        <w:t xml:space="preserve">submit to </w:t>
      </w:r>
      <w:r w:rsidR="00D34F1F">
        <w:t xml:space="preserve">the Market Operator a </w:t>
      </w:r>
      <w:r w:rsidR="00EC7356">
        <w:t xml:space="preserve">written </w:t>
      </w:r>
      <w:r w:rsidR="008B666F">
        <w:t>Review Request</w:t>
      </w:r>
      <w:r w:rsidR="00D34F1F">
        <w:t xml:space="preserve"> </w:t>
      </w:r>
      <w:r w:rsidR="00D34F1F" w:rsidRPr="003858A9">
        <w:t xml:space="preserve">within </w:t>
      </w:r>
      <w:r w:rsidR="00D34F1F">
        <w:t>[</w:t>
      </w:r>
      <w:r w:rsidR="00D34F1F" w:rsidRPr="003858A9">
        <w:t>five (5)</w:t>
      </w:r>
      <w:r w:rsidR="00D34F1F">
        <w:t>]</w:t>
      </w:r>
      <w:r w:rsidR="00D34F1F" w:rsidRPr="003858A9">
        <w:t xml:space="preserve"> </w:t>
      </w:r>
      <w:r>
        <w:t>Business Days</w:t>
      </w:r>
      <w:r w:rsidR="00D34F1F" w:rsidRPr="003858A9">
        <w:t xml:space="preserve"> </w:t>
      </w:r>
      <w:r w:rsidR="00D34F1F">
        <w:t xml:space="preserve">of receipt of </w:t>
      </w:r>
      <w:r w:rsidR="00D34F1F" w:rsidRPr="003858A9">
        <w:t>the Preliminary Settlement Statement.</w:t>
      </w:r>
      <w:bookmarkEnd w:id="415"/>
      <w:bookmarkEnd w:id="416"/>
      <w:bookmarkEnd w:id="417"/>
    </w:p>
    <w:p w14:paraId="446A6F2A" w14:textId="524D17D5" w:rsidR="00D34F1F" w:rsidRDefault="00D34F1F" w:rsidP="005B295A">
      <w:pPr>
        <w:pStyle w:val="Heading4"/>
      </w:pPr>
      <w:bookmarkStart w:id="418" w:name="_Toc526245730"/>
      <w:bookmarkStart w:id="419" w:name="_Toc526327639"/>
      <w:r>
        <w:t xml:space="preserve">The </w:t>
      </w:r>
      <w:r w:rsidR="008B666F">
        <w:t>Review Request</w:t>
      </w:r>
      <w:r>
        <w:t xml:space="preserve"> shall </w:t>
      </w:r>
      <w:r w:rsidR="00AF42B3">
        <w:t xml:space="preserve">clearly </w:t>
      </w:r>
      <w:r>
        <w:t>state the Settlement Period, Dispatch Day, the issu</w:t>
      </w:r>
      <w:r w:rsidR="00AF42B3">
        <w:t>ance</w:t>
      </w:r>
      <w:r>
        <w:t xml:space="preserve"> date of the Preliminary Settlement Statement, the item claimed, the reasons for the claim, the amount claimed, and shall be accompanied </w:t>
      </w:r>
      <w:r w:rsidR="00AF42B3">
        <w:t>with supporting documents</w:t>
      </w:r>
      <w:r>
        <w:t>.</w:t>
      </w:r>
      <w:bookmarkEnd w:id="418"/>
      <w:bookmarkEnd w:id="419"/>
    </w:p>
    <w:p w14:paraId="67712CF2" w14:textId="241E7537" w:rsidR="00D34F1F" w:rsidRDefault="00AF42B3" w:rsidP="00AE1AD1">
      <w:pPr>
        <w:pStyle w:val="Heading4"/>
      </w:pPr>
      <w:bookmarkStart w:id="420" w:name="_Toc1116548"/>
      <w:bookmarkStart w:id="421" w:name="_Toc1548274"/>
      <w:r>
        <w:t xml:space="preserve">After receipt of the </w:t>
      </w:r>
      <w:r w:rsidR="008B666F">
        <w:t>Review Request</w:t>
      </w:r>
      <w:r>
        <w:t>, t</w:t>
      </w:r>
      <w:r w:rsidR="00D34F1F" w:rsidRPr="003858A9">
        <w:t xml:space="preserve">he </w:t>
      </w:r>
      <w:r w:rsidR="00D34F1F">
        <w:t>Market Operator</w:t>
      </w:r>
      <w:r w:rsidR="00D34F1F" w:rsidRPr="003858A9">
        <w:t xml:space="preserve"> shall review</w:t>
      </w:r>
      <w:r w:rsidR="000129C7">
        <w:t xml:space="preserve"> the </w:t>
      </w:r>
      <w:r w:rsidR="008B666F">
        <w:t>request</w:t>
      </w:r>
      <w:r w:rsidR="00D34F1F" w:rsidRPr="003858A9">
        <w:t xml:space="preserve"> and </w:t>
      </w:r>
      <w:r>
        <w:t>decide</w:t>
      </w:r>
      <w:r w:rsidRPr="003858A9">
        <w:t xml:space="preserve"> </w:t>
      </w:r>
      <w:r w:rsidR="00D34F1F" w:rsidRPr="003858A9">
        <w:t xml:space="preserve">whether </w:t>
      </w:r>
      <w:r w:rsidR="00D34F1F">
        <w:t>the</w:t>
      </w:r>
      <w:r w:rsidR="000129C7">
        <w:t>re is any error or discrepancy in the Preliminary Settlement Statement and if required, it may hold a meeting with the relevant Market Participant</w:t>
      </w:r>
      <w:r w:rsidR="00C20B7A">
        <w:t xml:space="preserve"> </w:t>
      </w:r>
      <w:r w:rsidR="000129C7">
        <w:t xml:space="preserve">to settle the matter. </w:t>
      </w:r>
      <w:r w:rsidR="00D34F1F">
        <w:t xml:space="preserve"> </w:t>
      </w:r>
      <w:bookmarkEnd w:id="420"/>
      <w:bookmarkEnd w:id="421"/>
      <w:r w:rsidR="000129C7">
        <w:t>If</w:t>
      </w:r>
      <w:r w:rsidR="00D34F1F">
        <w:t xml:space="preserve"> the Market Operator does not agree</w:t>
      </w:r>
      <w:r w:rsidR="00030294">
        <w:t xml:space="preserve"> with the </w:t>
      </w:r>
      <w:r w:rsidR="008B666F">
        <w:t>Review Request</w:t>
      </w:r>
      <w:r w:rsidR="000129C7">
        <w:t>, it shall intimate the same to the relevant Market Participants along with reason</w:t>
      </w:r>
      <w:r w:rsidR="00C20B7A">
        <w:t>s</w:t>
      </w:r>
      <w:r w:rsidR="000129C7">
        <w:t xml:space="preserve"> thereof. </w:t>
      </w:r>
    </w:p>
    <w:p w14:paraId="7BD63BFE" w14:textId="0872BA61" w:rsidR="00D34F1F" w:rsidRDefault="00C20B7A" w:rsidP="005B295A">
      <w:pPr>
        <w:pStyle w:val="Heading4"/>
      </w:pPr>
      <w:bookmarkStart w:id="422" w:name="_Toc1116549"/>
      <w:bookmarkStart w:id="423" w:name="_Toc1548275"/>
      <w:r>
        <w:t>Where the market operator, after review of the Preliminary Settlement Statement finds that there is an error or discrepancy as claimed by the relevant Market Participant,  it shall rectify the error before issuing the Final Settlement Statement</w:t>
      </w:r>
      <w:r w:rsidR="00D34F1F" w:rsidRPr="003858A9">
        <w:t xml:space="preserve"> </w:t>
      </w:r>
      <w:r>
        <w:t xml:space="preserve">and </w:t>
      </w:r>
      <w:r w:rsidR="00D34F1F" w:rsidRPr="003858A9">
        <w:t xml:space="preserve"> shall </w:t>
      </w:r>
      <w:r>
        <w:t>inform all the relevant</w:t>
      </w:r>
      <w:r w:rsidR="00D34F1F" w:rsidRPr="003858A9">
        <w:t xml:space="preserve"> Market Participants </w:t>
      </w:r>
      <w:r>
        <w:t>accordingly.</w:t>
      </w:r>
      <w:bookmarkEnd w:id="422"/>
      <w:bookmarkEnd w:id="423"/>
    </w:p>
    <w:p w14:paraId="64C877AE" w14:textId="77777777" w:rsidR="00D34F1F" w:rsidRDefault="00D34F1F" w:rsidP="00D34F1F">
      <w:pPr>
        <w:pStyle w:val="Heading3"/>
      </w:pPr>
      <w:bookmarkStart w:id="424" w:name="_Ref61132173"/>
      <w:r>
        <w:t>F</w:t>
      </w:r>
      <w:r w:rsidRPr="0067086E">
        <w:t>inal settlement statements</w:t>
      </w:r>
      <w:bookmarkEnd w:id="424"/>
    </w:p>
    <w:p w14:paraId="79A44A84" w14:textId="04A05C0F" w:rsidR="00D34F1F" w:rsidRPr="003858A9" w:rsidRDefault="00C20B7A" w:rsidP="005B295A">
      <w:pPr>
        <w:pStyle w:val="Heading4"/>
      </w:pPr>
      <w:bookmarkStart w:id="425" w:name="_Toc1116551"/>
      <w:bookmarkStart w:id="426" w:name="_Toc1548277"/>
      <w:bookmarkStart w:id="427" w:name="_Ref60830412"/>
      <w:r>
        <w:t xml:space="preserve">Before expiry of each month, </w:t>
      </w:r>
      <w:r w:rsidR="00D34F1F" w:rsidRPr="003858A9">
        <w:t xml:space="preserve">the </w:t>
      </w:r>
      <w:r w:rsidR="00D34F1F">
        <w:t>Market Operator</w:t>
      </w:r>
      <w:r w:rsidR="00D34F1F" w:rsidRPr="003858A9">
        <w:t xml:space="preserve"> shall </w:t>
      </w:r>
      <w:r>
        <w:t>issue</w:t>
      </w:r>
      <w:r w:rsidRPr="003858A9">
        <w:t xml:space="preserve"> </w:t>
      </w:r>
      <w:r w:rsidR="00D34F1F" w:rsidRPr="003858A9">
        <w:t>the Final Settlement Statement to each Market Participant, using a format similar to the Preliminary Settlement Statement</w:t>
      </w:r>
      <w:bookmarkEnd w:id="425"/>
      <w:bookmarkEnd w:id="426"/>
      <w:r w:rsidR="00D34F1F">
        <w:t>.</w:t>
      </w:r>
      <w:bookmarkEnd w:id="427"/>
    </w:p>
    <w:p w14:paraId="2ECB90E8" w14:textId="34A84098" w:rsidR="00D34F1F" w:rsidRPr="000E1DAE" w:rsidRDefault="00D34F1F" w:rsidP="005B295A">
      <w:pPr>
        <w:pStyle w:val="Heading4"/>
      </w:pPr>
      <w:bookmarkStart w:id="428" w:name="_Toc1116553"/>
      <w:bookmarkStart w:id="429" w:name="_Toc1548279"/>
      <w:bookmarkStart w:id="430" w:name="_Ref76901223"/>
      <w:r w:rsidRPr="000E1DAE">
        <w:t xml:space="preserve">A Market Participant may challenge the Final Settlement Statement </w:t>
      </w:r>
      <w:r w:rsidR="003A0D05">
        <w:t>along with reasons thereof</w:t>
      </w:r>
      <w:r w:rsidRPr="000E1DAE">
        <w:t xml:space="preserve"> within [15] </w:t>
      </w:r>
      <w:r w:rsidR="003A0D05">
        <w:t>Business Days</w:t>
      </w:r>
      <w:r w:rsidRPr="000E1DAE">
        <w:t xml:space="preserve"> of its issuance. </w:t>
      </w:r>
      <w:r w:rsidR="003A0D05">
        <w:t>The challenge may</w:t>
      </w:r>
      <w:r w:rsidR="003A0D05" w:rsidRPr="000E1DAE">
        <w:t xml:space="preserve"> </w:t>
      </w:r>
      <w:r w:rsidRPr="000E1DAE">
        <w:t>relate to:</w:t>
      </w:r>
      <w:bookmarkEnd w:id="428"/>
      <w:bookmarkEnd w:id="429"/>
      <w:bookmarkEnd w:id="430"/>
    </w:p>
    <w:p w14:paraId="5282DDEF" w14:textId="35C2E1A8" w:rsidR="00D34F1F" w:rsidRPr="000E1DAE" w:rsidRDefault="00D34F1F" w:rsidP="00B03234">
      <w:pPr>
        <w:pStyle w:val="Heading5"/>
      </w:pPr>
      <w:r w:rsidRPr="000E1DAE">
        <w:t xml:space="preserve">The </w:t>
      </w:r>
      <w:r w:rsidR="003A0D05">
        <w:t>metered values and contracted quantities of Energy</w:t>
      </w:r>
      <w:r w:rsidRPr="000E1DAE">
        <w:t>, or</w:t>
      </w:r>
    </w:p>
    <w:p w14:paraId="018908DF" w14:textId="1BA415EA" w:rsidR="00D34F1F" w:rsidRPr="000E1DAE" w:rsidRDefault="00D34F1F" w:rsidP="00B03234">
      <w:pPr>
        <w:pStyle w:val="Heading5"/>
      </w:pPr>
      <w:r w:rsidRPr="000E1DAE">
        <w:t>The settle</w:t>
      </w:r>
      <w:r w:rsidR="00594BED">
        <w:t xml:space="preserve">d </w:t>
      </w:r>
      <w:r w:rsidRPr="000E1DAE">
        <w:t xml:space="preserve">amounts, either </w:t>
      </w:r>
      <w:r w:rsidR="003A0D05">
        <w:t>for Imbalances</w:t>
      </w:r>
      <w:r w:rsidRPr="000E1DAE">
        <w:t>, Market Operator’s Fee</w:t>
      </w:r>
      <w:r w:rsidR="00011589">
        <w:t xml:space="preserve"> , if </w:t>
      </w:r>
      <w:r w:rsidR="003A0D05">
        <w:t>applicable</w:t>
      </w:r>
      <w:r w:rsidR="00011589">
        <w:t>, System Operator</w:t>
      </w:r>
      <w:r w:rsidR="003A0D05">
        <w:t>’s</w:t>
      </w:r>
      <w:r w:rsidR="00011589">
        <w:t xml:space="preserve"> Fee, </w:t>
      </w:r>
      <w:r w:rsidR="00594BED">
        <w:t xml:space="preserve"> </w:t>
      </w:r>
      <w:r w:rsidR="003A0D05">
        <w:t xml:space="preserve">Default </w:t>
      </w:r>
      <w:r w:rsidR="00DA49DE">
        <w:t>Interest</w:t>
      </w:r>
      <w:r w:rsidRPr="000E1DAE">
        <w:t xml:space="preserve"> for late payments</w:t>
      </w:r>
      <w:r w:rsidR="00594BED">
        <w:t xml:space="preserve"> or any other </w:t>
      </w:r>
      <w:r w:rsidR="00DD254A">
        <w:t xml:space="preserve">item </w:t>
      </w:r>
      <w:r w:rsidR="00594BED">
        <w:t>which has been included in the Final Settlement Statement</w:t>
      </w:r>
      <w:r w:rsidRPr="000E1DAE">
        <w:t>.</w:t>
      </w:r>
    </w:p>
    <w:p w14:paraId="01260DD6" w14:textId="13A9136F" w:rsidR="00D34F1F" w:rsidRPr="000E1DAE" w:rsidRDefault="00D34F1F" w:rsidP="005B295A">
      <w:pPr>
        <w:pStyle w:val="Heading4"/>
      </w:pPr>
      <w:bookmarkStart w:id="431" w:name="_Ref526880170"/>
      <w:bookmarkStart w:id="432" w:name="_Toc1116554"/>
      <w:bookmarkStart w:id="433" w:name="_Toc1548280"/>
      <w:r w:rsidRPr="000E1DAE">
        <w:t xml:space="preserve">The Market Operator and the Market Participant shall make reasonable efforts </w:t>
      </w:r>
      <w:r>
        <w:t xml:space="preserve">to mutually </w:t>
      </w:r>
      <w:r w:rsidRPr="000E1DAE">
        <w:t xml:space="preserve">settle the </w:t>
      </w:r>
      <w:r w:rsidR="00DA49DE">
        <w:t>matter</w:t>
      </w:r>
      <w:r w:rsidR="003A0D05" w:rsidRPr="000E1DAE">
        <w:t xml:space="preserve"> </w:t>
      </w:r>
      <w:r w:rsidRPr="000E1DAE">
        <w:t>within [</w:t>
      </w:r>
      <w:r w:rsidR="00AE1EA0">
        <w:t>20</w:t>
      </w:r>
      <w:r w:rsidRPr="000E1DAE">
        <w:t xml:space="preserve">] </w:t>
      </w:r>
      <w:r w:rsidR="003A0D05">
        <w:t>Business Days</w:t>
      </w:r>
      <w:r w:rsidRPr="000E1DAE">
        <w:t xml:space="preserve"> after the </w:t>
      </w:r>
      <w:r w:rsidR="00DA49DE">
        <w:t>challenge</w:t>
      </w:r>
      <w:r w:rsidR="00DA49DE" w:rsidRPr="000E1DAE">
        <w:t xml:space="preserve"> </w:t>
      </w:r>
      <w:r w:rsidRPr="000E1DAE">
        <w:t>is submitted to the Market Operator</w:t>
      </w:r>
      <w:r w:rsidR="00DA49DE">
        <w:t xml:space="preserve"> as per</w:t>
      </w:r>
      <w:r w:rsidRPr="000E1DAE">
        <w:t xml:space="preserve"> dispute resolution mechanism </w:t>
      </w:r>
      <w:r w:rsidR="00DA49DE">
        <w:t>provided in</w:t>
      </w:r>
      <w:r w:rsidRPr="000E1DAE">
        <w:t xml:space="preserve"> </w:t>
      </w:r>
      <w:bookmarkEnd w:id="431"/>
      <w:bookmarkEnd w:id="432"/>
      <w:bookmarkEnd w:id="433"/>
      <w:r>
        <w:fldChar w:fldCharType="begin"/>
      </w:r>
      <w:r>
        <w:instrText xml:space="preserve"> REF _Ref54986427 \r \h </w:instrText>
      </w:r>
      <w:r>
        <w:fldChar w:fldCharType="separate"/>
      </w:r>
      <w:r w:rsidR="00251DBF">
        <w:t>Chapter 15</w:t>
      </w:r>
      <w:r>
        <w:fldChar w:fldCharType="end"/>
      </w:r>
      <w:r w:rsidRPr="000E1DAE">
        <w:t>.</w:t>
      </w:r>
    </w:p>
    <w:p w14:paraId="2BED6E69" w14:textId="77777777" w:rsidR="00D34F1F" w:rsidRPr="006556B5" w:rsidRDefault="00D34F1F" w:rsidP="00D34F1F">
      <w:pPr>
        <w:pStyle w:val="Heading3"/>
      </w:pPr>
      <w:bookmarkStart w:id="434" w:name="_Ref527014035"/>
      <w:bookmarkStart w:id="435" w:name="_Toc1548281"/>
      <w:r>
        <w:t>EXTRAORDINARY SETTLEMENTS</w:t>
      </w:r>
      <w:bookmarkEnd w:id="434"/>
      <w:bookmarkEnd w:id="435"/>
    </w:p>
    <w:p w14:paraId="3CF2D77B" w14:textId="441FC940" w:rsidR="00DA49DE" w:rsidRDefault="00DA49DE" w:rsidP="00AE1AD1">
      <w:pPr>
        <w:pStyle w:val="Heading4"/>
      </w:pPr>
      <w:bookmarkStart w:id="436" w:name="_Ref526881106"/>
      <w:bookmarkStart w:id="437" w:name="_Toc1116556"/>
      <w:bookmarkStart w:id="438" w:name="_Toc1548282"/>
      <w:r>
        <w:t>Market Operator</w:t>
      </w:r>
      <w:r w:rsidRPr="00150EE7">
        <w:t xml:space="preserve"> shall </w:t>
      </w:r>
      <w:r>
        <w:t>issue an Extraordinary Settlement Statement for a month, where</w:t>
      </w:r>
      <w:bookmarkEnd w:id="436"/>
      <w:bookmarkEnd w:id="437"/>
      <w:bookmarkEnd w:id="438"/>
      <w:r>
        <w:t>:</w:t>
      </w:r>
    </w:p>
    <w:p w14:paraId="0AF3DD10" w14:textId="68F86A24" w:rsidR="00D34F1F" w:rsidRPr="00294BC3" w:rsidRDefault="00D34F1F" w:rsidP="00DA49DE">
      <w:pPr>
        <w:pStyle w:val="Heading5"/>
      </w:pPr>
      <w:r w:rsidRPr="000E1DAE">
        <w:t xml:space="preserve"> </w:t>
      </w:r>
      <w:r w:rsidR="00DA49DE">
        <w:t xml:space="preserve">a </w:t>
      </w:r>
      <w:r w:rsidRPr="000E1DAE">
        <w:t xml:space="preserve">Market Participant and the Market Operator </w:t>
      </w:r>
      <w:r w:rsidR="00DA49DE">
        <w:t>settle</w:t>
      </w:r>
      <w:r w:rsidR="00DA49DE" w:rsidRPr="000E1DAE">
        <w:t xml:space="preserve"> </w:t>
      </w:r>
      <w:r w:rsidRPr="000E1DAE">
        <w:t xml:space="preserve">a </w:t>
      </w:r>
      <w:r w:rsidR="00DA49DE">
        <w:t>challenge</w:t>
      </w:r>
      <w:r w:rsidR="00DA49DE" w:rsidRPr="000E1DAE">
        <w:t xml:space="preserve"> </w:t>
      </w:r>
      <w:r w:rsidR="00DA49DE">
        <w:t xml:space="preserve">made under Clause </w:t>
      </w:r>
      <w:r w:rsidR="00B5771C">
        <w:rPr>
          <w:highlight w:val="yellow"/>
        </w:rPr>
        <w:fldChar w:fldCharType="begin"/>
      </w:r>
      <w:r w:rsidR="00B5771C">
        <w:instrText xml:space="preserve"> REF _Ref76901223 \r \h </w:instrText>
      </w:r>
      <w:r w:rsidR="00B5771C">
        <w:rPr>
          <w:highlight w:val="yellow"/>
        </w:rPr>
      </w:r>
      <w:r w:rsidR="00B5771C">
        <w:rPr>
          <w:highlight w:val="yellow"/>
        </w:rPr>
        <w:fldChar w:fldCharType="separate"/>
      </w:r>
      <w:r w:rsidR="00B5771C">
        <w:t>8.3.3.2</w:t>
      </w:r>
      <w:r w:rsidR="00B5771C">
        <w:rPr>
          <w:highlight w:val="yellow"/>
        </w:rPr>
        <w:fldChar w:fldCharType="end"/>
      </w:r>
      <w:r w:rsidR="00DA49DE">
        <w:t xml:space="preserve">, </w:t>
      </w:r>
      <w:r w:rsidRPr="000E1DAE">
        <w:t>in a</w:t>
      </w:r>
      <w:r w:rsidR="00DA49DE">
        <w:t>n amicable</w:t>
      </w:r>
      <w:r w:rsidRPr="000E1DAE">
        <w:t xml:space="preserve"> manner that </w:t>
      </w:r>
      <w:r w:rsidR="00DA49DE">
        <w:t xml:space="preserve">results in an amount which is different </w:t>
      </w:r>
      <w:r w:rsidRPr="00294BC3">
        <w:t xml:space="preserve">from the Final Settlement Statement; or </w:t>
      </w:r>
    </w:p>
    <w:p w14:paraId="3341EA30" w14:textId="495F9DB1" w:rsidR="00D34F1F" w:rsidRDefault="00DA49DE" w:rsidP="00AE1AD1">
      <w:pPr>
        <w:pStyle w:val="Heading5"/>
        <w:ind w:left="1440"/>
      </w:pPr>
      <w:r>
        <w:t>t</w:t>
      </w:r>
      <w:r w:rsidR="00D34F1F" w:rsidRPr="00294BC3">
        <w:t xml:space="preserve">he </w:t>
      </w:r>
      <w:r>
        <w:t xml:space="preserve">dispute is settled according to the dispute resolution mechanism which requires modification in the amounts included in the Final Settlement Statement. </w:t>
      </w:r>
    </w:p>
    <w:p w14:paraId="02C1F36E" w14:textId="01DE1F64" w:rsidR="00D34F1F" w:rsidRDefault="00D34F1F" w:rsidP="005B295A">
      <w:pPr>
        <w:pStyle w:val="Heading4"/>
      </w:pPr>
      <w:r>
        <w:t>The Extraordinary Settlement</w:t>
      </w:r>
      <w:r w:rsidR="006C5BBA">
        <w:t xml:space="preserve"> Statement</w:t>
      </w:r>
      <w:r>
        <w:t xml:space="preserve"> </w:t>
      </w:r>
      <w:r w:rsidR="00B5771C">
        <w:t>shall</w:t>
      </w:r>
      <w:r>
        <w:t xml:space="preserve"> supersede the issued Final Settlement Statement for such month. </w:t>
      </w:r>
    </w:p>
    <w:p w14:paraId="65A47B15" w14:textId="4271D620" w:rsidR="00D34F1F" w:rsidRDefault="00D34F1F" w:rsidP="005B295A">
      <w:pPr>
        <w:pStyle w:val="Heading4"/>
      </w:pPr>
      <w:r>
        <w:lastRenderedPageBreak/>
        <w:t xml:space="preserve">The Market Operator shall calculate, for each Market Participant, the difference between the Extraordinary Settlement Statement and the Final Settlement Statement originally issued according </w:t>
      </w:r>
      <w:r w:rsidR="006C5BBA">
        <w:t>to</w:t>
      </w:r>
      <w:r>
        <w:t xml:space="preserve"> </w:t>
      </w:r>
      <w:r w:rsidR="008C02F7">
        <w:t>Sub-Section</w:t>
      </w:r>
      <w:r>
        <w:t xml:space="preserve"> </w:t>
      </w:r>
      <w:r>
        <w:fldChar w:fldCharType="begin"/>
      </w:r>
      <w:r>
        <w:instrText xml:space="preserve"> REF _Ref59730941 \r \h </w:instrText>
      </w:r>
      <w:r>
        <w:fldChar w:fldCharType="separate"/>
      </w:r>
      <w:r w:rsidR="00251DBF">
        <w:t>8.2.1</w:t>
      </w:r>
      <w:r>
        <w:fldChar w:fldCharType="end"/>
      </w:r>
      <w:r>
        <w:t xml:space="preserve">, and it will include the corresponding </w:t>
      </w:r>
      <w:r w:rsidRPr="00150EE7">
        <w:t>correction</w:t>
      </w:r>
      <w:r>
        <w:t>s</w:t>
      </w:r>
      <w:r w:rsidRPr="00150EE7">
        <w:t xml:space="preserve"> in the </w:t>
      </w:r>
      <w:r w:rsidR="00017550">
        <w:t xml:space="preserve">Preliminary and </w:t>
      </w:r>
      <w:r w:rsidRPr="00150EE7">
        <w:t xml:space="preserve">Final Settlement Statement of the month </w:t>
      </w:r>
      <w:r>
        <w:t xml:space="preserve">immediately </w:t>
      </w:r>
      <w:r w:rsidRPr="00150EE7">
        <w:t xml:space="preserve">after the </w:t>
      </w:r>
      <w:r w:rsidR="006C5BBA">
        <w:t>issuance of the Extraordinary Settlement Statement</w:t>
      </w:r>
      <w:r w:rsidRPr="00150EE7">
        <w:t>.</w:t>
      </w:r>
    </w:p>
    <w:p w14:paraId="7212B057" w14:textId="6A8E2B34" w:rsidR="00D34F1F" w:rsidRPr="006556B5" w:rsidRDefault="00D34F1F" w:rsidP="00D34F1F">
      <w:pPr>
        <w:pStyle w:val="Heading3"/>
      </w:pPr>
      <w:bookmarkStart w:id="439" w:name="_Toc1548285"/>
      <w:r>
        <w:t xml:space="preserve">FAILURE OF THE </w:t>
      </w:r>
      <w:r w:rsidR="00AE1EA0">
        <w:t xml:space="preserve">Market </w:t>
      </w:r>
      <w:r>
        <w:t>SETTLEMENT SYSTEM</w:t>
      </w:r>
      <w:bookmarkEnd w:id="439"/>
    </w:p>
    <w:p w14:paraId="5203F709" w14:textId="3264B899" w:rsidR="00D34F1F" w:rsidRPr="00EF2E17" w:rsidRDefault="00D34F1F" w:rsidP="005B295A">
      <w:pPr>
        <w:pStyle w:val="Heading4"/>
      </w:pPr>
      <w:bookmarkStart w:id="440" w:name="_Toc1116560"/>
      <w:bookmarkStart w:id="441" w:name="_Toc1548286"/>
      <w:r w:rsidRPr="00EF2E17">
        <w:t xml:space="preserve">In case of </w:t>
      </w:r>
      <w:r w:rsidR="006C5BBA">
        <w:t xml:space="preserve">an </w:t>
      </w:r>
      <w:r w:rsidRPr="00EF2E17">
        <w:t>emergenc</w:t>
      </w:r>
      <w:r w:rsidR="006C5BBA">
        <w:t>y</w:t>
      </w:r>
      <w:r w:rsidRPr="00EF2E17">
        <w:t xml:space="preserve"> or failure of the </w:t>
      </w:r>
      <w:r w:rsidR="00C17DA9">
        <w:t>Market S</w:t>
      </w:r>
      <w:r w:rsidRPr="00EF2E17">
        <w:t xml:space="preserve">ettlement </w:t>
      </w:r>
      <w:r w:rsidR="00C17DA9">
        <w:t>S</w:t>
      </w:r>
      <w:r w:rsidRPr="00EF2E17">
        <w:t xml:space="preserve">ystem, the Market Operator may issue an Estimated Settlement Statement </w:t>
      </w:r>
      <w:r w:rsidR="006C5BBA">
        <w:t>and may</w:t>
      </w:r>
      <w:r w:rsidRPr="00EF2E17">
        <w:t xml:space="preserve"> modify the schedule for issuing Preliminary Settlement Statements or Final Settlement Statements</w:t>
      </w:r>
      <w:r w:rsidR="006C5BBA">
        <w:t>, as the case may be</w:t>
      </w:r>
      <w:r w:rsidRPr="00EF2E17">
        <w:t>. In such cases, the Market Operator shall inform all Market Participants</w:t>
      </w:r>
      <w:r w:rsidR="006C5BBA">
        <w:t xml:space="preserve"> and Service Providers</w:t>
      </w:r>
      <w:r w:rsidRPr="00EF2E17">
        <w:t xml:space="preserve"> the temporary procedural changes as soon as </w:t>
      </w:r>
      <w:r w:rsidR="006C5BBA">
        <w:t>possible</w:t>
      </w:r>
      <w:r w:rsidRPr="00EF2E17">
        <w:t>.</w:t>
      </w:r>
      <w:bookmarkEnd w:id="440"/>
      <w:bookmarkEnd w:id="441"/>
    </w:p>
    <w:p w14:paraId="7D28F0CD" w14:textId="5CCD9D7C" w:rsidR="00D34F1F" w:rsidRDefault="008E7D79" w:rsidP="00D34F1F">
      <w:pPr>
        <w:pStyle w:val="Heading2"/>
      </w:pPr>
      <w:bookmarkStart w:id="442" w:name="_Toc64846692"/>
      <w:bookmarkStart w:id="443" w:name="_Toc69476990"/>
      <w:r>
        <w:t xml:space="preserve">Debit </w:t>
      </w:r>
      <w:r w:rsidR="00D34F1F">
        <w:t xml:space="preserve">and </w:t>
      </w:r>
      <w:bookmarkEnd w:id="442"/>
      <w:bookmarkEnd w:id="443"/>
      <w:r w:rsidR="00376315">
        <w:t>Credit Notifications</w:t>
      </w:r>
    </w:p>
    <w:p w14:paraId="26AAF531" w14:textId="77777777" w:rsidR="00D34F1F" w:rsidRPr="007531D9" w:rsidRDefault="00D34F1F" w:rsidP="00D34F1F">
      <w:pPr>
        <w:pStyle w:val="Heading3"/>
      </w:pPr>
      <w:r>
        <w:t>Notifications to Market Participants</w:t>
      </w:r>
    </w:p>
    <w:p w14:paraId="078D1113" w14:textId="571F80E0" w:rsidR="00D34F1F" w:rsidRPr="00EF2E17" w:rsidRDefault="005B2B51" w:rsidP="005B295A">
      <w:pPr>
        <w:pStyle w:val="Heading4"/>
      </w:pPr>
      <w:bookmarkStart w:id="444" w:name="_Toc1116562"/>
      <w:bookmarkStart w:id="445" w:name="_Toc1548288"/>
      <w:bookmarkStart w:id="446" w:name="_Ref60769952"/>
      <w:r>
        <w:t xml:space="preserve">Subject to Clause </w:t>
      </w:r>
      <w:r>
        <w:fldChar w:fldCharType="begin"/>
      </w:r>
      <w:r>
        <w:instrText xml:space="preserve"> REF _Ref76983985 \r \h </w:instrText>
      </w:r>
      <w:r>
        <w:fldChar w:fldCharType="separate"/>
      </w:r>
      <w:r>
        <w:t>8.4.3.1</w:t>
      </w:r>
      <w:r>
        <w:fldChar w:fldCharType="end"/>
      </w:r>
      <w:r>
        <w:t xml:space="preserve">, </w:t>
      </w:r>
      <w:r w:rsidR="00D34F1F" w:rsidRPr="00EF2E17">
        <w:t xml:space="preserve">The Market Operator, within </w:t>
      </w:r>
      <w:r w:rsidR="00376315">
        <w:t>[</w:t>
      </w:r>
      <w:r w:rsidR="00011589">
        <w:t>2</w:t>
      </w:r>
      <w:r w:rsidR="00376315">
        <w:t>]</w:t>
      </w:r>
      <w:r w:rsidR="00011589">
        <w:t xml:space="preserve"> </w:t>
      </w:r>
      <w:r w:rsidR="00376315">
        <w:t>Business Days</w:t>
      </w:r>
      <w:r w:rsidR="00D34F1F" w:rsidRPr="00EF2E17">
        <w:t xml:space="preserve"> after issuance of the Final Settlement Statement, shall:</w:t>
      </w:r>
      <w:bookmarkEnd w:id="444"/>
      <w:bookmarkEnd w:id="445"/>
      <w:bookmarkEnd w:id="446"/>
    </w:p>
    <w:p w14:paraId="49D4C930" w14:textId="5DDAC37F" w:rsidR="00D34F1F" w:rsidRPr="00EF2E17" w:rsidRDefault="00376315" w:rsidP="00B03234">
      <w:pPr>
        <w:pStyle w:val="Heading5"/>
      </w:pPr>
      <w:r>
        <w:t>i</w:t>
      </w:r>
      <w:r w:rsidR="00D34F1F" w:rsidRPr="00EF2E17">
        <w:t xml:space="preserve">ssue a </w:t>
      </w:r>
      <w:bookmarkStart w:id="447" w:name="_Hlk66263638"/>
      <w:r w:rsidR="008E7D79">
        <w:t>Debit Notification</w:t>
      </w:r>
      <w:r w:rsidR="00D34F1F" w:rsidRPr="00EF2E17">
        <w:t xml:space="preserve"> </w:t>
      </w:r>
      <w:bookmarkEnd w:id="447"/>
      <w:r w:rsidR="00D34F1F" w:rsidRPr="00EF2E17">
        <w:t xml:space="preserve">in respect of the previous month to all Market Participants </w:t>
      </w:r>
      <w:r>
        <w:t>who are liable to pay an amount as per the</w:t>
      </w:r>
      <w:r w:rsidR="00D34F1F" w:rsidRPr="00EF2E17">
        <w:t xml:space="preserve"> Final Settlement.</w:t>
      </w:r>
    </w:p>
    <w:p w14:paraId="033714A0" w14:textId="53518197" w:rsidR="00D34F1F" w:rsidRDefault="00D34F1F" w:rsidP="00B03234">
      <w:pPr>
        <w:pStyle w:val="Heading5"/>
      </w:pPr>
      <w:r w:rsidRPr="00EF2E17">
        <w:t xml:space="preserve">Issue a </w:t>
      </w:r>
      <w:bookmarkStart w:id="448" w:name="_Hlk66263659"/>
      <w:r w:rsidRPr="00EF2E17">
        <w:t xml:space="preserve">Credit Notification </w:t>
      </w:r>
      <w:bookmarkEnd w:id="448"/>
      <w:r w:rsidRPr="00EF2E17">
        <w:t xml:space="preserve">in respect of the previous month to all Market Participants </w:t>
      </w:r>
      <w:r w:rsidR="00376315">
        <w:t>who will receive a payment as per the</w:t>
      </w:r>
      <w:r w:rsidRPr="00EF2E17">
        <w:t xml:space="preserve"> Final Settlement Statement.</w:t>
      </w:r>
    </w:p>
    <w:p w14:paraId="731EFDF6" w14:textId="3FBE070B" w:rsidR="00D34F1F" w:rsidRPr="00507512" w:rsidRDefault="00D34F1F" w:rsidP="005B295A">
      <w:pPr>
        <w:pStyle w:val="Heading4"/>
      </w:pPr>
      <w:bookmarkStart w:id="449" w:name="_Toc1116563"/>
      <w:bookmarkStart w:id="450" w:name="_Toc1548289"/>
      <w:r w:rsidRPr="00507512">
        <w:t xml:space="preserve">The Market Operator, in this process, shall act as an independent entity, without assuming </w:t>
      </w:r>
      <w:r w:rsidR="00376315">
        <w:t xml:space="preserve">any </w:t>
      </w:r>
      <w:r w:rsidRPr="00507512">
        <w:t>payment responsibilit</w:t>
      </w:r>
      <w:r w:rsidR="00376315">
        <w:t>y</w:t>
      </w:r>
      <w:r w:rsidRPr="00507512">
        <w:t xml:space="preserve">. Obligation of </w:t>
      </w:r>
      <w:r w:rsidR="00376315">
        <w:t>p</w:t>
      </w:r>
      <w:r w:rsidRPr="00507512">
        <w:t>ayment shall remain with the relevant Market Participants. For the avoidance of doubt, the Market Operator shall not be held liable for any kind of non-payment by any of the Market Participants.</w:t>
      </w:r>
      <w:bookmarkEnd w:id="449"/>
      <w:bookmarkEnd w:id="450"/>
    </w:p>
    <w:p w14:paraId="0701BD49" w14:textId="77777777" w:rsidR="00D34F1F" w:rsidRDefault="00D34F1F" w:rsidP="00D34F1F">
      <w:pPr>
        <w:pStyle w:val="Heading3"/>
      </w:pPr>
      <w:r>
        <w:t>Disagreements with the Notifications</w:t>
      </w:r>
    </w:p>
    <w:p w14:paraId="68C747C0" w14:textId="5F8934A3" w:rsidR="00D34F1F" w:rsidRDefault="00D34F1F" w:rsidP="005B295A">
      <w:pPr>
        <w:pStyle w:val="Heading4"/>
      </w:pPr>
      <w:bookmarkStart w:id="451" w:name="_Ref60770129"/>
      <w:r>
        <w:t xml:space="preserve">Each </w:t>
      </w:r>
      <w:r w:rsidR="00136176">
        <w:t>Market Participant</w:t>
      </w:r>
      <w:r>
        <w:t xml:space="preserve"> which receives a </w:t>
      </w:r>
      <w:r w:rsidR="00376315">
        <w:t xml:space="preserve">Debit </w:t>
      </w:r>
      <w:r>
        <w:t xml:space="preserve">or Credit Notification, as per clause </w:t>
      </w:r>
      <w:r>
        <w:fldChar w:fldCharType="begin"/>
      </w:r>
      <w:r>
        <w:instrText xml:space="preserve"> REF _Ref60769952 \r \h </w:instrText>
      </w:r>
      <w:r>
        <w:fldChar w:fldCharType="separate"/>
      </w:r>
      <w:r w:rsidR="00251DBF">
        <w:t>8.3.1.1</w:t>
      </w:r>
      <w:r>
        <w:fldChar w:fldCharType="end"/>
      </w:r>
      <w:r>
        <w:t xml:space="preserve"> above, shall pay </w:t>
      </w:r>
      <w:r w:rsidR="00376315">
        <w:t>the required amount</w:t>
      </w:r>
      <w:r>
        <w:t xml:space="preserve">, and shall be entitled to receive </w:t>
      </w:r>
      <w:r w:rsidR="00376315">
        <w:t>the amo</w:t>
      </w:r>
      <w:r w:rsidR="00C41E66">
        <w:t>u</w:t>
      </w:r>
      <w:r w:rsidR="00376315">
        <w:t>nt</w:t>
      </w:r>
      <w:r>
        <w:t>, shown in the Final Settlement Statement</w:t>
      </w:r>
      <w:r w:rsidR="00C41E66">
        <w:t>,</w:t>
      </w:r>
      <w:r>
        <w:t xml:space="preserve"> on the </w:t>
      </w:r>
      <w:r w:rsidR="008E7D79">
        <w:t>Payment Due Date</w:t>
      </w:r>
      <w:r>
        <w:t xml:space="preserve">, whether or not there is any dispute regarding the </w:t>
      </w:r>
      <w:r w:rsidR="00C41E66">
        <w:t>A</w:t>
      </w:r>
      <w:r>
        <w:t xml:space="preserve">mount </w:t>
      </w:r>
      <w:r w:rsidR="00C41E66">
        <w:t>Payable or</w:t>
      </w:r>
      <w:r>
        <w:t xml:space="preserve"> the </w:t>
      </w:r>
      <w:r w:rsidR="00C41E66">
        <w:t>Amount Receivable</w:t>
      </w:r>
      <w:r>
        <w:t>.</w:t>
      </w:r>
      <w:bookmarkEnd w:id="451"/>
      <w:r>
        <w:t xml:space="preserve">  </w:t>
      </w:r>
    </w:p>
    <w:p w14:paraId="04284FBF" w14:textId="1EA29753" w:rsidR="00D34F1F" w:rsidRDefault="00D34F1F" w:rsidP="005B295A">
      <w:pPr>
        <w:pStyle w:val="Heading4"/>
      </w:pPr>
      <w:r w:rsidRPr="00507512">
        <w:t xml:space="preserve">The payment of the amount by the Market Participant or the Market Operator, as the case may be, pursuant to clause </w:t>
      </w:r>
      <w:r w:rsidRPr="00507512">
        <w:fldChar w:fldCharType="begin"/>
      </w:r>
      <w:r w:rsidRPr="00507512">
        <w:instrText xml:space="preserve"> REF _Ref60770129 \r \h </w:instrText>
      </w:r>
      <w:r>
        <w:instrText xml:space="preserve"> \* MERGEFORMAT </w:instrText>
      </w:r>
      <w:r w:rsidRPr="00507512">
        <w:fldChar w:fldCharType="separate"/>
      </w:r>
      <w:r w:rsidR="00251DBF">
        <w:t>8.3.2.1</w:t>
      </w:r>
      <w:r w:rsidRPr="00507512">
        <w:fldChar w:fldCharType="end"/>
      </w:r>
      <w:r w:rsidRPr="00507512">
        <w:t xml:space="preserve"> shall not prejudice the right of the </w:t>
      </w:r>
      <w:r w:rsidR="00CD7705">
        <w:t xml:space="preserve">Market </w:t>
      </w:r>
      <w:r w:rsidRPr="00507512">
        <w:t xml:space="preserve">Participant to seek resolution of the dispute pursuant to </w:t>
      </w:r>
      <w:r w:rsidRPr="00507512">
        <w:fldChar w:fldCharType="begin"/>
      </w:r>
      <w:r w:rsidRPr="00507512">
        <w:instrText xml:space="preserve"> REF _Ref54986427 \r \h </w:instrText>
      </w:r>
      <w:r>
        <w:instrText xml:space="preserve"> \* MERGEFORMAT </w:instrText>
      </w:r>
      <w:r w:rsidRPr="00507512">
        <w:fldChar w:fldCharType="separate"/>
      </w:r>
      <w:r w:rsidR="00251DBF">
        <w:t>Chapter 15</w:t>
      </w:r>
      <w:r w:rsidRPr="00507512">
        <w:fldChar w:fldCharType="end"/>
      </w:r>
      <w:r w:rsidRPr="00507512">
        <w:t>.</w:t>
      </w:r>
    </w:p>
    <w:p w14:paraId="33E63B95" w14:textId="77777777" w:rsidR="005B2B51" w:rsidRDefault="005B2B51" w:rsidP="005B2B51">
      <w:pPr>
        <w:pStyle w:val="Heading3"/>
      </w:pPr>
      <w:r>
        <w:t>Payments by Electric Power Suppliers involved in Legacy Contracts</w:t>
      </w:r>
    </w:p>
    <w:p w14:paraId="22889A33" w14:textId="1F0FF048" w:rsidR="005B2B51" w:rsidRDefault="005B2B51" w:rsidP="005B2B51">
      <w:pPr>
        <w:pStyle w:val="Heading4"/>
      </w:pPr>
      <w:bookmarkStart w:id="452" w:name="_Ref76983985"/>
      <w:r>
        <w:t xml:space="preserve">Any </w:t>
      </w:r>
      <w:r w:rsidR="00670CA6">
        <w:t>a</w:t>
      </w:r>
      <w:r>
        <w:t xml:space="preserve">mount </w:t>
      </w:r>
      <w:r w:rsidR="00670CA6">
        <w:t>chargeable</w:t>
      </w:r>
      <w:r>
        <w:t xml:space="preserve"> or </w:t>
      </w:r>
      <w:r w:rsidR="00670CA6">
        <w:t>a</w:t>
      </w:r>
      <w:r>
        <w:t xml:space="preserve">mount </w:t>
      </w:r>
      <w:r w:rsidR="00670CA6">
        <w:t>r</w:t>
      </w:r>
      <w:r>
        <w:t>ec</w:t>
      </w:r>
      <w:r w:rsidR="00670CA6">
        <w:t>over</w:t>
      </w:r>
      <w:r>
        <w:t>able that arise due the Settlement of Legacy Contracts (Imbalances, Ancillary Services and Must Run Generation charges) shall be distributed among all EX-WAPDA DISCOs and KE proportional to their Energy purchased up to the cap set for the share of each EX-WAPDA DISCOs and KE in the Legacy Contracts.</w:t>
      </w:r>
      <w:bookmarkEnd w:id="452"/>
    </w:p>
    <w:p w14:paraId="5735540C" w14:textId="71D1B2B0" w:rsidR="005B2B51" w:rsidRPr="003018FA" w:rsidRDefault="005B2B51" w:rsidP="00B03C4A">
      <w:pPr>
        <w:pStyle w:val="BodyText"/>
      </w:pPr>
      <w:r>
        <w:t>.</w:t>
      </w:r>
    </w:p>
    <w:p w14:paraId="0F5C0823" w14:textId="6D7F25AC" w:rsidR="00B245F9" w:rsidRPr="00A40A5D" w:rsidRDefault="00D34F1F" w:rsidP="00A40A5D">
      <w:pPr>
        <w:pStyle w:val="Heading1"/>
      </w:pPr>
      <w:r>
        <w:br w:type="page"/>
      </w:r>
      <w:bookmarkStart w:id="453" w:name="_Toc64846693"/>
      <w:bookmarkStart w:id="454" w:name="_Toc69476991"/>
      <w:r w:rsidR="00B245F9" w:rsidRPr="00A40A5D">
        <w:lastRenderedPageBreak/>
        <w:t>FIRM CAPACITY CERTIFICATION</w:t>
      </w:r>
      <w:bookmarkEnd w:id="453"/>
      <w:bookmarkEnd w:id="454"/>
    </w:p>
    <w:p w14:paraId="0F2FA948" w14:textId="7167874C" w:rsidR="00FB251F" w:rsidRDefault="00FB251F" w:rsidP="00B245F9">
      <w:pPr>
        <w:pStyle w:val="Heading2"/>
      </w:pPr>
      <w:bookmarkStart w:id="455" w:name="_Toc64846694"/>
      <w:bookmarkStart w:id="456" w:name="_Toc69476992"/>
      <w:r>
        <w:t>Purpose</w:t>
      </w:r>
    </w:p>
    <w:p w14:paraId="2BBE618D" w14:textId="713104D6" w:rsidR="00FB251F" w:rsidRPr="003018FA" w:rsidRDefault="00FB251F" w:rsidP="00B03C4A">
      <w:pPr>
        <w:pStyle w:val="Heading4"/>
      </w:pPr>
      <w:r>
        <w:t xml:space="preserve">The purpose of this Chapter is to provide a procedure for administration of the certification </w:t>
      </w:r>
      <w:r w:rsidR="002F04D7">
        <w:t xml:space="preserve">process </w:t>
      </w:r>
      <w:r>
        <w:t>of Firm Capacity for Generators and Imports.</w:t>
      </w:r>
    </w:p>
    <w:p w14:paraId="58B0DC23" w14:textId="5E940239" w:rsidR="00B245F9" w:rsidRPr="00B26419" w:rsidRDefault="00B245F9" w:rsidP="00B245F9">
      <w:pPr>
        <w:pStyle w:val="Heading2"/>
      </w:pPr>
      <w:r w:rsidRPr="00B26419">
        <w:t>Procedure for Firm Capacity Certification</w:t>
      </w:r>
      <w:bookmarkEnd w:id="455"/>
      <w:bookmarkEnd w:id="456"/>
    </w:p>
    <w:p w14:paraId="13FA181D" w14:textId="77777777" w:rsidR="00B245F9" w:rsidRPr="00C15F68" w:rsidRDefault="00B245F9" w:rsidP="00B245F9">
      <w:pPr>
        <w:pStyle w:val="Heading3"/>
      </w:pPr>
      <w:r w:rsidRPr="00C15F68">
        <w:t>Characteristics of Firm Capacity Certificates</w:t>
      </w:r>
    </w:p>
    <w:p w14:paraId="7C7BCB80" w14:textId="5701068D" w:rsidR="00B245F9" w:rsidRDefault="00C41E66" w:rsidP="005B295A">
      <w:pPr>
        <w:pStyle w:val="Heading4"/>
      </w:pPr>
      <w:r>
        <w:t xml:space="preserve">A </w:t>
      </w:r>
      <w:r w:rsidR="00B245F9" w:rsidRPr="00C15F68">
        <w:t xml:space="preserve">Firm Capacity Certificate, issued by the Market Operator, </w:t>
      </w:r>
      <w:r>
        <w:t>shall</w:t>
      </w:r>
      <w:r w:rsidRPr="00C15F68">
        <w:t xml:space="preserve"> </w:t>
      </w:r>
      <w:r w:rsidR="00B245F9" w:rsidRPr="00C15F68">
        <w:t xml:space="preserve">have a nominal value of 0.1 MW, and </w:t>
      </w:r>
      <w:r w:rsidR="00F83E53">
        <w:t>may</w:t>
      </w:r>
      <w:r w:rsidR="002F50FC">
        <w:t xml:space="preserve"> not</w:t>
      </w:r>
      <w:r w:rsidR="002F50FC" w:rsidRPr="00C15F68">
        <w:t xml:space="preserve"> </w:t>
      </w:r>
      <w:r w:rsidR="00B245F9" w:rsidRPr="00C15F68">
        <w:t>be subdivided</w:t>
      </w:r>
      <w:r w:rsidR="002F50FC">
        <w:t xml:space="preserve"> further</w:t>
      </w:r>
      <w:r w:rsidR="00B245F9" w:rsidRPr="00C15F68">
        <w:t xml:space="preserve">. </w:t>
      </w:r>
    </w:p>
    <w:p w14:paraId="343AEBD5" w14:textId="0F3DE175" w:rsidR="00B245F9" w:rsidRPr="00C15F68" w:rsidRDefault="00B245F9" w:rsidP="005B295A">
      <w:pPr>
        <w:pStyle w:val="Heading4"/>
      </w:pPr>
      <w:r>
        <w:t>Each Firm Capacity Certificate shall have a unique identification number which will be used to register</w:t>
      </w:r>
      <w:r w:rsidR="002F50FC">
        <w:t xml:space="preserve"> and track </w:t>
      </w:r>
      <w:r>
        <w:t>Capacity transactions among Market Participants.</w:t>
      </w:r>
    </w:p>
    <w:p w14:paraId="53760772" w14:textId="53FF0D96" w:rsidR="00B245F9" w:rsidRPr="00B26419" w:rsidRDefault="00F83E53" w:rsidP="00B245F9">
      <w:pPr>
        <w:pStyle w:val="Heading3"/>
      </w:pPr>
      <w:r>
        <w:t>Requirement</w:t>
      </w:r>
      <w:r w:rsidRPr="00C15F68">
        <w:t xml:space="preserve"> </w:t>
      </w:r>
      <w:r w:rsidR="00B245F9" w:rsidRPr="00C15F68">
        <w:t>of</w:t>
      </w:r>
      <w:r w:rsidR="00B245F9" w:rsidRPr="00B26419">
        <w:t xml:space="preserve"> </w:t>
      </w:r>
      <w:r w:rsidR="00B245F9">
        <w:t>Having Firm</w:t>
      </w:r>
      <w:r w:rsidR="00B245F9" w:rsidRPr="00B26419">
        <w:t xml:space="preserve"> Capacity Certificates</w:t>
      </w:r>
    </w:p>
    <w:p w14:paraId="72087BAD" w14:textId="5DE3AA3B" w:rsidR="00B245F9" w:rsidRDefault="002F50FC" w:rsidP="005B295A">
      <w:pPr>
        <w:pStyle w:val="Heading4"/>
      </w:pPr>
      <w:r>
        <w:t xml:space="preserve">A </w:t>
      </w:r>
      <w:r w:rsidR="00B245F9">
        <w:t xml:space="preserve">Generator </w:t>
      </w:r>
      <w:r w:rsidRPr="002F50FC">
        <w:t>interested to</w:t>
      </w:r>
      <w:r>
        <w:t xml:space="preserve"> </w:t>
      </w:r>
      <w:r w:rsidR="00DD254A">
        <w:t xml:space="preserve">sell </w:t>
      </w:r>
      <w:r w:rsidR="00DD254A" w:rsidRPr="00DD254A">
        <w:t>C</w:t>
      </w:r>
      <w:r w:rsidR="00B245F9" w:rsidRPr="00DD254A">
        <w:t>apacity</w:t>
      </w:r>
      <w:r w:rsidR="00B245F9">
        <w:t xml:space="preserve"> in the </w:t>
      </w:r>
      <w:r w:rsidR="009A50BE">
        <w:t>Market</w:t>
      </w:r>
      <w:r w:rsidR="00B245F9">
        <w:t xml:space="preserve"> shall obtain Firm Capacity Certificates </w:t>
      </w:r>
      <w:r>
        <w:t xml:space="preserve">from </w:t>
      </w:r>
      <w:r w:rsidR="00B245F9">
        <w:t xml:space="preserve">the Market Operator </w:t>
      </w:r>
      <w:r>
        <w:t>for its</w:t>
      </w:r>
      <w:r w:rsidR="00B245F9">
        <w:t xml:space="preserve"> Physical Asset</w:t>
      </w:r>
      <w:r>
        <w:t>s, p</w:t>
      </w:r>
      <w:r w:rsidR="00D77031">
        <w:t xml:space="preserve">rovided that </w:t>
      </w:r>
      <w:r>
        <w:t xml:space="preserve">a </w:t>
      </w:r>
      <w:r w:rsidR="00D77031">
        <w:t xml:space="preserve">Generator </w:t>
      </w:r>
      <w:r>
        <w:t>may</w:t>
      </w:r>
      <w:r w:rsidR="00D77031">
        <w:t xml:space="preserve"> </w:t>
      </w:r>
      <w:r w:rsidR="000A450B">
        <w:t>be represented by a Market Participant to obtain such certificates for its Physical Assets.</w:t>
      </w:r>
      <w:r>
        <w:t xml:space="preserve"> In absence of such certification, the Firm Capacity allocated, to a Generator or a Market Participant which represent</w:t>
      </w:r>
      <w:r w:rsidR="000A450B">
        <w:t>s a</w:t>
      </w:r>
      <w:r>
        <w:t xml:space="preserve"> Generator, shall be considered zero</w:t>
      </w:r>
      <w:r w:rsidR="000A450B">
        <w:t xml:space="preserve"> MW</w:t>
      </w:r>
      <w:r>
        <w:t>.</w:t>
      </w:r>
    </w:p>
    <w:p w14:paraId="4A7D7ED4" w14:textId="27309C29" w:rsidR="00B245F9" w:rsidRDefault="003D1DC4" w:rsidP="005B295A">
      <w:pPr>
        <w:pStyle w:val="Heading4"/>
      </w:pPr>
      <w:r>
        <w:t>A Market Participant</w:t>
      </w:r>
      <w:r w:rsidR="00B245F9">
        <w:t xml:space="preserve"> which ha</w:t>
      </w:r>
      <w:r>
        <w:t xml:space="preserve">s executed a </w:t>
      </w:r>
      <w:r w:rsidR="000A450B">
        <w:t xml:space="preserve">Contract for </w:t>
      </w:r>
      <w:r w:rsidR="00B245F9">
        <w:t xml:space="preserve">Import </w:t>
      </w:r>
      <w:r w:rsidR="000A450B">
        <w:t xml:space="preserve">of </w:t>
      </w:r>
      <w:r w:rsidR="00B245F9">
        <w:t xml:space="preserve">Energy or Capacity may also obtain Firm Capacity Certificates, subject to the </w:t>
      </w:r>
      <w:r>
        <w:t>conditions as laid down below</w:t>
      </w:r>
      <w:r w:rsidR="00B245F9">
        <w:t xml:space="preserve">.    </w:t>
      </w:r>
    </w:p>
    <w:p w14:paraId="3E1A3A98" w14:textId="23ED0F6C" w:rsidR="00B245F9" w:rsidRDefault="000A450B" w:rsidP="00AE1AD1">
      <w:pPr>
        <w:pStyle w:val="Heading4"/>
      </w:pPr>
      <w:r>
        <w:t>A Market Participant may sell Capacity through registered Contracts up to the</w:t>
      </w:r>
      <w:r w:rsidR="00B245F9">
        <w:t xml:space="preserve"> </w:t>
      </w:r>
      <w:r>
        <w:t>quantity included in its</w:t>
      </w:r>
      <w:r w:rsidR="00B245F9">
        <w:t xml:space="preserve"> Firm Capacity Certificates. </w:t>
      </w:r>
    </w:p>
    <w:p w14:paraId="282B657B" w14:textId="622D386A" w:rsidR="00F83E53" w:rsidRPr="004678B7" w:rsidRDefault="00F83E53" w:rsidP="00F83E53">
      <w:pPr>
        <w:pStyle w:val="Heading2"/>
      </w:pPr>
      <w:r>
        <w:t xml:space="preserve">issuance </w:t>
      </w:r>
      <w:r w:rsidRPr="004678B7">
        <w:t>of Firm Capacity Certificates</w:t>
      </w:r>
    </w:p>
    <w:p w14:paraId="23E0F7F3" w14:textId="77777777" w:rsidR="00F83E53" w:rsidRDefault="00F83E53" w:rsidP="00F83E53">
      <w:pPr>
        <w:pStyle w:val="Heading4"/>
      </w:pPr>
      <w:r>
        <w:t xml:space="preserve">The Market Operator shall issue the Firm Capacity Certificates, after registering them in the Firm Capacity Register. The number of Firm Capacity Certificates shall be calculated as the Firm Capacity in MW, certified during the certification process, multiplied by 10.  </w:t>
      </w:r>
    </w:p>
    <w:p w14:paraId="0894FE12" w14:textId="1B930ECB" w:rsidR="00F83E53" w:rsidRDefault="00F83E53" w:rsidP="00F83E53">
      <w:pPr>
        <w:pStyle w:val="Heading4"/>
      </w:pPr>
      <w:r>
        <w:t>The Market Operator shall issue two types of Firm Capacity Certificates:</w:t>
      </w:r>
    </w:p>
    <w:p w14:paraId="56E3B561" w14:textId="77777777" w:rsidR="00F83E53" w:rsidRDefault="00F83E53" w:rsidP="00F83E53">
      <w:pPr>
        <w:pStyle w:val="Heading5"/>
      </w:pPr>
      <w:r>
        <w:t xml:space="preserve"> Temporary Firm Capacity Certificates</w:t>
      </w:r>
    </w:p>
    <w:p w14:paraId="78B236F5" w14:textId="153E87C3" w:rsidR="00F83E53" w:rsidRPr="00EA791E" w:rsidRDefault="00F83E53" w:rsidP="00F83E53">
      <w:pPr>
        <w:pStyle w:val="Heading5"/>
      </w:pPr>
      <w:r>
        <w:t xml:space="preserve"> Permanent Firm Capacity Certificates</w:t>
      </w:r>
      <w:r w:rsidR="003D1DC4">
        <w:t xml:space="preserve"> (for initial three years termed as Initial Firm Capacity Certificates)</w:t>
      </w:r>
      <w:r>
        <w:t>.</w:t>
      </w:r>
    </w:p>
    <w:p w14:paraId="67F34458" w14:textId="7C09E5EB" w:rsidR="00F83E53" w:rsidRDefault="00F83E53" w:rsidP="00F83E53">
      <w:pPr>
        <w:pStyle w:val="Heading4"/>
      </w:pPr>
      <w:r>
        <w:t xml:space="preserve">Temporary Firm Capacity Certificates are </w:t>
      </w:r>
      <w:r w:rsidR="003D1DC4">
        <w:t>such certificates</w:t>
      </w:r>
      <w:r>
        <w:t xml:space="preserve"> which may be issued at the request of a </w:t>
      </w:r>
      <w:r w:rsidR="003D1DC4">
        <w:t>Market Participant</w:t>
      </w:r>
      <w:r>
        <w:t xml:space="preserve"> or </w:t>
      </w:r>
      <w:r w:rsidR="003D1DC4">
        <w:t>a person</w:t>
      </w:r>
      <w:r>
        <w:t xml:space="preserve">, for a new </w:t>
      </w:r>
      <w:r w:rsidR="003D1DC4">
        <w:t xml:space="preserve">generation </w:t>
      </w:r>
      <w:r>
        <w:t>facility which fulfils any of the following requirements</w:t>
      </w:r>
      <w:r w:rsidR="003D1DC4">
        <w:t>:</w:t>
      </w:r>
      <w:r>
        <w:t xml:space="preserve"> </w:t>
      </w:r>
    </w:p>
    <w:p w14:paraId="7A91E12C" w14:textId="68EDADA9" w:rsidR="00F83E53" w:rsidRDefault="00F83E53" w:rsidP="00F83E53">
      <w:pPr>
        <w:pStyle w:val="Heading5"/>
      </w:pPr>
      <w:r>
        <w:t xml:space="preserve">Generation License </w:t>
      </w:r>
      <w:r w:rsidR="003D1DC4">
        <w:t xml:space="preserve">has been </w:t>
      </w:r>
      <w:r>
        <w:t xml:space="preserve">issued by the Authority or a formal </w:t>
      </w:r>
      <w:r w:rsidR="003D1DC4">
        <w:t>application has been submitted</w:t>
      </w:r>
      <w:r>
        <w:t xml:space="preserve"> </w:t>
      </w:r>
      <w:r w:rsidR="003D1DC4">
        <w:t>in this respect, if required</w:t>
      </w:r>
      <w:r>
        <w:t>;</w:t>
      </w:r>
    </w:p>
    <w:p w14:paraId="497842D4" w14:textId="0D2439CA" w:rsidR="00F83E53" w:rsidRDefault="003D1DC4" w:rsidP="00F83E53">
      <w:pPr>
        <w:pStyle w:val="Heading5"/>
      </w:pPr>
      <w:r>
        <w:t>documents</w:t>
      </w:r>
      <w:r w:rsidR="00F83E53">
        <w:t xml:space="preserve"> proving the acquisition or rental of the land for construction</w:t>
      </w:r>
      <w:r>
        <w:t xml:space="preserve"> of the Generation Plant</w:t>
      </w:r>
      <w:r w:rsidR="00F83E53">
        <w:t xml:space="preserve"> </w:t>
      </w:r>
      <w:r>
        <w:t>as well as the requisite</w:t>
      </w:r>
      <w:r w:rsidR="00F83E53">
        <w:t xml:space="preserve"> </w:t>
      </w:r>
      <w:r>
        <w:t xml:space="preserve">transmission </w:t>
      </w:r>
      <w:r w:rsidR="00F83E53">
        <w:t>lines;</w:t>
      </w:r>
    </w:p>
    <w:p w14:paraId="25A8A3F2" w14:textId="33E72CF1" w:rsidR="00F83E53" w:rsidRDefault="00F83E53" w:rsidP="00F83E53">
      <w:pPr>
        <w:pStyle w:val="Heading5"/>
      </w:pPr>
      <w:r>
        <w:lastRenderedPageBreak/>
        <w:t xml:space="preserve">authorizations and permits, issued by the </w:t>
      </w:r>
      <w:r w:rsidR="006E2EB6">
        <w:t>relevant entities</w:t>
      </w:r>
      <w:r>
        <w:t xml:space="preserve">, for the construction of the </w:t>
      </w:r>
      <w:r w:rsidR="006E2EB6">
        <w:t>Generation Plant</w:t>
      </w:r>
      <w:r>
        <w:t xml:space="preserve">; </w:t>
      </w:r>
    </w:p>
    <w:p w14:paraId="51A64817" w14:textId="2FFB34B0" w:rsidR="00F83E53" w:rsidRPr="005B295A" w:rsidRDefault="00F83E53" w:rsidP="00F83E53">
      <w:pPr>
        <w:pStyle w:val="Heading5"/>
        <w:rPr>
          <w:color w:val="auto"/>
        </w:rPr>
      </w:pPr>
      <w:r w:rsidRPr="005B295A">
        <w:rPr>
          <w:color w:val="auto"/>
        </w:rPr>
        <w:t xml:space="preserve">EPC </w:t>
      </w:r>
      <w:r>
        <w:rPr>
          <w:color w:val="auto"/>
        </w:rPr>
        <w:t>c</w:t>
      </w:r>
      <w:r w:rsidRPr="005B295A">
        <w:rPr>
          <w:color w:val="auto"/>
        </w:rPr>
        <w:t xml:space="preserve">ontracts, </w:t>
      </w:r>
      <w:r>
        <w:rPr>
          <w:color w:val="auto"/>
        </w:rPr>
        <w:t xml:space="preserve">clearly </w:t>
      </w:r>
      <w:r w:rsidRPr="005B295A">
        <w:rPr>
          <w:color w:val="auto"/>
        </w:rPr>
        <w:t>stat</w:t>
      </w:r>
      <w:r w:rsidR="006E2EB6">
        <w:rPr>
          <w:color w:val="auto"/>
        </w:rPr>
        <w:t>ing</w:t>
      </w:r>
      <w:r w:rsidRPr="005B295A">
        <w:rPr>
          <w:color w:val="auto"/>
        </w:rPr>
        <w:t xml:space="preserve"> the </w:t>
      </w:r>
      <w:r>
        <w:rPr>
          <w:color w:val="auto"/>
        </w:rPr>
        <w:t>project commissioning date</w:t>
      </w:r>
      <w:r w:rsidRPr="005B295A">
        <w:rPr>
          <w:color w:val="auto"/>
        </w:rPr>
        <w:t xml:space="preserve">; </w:t>
      </w:r>
      <w:r>
        <w:rPr>
          <w:color w:val="auto"/>
        </w:rPr>
        <w:t>or</w:t>
      </w:r>
    </w:p>
    <w:p w14:paraId="732877A3" w14:textId="696957ED" w:rsidR="00F83E53" w:rsidRPr="005B295A" w:rsidRDefault="006E2EB6" w:rsidP="00F83E53">
      <w:pPr>
        <w:pStyle w:val="Heading5"/>
        <w:rPr>
          <w:color w:val="auto"/>
        </w:rPr>
      </w:pPr>
      <w:r>
        <w:rPr>
          <w:color w:val="auto"/>
        </w:rPr>
        <w:t>a</w:t>
      </w:r>
      <w:r w:rsidR="00F83E53" w:rsidRPr="005B295A">
        <w:rPr>
          <w:color w:val="auto"/>
        </w:rPr>
        <w:t xml:space="preserve">ny other </w:t>
      </w:r>
      <w:r>
        <w:rPr>
          <w:color w:val="auto"/>
        </w:rPr>
        <w:t xml:space="preserve">relevant </w:t>
      </w:r>
      <w:r w:rsidR="00F83E53" w:rsidRPr="005B295A">
        <w:rPr>
          <w:color w:val="auto"/>
        </w:rPr>
        <w:t xml:space="preserve">document. </w:t>
      </w:r>
    </w:p>
    <w:p w14:paraId="7282ADE2" w14:textId="1B596BB3" w:rsidR="00F83E53" w:rsidRPr="002C6251" w:rsidRDefault="00F83E53" w:rsidP="00F83E53">
      <w:pPr>
        <w:pStyle w:val="Heading4"/>
      </w:pPr>
      <w:r>
        <w:t xml:space="preserve"> </w:t>
      </w:r>
      <w:r w:rsidRPr="005B295A">
        <w:t xml:space="preserve">The </w:t>
      </w:r>
      <w:r>
        <w:t>application for a Temporary Firm Capacity Certificate</w:t>
      </w:r>
      <w:r w:rsidRPr="005B295A">
        <w:t xml:space="preserve"> shall also contain a formal Capacity declaration signed by </w:t>
      </w:r>
      <w:r w:rsidR="006E2EB6">
        <w:t xml:space="preserve">the </w:t>
      </w:r>
      <w:r w:rsidRPr="005B295A">
        <w:t xml:space="preserve">authorized representative of </w:t>
      </w:r>
      <w:r w:rsidR="006E2EB6">
        <w:t>the applicant</w:t>
      </w:r>
      <w:r w:rsidRPr="005B295A">
        <w:t xml:space="preserve">. This declaration shall </w:t>
      </w:r>
      <w:r w:rsidR="006E2EB6">
        <w:t>clearly</w:t>
      </w:r>
      <w:r w:rsidRPr="005B295A">
        <w:t xml:space="preserve"> </w:t>
      </w:r>
      <w:r w:rsidR="006E2EB6">
        <w:t>state</w:t>
      </w:r>
      <w:r w:rsidRPr="005B295A">
        <w:t xml:space="preserve"> the Installed Capacity of the </w:t>
      </w:r>
      <w:r w:rsidR="006E2EB6">
        <w:t>Generation Plant</w:t>
      </w:r>
      <w:r w:rsidRPr="005B295A">
        <w:t xml:space="preserve">, expressed </w:t>
      </w:r>
      <w:r>
        <w:t xml:space="preserve">in </w:t>
      </w:r>
      <w:r w:rsidRPr="005B295A">
        <w:t>electrical megawatt [MWe].</w:t>
      </w:r>
    </w:p>
    <w:p w14:paraId="1A55B91B" w14:textId="46836A92" w:rsidR="00F83E53" w:rsidRDefault="006E2EB6" w:rsidP="00F83E53">
      <w:pPr>
        <w:pStyle w:val="Heading4"/>
      </w:pPr>
      <w:r>
        <w:t>Any person</w:t>
      </w:r>
      <w:r w:rsidR="00F83E53">
        <w:t xml:space="preserve"> owning a Temporary Firm Capacity Certificate </w:t>
      </w:r>
      <w:r>
        <w:t>may</w:t>
      </w:r>
      <w:r w:rsidR="00F83E53">
        <w:t xml:space="preserve"> use them for promotional or commercial </w:t>
      </w:r>
      <w:r w:rsidR="00F83E53" w:rsidRPr="00DA2CC4">
        <w:t>purposes and  for ex-ante verification of Capacity Obligations</w:t>
      </w:r>
      <w:r>
        <w:t xml:space="preserve"> of a Market Participant</w:t>
      </w:r>
      <w:r w:rsidR="00F83E53" w:rsidRPr="00DA2CC4">
        <w:t xml:space="preserve">, </w:t>
      </w:r>
      <w:r>
        <w:t>however, such certificates</w:t>
      </w:r>
      <w:r w:rsidR="00F83E53" w:rsidRPr="00DA2CC4">
        <w:t xml:space="preserve"> </w:t>
      </w:r>
      <w:r>
        <w:t>may not</w:t>
      </w:r>
      <w:r w:rsidR="00F83E53">
        <w:t xml:space="preserve"> be used to support Capacity transactions in a </w:t>
      </w:r>
      <w:r>
        <w:t xml:space="preserve">registered </w:t>
      </w:r>
      <w:r w:rsidR="00F83E53">
        <w:t xml:space="preserve">Contract. </w:t>
      </w:r>
    </w:p>
    <w:p w14:paraId="65AAF9FA" w14:textId="395A7908" w:rsidR="00F83E53" w:rsidRDefault="00F83E53" w:rsidP="00F83E53">
      <w:pPr>
        <w:pStyle w:val="Heading4"/>
      </w:pPr>
      <w:r>
        <w:t xml:space="preserve">The </w:t>
      </w:r>
      <w:commentRangeStart w:id="457"/>
      <w:r>
        <w:t xml:space="preserve">owners of a Temporary Firm Capacity </w:t>
      </w:r>
      <w:commentRangeEnd w:id="457"/>
      <w:r w:rsidR="00544A6E">
        <w:rPr>
          <w:rStyle w:val="CommentReference"/>
          <w:rFonts w:eastAsiaTheme="minorHAnsi" w:cstheme="minorBidi"/>
          <w:bCs w:val="0"/>
          <w:iCs w:val="0"/>
          <w:color w:val="1C1C1C"/>
        </w:rPr>
        <w:commentReference w:id="457"/>
      </w:r>
      <w:r>
        <w:t>Certificate shall submit an application to the Market Operator for its cancellation and issuance of a Permanent Firm Capacity Certificate</w:t>
      </w:r>
      <w:r w:rsidR="006E2EB6">
        <w:t xml:space="preserve"> (also termed as the Initial Firm Capacity Certificate)</w:t>
      </w:r>
      <w:r>
        <w:t xml:space="preserve"> not earlier than two months of the expected COD. </w:t>
      </w:r>
      <w:r w:rsidRPr="006E2EB6">
        <w:rPr>
          <w:highlight w:val="yellow"/>
        </w:rPr>
        <w:t xml:space="preserve">The procedure for requesting this change shall be described in the relevant </w:t>
      </w:r>
      <w:commentRangeStart w:id="458"/>
      <w:r w:rsidRPr="006E2EB6">
        <w:rPr>
          <w:highlight w:val="yellow"/>
        </w:rPr>
        <w:t>CCOP</w:t>
      </w:r>
      <w:commentRangeEnd w:id="458"/>
      <w:r w:rsidR="006E2EB6">
        <w:rPr>
          <w:rStyle w:val="CommentReference"/>
          <w:rFonts w:eastAsiaTheme="minorHAnsi" w:cstheme="minorBidi"/>
          <w:bCs w:val="0"/>
          <w:iCs w:val="0"/>
          <w:color w:val="1C1C1C"/>
        </w:rPr>
        <w:commentReference w:id="458"/>
      </w:r>
      <w:r>
        <w:t>.</w:t>
      </w:r>
    </w:p>
    <w:p w14:paraId="6B44DC5C" w14:textId="4FF4A5A4" w:rsidR="00F83E53" w:rsidRDefault="006E2EB6" w:rsidP="00F83E53">
      <w:pPr>
        <w:pStyle w:val="Heading4"/>
      </w:pPr>
      <w:r>
        <w:t xml:space="preserve">The </w:t>
      </w:r>
      <w:r w:rsidR="00F83E53" w:rsidRPr="00DA2CC4">
        <w:t xml:space="preserve">Permanent Firm Capacity Certificates shall </w:t>
      </w:r>
      <w:r>
        <w:t>be valid up t</w:t>
      </w:r>
      <w:r w:rsidR="00F83E53">
        <w:t>o</w:t>
      </w:r>
      <w:r w:rsidR="00F83E53" w:rsidRPr="00DA2CC4">
        <w:t xml:space="preserve"> [20] </w:t>
      </w:r>
      <w:commentRangeStart w:id="459"/>
      <w:r w:rsidR="00F83E53" w:rsidRPr="00DA2CC4">
        <w:t>years</w:t>
      </w:r>
      <w:r>
        <w:t xml:space="preserve"> as </w:t>
      </w:r>
      <w:commentRangeEnd w:id="459"/>
      <w:r w:rsidR="00544A6E">
        <w:rPr>
          <w:rStyle w:val="CommentReference"/>
          <w:rFonts w:eastAsiaTheme="minorHAnsi" w:cstheme="minorBidi"/>
          <w:bCs w:val="0"/>
          <w:iCs w:val="0"/>
          <w:color w:val="1C1C1C"/>
        </w:rPr>
        <w:commentReference w:id="459"/>
      </w:r>
      <w:r>
        <w:t>determined by the Market Operator</w:t>
      </w:r>
      <w:r w:rsidR="00F83E53" w:rsidRPr="00DA2CC4">
        <w:t>.</w:t>
      </w:r>
      <w:r w:rsidR="00F83E53">
        <w:t xml:space="preserve"> </w:t>
      </w:r>
      <w:r w:rsidR="00F83E53" w:rsidRPr="00DA2CC4">
        <w:t xml:space="preserve">Temporary Firm Capacity Certificates will have validity as decided by the Market Operator on a case to case basis and will expire on the COD of the </w:t>
      </w:r>
      <w:r>
        <w:t>concerned</w:t>
      </w:r>
      <w:r w:rsidR="00F83E53" w:rsidRPr="00DA2CC4">
        <w:t xml:space="preserve"> Generation </w:t>
      </w:r>
      <w:r w:rsidR="00F83E53">
        <w:t>Unit or Generation Plant</w:t>
      </w:r>
      <w:r w:rsidR="00F83E53" w:rsidRPr="00DA2CC4">
        <w:t xml:space="preserve">. </w:t>
      </w:r>
    </w:p>
    <w:p w14:paraId="0F46AAAB" w14:textId="2CCFA5F7" w:rsidR="00B245F9" w:rsidRDefault="00756AC4" w:rsidP="00B245F9">
      <w:pPr>
        <w:pStyle w:val="Heading3"/>
      </w:pPr>
      <w:r>
        <w:t xml:space="preserve">Issuance </w:t>
      </w:r>
      <w:r w:rsidR="00B245F9">
        <w:t>of Firm Capacity Certificates</w:t>
      </w:r>
    </w:p>
    <w:p w14:paraId="250E269C" w14:textId="0D13D61E" w:rsidR="00B245F9" w:rsidRDefault="00B245F9" w:rsidP="005B295A">
      <w:pPr>
        <w:pStyle w:val="Heading4"/>
      </w:pPr>
      <w:r>
        <w:t xml:space="preserve">One month </w:t>
      </w:r>
      <w:r w:rsidR="00756AC4">
        <w:t xml:space="preserve">prior to </w:t>
      </w:r>
      <w:r>
        <w:t xml:space="preserve">the </w:t>
      </w:r>
      <w:r w:rsidR="00756AC4">
        <w:t xml:space="preserve">commencement </w:t>
      </w:r>
      <w:r>
        <w:t xml:space="preserve">of the CTBCM, the Market Operator </w:t>
      </w:r>
      <w:r w:rsidR="00756AC4">
        <w:t xml:space="preserve">shall </w:t>
      </w:r>
      <w:r>
        <w:t xml:space="preserve">issue Firm Capacity Certificates, </w:t>
      </w:r>
      <w:r w:rsidR="00756AC4">
        <w:t xml:space="preserve">an </w:t>
      </w:r>
      <w:r>
        <w:t xml:space="preserve">Initial Firm Capacity Certificates, to each Generator </w:t>
      </w:r>
      <w:r w:rsidR="003F43F8">
        <w:t>having Generation Units</w:t>
      </w:r>
      <w:commentRangeStart w:id="460"/>
      <w:r w:rsidR="003F43F8">
        <w:t xml:space="preserve"> or Generation Plants </w:t>
      </w:r>
      <w:r>
        <w:t>commissioned, or expected to be commissioned, before CMOD.</w:t>
      </w:r>
      <w:commentRangeEnd w:id="460"/>
      <w:r w:rsidR="00544A6E">
        <w:rPr>
          <w:rStyle w:val="CommentReference"/>
          <w:rFonts w:eastAsiaTheme="minorHAnsi" w:cstheme="minorBidi"/>
          <w:bCs w:val="0"/>
          <w:iCs w:val="0"/>
          <w:color w:val="1C1C1C"/>
        </w:rPr>
        <w:commentReference w:id="460"/>
      </w:r>
    </w:p>
    <w:p w14:paraId="2AEBE2E6" w14:textId="7E92ECFF" w:rsidR="00B245F9" w:rsidRPr="00E7666E" w:rsidRDefault="00B245F9" w:rsidP="005B295A">
      <w:pPr>
        <w:pStyle w:val="Heading4"/>
      </w:pPr>
      <w:r>
        <w:t>Initial Firm Capacity Certificates</w:t>
      </w:r>
      <w:r w:rsidR="0044106D">
        <w:t xml:space="preserve"> for </w:t>
      </w:r>
      <w:r w:rsidR="00756AC4">
        <w:t xml:space="preserve">Contracts for </w:t>
      </w:r>
      <w:r w:rsidR="0044106D">
        <w:t xml:space="preserve">Import </w:t>
      </w:r>
      <w:r w:rsidR="00C149D0">
        <w:t>may</w:t>
      </w:r>
      <w:r>
        <w:t xml:space="preserve"> be issued </w:t>
      </w:r>
      <w:r w:rsidR="0044106D">
        <w:t xml:space="preserve">by the Market Operator </w:t>
      </w:r>
      <w:r w:rsidR="00756AC4">
        <w:t>after considering</w:t>
      </w:r>
      <w:r w:rsidR="0044106D">
        <w:t xml:space="preserve"> the particular </w:t>
      </w:r>
      <w:r w:rsidR="00756AC4">
        <w:t xml:space="preserve">features </w:t>
      </w:r>
      <w:r w:rsidR="0044106D">
        <w:t xml:space="preserve">of the </w:t>
      </w:r>
      <w:r w:rsidR="00756AC4">
        <w:t xml:space="preserve">relevant </w:t>
      </w:r>
      <w:r w:rsidR="0044106D">
        <w:t>Contract.</w:t>
      </w:r>
      <w:r w:rsidR="0044106D" w:rsidDel="0044106D">
        <w:t xml:space="preserve"> </w:t>
      </w:r>
    </w:p>
    <w:p w14:paraId="366C5C2F" w14:textId="5336AFF7" w:rsidR="00B245F9" w:rsidRDefault="00B245F9" w:rsidP="005B295A">
      <w:pPr>
        <w:pStyle w:val="Heading4"/>
      </w:pPr>
      <w:r>
        <w:t xml:space="preserve">For new </w:t>
      </w:r>
      <w:r w:rsidR="003F43F8">
        <w:t>Generation Units or Generation Plants</w:t>
      </w:r>
      <w:r>
        <w:t xml:space="preserve">, commissioned or expected to be commissioned after </w:t>
      </w:r>
      <w:r w:rsidR="001C3AAA">
        <w:t>CMOD</w:t>
      </w:r>
      <w:r>
        <w:t xml:space="preserve">, the Initial Firm Capacity Certificates </w:t>
      </w:r>
      <w:r w:rsidR="00C149D0">
        <w:t>may</w:t>
      </w:r>
      <w:r w:rsidR="00756AC4">
        <w:t xml:space="preserve"> </w:t>
      </w:r>
      <w:r>
        <w:t xml:space="preserve">be issued upon request of the </w:t>
      </w:r>
      <w:r w:rsidR="00756AC4">
        <w:t xml:space="preserve">concerned </w:t>
      </w:r>
      <w:r>
        <w:t>Generator</w:t>
      </w:r>
      <w:r w:rsidR="00756AC4">
        <w:t xml:space="preserve"> or its representative</w:t>
      </w:r>
      <w:r>
        <w:t xml:space="preserve">. </w:t>
      </w:r>
    </w:p>
    <w:p w14:paraId="76194D9D" w14:textId="638FCED2" w:rsidR="00B245F9" w:rsidRDefault="00756AC4" w:rsidP="005B295A">
      <w:pPr>
        <w:pStyle w:val="Heading4"/>
      </w:pPr>
      <w:r>
        <w:t xml:space="preserve">After the CMOD, the </w:t>
      </w:r>
      <w:r w:rsidR="00BF564D">
        <w:t>Electric Power Trader</w:t>
      </w:r>
      <w:r w:rsidR="00B245F9">
        <w:t xml:space="preserve">s or </w:t>
      </w:r>
      <w:r w:rsidR="00BF564D">
        <w:t>Electric Power Supplier</w:t>
      </w:r>
      <w:r w:rsidR="00B245F9">
        <w:t xml:space="preserve">s, </w:t>
      </w:r>
      <w:r>
        <w:t xml:space="preserve">who will </w:t>
      </w:r>
      <w:r w:rsidR="00B245F9">
        <w:t>procure Energy or Capacity through</w:t>
      </w:r>
      <w:r w:rsidRPr="00756AC4">
        <w:t xml:space="preserve"> </w:t>
      </w:r>
      <w:r w:rsidR="00B245F9">
        <w:t>Impor</w:t>
      </w:r>
      <w:r>
        <w:t>t Contracts,</w:t>
      </w:r>
      <w:r w:rsidR="00B245F9">
        <w:t xml:space="preserve"> the Initial </w:t>
      </w:r>
      <w:r w:rsidR="00DD254A">
        <w:t xml:space="preserve">Firm </w:t>
      </w:r>
      <w:r w:rsidR="00B245F9">
        <w:t xml:space="preserve">Capacity Certificates </w:t>
      </w:r>
      <w:r w:rsidR="00C149D0">
        <w:t xml:space="preserve">may </w:t>
      </w:r>
      <w:r w:rsidR="00B245F9">
        <w:t xml:space="preserve">be issued upon request of the </w:t>
      </w:r>
      <w:r>
        <w:t xml:space="preserve">concerned </w:t>
      </w:r>
      <w:r w:rsidR="00BF564D">
        <w:t>Electric Power Trader</w:t>
      </w:r>
      <w:r w:rsidR="00B245F9">
        <w:t xml:space="preserve"> or </w:t>
      </w:r>
      <w:r w:rsidR="00BF564D">
        <w:t>Electric Power Supplier</w:t>
      </w:r>
      <w:r w:rsidR="00B245F9">
        <w:t xml:space="preserve">. </w:t>
      </w:r>
    </w:p>
    <w:p w14:paraId="43C3785F" w14:textId="422D0658" w:rsidR="00B245F9" w:rsidRDefault="00C149D0" w:rsidP="005B295A">
      <w:pPr>
        <w:pStyle w:val="Heading4"/>
      </w:pPr>
      <w:r>
        <w:t>Any person interested</w:t>
      </w:r>
      <w:r w:rsidR="00DD254A">
        <w:t xml:space="preserve"> </w:t>
      </w:r>
      <w:r w:rsidR="00B245F9">
        <w:t xml:space="preserve">to obtain the Initial Firm Capacity Certificates, </w:t>
      </w:r>
      <w:r>
        <w:t xml:space="preserve">may </w:t>
      </w:r>
      <w:r w:rsidR="00B245F9">
        <w:t>apply to the Market Operator, not earlier than two months before the expected COD</w:t>
      </w:r>
      <w:r>
        <w:t xml:space="preserve"> of the Generation Unit or Generation Plant</w:t>
      </w:r>
      <w:r w:rsidR="00B245F9">
        <w:t xml:space="preserve">. The </w:t>
      </w:r>
      <w:r>
        <w:t xml:space="preserve">applicant </w:t>
      </w:r>
      <w:r w:rsidR="00B245F9">
        <w:t xml:space="preserve">shall </w:t>
      </w:r>
      <w:r>
        <w:t>submit all the relevant information to</w:t>
      </w:r>
      <w:r w:rsidR="00B245F9">
        <w:t xml:space="preserve"> the Market Operator </w:t>
      </w:r>
      <w:r>
        <w:t>required for such certification</w:t>
      </w:r>
      <w:r w:rsidR="00B245F9">
        <w:t xml:space="preserve">. </w:t>
      </w:r>
    </w:p>
    <w:p w14:paraId="3CEDA390" w14:textId="75540D8F" w:rsidR="00B245F9" w:rsidRDefault="00B73767" w:rsidP="005B295A">
      <w:pPr>
        <w:pStyle w:val="Heading4"/>
      </w:pPr>
      <w:r>
        <w:lastRenderedPageBreak/>
        <w:t xml:space="preserve">Where in the opinion of </w:t>
      </w:r>
      <w:r w:rsidR="00B245F9">
        <w:t xml:space="preserve">the Market Operator, the </w:t>
      </w:r>
      <w:r>
        <w:t xml:space="preserve">information submitted by the applicant for obtaining the Firm Capacity Certificates is </w:t>
      </w:r>
      <w:r w:rsidR="00B245F9">
        <w:t xml:space="preserve"> false</w:t>
      </w:r>
      <w:r>
        <w:t>, fabricated or forged</w:t>
      </w:r>
      <w:r w:rsidR="00B245F9">
        <w:t xml:space="preserve">, especially </w:t>
      </w:r>
      <w:r>
        <w:t xml:space="preserve">where </w:t>
      </w:r>
      <w:r w:rsidR="00B245F9">
        <w:t xml:space="preserve">the </w:t>
      </w:r>
      <w:r>
        <w:t xml:space="preserve">said </w:t>
      </w:r>
      <w:r w:rsidR="00B245F9">
        <w:t xml:space="preserve">information may have material impact </w:t>
      </w:r>
      <w:r w:rsidR="00DD254A">
        <w:t xml:space="preserve">on </w:t>
      </w:r>
      <w:r w:rsidR="00B245F9">
        <w:t xml:space="preserve">the </w:t>
      </w:r>
      <w:r>
        <w:t xml:space="preserve">number </w:t>
      </w:r>
      <w:r w:rsidR="00B245F9">
        <w:t xml:space="preserve">of Firm Capacity Certificates to be issued, it may </w:t>
      </w:r>
      <w:r>
        <w:t>investigate the matter and if deemed appropriate, may take any action available under this Code or under the Applicable Law.</w:t>
      </w:r>
    </w:p>
    <w:p w14:paraId="03A896FE" w14:textId="072B0A09" w:rsidR="00B245F9" w:rsidRPr="008431DC" w:rsidRDefault="008601D7" w:rsidP="005B295A">
      <w:pPr>
        <w:pStyle w:val="Heading4"/>
      </w:pPr>
      <w:r>
        <w:t>For a Generation Unit or Generation Plant, the Initial Firm Capacity Certificates may be reduced or increased depending on its</w:t>
      </w:r>
      <w:r w:rsidR="00B245F9" w:rsidRPr="008431DC">
        <w:t xml:space="preserve"> actual performance. This </w:t>
      </w:r>
      <w:r>
        <w:t>process</w:t>
      </w:r>
      <w:r w:rsidRPr="008431DC">
        <w:t xml:space="preserve"> </w:t>
      </w:r>
      <w:r>
        <w:t>may</w:t>
      </w:r>
      <w:r w:rsidRPr="008431DC">
        <w:t xml:space="preserve"> </w:t>
      </w:r>
      <w:r w:rsidR="00B245F9" w:rsidRPr="008431DC">
        <w:t>be initiated by the Market Operator</w:t>
      </w:r>
      <w:r>
        <w:t xml:space="preserve"> on its own motion</w:t>
      </w:r>
      <w:r w:rsidR="00B245F9" w:rsidRPr="008431DC">
        <w:t xml:space="preserve"> or upon </w:t>
      </w:r>
      <w:r>
        <w:t xml:space="preserve">the </w:t>
      </w:r>
      <w:r w:rsidR="00B245F9" w:rsidRPr="008431DC">
        <w:t xml:space="preserve">request of the </w:t>
      </w:r>
      <w:r>
        <w:t>concerned</w:t>
      </w:r>
      <w:r w:rsidRPr="008431DC">
        <w:t xml:space="preserve"> </w:t>
      </w:r>
      <w:r w:rsidR="0044106D">
        <w:t>Market Participant</w:t>
      </w:r>
      <w:r w:rsidR="00B245F9" w:rsidRPr="008431DC">
        <w:t>.</w:t>
      </w:r>
    </w:p>
    <w:p w14:paraId="75B55348" w14:textId="0A802864" w:rsidR="00B245F9" w:rsidRPr="008431DC" w:rsidRDefault="008601D7" w:rsidP="005B295A">
      <w:pPr>
        <w:pStyle w:val="Heading4"/>
      </w:pPr>
      <w:r>
        <w:t xml:space="preserve">For a </w:t>
      </w:r>
      <w:r w:rsidR="00BF564D">
        <w:t>Electric Power Trader</w:t>
      </w:r>
      <w:r w:rsidRPr="008431DC">
        <w:t xml:space="preserve"> or </w:t>
      </w:r>
      <w:r w:rsidR="00BF564D">
        <w:t>Electric Power Supplier</w:t>
      </w:r>
      <w:r w:rsidRPr="008431DC">
        <w:t xml:space="preserve"> with Import Contracts</w:t>
      </w:r>
      <w:r>
        <w:t>,</w:t>
      </w:r>
      <w:r w:rsidRPr="008431DC">
        <w:t xml:space="preserve"> </w:t>
      </w:r>
      <w:r>
        <w:t>t</w:t>
      </w:r>
      <w:r w:rsidR="00B245F9" w:rsidRPr="008431DC">
        <w:t xml:space="preserve">he Initial Firm Capacity Certificates </w:t>
      </w:r>
      <w:r>
        <w:t>may be reduced</w:t>
      </w:r>
      <w:r w:rsidR="00B245F9" w:rsidRPr="008431DC">
        <w:t xml:space="preserve"> depending on </w:t>
      </w:r>
      <w:r>
        <w:t xml:space="preserve">the </w:t>
      </w:r>
      <w:r w:rsidR="00B245F9" w:rsidRPr="008431DC">
        <w:t xml:space="preserve">information provided by the System Operator </w:t>
      </w:r>
      <w:r>
        <w:t xml:space="preserve">regarding the </w:t>
      </w:r>
      <w:r w:rsidR="00B245F9" w:rsidRPr="008431DC">
        <w:t xml:space="preserve"> Energy or Capacity available for Import during critical periods of the system. This </w:t>
      </w:r>
      <w:r>
        <w:t>process</w:t>
      </w:r>
      <w:r w:rsidRPr="008431DC">
        <w:t xml:space="preserve"> </w:t>
      </w:r>
      <w:r>
        <w:t>may</w:t>
      </w:r>
      <w:r w:rsidRPr="008431DC">
        <w:t xml:space="preserve"> </w:t>
      </w:r>
      <w:r w:rsidR="00B245F9" w:rsidRPr="008431DC">
        <w:t xml:space="preserve">be initiated by the Market Operator upon information provided by the System Operator. </w:t>
      </w:r>
    </w:p>
    <w:p w14:paraId="4848D629" w14:textId="5AF572ED" w:rsidR="00B245F9" w:rsidRPr="008431DC" w:rsidRDefault="00B245F9" w:rsidP="005B295A">
      <w:pPr>
        <w:pStyle w:val="Heading4"/>
      </w:pPr>
      <w:r w:rsidRPr="008431DC">
        <w:t xml:space="preserve">Two months </w:t>
      </w:r>
      <w:r w:rsidR="008601D7">
        <w:t>prior to the expiry</w:t>
      </w:r>
      <w:r w:rsidR="008601D7" w:rsidRPr="008431DC">
        <w:t xml:space="preserve"> </w:t>
      </w:r>
      <w:r w:rsidRPr="008431DC">
        <w:t xml:space="preserve">the date </w:t>
      </w:r>
      <w:r w:rsidR="008601D7">
        <w:t>of</w:t>
      </w:r>
      <w:r w:rsidRPr="008431DC">
        <w:t xml:space="preserve"> the Firm Capacity Certificates, the </w:t>
      </w:r>
      <w:r w:rsidR="008601D7">
        <w:t xml:space="preserve">concerned </w:t>
      </w:r>
      <w:r w:rsidR="0044106D">
        <w:t>Market Participant</w:t>
      </w:r>
      <w:r w:rsidRPr="008431DC">
        <w:t xml:space="preserve">, </w:t>
      </w:r>
      <w:r w:rsidR="008601D7">
        <w:t>may</w:t>
      </w:r>
      <w:r w:rsidR="008601D7" w:rsidRPr="008431DC">
        <w:t xml:space="preserve"> </w:t>
      </w:r>
      <w:r w:rsidRPr="008431DC">
        <w:t xml:space="preserve">request the Market Operator to renew </w:t>
      </w:r>
      <w:r w:rsidR="008601D7">
        <w:t>them</w:t>
      </w:r>
      <w:r w:rsidR="008601D7" w:rsidRPr="008431DC">
        <w:t xml:space="preserve"> </w:t>
      </w:r>
      <w:r w:rsidRPr="008431DC">
        <w:t>or issue new certificates</w:t>
      </w:r>
      <w:r w:rsidR="003A201F">
        <w:t xml:space="preserve"> according to the procedure for issuance of </w:t>
      </w:r>
      <w:r w:rsidRPr="008431DC">
        <w:t>the Initial Firm Capacity Certificates</w:t>
      </w:r>
      <w:r w:rsidR="003A201F">
        <w:t xml:space="preserve"> as set out above</w:t>
      </w:r>
      <w:r w:rsidRPr="008431DC">
        <w:t>.</w:t>
      </w:r>
    </w:p>
    <w:p w14:paraId="2D4CB70A" w14:textId="148BBEA6" w:rsidR="00B245F9" w:rsidRPr="008431DC" w:rsidRDefault="00B245F9" w:rsidP="005B295A">
      <w:pPr>
        <w:pStyle w:val="Heading4"/>
      </w:pPr>
      <w:r w:rsidRPr="008431DC">
        <w:t xml:space="preserve">The Market Operator shall </w:t>
      </w:r>
      <w:r w:rsidR="003A201F">
        <w:t>make</w:t>
      </w:r>
      <w:r w:rsidR="003A201F" w:rsidRPr="008431DC">
        <w:t xml:space="preserve"> </w:t>
      </w:r>
      <w:r w:rsidR="002F1BCF">
        <w:t>a CCOP</w:t>
      </w:r>
      <w:r w:rsidRPr="008431DC">
        <w:t xml:space="preserve"> </w:t>
      </w:r>
      <w:r w:rsidR="003A201F">
        <w:t xml:space="preserve">for issuance of the Firm Capacity Certificates describing </w:t>
      </w:r>
      <w:r w:rsidRPr="008431DC">
        <w:t xml:space="preserve">the </w:t>
      </w:r>
      <w:r w:rsidR="003A201F">
        <w:t xml:space="preserve">required </w:t>
      </w:r>
      <w:r w:rsidRPr="008431DC">
        <w:t>information and the process to be followed</w:t>
      </w:r>
      <w:r w:rsidR="003A201F">
        <w:t>.</w:t>
      </w:r>
      <w:r w:rsidRPr="008431DC">
        <w:t xml:space="preserve"> </w:t>
      </w:r>
      <w:r>
        <w:t xml:space="preserve">Such process and necessary information, including templates for </w:t>
      </w:r>
      <w:r w:rsidRPr="008431DC">
        <w:t>“</w:t>
      </w:r>
      <w:r w:rsidR="003A201F">
        <w:t>Application</w:t>
      </w:r>
      <w:r w:rsidR="003A201F" w:rsidRPr="008431DC">
        <w:t xml:space="preserve"> </w:t>
      </w:r>
      <w:r w:rsidRPr="008431DC">
        <w:t>for Firm Capacity Certification”</w:t>
      </w:r>
      <w:r>
        <w:t xml:space="preserve"> </w:t>
      </w:r>
      <w:r w:rsidR="003A201F">
        <w:t xml:space="preserve">shall </w:t>
      </w:r>
      <w:r>
        <w:t xml:space="preserve">be published </w:t>
      </w:r>
      <w:r w:rsidR="00642DD0">
        <w:t xml:space="preserve">on </w:t>
      </w:r>
      <w:r>
        <w:t>the web</w:t>
      </w:r>
      <w:r w:rsidR="00642DD0">
        <w:t>site</w:t>
      </w:r>
      <w:r>
        <w:t xml:space="preserve"> of the Market Operator</w:t>
      </w:r>
      <w:r w:rsidRPr="008431DC">
        <w:t xml:space="preserve">. </w:t>
      </w:r>
    </w:p>
    <w:p w14:paraId="7316D3CB" w14:textId="77777777" w:rsidR="00B245F9" w:rsidRPr="008431DC" w:rsidRDefault="00B245F9" w:rsidP="00B245F9">
      <w:pPr>
        <w:pStyle w:val="Heading3"/>
      </w:pPr>
      <w:r w:rsidRPr="008431DC">
        <w:t xml:space="preserve"> Registration of the Issued Certificates</w:t>
      </w:r>
    </w:p>
    <w:p w14:paraId="4DC818CB" w14:textId="52B2C64B" w:rsidR="00B245F9" w:rsidRPr="008431DC" w:rsidRDefault="00B245F9" w:rsidP="005B295A">
      <w:pPr>
        <w:pStyle w:val="Heading4"/>
      </w:pPr>
      <w:r w:rsidRPr="008431DC">
        <w:t xml:space="preserve">The Market Operator shall </w:t>
      </w:r>
      <w:r w:rsidR="003A201F">
        <w:t>organize</w:t>
      </w:r>
      <w:r w:rsidR="003A201F" w:rsidRPr="008431DC">
        <w:t xml:space="preserve"> </w:t>
      </w:r>
      <w:r w:rsidRPr="008431DC">
        <w:t xml:space="preserve">and maintain a Firm </w:t>
      </w:r>
      <w:r w:rsidR="00EB1EBE" w:rsidRPr="008431DC">
        <w:t>Capacity Register</w:t>
      </w:r>
      <w:r w:rsidRPr="008431DC">
        <w:t xml:space="preserve">, for </w:t>
      </w:r>
      <w:r w:rsidR="003A201F">
        <w:t>Firm Capacity Certificates with</w:t>
      </w:r>
      <w:r w:rsidR="003A201F" w:rsidRPr="008431DC">
        <w:t xml:space="preserve"> </w:t>
      </w:r>
      <w:r w:rsidRPr="008431DC">
        <w:t xml:space="preserve">the following information:  </w:t>
      </w:r>
    </w:p>
    <w:p w14:paraId="106BFBF1" w14:textId="11993685" w:rsidR="00B245F9" w:rsidRPr="008431DC" w:rsidRDefault="00B245F9" w:rsidP="00B03234">
      <w:pPr>
        <w:pStyle w:val="Heading5"/>
      </w:pPr>
      <w:r w:rsidRPr="008431DC">
        <w:t xml:space="preserve">Unique number </w:t>
      </w:r>
      <w:r w:rsidR="00FD14C4">
        <w:t>for</w:t>
      </w:r>
      <w:r w:rsidR="00FD14C4" w:rsidRPr="008431DC">
        <w:t xml:space="preserve"> </w:t>
      </w:r>
      <w:r w:rsidR="00FD14C4">
        <w:t>each</w:t>
      </w:r>
      <w:r w:rsidR="00FD14C4" w:rsidRPr="008431DC">
        <w:t xml:space="preserve"> </w:t>
      </w:r>
      <w:r w:rsidRPr="008431DC">
        <w:t xml:space="preserve">Firm Capacity Certificate; </w:t>
      </w:r>
    </w:p>
    <w:p w14:paraId="19ACF803" w14:textId="51AB55D1" w:rsidR="00B245F9" w:rsidRPr="008431DC" w:rsidRDefault="00B245F9" w:rsidP="00B03234">
      <w:pPr>
        <w:pStyle w:val="Heading5"/>
      </w:pPr>
      <w:r w:rsidRPr="008431DC">
        <w:t>Name of the Market Participant</w:t>
      </w:r>
      <w:r w:rsidR="00ED58CE">
        <w:t xml:space="preserve"> or other person</w:t>
      </w:r>
      <w:r w:rsidRPr="008431DC">
        <w:t xml:space="preserve"> for which the Firm Capacity Certificate was issued; </w:t>
      </w:r>
    </w:p>
    <w:p w14:paraId="1BB34C0E" w14:textId="77777777" w:rsidR="00B245F9" w:rsidRPr="008431DC" w:rsidRDefault="00B245F9" w:rsidP="00B03234">
      <w:pPr>
        <w:pStyle w:val="Heading5"/>
      </w:pPr>
      <w:r w:rsidRPr="008431DC">
        <w:t xml:space="preserve">Name of the Market Participant currently owning the Firm Capacity Certificate; </w:t>
      </w:r>
    </w:p>
    <w:p w14:paraId="48797B12" w14:textId="7BE740C1" w:rsidR="00B245F9" w:rsidRPr="008431DC" w:rsidRDefault="00B245F9" w:rsidP="00B03234">
      <w:pPr>
        <w:pStyle w:val="Heading5"/>
      </w:pPr>
      <w:r w:rsidRPr="008431DC">
        <w:t xml:space="preserve">Identification </w:t>
      </w:r>
      <w:r>
        <w:t xml:space="preserve">Code </w:t>
      </w:r>
      <w:r w:rsidRPr="008431DC">
        <w:t>of the Generat</w:t>
      </w:r>
      <w:r w:rsidR="003F43F8">
        <w:t>ion Unit</w:t>
      </w:r>
      <w:r w:rsidRPr="008431DC">
        <w:t xml:space="preserve"> or Import Contract associated with the Firm Capacity Certificate; </w:t>
      </w:r>
    </w:p>
    <w:p w14:paraId="77732E0A" w14:textId="095C7AA9" w:rsidR="00B245F9" w:rsidRPr="008431DC" w:rsidRDefault="00B245F9" w:rsidP="00B03234">
      <w:pPr>
        <w:pStyle w:val="Heading5"/>
      </w:pPr>
      <w:r w:rsidRPr="008431DC">
        <w:t xml:space="preserve">Status of Firm Capacity Certificate. The </w:t>
      </w:r>
      <w:r w:rsidR="00FD14C4">
        <w:t xml:space="preserve">status of a </w:t>
      </w:r>
      <w:r w:rsidRPr="008431DC">
        <w:t xml:space="preserve">Firm Capacity Certificate </w:t>
      </w:r>
      <w:r w:rsidR="00FD14C4">
        <w:t>may be classified</w:t>
      </w:r>
      <w:r w:rsidR="00FD14C4" w:rsidRPr="008431DC">
        <w:t xml:space="preserve"> </w:t>
      </w:r>
      <w:r w:rsidR="00FD14C4">
        <w:t>as</w:t>
      </w:r>
      <w:r w:rsidRPr="008431DC">
        <w:t xml:space="preserve">: </w:t>
      </w:r>
    </w:p>
    <w:p w14:paraId="18BA20EF" w14:textId="40628DC6" w:rsidR="00B245F9" w:rsidRPr="008431DC" w:rsidRDefault="00B245F9" w:rsidP="00CF7164">
      <w:pPr>
        <w:pStyle w:val="Heading6"/>
      </w:pPr>
      <w:r w:rsidRPr="008431DC">
        <w:rPr>
          <w:b/>
          <w:bCs/>
        </w:rPr>
        <w:t>Available:</w:t>
      </w:r>
      <w:r w:rsidRPr="008431DC">
        <w:t xml:space="preserve"> The Firm Capacity Certificate is valid and </w:t>
      </w:r>
      <w:r w:rsidR="00FD14C4">
        <w:t>may</w:t>
      </w:r>
      <w:r w:rsidR="00FD14C4" w:rsidRPr="008431DC">
        <w:t xml:space="preserve"> </w:t>
      </w:r>
      <w:r w:rsidRPr="008431DC">
        <w:t xml:space="preserve">be </w:t>
      </w:r>
      <w:r w:rsidR="00EC1896">
        <w:t>bought and sold</w:t>
      </w:r>
      <w:r w:rsidRPr="008431DC">
        <w:t xml:space="preserve"> to back any Capacity transaction;</w:t>
      </w:r>
    </w:p>
    <w:p w14:paraId="378E287F" w14:textId="44D5602C" w:rsidR="00B245F9" w:rsidRPr="008431DC" w:rsidRDefault="00B245F9" w:rsidP="00CF7164">
      <w:pPr>
        <w:pStyle w:val="Heading6"/>
      </w:pPr>
      <w:r w:rsidRPr="008431DC">
        <w:rPr>
          <w:b/>
          <w:bCs/>
        </w:rPr>
        <w:t>Blocked:</w:t>
      </w:r>
      <w:r w:rsidRPr="008431DC">
        <w:t xml:space="preserve"> The Firm Capacity Certificate is valid but </w:t>
      </w:r>
      <w:r w:rsidR="00FD14C4">
        <w:t>may not</w:t>
      </w:r>
      <w:r w:rsidRPr="008431DC">
        <w:t xml:space="preserve"> be used</w:t>
      </w:r>
      <w:r w:rsidR="00FD14C4">
        <w:t xml:space="preserve"> further</w:t>
      </w:r>
      <w:r w:rsidRPr="008431DC">
        <w:t xml:space="preserve"> for backing </w:t>
      </w:r>
      <w:r w:rsidR="00FD14C4">
        <w:t xml:space="preserve">any </w:t>
      </w:r>
      <w:r w:rsidRPr="008431DC">
        <w:t xml:space="preserve">Capacity transaction </w:t>
      </w:r>
    </w:p>
    <w:p w14:paraId="63B46867" w14:textId="77777777" w:rsidR="00B245F9" w:rsidRPr="008431DC" w:rsidRDefault="00B245F9" w:rsidP="00CF7164">
      <w:pPr>
        <w:pStyle w:val="Heading6"/>
      </w:pPr>
      <w:r w:rsidRPr="008431DC">
        <w:rPr>
          <w:b/>
          <w:bCs/>
        </w:rPr>
        <w:t>Cancelled:</w:t>
      </w:r>
      <w:r w:rsidRPr="008431DC">
        <w:t xml:space="preserve"> The Firm Capacity Certificate is no longer valid. </w:t>
      </w:r>
    </w:p>
    <w:p w14:paraId="3878A476" w14:textId="240BF81D" w:rsidR="00B245F9" w:rsidRPr="00E20ED1" w:rsidRDefault="00FD14C4" w:rsidP="00FD14C4">
      <w:pPr>
        <w:pStyle w:val="Heading5"/>
      </w:pPr>
      <w:r>
        <w:t>Issuance and expiry d</w:t>
      </w:r>
      <w:r w:rsidR="00B245F9" w:rsidRPr="008431DC">
        <w:t xml:space="preserve">ate of </w:t>
      </w:r>
      <w:r>
        <w:t>each</w:t>
      </w:r>
      <w:r w:rsidR="00B245F9" w:rsidRPr="008431DC">
        <w:t xml:space="preserve"> Firm Capacity Certific</w:t>
      </w:r>
      <w:r w:rsidR="00B245F9">
        <w:t>ate</w:t>
      </w:r>
      <w:r w:rsidR="00B245F9" w:rsidRPr="00E20ED1">
        <w:t xml:space="preserve">; </w:t>
      </w:r>
    </w:p>
    <w:p w14:paraId="074A093B" w14:textId="72022AF1" w:rsidR="00B245F9" w:rsidRDefault="00B245F9" w:rsidP="005B295A">
      <w:pPr>
        <w:pStyle w:val="Heading4"/>
      </w:pPr>
      <w:r>
        <w:t>The Firm Capacity Register shall be</w:t>
      </w:r>
      <w:r w:rsidR="00FD14C4">
        <w:t xml:space="preserve"> updated on regular basis and</w:t>
      </w:r>
      <w:r>
        <w:t xml:space="preserve"> published </w:t>
      </w:r>
      <w:r w:rsidR="00FD14C4">
        <w:t xml:space="preserve">on </w:t>
      </w:r>
      <w:r>
        <w:t xml:space="preserve">the </w:t>
      </w:r>
      <w:r w:rsidR="002844A1">
        <w:t>MO</w:t>
      </w:r>
      <w:r>
        <w:t xml:space="preserve"> </w:t>
      </w:r>
      <w:r w:rsidR="00721621">
        <w:t>Website</w:t>
      </w:r>
      <w:r>
        <w:t xml:space="preserve">.  </w:t>
      </w:r>
    </w:p>
    <w:p w14:paraId="3E50BF0D" w14:textId="77777777" w:rsidR="00B245F9" w:rsidRDefault="00B245F9" w:rsidP="00B245F9">
      <w:pPr>
        <w:pStyle w:val="Heading2"/>
      </w:pPr>
      <w:bookmarkStart w:id="461" w:name="_Toc64846695"/>
      <w:bookmarkStart w:id="462" w:name="_Toc69476993"/>
      <w:r>
        <w:lastRenderedPageBreak/>
        <w:t>Determination of Initial Firm Capacity</w:t>
      </w:r>
      <w:bookmarkEnd w:id="461"/>
      <w:bookmarkEnd w:id="462"/>
    </w:p>
    <w:p w14:paraId="3ABE2C6A" w14:textId="0138A098" w:rsidR="00B245F9" w:rsidRDefault="00B245F9" w:rsidP="00B245F9">
      <w:pPr>
        <w:pStyle w:val="Heading3"/>
      </w:pPr>
      <w:r>
        <w:t>Commissioned Generat</w:t>
      </w:r>
      <w:r w:rsidR="003F43F8">
        <w:t>ion Units or Generation Plants</w:t>
      </w:r>
    </w:p>
    <w:p w14:paraId="2CBABE6B" w14:textId="39212B9C" w:rsidR="00B245F9" w:rsidRDefault="00B245F9" w:rsidP="005B295A">
      <w:pPr>
        <w:pStyle w:val="Heading4"/>
      </w:pPr>
      <w:r>
        <w:t xml:space="preserve">The Initial Firm Capacity, for </w:t>
      </w:r>
      <w:r w:rsidR="00C131C8">
        <w:t xml:space="preserve">a </w:t>
      </w:r>
      <w:r>
        <w:t>Dispatchable Generat</w:t>
      </w:r>
      <w:r w:rsidR="00931AE6">
        <w:t>ion Unit</w:t>
      </w:r>
      <w:r>
        <w:t xml:space="preserve">, commissioned </w:t>
      </w:r>
      <w:r w:rsidR="00C131C8">
        <w:t>prior to</w:t>
      </w:r>
      <w:r w:rsidR="002844A1">
        <w:t xml:space="preserve"> </w:t>
      </w:r>
      <w:r>
        <w:t xml:space="preserve">CMOD, shall be determined by the Market Operator based on the actual </w:t>
      </w:r>
      <w:r w:rsidR="00C131C8">
        <w:t xml:space="preserve">Available Capacity </w:t>
      </w:r>
      <w:r>
        <w:t>of the Generat</w:t>
      </w:r>
      <w:r w:rsidR="00931AE6">
        <w:t>ion Unit</w:t>
      </w:r>
      <w:r>
        <w:t xml:space="preserve">, during System Peak Hours, in the </w:t>
      </w:r>
      <w:r w:rsidR="00C131C8">
        <w:t xml:space="preserve">last </w:t>
      </w:r>
      <w:r>
        <w:t>three years</w:t>
      </w:r>
      <w:r w:rsidR="00814834">
        <w:t xml:space="preserve"> as per provisions of the relevant CCOP</w:t>
      </w:r>
      <w:r>
        <w:t>.</w:t>
      </w:r>
    </w:p>
    <w:p w14:paraId="167D5A71" w14:textId="424607CD" w:rsidR="00AB1877" w:rsidRDefault="00B245F9" w:rsidP="005B295A">
      <w:pPr>
        <w:pStyle w:val="Heading4"/>
      </w:pPr>
      <w:bookmarkStart w:id="463" w:name="_Ref76903928"/>
      <w:r>
        <w:t xml:space="preserve">The Initial Firm Capacity, for </w:t>
      </w:r>
      <w:r w:rsidR="00C131C8">
        <w:t xml:space="preserve">a </w:t>
      </w:r>
      <w:r>
        <w:t xml:space="preserve">Non-Dispatchable </w:t>
      </w:r>
      <w:r w:rsidR="00E93A6A">
        <w:t>Generation Unit</w:t>
      </w:r>
      <w:r>
        <w:t xml:space="preserve">, commissioned </w:t>
      </w:r>
      <w:r w:rsidR="00C131C8">
        <w:t xml:space="preserve">prior to </w:t>
      </w:r>
      <w:r>
        <w:t xml:space="preserve">CMOD, shall be determined as the average hourly </w:t>
      </w:r>
      <w:r w:rsidR="00C131C8">
        <w:t xml:space="preserve">Energy injected into the Grid System by </w:t>
      </w:r>
      <w:r>
        <w:t>the Generat</w:t>
      </w:r>
      <w:r w:rsidR="00931AE6">
        <w:t>ion Unit</w:t>
      </w:r>
      <w:r>
        <w:t xml:space="preserve">, </w:t>
      </w:r>
      <w:r w:rsidR="00C131C8">
        <w:t xml:space="preserve">during </w:t>
      </w:r>
      <w:r>
        <w:t xml:space="preserve">System Peak Hours, </w:t>
      </w:r>
      <w:r w:rsidR="00C131C8">
        <w:t xml:space="preserve">in </w:t>
      </w:r>
      <w:r>
        <w:t xml:space="preserve">the </w:t>
      </w:r>
      <w:r w:rsidR="00C131C8">
        <w:t xml:space="preserve">last </w:t>
      </w:r>
      <w:r>
        <w:t>three years</w:t>
      </w:r>
      <w:r w:rsidR="00814834">
        <w:t xml:space="preserve"> as per provisions of the relevant CCOP</w:t>
      </w:r>
      <w:r>
        <w:t>.</w:t>
      </w:r>
      <w:bookmarkEnd w:id="463"/>
      <w:r>
        <w:t xml:space="preserve"> </w:t>
      </w:r>
    </w:p>
    <w:p w14:paraId="5F176EC4" w14:textId="375A50A6" w:rsidR="00AB1877" w:rsidRDefault="00AB1877" w:rsidP="002059C2">
      <w:pPr>
        <w:pStyle w:val="Heading4"/>
      </w:pPr>
      <w:bookmarkStart w:id="464" w:name="_Ref76904003"/>
      <w:r>
        <w:t xml:space="preserve">For the application of Clause </w:t>
      </w:r>
      <w:r w:rsidR="00FB251F">
        <w:fldChar w:fldCharType="begin"/>
      </w:r>
      <w:r w:rsidR="00FB251F">
        <w:instrText xml:space="preserve"> REF _Ref76903928 \r \h </w:instrText>
      </w:r>
      <w:r w:rsidR="00FB251F">
        <w:fldChar w:fldCharType="separate"/>
      </w:r>
      <w:r w:rsidR="00FB251F">
        <w:t>9.3.1.2</w:t>
      </w:r>
      <w:r w:rsidR="00FB251F">
        <w:fldChar w:fldCharType="end"/>
      </w:r>
      <w:r w:rsidR="00FB251F">
        <w:t xml:space="preserve"> </w:t>
      </w:r>
      <w:r>
        <w:t>above, where the Non-Dispatchable Generation Unit has been instructed by the System Operator or the Distribution Licensee, as the case may be, to reduce its production of Energy due</w:t>
      </w:r>
      <w:r w:rsidR="002059C2">
        <w:t xml:space="preserve"> to</w:t>
      </w:r>
      <w:r>
        <w:t xml:space="preserve"> n</w:t>
      </w:r>
      <w:r w:rsidR="002059C2">
        <w:t>etwork or system constraints or due to provision of Ancillary Services or due to alleviation of Congestion, any Energy which was injected into the Grid System during the afore-referred period shall be excluded from the calculation of Initial Firm Capacity.</w:t>
      </w:r>
      <w:bookmarkEnd w:id="464"/>
      <w:r w:rsidR="003C098A">
        <w:t xml:space="preserve"> </w:t>
      </w:r>
    </w:p>
    <w:p w14:paraId="1327D588" w14:textId="35909F1D" w:rsidR="00B245F9" w:rsidRDefault="002059C2" w:rsidP="00AB1877">
      <w:pPr>
        <w:pStyle w:val="Heading4"/>
      </w:pPr>
      <w:r>
        <w:t xml:space="preserve">The values excluded as per Clause </w:t>
      </w:r>
      <w:r w:rsidR="00FB251F">
        <w:fldChar w:fldCharType="begin"/>
      </w:r>
      <w:r w:rsidR="00FB251F">
        <w:instrText xml:space="preserve"> REF _Ref76904003 \r \h </w:instrText>
      </w:r>
      <w:r w:rsidR="00FB251F">
        <w:fldChar w:fldCharType="separate"/>
      </w:r>
      <w:r w:rsidR="00FB251F">
        <w:t>9.3.1.3</w:t>
      </w:r>
      <w:r w:rsidR="00FB251F">
        <w:fldChar w:fldCharType="end"/>
      </w:r>
      <w:r w:rsidR="00FB251F">
        <w:fldChar w:fldCharType="begin"/>
      </w:r>
      <w:r w:rsidR="00FB251F">
        <w:instrText xml:space="preserve"> REF _Ref76904003 \r \h </w:instrText>
      </w:r>
      <w:r w:rsidR="00FB251F">
        <w:fldChar w:fldCharType="separate"/>
      </w:r>
      <w:r w:rsidR="00FB251F">
        <w:t>9.3.1.3</w:t>
      </w:r>
      <w:r w:rsidR="00FB251F">
        <w:fldChar w:fldCharType="end"/>
      </w:r>
      <w:r w:rsidR="00FB251F">
        <w:t xml:space="preserve"> </w:t>
      </w:r>
      <w:r>
        <w:t xml:space="preserve">above, shall be </w:t>
      </w:r>
      <w:r w:rsidR="003C098A">
        <w:t xml:space="preserve">replaced with </w:t>
      </w:r>
      <w:r w:rsidR="00721621">
        <w:t xml:space="preserve">the potential Energy that the </w:t>
      </w:r>
      <w:r w:rsidR="00C131C8">
        <w:t>Non-Dispatchable Generation Unit</w:t>
      </w:r>
      <w:r w:rsidR="00C131C8" w:rsidDel="00C131C8">
        <w:t xml:space="preserve"> </w:t>
      </w:r>
      <w:r w:rsidR="00721621">
        <w:t xml:space="preserve"> would have injected into the </w:t>
      </w:r>
      <w:r w:rsidR="00B64708">
        <w:t>Grid System</w:t>
      </w:r>
      <w:r w:rsidR="00721621">
        <w:t xml:space="preserve"> </w:t>
      </w:r>
      <w:r>
        <w:t xml:space="preserve">as </w:t>
      </w:r>
      <w:r w:rsidR="00C131C8">
        <w:t>forecasted by the System Operator</w:t>
      </w:r>
      <w:r w:rsidR="003C098A">
        <w:t>.</w:t>
      </w:r>
      <w:r w:rsidR="00B245F9">
        <w:t xml:space="preserve"> </w:t>
      </w:r>
    </w:p>
    <w:p w14:paraId="7A3780E5" w14:textId="63170B61" w:rsidR="00B245F9" w:rsidRDefault="00B245F9" w:rsidP="005B295A">
      <w:pPr>
        <w:pStyle w:val="Heading4"/>
      </w:pPr>
      <w:r>
        <w:t xml:space="preserve">The Market Operator shall </w:t>
      </w:r>
      <w:r w:rsidR="002059C2">
        <w:t xml:space="preserve">make </w:t>
      </w:r>
      <w:r w:rsidR="00B03408">
        <w:t>a CCOP</w:t>
      </w:r>
      <w:r>
        <w:t xml:space="preserve"> </w:t>
      </w:r>
      <w:r w:rsidR="002059C2">
        <w:t xml:space="preserve">for determination of the Initial Firm Capacity for Dispatchable and Non-Dispatchable Generation Units </w:t>
      </w:r>
      <w:r w:rsidR="002059C2" w:rsidRPr="00B03C4A">
        <w:t xml:space="preserve">describing </w:t>
      </w:r>
      <w:r w:rsidRPr="00B03C4A">
        <w:t xml:space="preserve">the calculations to be performed to determine the Initial Firm Capacity of </w:t>
      </w:r>
      <w:r w:rsidR="002059C2" w:rsidRPr="00B03C4A">
        <w:t>D</w:t>
      </w:r>
      <w:r w:rsidRPr="00B03C4A">
        <w:t xml:space="preserve">ispatchable and </w:t>
      </w:r>
      <w:r w:rsidR="00E93A6A" w:rsidRPr="00B03C4A">
        <w:t>N</w:t>
      </w:r>
      <w:r w:rsidRPr="00B03C4A">
        <w:t>on-dispatchable Generat</w:t>
      </w:r>
      <w:r w:rsidR="00E93A6A" w:rsidRPr="00B03C4A">
        <w:t>ion Units</w:t>
      </w:r>
      <w:r w:rsidRPr="00B03C4A">
        <w:t>, as well as the necessary information and the institutions involved in providing such information</w:t>
      </w:r>
      <w:r>
        <w:t>.</w:t>
      </w:r>
    </w:p>
    <w:p w14:paraId="3E58BDC3" w14:textId="6BABB542" w:rsidR="00B245F9" w:rsidRDefault="00B245F9" w:rsidP="00B245F9">
      <w:pPr>
        <w:pStyle w:val="Heading3"/>
      </w:pPr>
      <w:bookmarkStart w:id="465" w:name="_Ref67341618"/>
      <w:r>
        <w:t>New Generat</w:t>
      </w:r>
      <w:r w:rsidR="00931AE6">
        <w:t>ion Units</w:t>
      </w:r>
      <w:bookmarkEnd w:id="465"/>
    </w:p>
    <w:p w14:paraId="6D74C352" w14:textId="16752551" w:rsidR="00B245F9" w:rsidRPr="000B1401" w:rsidRDefault="00B245F9" w:rsidP="005B295A">
      <w:pPr>
        <w:pStyle w:val="Heading4"/>
      </w:pPr>
      <w:r w:rsidRPr="000B1401">
        <w:t>The Initial Firm Capacity of new Generat</w:t>
      </w:r>
      <w:r w:rsidR="00931AE6" w:rsidRPr="000B1401">
        <w:t>ion Units</w:t>
      </w:r>
      <w:r w:rsidRPr="000B1401">
        <w:t xml:space="preserve">, which </w:t>
      </w:r>
      <w:r w:rsidR="002059C2">
        <w:t>will be</w:t>
      </w:r>
      <w:r w:rsidRPr="000B1401">
        <w:t xml:space="preserve"> commissioned </w:t>
      </w:r>
      <w:r w:rsidR="002059C2">
        <w:t>after</w:t>
      </w:r>
      <w:r w:rsidR="002059C2" w:rsidRPr="000B1401">
        <w:t xml:space="preserve"> </w:t>
      </w:r>
      <w:r w:rsidRPr="000B1401">
        <w:t xml:space="preserve">CMOD, </w:t>
      </w:r>
      <w:r w:rsidR="002059C2">
        <w:t>shall</w:t>
      </w:r>
      <w:r w:rsidR="002059C2" w:rsidRPr="000B1401">
        <w:t xml:space="preserve"> </w:t>
      </w:r>
      <w:r w:rsidRPr="000B1401">
        <w:t>be calculated by the Market Operator based on the technology utilized by the Generat</w:t>
      </w:r>
      <w:r w:rsidR="00931AE6" w:rsidRPr="000B1401">
        <w:t>ion Unit</w:t>
      </w:r>
      <w:r w:rsidR="0059348D" w:rsidRPr="000B1401">
        <w:t xml:space="preserve">, multiplying the </w:t>
      </w:r>
      <w:bookmarkStart w:id="466" w:name="_Hlk66370980"/>
      <w:r w:rsidR="0059348D" w:rsidRPr="000B1401">
        <w:t>Installed</w:t>
      </w:r>
      <w:r w:rsidR="002059C2">
        <w:t xml:space="preserve"> Net</w:t>
      </w:r>
      <w:r w:rsidR="0059348D" w:rsidRPr="000B1401">
        <w:t xml:space="preserve"> Capacity </w:t>
      </w:r>
      <w:bookmarkEnd w:id="466"/>
      <w:r w:rsidR="002059C2">
        <w:t>with</w:t>
      </w:r>
      <w:r w:rsidR="002059C2" w:rsidRPr="000B1401">
        <w:t xml:space="preserve"> </w:t>
      </w:r>
      <w:r w:rsidRPr="000B1401">
        <w:t xml:space="preserve">the Equivalent Availability Factors </w:t>
      </w:r>
      <w:r w:rsidR="002059C2">
        <w:t>as provided</w:t>
      </w:r>
      <w:r w:rsidR="002059C2" w:rsidRPr="000B1401">
        <w:t xml:space="preserve"> </w:t>
      </w:r>
      <w:r w:rsidRPr="000B1401">
        <w:t xml:space="preserve">in </w:t>
      </w:r>
      <w:r w:rsidRPr="000B1401">
        <w:fldChar w:fldCharType="begin"/>
      </w:r>
      <w:r w:rsidRPr="000B1401">
        <w:instrText xml:space="preserve"> REF _Ref64109425 \h </w:instrText>
      </w:r>
      <w:r w:rsidR="0059348D" w:rsidRPr="000B1401">
        <w:instrText xml:space="preserve"> \* MERGEFORMAT </w:instrText>
      </w:r>
      <w:r w:rsidRPr="000B1401">
        <w:fldChar w:fldCharType="separate"/>
      </w:r>
      <w:r w:rsidR="00251DBF" w:rsidRPr="000B1401">
        <w:t xml:space="preserve">Table </w:t>
      </w:r>
      <w:r w:rsidR="00251DBF" w:rsidRPr="000B1401">
        <w:rPr>
          <w:noProof/>
        </w:rPr>
        <w:t>1</w:t>
      </w:r>
      <w:r w:rsidRPr="000B1401">
        <w:fldChar w:fldCharType="end"/>
      </w:r>
      <w:r w:rsidR="002059C2">
        <w:t xml:space="preserve"> below</w:t>
      </w:r>
      <w:r w:rsidRPr="000B1401">
        <w:t xml:space="preserve">. </w:t>
      </w:r>
    </w:p>
    <w:p w14:paraId="337606B1" w14:textId="68A42406" w:rsidR="00B245F9" w:rsidRPr="0005549E" w:rsidRDefault="00B245F9" w:rsidP="00A22D29">
      <w:pPr>
        <w:pStyle w:val="Caption"/>
      </w:pPr>
      <w:bookmarkStart w:id="467" w:name="_Ref64109425"/>
      <w:r w:rsidRPr="0005549E">
        <w:t xml:space="preserve">Table </w:t>
      </w:r>
      <w:fldSimple w:instr=" SEQ Table \* ARABIC ">
        <w:r w:rsidR="00334EEA">
          <w:rPr>
            <w:noProof/>
          </w:rPr>
          <w:t>1</w:t>
        </w:r>
      </w:fldSimple>
      <w:bookmarkEnd w:id="467"/>
      <w:r>
        <w:t>: Equivalent Availability Factors</w:t>
      </w:r>
    </w:p>
    <w:tbl>
      <w:tblPr>
        <w:tblStyle w:val="TableGrid4"/>
        <w:tblW w:w="0" w:type="auto"/>
        <w:tblInd w:w="704" w:type="dxa"/>
        <w:tblLook w:val="04A0" w:firstRow="1" w:lastRow="0" w:firstColumn="1" w:lastColumn="0" w:noHBand="0" w:noVBand="1"/>
      </w:tblPr>
      <w:tblGrid>
        <w:gridCol w:w="992"/>
        <w:gridCol w:w="4253"/>
        <w:gridCol w:w="3396"/>
      </w:tblGrid>
      <w:tr w:rsidR="000B1401" w:rsidRPr="00BB78B9" w14:paraId="34FA5964" w14:textId="77777777" w:rsidTr="000B1401">
        <w:tc>
          <w:tcPr>
            <w:tcW w:w="992" w:type="dxa"/>
            <w:tcBorders>
              <w:top w:val="single" w:sz="4" w:space="0" w:color="auto"/>
              <w:left w:val="single" w:sz="4" w:space="0" w:color="auto"/>
              <w:bottom w:val="single" w:sz="4" w:space="0" w:color="auto"/>
              <w:right w:val="single" w:sz="4" w:space="0" w:color="auto"/>
            </w:tcBorders>
          </w:tcPr>
          <w:p w14:paraId="1B4158FF" w14:textId="3A142CB0" w:rsidR="000B1401" w:rsidRPr="00BB78B9" w:rsidRDefault="000B1401" w:rsidP="00696015">
            <w:pPr>
              <w:spacing w:line="256" w:lineRule="auto"/>
              <w:rPr>
                <w:b/>
              </w:rPr>
            </w:pPr>
            <w:r>
              <w:rPr>
                <w:b/>
              </w:rPr>
              <w:t>Sr. No.</w:t>
            </w:r>
          </w:p>
        </w:tc>
        <w:tc>
          <w:tcPr>
            <w:tcW w:w="4253" w:type="dxa"/>
            <w:tcBorders>
              <w:top w:val="single" w:sz="4" w:space="0" w:color="auto"/>
              <w:left w:val="single" w:sz="4" w:space="0" w:color="auto"/>
              <w:bottom w:val="single" w:sz="4" w:space="0" w:color="auto"/>
              <w:right w:val="single" w:sz="4" w:space="0" w:color="auto"/>
            </w:tcBorders>
            <w:vAlign w:val="center"/>
            <w:hideMark/>
          </w:tcPr>
          <w:p w14:paraId="51EB8F56" w14:textId="1F6FB361" w:rsidR="000B1401" w:rsidRPr="000B1401" w:rsidRDefault="000B1401" w:rsidP="00696015">
            <w:pPr>
              <w:spacing w:line="256" w:lineRule="auto"/>
              <w:rPr>
                <w:b/>
              </w:rPr>
            </w:pPr>
            <w:r w:rsidRPr="000B1401">
              <w:rPr>
                <w:b/>
              </w:rPr>
              <w:t>Generation Technology</w:t>
            </w:r>
          </w:p>
        </w:tc>
        <w:tc>
          <w:tcPr>
            <w:tcW w:w="3396" w:type="dxa"/>
            <w:tcBorders>
              <w:top w:val="single" w:sz="4" w:space="0" w:color="auto"/>
              <w:left w:val="single" w:sz="4" w:space="0" w:color="auto"/>
              <w:bottom w:val="single" w:sz="4" w:space="0" w:color="auto"/>
              <w:right w:val="single" w:sz="4" w:space="0" w:color="auto"/>
            </w:tcBorders>
            <w:vAlign w:val="center"/>
            <w:hideMark/>
          </w:tcPr>
          <w:p w14:paraId="54E6CAAE" w14:textId="77777777" w:rsidR="000B1401" w:rsidRPr="00BB78B9" w:rsidRDefault="000B1401" w:rsidP="00696015">
            <w:pPr>
              <w:spacing w:line="256" w:lineRule="auto"/>
              <w:rPr>
                <w:b/>
              </w:rPr>
            </w:pPr>
            <w:commentRangeStart w:id="468"/>
            <w:r w:rsidRPr="00BB78B9">
              <w:rPr>
                <w:b/>
              </w:rPr>
              <w:t>Equivalent Availability Factor</w:t>
            </w:r>
            <w:commentRangeEnd w:id="468"/>
            <w:r>
              <w:rPr>
                <w:rStyle w:val="CommentReference"/>
                <w:rFonts w:eastAsiaTheme="minorHAnsi" w:cstheme="minorBidi"/>
                <w:lang w:val="en-GB"/>
              </w:rPr>
              <w:commentReference w:id="468"/>
            </w:r>
          </w:p>
        </w:tc>
      </w:tr>
      <w:tr w:rsidR="000B1401" w:rsidRPr="00BB78B9" w14:paraId="268D3BD2" w14:textId="77777777" w:rsidTr="009E24C4">
        <w:tc>
          <w:tcPr>
            <w:tcW w:w="992" w:type="dxa"/>
            <w:tcBorders>
              <w:top w:val="single" w:sz="4" w:space="0" w:color="auto"/>
              <w:left w:val="single" w:sz="4" w:space="0" w:color="auto"/>
              <w:bottom w:val="single" w:sz="4" w:space="0" w:color="auto"/>
              <w:right w:val="single" w:sz="4" w:space="0" w:color="auto"/>
            </w:tcBorders>
          </w:tcPr>
          <w:p w14:paraId="6231A7B3" w14:textId="67846A0E" w:rsidR="000B1401" w:rsidRPr="000B1401" w:rsidRDefault="000B1401" w:rsidP="00696015">
            <w:pPr>
              <w:spacing w:line="256" w:lineRule="auto"/>
              <w:rPr>
                <w:b/>
                <w:bCs/>
              </w:rPr>
            </w:pPr>
            <w:r w:rsidRPr="000B1401">
              <w:rPr>
                <w:b/>
                <w:bCs/>
              </w:rPr>
              <w:t>1</w:t>
            </w:r>
          </w:p>
        </w:tc>
        <w:tc>
          <w:tcPr>
            <w:tcW w:w="7649" w:type="dxa"/>
            <w:gridSpan w:val="2"/>
            <w:tcBorders>
              <w:top w:val="single" w:sz="4" w:space="0" w:color="auto"/>
              <w:left w:val="single" w:sz="4" w:space="0" w:color="auto"/>
              <w:bottom w:val="single" w:sz="4" w:space="0" w:color="auto"/>
              <w:right w:val="single" w:sz="4" w:space="0" w:color="auto"/>
            </w:tcBorders>
            <w:vAlign w:val="center"/>
          </w:tcPr>
          <w:p w14:paraId="363B9343" w14:textId="4E05DA22" w:rsidR="000B1401" w:rsidRPr="000B1401" w:rsidRDefault="000B1401" w:rsidP="000B1401">
            <w:pPr>
              <w:spacing w:line="256" w:lineRule="auto"/>
              <w:rPr>
                <w:b/>
                <w:bCs/>
              </w:rPr>
            </w:pPr>
            <w:r w:rsidRPr="000B1401">
              <w:rPr>
                <w:b/>
                <w:bCs/>
              </w:rPr>
              <w:t>Dispatchable Technologies</w:t>
            </w:r>
          </w:p>
        </w:tc>
      </w:tr>
      <w:tr w:rsidR="000B1401" w:rsidRPr="00BB78B9" w14:paraId="77AD2AD6" w14:textId="77777777" w:rsidTr="000B1401">
        <w:tc>
          <w:tcPr>
            <w:tcW w:w="992" w:type="dxa"/>
            <w:tcBorders>
              <w:top w:val="single" w:sz="4" w:space="0" w:color="auto"/>
              <w:left w:val="single" w:sz="4" w:space="0" w:color="auto"/>
              <w:bottom w:val="single" w:sz="4" w:space="0" w:color="auto"/>
              <w:right w:val="single" w:sz="4" w:space="0" w:color="auto"/>
            </w:tcBorders>
          </w:tcPr>
          <w:p w14:paraId="59B74B81" w14:textId="7228394F" w:rsidR="000B1401" w:rsidRPr="00BB78B9" w:rsidRDefault="000B1401" w:rsidP="00696015">
            <w:pPr>
              <w:spacing w:line="256" w:lineRule="auto"/>
            </w:pPr>
            <w:r>
              <w:t>1.1</w:t>
            </w:r>
          </w:p>
        </w:tc>
        <w:tc>
          <w:tcPr>
            <w:tcW w:w="4253" w:type="dxa"/>
            <w:tcBorders>
              <w:top w:val="single" w:sz="4" w:space="0" w:color="auto"/>
              <w:left w:val="single" w:sz="4" w:space="0" w:color="auto"/>
              <w:bottom w:val="single" w:sz="4" w:space="0" w:color="auto"/>
              <w:right w:val="single" w:sz="4" w:space="0" w:color="auto"/>
            </w:tcBorders>
            <w:vAlign w:val="center"/>
            <w:hideMark/>
          </w:tcPr>
          <w:p w14:paraId="0344258D" w14:textId="34FFF06D" w:rsidR="000B1401" w:rsidRPr="000B1401" w:rsidRDefault="000B1401" w:rsidP="00696015">
            <w:pPr>
              <w:spacing w:line="256" w:lineRule="auto"/>
            </w:pPr>
            <w:r w:rsidRPr="000B1401">
              <w:t>Hydro with reservoir</w:t>
            </w:r>
          </w:p>
        </w:tc>
        <w:tc>
          <w:tcPr>
            <w:tcW w:w="3396" w:type="dxa"/>
            <w:tcBorders>
              <w:top w:val="single" w:sz="4" w:space="0" w:color="auto"/>
              <w:left w:val="single" w:sz="4" w:space="0" w:color="auto"/>
              <w:bottom w:val="single" w:sz="4" w:space="0" w:color="auto"/>
              <w:right w:val="single" w:sz="4" w:space="0" w:color="auto"/>
            </w:tcBorders>
            <w:vAlign w:val="center"/>
            <w:hideMark/>
          </w:tcPr>
          <w:p w14:paraId="68614BFD" w14:textId="77777777" w:rsidR="000B1401" w:rsidRPr="00855708" w:rsidRDefault="000B1401" w:rsidP="00D76445">
            <w:pPr>
              <w:spacing w:line="256" w:lineRule="auto"/>
              <w:jc w:val="center"/>
              <w:rPr>
                <w:highlight w:val="yellow"/>
              </w:rPr>
            </w:pPr>
            <w:r w:rsidRPr="00855708">
              <w:rPr>
                <w:highlight w:val="yellow"/>
              </w:rPr>
              <w:t>0.85</w:t>
            </w:r>
          </w:p>
        </w:tc>
      </w:tr>
      <w:tr w:rsidR="000B1401" w:rsidRPr="00BB78B9" w14:paraId="5A492887" w14:textId="77777777" w:rsidTr="000B1401">
        <w:tc>
          <w:tcPr>
            <w:tcW w:w="992" w:type="dxa"/>
            <w:tcBorders>
              <w:top w:val="single" w:sz="4" w:space="0" w:color="auto"/>
              <w:left w:val="single" w:sz="4" w:space="0" w:color="auto"/>
              <w:bottom w:val="single" w:sz="4" w:space="0" w:color="auto"/>
              <w:right w:val="single" w:sz="4" w:space="0" w:color="auto"/>
            </w:tcBorders>
          </w:tcPr>
          <w:p w14:paraId="0B77F514" w14:textId="5DEFE836" w:rsidR="000B1401" w:rsidRDefault="000B1401" w:rsidP="000B1401">
            <w:pPr>
              <w:spacing w:line="256" w:lineRule="auto"/>
            </w:pPr>
            <w:r>
              <w:t>1.2</w:t>
            </w:r>
          </w:p>
        </w:tc>
        <w:tc>
          <w:tcPr>
            <w:tcW w:w="4253" w:type="dxa"/>
            <w:tcBorders>
              <w:top w:val="single" w:sz="4" w:space="0" w:color="auto"/>
              <w:left w:val="single" w:sz="4" w:space="0" w:color="auto"/>
              <w:bottom w:val="single" w:sz="4" w:space="0" w:color="auto"/>
              <w:right w:val="single" w:sz="4" w:space="0" w:color="auto"/>
            </w:tcBorders>
            <w:vAlign w:val="center"/>
          </w:tcPr>
          <w:p w14:paraId="1401C32E" w14:textId="3500E40B" w:rsidR="000B1401" w:rsidRPr="000B1401" w:rsidRDefault="000B1401" w:rsidP="000B1401">
            <w:pPr>
              <w:spacing w:line="256" w:lineRule="auto"/>
            </w:pPr>
            <w:r w:rsidRPr="000B1401">
              <w:t>Thermal (either liquid fuels, gas or coal fired)</w:t>
            </w:r>
          </w:p>
        </w:tc>
        <w:tc>
          <w:tcPr>
            <w:tcW w:w="3396" w:type="dxa"/>
            <w:tcBorders>
              <w:top w:val="single" w:sz="4" w:space="0" w:color="auto"/>
              <w:left w:val="single" w:sz="4" w:space="0" w:color="auto"/>
              <w:bottom w:val="single" w:sz="4" w:space="0" w:color="auto"/>
              <w:right w:val="single" w:sz="4" w:space="0" w:color="auto"/>
            </w:tcBorders>
            <w:vAlign w:val="center"/>
          </w:tcPr>
          <w:p w14:paraId="22A9770E" w14:textId="7E393CD4" w:rsidR="000B1401" w:rsidRPr="00855708" w:rsidRDefault="000B1401" w:rsidP="000B1401">
            <w:pPr>
              <w:spacing w:line="256" w:lineRule="auto"/>
              <w:jc w:val="center"/>
              <w:rPr>
                <w:highlight w:val="yellow"/>
              </w:rPr>
            </w:pPr>
            <w:r w:rsidRPr="00855708">
              <w:rPr>
                <w:highlight w:val="yellow"/>
              </w:rPr>
              <w:t>0.85</w:t>
            </w:r>
          </w:p>
        </w:tc>
      </w:tr>
      <w:tr w:rsidR="000B1401" w:rsidRPr="00BB78B9" w14:paraId="7CD9CC1B" w14:textId="77777777" w:rsidTr="000B1401">
        <w:tc>
          <w:tcPr>
            <w:tcW w:w="992" w:type="dxa"/>
            <w:tcBorders>
              <w:top w:val="single" w:sz="4" w:space="0" w:color="auto"/>
              <w:left w:val="single" w:sz="4" w:space="0" w:color="auto"/>
              <w:bottom w:val="single" w:sz="4" w:space="0" w:color="auto"/>
              <w:right w:val="single" w:sz="4" w:space="0" w:color="auto"/>
            </w:tcBorders>
          </w:tcPr>
          <w:p w14:paraId="1A158245" w14:textId="27170299" w:rsidR="000B1401" w:rsidRDefault="000B1401" w:rsidP="000B1401">
            <w:pPr>
              <w:spacing w:line="256" w:lineRule="auto"/>
            </w:pPr>
            <w:r>
              <w:t>1.3</w:t>
            </w:r>
          </w:p>
        </w:tc>
        <w:tc>
          <w:tcPr>
            <w:tcW w:w="4253" w:type="dxa"/>
            <w:tcBorders>
              <w:top w:val="single" w:sz="4" w:space="0" w:color="auto"/>
              <w:left w:val="single" w:sz="4" w:space="0" w:color="auto"/>
              <w:bottom w:val="single" w:sz="4" w:space="0" w:color="auto"/>
              <w:right w:val="single" w:sz="4" w:space="0" w:color="auto"/>
            </w:tcBorders>
            <w:vAlign w:val="center"/>
          </w:tcPr>
          <w:p w14:paraId="46334D62" w14:textId="74DF921D" w:rsidR="000B1401" w:rsidRPr="000B1401" w:rsidRDefault="000B1401" w:rsidP="000B1401">
            <w:pPr>
              <w:spacing w:line="256" w:lineRule="auto"/>
            </w:pPr>
            <w:r w:rsidRPr="000B1401">
              <w:t>Bagasse</w:t>
            </w:r>
          </w:p>
        </w:tc>
        <w:tc>
          <w:tcPr>
            <w:tcW w:w="3396" w:type="dxa"/>
            <w:tcBorders>
              <w:top w:val="single" w:sz="4" w:space="0" w:color="auto"/>
              <w:left w:val="single" w:sz="4" w:space="0" w:color="auto"/>
              <w:bottom w:val="single" w:sz="4" w:space="0" w:color="auto"/>
              <w:right w:val="single" w:sz="4" w:space="0" w:color="auto"/>
            </w:tcBorders>
            <w:vAlign w:val="center"/>
          </w:tcPr>
          <w:p w14:paraId="392C8AE9" w14:textId="3FF5618A" w:rsidR="000B1401" w:rsidRPr="00855708" w:rsidRDefault="000B1401" w:rsidP="000B1401">
            <w:pPr>
              <w:spacing w:line="256" w:lineRule="auto"/>
              <w:jc w:val="center"/>
              <w:rPr>
                <w:highlight w:val="yellow"/>
              </w:rPr>
            </w:pPr>
            <w:r w:rsidRPr="00855708">
              <w:rPr>
                <w:highlight w:val="yellow"/>
              </w:rPr>
              <w:t>0.85</w:t>
            </w:r>
          </w:p>
        </w:tc>
      </w:tr>
      <w:tr w:rsidR="000B1401" w:rsidRPr="00BB78B9" w14:paraId="6CDE9398" w14:textId="77777777" w:rsidTr="000B1401">
        <w:tc>
          <w:tcPr>
            <w:tcW w:w="992" w:type="dxa"/>
            <w:tcBorders>
              <w:top w:val="single" w:sz="4" w:space="0" w:color="auto"/>
              <w:left w:val="single" w:sz="4" w:space="0" w:color="auto"/>
              <w:bottom w:val="single" w:sz="4" w:space="0" w:color="auto"/>
              <w:right w:val="single" w:sz="4" w:space="0" w:color="auto"/>
            </w:tcBorders>
          </w:tcPr>
          <w:p w14:paraId="2EA3A572" w14:textId="75BAA0E9" w:rsidR="000B1401" w:rsidRDefault="000B1401" w:rsidP="000B1401">
            <w:pPr>
              <w:spacing w:line="256" w:lineRule="auto"/>
            </w:pPr>
            <w:r>
              <w:t>1.4</w:t>
            </w:r>
          </w:p>
        </w:tc>
        <w:tc>
          <w:tcPr>
            <w:tcW w:w="4253" w:type="dxa"/>
            <w:tcBorders>
              <w:top w:val="single" w:sz="4" w:space="0" w:color="auto"/>
              <w:left w:val="single" w:sz="4" w:space="0" w:color="auto"/>
              <w:bottom w:val="single" w:sz="4" w:space="0" w:color="auto"/>
              <w:right w:val="single" w:sz="4" w:space="0" w:color="auto"/>
            </w:tcBorders>
            <w:vAlign w:val="center"/>
          </w:tcPr>
          <w:p w14:paraId="570EE127" w14:textId="3F268D57" w:rsidR="000B1401" w:rsidRPr="000B1401" w:rsidRDefault="000B1401" w:rsidP="000B1401">
            <w:pPr>
              <w:spacing w:line="256" w:lineRule="auto"/>
            </w:pPr>
            <w:r w:rsidRPr="000B1401">
              <w:t>Thermal Solar</w:t>
            </w:r>
          </w:p>
        </w:tc>
        <w:tc>
          <w:tcPr>
            <w:tcW w:w="3396" w:type="dxa"/>
            <w:tcBorders>
              <w:top w:val="single" w:sz="4" w:space="0" w:color="auto"/>
              <w:left w:val="single" w:sz="4" w:space="0" w:color="auto"/>
              <w:bottom w:val="single" w:sz="4" w:space="0" w:color="auto"/>
              <w:right w:val="single" w:sz="4" w:space="0" w:color="auto"/>
            </w:tcBorders>
            <w:vAlign w:val="center"/>
          </w:tcPr>
          <w:p w14:paraId="70E06DBB" w14:textId="450920B7" w:rsidR="000B1401" w:rsidRPr="00855708" w:rsidRDefault="000B1401" w:rsidP="000B1401">
            <w:pPr>
              <w:spacing w:line="256" w:lineRule="auto"/>
              <w:jc w:val="center"/>
              <w:rPr>
                <w:highlight w:val="yellow"/>
              </w:rPr>
            </w:pPr>
            <w:r>
              <w:rPr>
                <w:highlight w:val="yellow"/>
              </w:rPr>
              <w:t>0.8</w:t>
            </w:r>
          </w:p>
        </w:tc>
      </w:tr>
      <w:tr w:rsidR="000B1401" w:rsidRPr="00BB78B9" w14:paraId="43DC052E" w14:textId="77777777" w:rsidTr="000B1401">
        <w:tc>
          <w:tcPr>
            <w:tcW w:w="992" w:type="dxa"/>
            <w:tcBorders>
              <w:top w:val="single" w:sz="4" w:space="0" w:color="auto"/>
              <w:left w:val="single" w:sz="4" w:space="0" w:color="auto"/>
              <w:bottom w:val="single" w:sz="4" w:space="0" w:color="auto"/>
              <w:right w:val="single" w:sz="4" w:space="0" w:color="auto"/>
            </w:tcBorders>
          </w:tcPr>
          <w:p w14:paraId="46CC7A8A" w14:textId="56A0A634" w:rsidR="000B1401" w:rsidRDefault="000B1401" w:rsidP="000B1401">
            <w:pPr>
              <w:spacing w:line="256" w:lineRule="auto"/>
            </w:pPr>
            <w:r>
              <w:t>1.5</w:t>
            </w:r>
          </w:p>
        </w:tc>
        <w:tc>
          <w:tcPr>
            <w:tcW w:w="4253" w:type="dxa"/>
            <w:tcBorders>
              <w:top w:val="single" w:sz="4" w:space="0" w:color="auto"/>
              <w:left w:val="single" w:sz="4" w:space="0" w:color="auto"/>
              <w:bottom w:val="single" w:sz="4" w:space="0" w:color="auto"/>
              <w:right w:val="single" w:sz="4" w:space="0" w:color="auto"/>
            </w:tcBorders>
            <w:vAlign w:val="center"/>
          </w:tcPr>
          <w:p w14:paraId="2D85E463" w14:textId="0A38EBB8" w:rsidR="000B1401" w:rsidRPr="000B1401" w:rsidRDefault="000B1401" w:rsidP="000B1401">
            <w:pPr>
              <w:spacing w:line="256" w:lineRule="auto"/>
            </w:pPr>
            <w:r w:rsidRPr="000B1401">
              <w:t>Wind or solar with batteries</w:t>
            </w:r>
          </w:p>
        </w:tc>
        <w:tc>
          <w:tcPr>
            <w:tcW w:w="3396" w:type="dxa"/>
            <w:tcBorders>
              <w:top w:val="single" w:sz="4" w:space="0" w:color="auto"/>
              <w:left w:val="single" w:sz="4" w:space="0" w:color="auto"/>
              <w:bottom w:val="single" w:sz="4" w:space="0" w:color="auto"/>
              <w:right w:val="single" w:sz="4" w:space="0" w:color="auto"/>
            </w:tcBorders>
            <w:vAlign w:val="center"/>
          </w:tcPr>
          <w:p w14:paraId="04978528" w14:textId="44B7A026" w:rsidR="000B1401" w:rsidRPr="00855708" w:rsidRDefault="000B1401" w:rsidP="000B1401">
            <w:pPr>
              <w:spacing w:line="256" w:lineRule="auto"/>
              <w:jc w:val="center"/>
              <w:rPr>
                <w:highlight w:val="yellow"/>
              </w:rPr>
            </w:pPr>
            <w:r>
              <w:rPr>
                <w:highlight w:val="yellow"/>
              </w:rPr>
              <w:t>0.85</w:t>
            </w:r>
          </w:p>
        </w:tc>
      </w:tr>
      <w:tr w:rsidR="000B1401" w:rsidRPr="00BB78B9" w14:paraId="23B0A158" w14:textId="77777777" w:rsidTr="009E24C4">
        <w:tc>
          <w:tcPr>
            <w:tcW w:w="992" w:type="dxa"/>
            <w:tcBorders>
              <w:top w:val="single" w:sz="4" w:space="0" w:color="auto"/>
              <w:left w:val="single" w:sz="4" w:space="0" w:color="auto"/>
              <w:bottom w:val="single" w:sz="4" w:space="0" w:color="auto"/>
              <w:right w:val="single" w:sz="4" w:space="0" w:color="auto"/>
            </w:tcBorders>
          </w:tcPr>
          <w:p w14:paraId="5DA0F708" w14:textId="6C1500D0" w:rsidR="000B1401" w:rsidRPr="000B1401" w:rsidRDefault="000B1401" w:rsidP="000B1401">
            <w:pPr>
              <w:spacing w:line="256" w:lineRule="auto"/>
              <w:rPr>
                <w:b/>
                <w:bCs/>
              </w:rPr>
            </w:pPr>
            <w:r w:rsidRPr="000B1401">
              <w:rPr>
                <w:b/>
                <w:bCs/>
              </w:rPr>
              <w:t>2</w:t>
            </w:r>
          </w:p>
        </w:tc>
        <w:tc>
          <w:tcPr>
            <w:tcW w:w="7649" w:type="dxa"/>
            <w:gridSpan w:val="2"/>
            <w:tcBorders>
              <w:top w:val="single" w:sz="4" w:space="0" w:color="auto"/>
              <w:left w:val="single" w:sz="4" w:space="0" w:color="auto"/>
              <w:bottom w:val="single" w:sz="4" w:space="0" w:color="auto"/>
              <w:right w:val="single" w:sz="4" w:space="0" w:color="auto"/>
            </w:tcBorders>
            <w:vAlign w:val="center"/>
          </w:tcPr>
          <w:p w14:paraId="2824B7EC" w14:textId="7359F2E9" w:rsidR="000B1401" w:rsidRPr="000B1401" w:rsidRDefault="000B1401" w:rsidP="000B1401">
            <w:pPr>
              <w:spacing w:line="256" w:lineRule="auto"/>
              <w:rPr>
                <w:b/>
                <w:bCs/>
              </w:rPr>
            </w:pPr>
            <w:r w:rsidRPr="000B1401">
              <w:rPr>
                <w:b/>
                <w:bCs/>
              </w:rPr>
              <w:t>Non-dispatchable Technologies</w:t>
            </w:r>
          </w:p>
        </w:tc>
      </w:tr>
      <w:tr w:rsidR="000B1401" w:rsidRPr="00BB78B9" w14:paraId="3DE0E244" w14:textId="77777777" w:rsidTr="000B1401">
        <w:tc>
          <w:tcPr>
            <w:tcW w:w="992" w:type="dxa"/>
            <w:tcBorders>
              <w:top w:val="single" w:sz="4" w:space="0" w:color="auto"/>
              <w:left w:val="single" w:sz="4" w:space="0" w:color="auto"/>
              <w:bottom w:val="single" w:sz="4" w:space="0" w:color="auto"/>
              <w:right w:val="single" w:sz="4" w:space="0" w:color="auto"/>
            </w:tcBorders>
          </w:tcPr>
          <w:p w14:paraId="77AA24E4" w14:textId="0C9A7914" w:rsidR="000B1401" w:rsidRDefault="000B1401" w:rsidP="000B1401">
            <w:pPr>
              <w:spacing w:line="256" w:lineRule="auto"/>
            </w:pPr>
            <w:r>
              <w:t>2.1</w:t>
            </w:r>
          </w:p>
        </w:tc>
        <w:tc>
          <w:tcPr>
            <w:tcW w:w="4253" w:type="dxa"/>
            <w:tcBorders>
              <w:top w:val="single" w:sz="4" w:space="0" w:color="auto"/>
              <w:left w:val="single" w:sz="4" w:space="0" w:color="auto"/>
              <w:bottom w:val="single" w:sz="4" w:space="0" w:color="auto"/>
              <w:right w:val="single" w:sz="4" w:space="0" w:color="auto"/>
            </w:tcBorders>
            <w:vAlign w:val="center"/>
          </w:tcPr>
          <w:p w14:paraId="4951433C" w14:textId="67D87FC2" w:rsidR="000B1401" w:rsidRPr="000B1401" w:rsidRDefault="000B1401" w:rsidP="000B1401">
            <w:pPr>
              <w:spacing w:line="256" w:lineRule="auto"/>
            </w:pPr>
            <w:r w:rsidRPr="000B1401">
              <w:t>Hydro run of river</w:t>
            </w:r>
          </w:p>
        </w:tc>
        <w:tc>
          <w:tcPr>
            <w:tcW w:w="3396" w:type="dxa"/>
            <w:tcBorders>
              <w:top w:val="single" w:sz="4" w:space="0" w:color="auto"/>
              <w:left w:val="single" w:sz="4" w:space="0" w:color="auto"/>
              <w:bottom w:val="single" w:sz="4" w:space="0" w:color="auto"/>
              <w:right w:val="single" w:sz="4" w:space="0" w:color="auto"/>
            </w:tcBorders>
            <w:vAlign w:val="center"/>
          </w:tcPr>
          <w:p w14:paraId="4D8D396D" w14:textId="04F7CBDF" w:rsidR="000B1401" w:rsidRPr="00855708" w:rsidRDefault="006A6000" w:rsidP="000B1401">
            <w:pPr>
              <w:spacing w:line="256" w:lineRule="auto"/>
              <w:jc w:val="center"/>
              <w:rPr>
                <w:highlight w:val="yellow"/>
              </w:rPr>
            </w:pPr>
            <w:commentRangeStart w:id="469"/>
            <w:r>
              <w:rPr>
                <w:highlight w:val="yellow"/>
              </w:rPr>
              <w:t>Based on the feasibility study</w:t>
            </w:r>
            <w:commentRangeEnd w:id="469"/>
            <w:r w:rsidR="00043335">
              <w:rPr>
                <w:rStyle w:val="CommentReference"/>
                <w:rFonts w:eastAsiaTheme="minorHAnsi" w:cstheme="minorBidi"/>
                <w:lang w:val="en-GB"/>
              </w:rPr>
              <w:commentReference w:id="469"/>
            </w:r>
          </w:p>
        </w:tc>
      </w:tr>
      <w:tr w:rsidR="000B1401" w:rsidRPr="00BB78B9" w14:paraId="717D1585" w14:textId="77777777" w:rsidTr="000B1401">
        <w:tc>
          <w:tcPr>
            <w:tcW w:w="992" w:type="dxa"/>
            <w:tcBorders>
              <w:top w:val="single" w:sz="4" w:space="0" w:color="auto"/>
              <w:left w:val="single" w:sz="4" w:space="0" w:color="auto"/>
              <w:bottom w:val="single" w:sz="4" w:space="0" w:color="auto"/>
              <w:right w:val="single" w:sz="4" w:space="0" w:color="auto"/>
            </w:tcBorders>
          </w:tcPr>
          <w:p w14:paraId="0D8F3261" w14:textId="3449665A" w:rsidR="000B1401" w:rsidRPr="00BB78B9" w:rsidRDefault="000B1401" w:rsidP="000B1401">
            <w:pPr>
              <w:spacing w:line="256" w:lineRule="auto"/>
            </w:pPr>
            <w:r>
              <w:t>2.2</w:t>
            </w:r>
          </w:p>
        </w:tc>
        <w:tc>
          <w:tcPr>
            <w:tcW w:w="4253" w:type="dxa"/>
            <w:tcBorders>
              <w:top w:val="single" w:sz="4" w:space="0" w:color="auto"/>
              <w:left w:val="single" w:sz="4" w:space="0" w:color="auto"/>
              <w:bottom w:val="single" w:sz="4" w:space="0" w:color="auto"/>
              <w:right w:val="single" w:sz="4" w:space="0" w:color="auto"/>
            </w:tcBorders>
            <w:vAlign w:val="center"/>
            <w:hideMark/>
          </w:tcPr>
          <w:p w14:paraId="7B1AE3D2" w14:textId="7CBD8473" w:rsidR="000B1401" w:rsidRPr="000B1401" w:rsidRDefault="000B1401" w:rsidP="000B1401">
            <w:pPr>
              <w:spacing w:line="256" w:lineRule="auto"/>
            </w:pPr>
            <w:r w:rsidRPr="000B1401">
              <w:t xml:space="preserve">Wind </w:t>
            </w:r>
          </w:p>
        </w:tc>
        <w:tc>
          <w:tcPr>
            <w:tcW w:w="3396" w:type="dxa"/>
            <w:tcBorders>
              <w:top w:val="single" w:sz="4" w:space="0" w:color="auto"/>
              <w:left w:val="single" w:sz="4" w:space="0" w:color="auto"/>
              <w:bottom w:val="single" w:sz="4" w:space="0" w:color="auto"/>
              <w:right w:val="single" w:sz="4" w:space="0" w:color="auto"/>
            </w:tcBorders>
            <w:vAlign w:val="center"/>
            <w:hideMark/>
          </w:tcPr>
          <w:p w14:paraId="51A2E6CD" w14:textId="77777777" w:rsidR="000B1401" w:rsidRPr="00855708" w:rsidRDefault="000B1401" w:rsidP="000B1401">
            <w:pPr>
              <w:spacing w:line="256" w:lineRule="auto"/>
              <w:jc w:val="center"/>
              <w:rPr>
                <w:highlight w:val="yellow"/>
              </w:rPr>
            </w:pPr>
            <w:r w:rsidRPr="00855708">
              <w:rPr>
                <w:highlight w:val="yellow"/>
              </w:rPr>
              <w:t>0.30</w:t>
            </w:r>
          </w:p>
        </w:tc>
      </w:tr>
      <w:tr w:rsidR="000B1401" w:rsidRPr="00BB78B9" w14:paraId="55E5FFB4" w14:textId="77777777" w:rsidTr="000B1401">
        <w:tc>
          <w:tcPr>
            <w:tcW w:w="992" w:type="dxa"/>
            <w:tcBorders>
              <w:top w:val="single" w:sz="4" w:space="0" w:color="auto"/>
              <w:left w:val="single" w:sz="4" w:space="0" w:color="auto"/>
              <w:bottom w:val="single" w:sz="4" w:space="0" w:color="auto"/>
              <w:right w:val="single" w:sz="4" w:space="0" w:color="auto"/>
            </w:tcBorders>
          </w:tcPr>
          <w:p w14:paraId="2DC2A452" w14:textId="2A40459F" w:rsidR="000B1401" w:rsidRPr="00BB78B9" w:rsidRDefault="000B1401" w:rsidP="000B1401">
            <w:pPr>
              <w:spacing w:line="256" w:lineRule="auto"/>
            </w:pPr>
            <w:r>
              <w:t>2.3</w:t>
            </w:r>
          </w:p>
        </w:tc>
        <w:tc>
          <w:tcPr>
            <w:tcW w:w="4253" w:type="dxa"/>
            <w:tcBorders>
              <w:top w:val="single" w:sz="4" w:space="0" w:color="auto"/>
              <w:left w:val="single" w:sz="4" w:space="0" w:color="auto"/>
              <w:bottom w:val="single" w:sz="4" w:space="0" w:color="auto"/>
              <w:right w:val="single" w:sz="4" w:space="0" w:color="auto"/>
            </w:tcBorders>
            <w:vAlign w:val="center"/>
            <w:hideMark/>
          </w:tcPr>
          <w:p w14:paraId="66AF815B" w14:textId="498C7DCB" w:rsidR="000B1401" w:rsidRPr="000B1401" w:rsidRDefault="000B1401" w:rsidP="000B1401">
            <w:pPr>
              <w:spacing w:line="256" w:lineRule="auto"/>
            </w:pPr>
            <w:r w:rsidRPr="000B1401">
              <w:t>Solar PV</w:t>
            </w:r>
          </w:p>
        </w:tc>
        <w:tc>
          <w:tcPr>
            <w:tcW w:w="3396" w:type="dxa"/>
            <w:tcBorders>
              <w:top w:val="single" w:sz="4" w:space="0" w:color="auto"/>
              <w:left w:val="single" w:sz="4" w:space="0" w:color="auto"/>
              <w:bottom w:val="single" w:sz="4" w:space="0" w:color="auto"/>
              <w:right w:val="single" w:sz="4" w:space="0" w:color="auto"/>
            </w:tcBorders>
            <w:vAlign w:val="center"/>
            <w:hideMark/>
          </w:tcPr>
          <w:p w14:paraId="76026B94" w14:textId="77777777" w:rsidR="000B1401" w:rsidRPr="00855708" w:rsidRDefault="000B1401" w:rsidP="000B1401">
            <w:pPr>
              <w:spacing w:line="256" w:lineRule="auto"/>
              <w:jc w:val="center"/>
              <w:rPr>
                <w:highlight w:val="yellow"/>
              </w:rPr>
            </w:pPr>
            <w:r w:rsidRPr="00855708">
              <w:rPr>
                <w:highlight w:val="yellow"/>
              </w:rPr>
              <w:t>0.22</w:t>
            </w:r>
          </w:p>
        </w:tc>
      </w:tr>
    </w:tbl>
    <w:p w14:paraId="35646568" w14:textId="23E969A8" w:rsidR="00B245F9" w:rsidRDefault="00B245F9" w:rsidP="005B295A">
      <w:pPr>
        <w:pStyle w:val="Heading4"/>
      </w:pPr>
      <w:r>
        <w:lastRenderedPageBreak/>
        <w:t>The Initial Firm Capacity Certificate of new Generat</w:t>
      </w:r>
      <w:r w:rsidR="00931AE6">
        <w:t>ion Uni</w:t>
      </w:r>
      <w:r w:rsidR="006A6000">
        <w:t>t</w:t>
      </w:r>
      <w:r w:rsidR="00931AE6">
        <w:t>s</w:t>
      </w:r>
      <w:r>
        <w:t xml:space="preserve"> </w:t>
      </w:r>
      <w:r w:rsidR="007F231D">
        <w:t>may be issued with a</w:t>
      </w:r>
      <w:r>
        <w:t xml:space="preserve"> validity </w:t>
      </w:r>
      <w:r w:rsidR="007F231D">
        <w:t xml:space="preserve">up to </w:t>
      </w:r>
      <w:r>
        <w:t>[</w:t>
      </w:r>
      <w:r w:rsidR="00644F25">
        <w:t>20</w:t>
      </w:r>
      <w:r>
        <w:t>] years.</w:t>
      </w:r>
      <w:r w:rsidR="00644F25">
        <w:t xml:space="preserve"> The Market Operator must review the Firm Capacity Certificate of such Generation Units within six months </w:t>
      </w:r>
      <w:r w:rsidR="007F231D">
        <w:t xml:space="preserve">after </w:t>
      </w:r>
      <w:r w:rsidR="00644F25">
        <w:t xml:space="preserve">completion of third year </w:t>
      </w:r>
      <w:r w:rsidR="007F231D">
        <w:t xml:space="preserve">from </w:t>
      </w:r>
      <w:r w:rsidR="00644F25">
        <w:t>COD.</w:t>
      </w:r>
    </w:p>
    <w:p w14:paraId="679329D6" w14:textId="77777777" w:rsidR="00B245F9" w:rsidRDefault="00B245F9" w:rsidP="00B245F9">
      <w:pPr>
        <w:pStyle w:val="Heading3"/>
      </w:pPr>
      <w:r>
        <w:t>Nascent or Special Technologies</w:t>
      </w:r>
    </w:p>
    <w:p w14:paraId="13B8D588" w14:textId="5E39371F" w:rsidR="00B245F9" w:rsidRDefault="00B245F9" w:rsidP="005B295A">
      <w:pPr>
        <w:pStyle w:val="Heading4"/>
      </w:pPr>
      <w:r>
        <w:t xml:space="preserve">The </w:t>
      </w:r>
      <w:r w:rsidR="00E05C15">
        <w:t>i</w:t>
      </w:r>
      <w:r>
        <w:t>nitial Firm Capacity of new Generat</w:t>
      </w:r>
      <w:r w:rsidR="00931AE6">
        <w:t>ion Units</w:t>
      </w:r>
      <w:r>
        <w:t xml:space="preserve">, </w:t>
      </w:r>
      <w:r w:rsidR="007F231D" w:rsidRPr="000B1401">
        <w:t xml:space="preserve">which </w:t>
      </w:r>
      <w:r w:rsidR="007F231D">
        <w:t>will be</w:t>
      </w:r>
      <w:r w:rsidR="007F231D" w:rsidRPr="000B1401">
        <w:t xml:space="preserve"> commissioned </w:t>
      </w:r>
      <w:r w:rsidR="007F231D">
        <w:t>after</w:t>
      </w:r>
      <w:r w:rsidR="007F231D" w:rsidRPr="000B1401">
        <w:t xml:space="preserve"> CMOD,</w:t>
      </w:r>
      <w:r>
        <w:t xml:space="preserve"> and use nascent or special technologies</w:t>
      </w:r>
      <w:r w:rsidR="007F231D">
        <w:t>,</w:t>
      </w:r>
      <w:r>
        <w:t xml:space="preserve"> not included in </w:t>
      </w:r>
      <w:r>
        <w:fldChar w:fldCharType="begin"/>
      </w:r>
      <w:r>
        <w:instrText xml:space="preserve"> REF _Ref64109425 \h </w:instrText>
      </w:r>
      <w:r>
        <w:fldChar w:fldCharType="separate"/>
      </w:r>
      <w:r w:rsidR="00251DBF" w:rsidRPr="0005549E">
        <w:t xml:space="preserve">Table </w:t>
      </w:r>
      <w:r w:rsidR="00251DBF">
        <w:rPr>
          <w:noProof/>
        </w:rPr>
        <w:t>1</w:t>
      </w:r>
      <w:r>
        <w:fldChar w:fldCharType="end"/>
      </w:r>
      <w:r>
        <w:t xml:space="preserve">, shall be determined </w:t>
      </w:r>
      <w:r w:rsidR="007F231D">
        <w:t xml:space="preserve">on </w:t>
      </w:r>
      <w:r>
        <w:t>a case-</w:t>
      </w:r>
      <w:r w:rsidR="007F231D">
        <w:t>to</w:t>
      </w:r>
      <w:r>
        <w:t xml:space="preserve">-case basis. </w:t>
      </w:r>
    </w:p>
    <w:p w14:paraId="34E46D44" w14:textId="389D2A50" w:rsidR="00B245F9" w:rsidRDefault="00B245F9" w:rsidP="005B295A">
      <w:pPr>
        <w:pStyle w:val="Heading4"/>
      </w:pPr>
      <w:r>
        <w:t xml:space="preserve">The Market Operator </w:t>
      </w:r>
      <w:r w:rsidR="007F231D">
        <w:t xml:space="preserve">shall </w:t>
      </w:r>
      <w:r>
        <w:t xml:space="preserve">review the </w:t>
      </w:r>
      <w:r w:rsidR="007F231D">
        <w:t xml:space="preserve">information submitted by the applicant </w:t>
      </w:r>
      <w:r>
        <w:t xml:space="preserve">and, if deemed appropriate, it </w:t>
      </w:r>
      <w:r w:rsidR="007F231D">
        <w:t xml:space="preserve">may </w:t>
      </w:r>
      <w:r>
        <w:t xml:space="preserve">seek advice from reputable experts </w:t>
      </w:r>
      <w:r w:rsidR="007F231D">
        <w:t>of such</w:t>
      </w:r>
      <w:r>
        <w:t xml:space="preserve"> technologies. </w:t>
      </w:r>
    </w:p>
    <w:p w14:paraId="3A409FA6" w14:textId="3DC97D32" w:rsidR="00B245F9" w:rsidRDefault="007F231D" w:rsidP="005B295A">
      <w:pPr>
        <w:pStyle w:val="Heading4"/>
      </w:pPr>
      <w:r>
        <w:t xml:space="preserve">Thereafter, </w:t>
      </w:r>
      <w:r w:rsidR="00B245F9">
        <w:t xml:space="preserve">the Market Operator </w:t>
      </w:r>
      <w:r>
        <w:t>shall fix</w:t>
      </w:r>
      <w:r w:rsidR="00B245F9">
        <w:t xml:space="preserve"> the values </w:t>
      </w:r>
      <w:r>
        <w:t xml:space="preserve">to </w:t>
      </w:r>
      <w:r w:rsidR="00B245F9">
        <w:t xml:space="preserve">be included in the Initial Firm Capacity Certificate. These values </w:t>
      </w:r>
      <w:r>
        <w:t xml:space="preserve">shall </w:t>
      </w:r>
      <w:r w:rsidR="00B245F9">
        <w:t xml:space="preserve">be reviewed after [3] years of </w:t>
      </w:r>
      <w:r w:rsidR="00814834">
        <w:t xml:space="preserve">issuance of the Initial Firm Capacity Certificates for </w:t>
      </w:r>
      <w:r w:rsidR="00E05C15">
        <w:t>such Generation Unit</w:t>
      </w:r>
      <w:r w:rsidR="00814834">
        <w:t>s</w:t>
      </w:r>
      <w:r w:rsidR="0049602C">
        <w:t xml:space="preserve"> or any other shorter period as </w:t>
      </w:r>
      <w:r>
        <w:t>deemed appropriate</w:t>
      </w:r>
      <w:r w:rsidR="00B245F9">
        <w:t xml:space="preserve">. </w:t>
      </w:r>
    </w:p>
    <w:p w14:paraId="5C3963E4" w14:textId="77777777" w:rsidR="00B245F9" w:rsidRDefault="00B245F9" w:rsidP="00B245F9">
      <w:pPr>
        <w:pStyle w:val="Heading3"/>
      </w:pPr>
      <w:r>
        <w:t>Contracts for Energy or Capacity Imports</w:t>
      </w:r>
    </w:p>
    <w:p w14:paraId="1CE849C6" w14:textId="6E01D52E" w:rsidR="006A6000" w:rsidRDefault="007F231D" w:rsidP="00826328">
      <w:pPr>
        <w:pStyle w:val="Heading4"/>
      </w:pPr>
      <w:r>
        <w:t xml:space="preserve">Import </w:t>
      </w:r>
      <w:r w:rsidR="0049602C">
        <w:t>C</w:t>
      </w:r>
      <w:r w:rsidR="006A6000" w:rsidRPr="006A6000">
        <w:t>ontracts</w:t>
      </w:r>
      <w:r w:rsidR="0049602C">
        <w:t xml:space="preserve"> </w:t>
      </w:r>
      <w:r>
        <w:t xml:space="preserve">which have </w:t>
      </w:r>
      <w:r w:rsidR="006A6000">
        <w:t>provision</w:t>
      </w:r>
      <w:r>
        <w:t>s</w:t>
      </w:r>
      <w:r w:rsidR="006A6000">
        <w:t xml:space="preserve"> </w:t>
      </w:r>
      <w:r>
        <w:t>for</w:t>
      </w:r>
      <w:r w:rsidR="006A6000">
        <w:t xml:space="preserve"> firm Import </w:t>
      </w:r>
      <w:r>
        <w:t>shall</w:t>
      </w:r>
      <w:r w:rsidR="006A6000">
        <w:t xml:space="preserve"> be </w:t>
      </w:r>
      <w:r>
        <w:t>eligible</w:t>
      </w:r>
      <w:r w:rsidR="006A6000">
        <w:t xml:space="preserve"> to receive Firm Capacity Certificates. An Import </w:t>
      </w:r>
      <w:r w:rsidR="0049602C">
        <w:t>C</w:t>
      </w:r>
      <w:r w:rsidR="006A6000">
        <w:t>ontract</w:t>
      </w:r>
      <w:r>
        <w:t xml:space="preserve"> in order to qualify as firm Import shall:</w:t>
      </w:r>
      <w:r w:rsidR="006A6000">
        <w:t xml:space="preserve"> </w:t>
      </w:r>
    </w:p>
    <w:p w14:paraId="6F523577" w14:textId="65C79197" w:rsidR="00826328" w:rsidRDefault="002F6972" w:rsidP="00826328">
      <w:pPr>
        <w:pStyle w:val="Heading5"/>
      </w:pPr>
      <w:r>
        <w:t>stipulate</w:t>
      </w:r>
      <w:r w:rsidR="00826328">
        <w:t xml:space="preserve"> that the Import comes from </w:t>
      </w:r>
      <w:r>
        <w:t>clearly identified</w:t>
      </w:r>
      <w:r w:rsidR="00826328">
        <w:t xml:space="preserve"> group of Generation Units or Generation Plants, which are not connected to the system of the </w:t>
      </w:r>
      <w:r w:rsidR="0049602C">
        <w:t>territory</w:t>
      </w:r>
      <w:r w:rsidR="00826328">
        <w:t xml:space="preserve"> </w:t>
      </w:r>
      <w:r w:rsidR="0049602C">
        <w:t>where the Generation Unit is located</w:t>
      </w:r>
      <w:r w:rsidR="00826328">
        <w:t xml:space="preserve">; or </w:t>
      </w:r>
    </w:p>
    <w:p w14:paraId="511D3726" w14:textId="4446A5DE" w:rsidR="00826328" w:rsidRDefault="002F6972" w:rsidP="00826328">
      <w:pPr>
        <w:pStyle w:val="Heading5"/>
      </w:pPr>
      <w:r>
        <w:t>i</w:t>
      </w:r>
      <w:r w:rsidR="005A139B">
        <w:t xml:space="preserve">n case of </w:t>
      </w:r>
      <w:r>
        <w:t>I</w:t>
      </w:r>
      <w:r w:rsidR="005A139B">
        <w:t>mports from foreign countries, c</w:t>
      </w:r>
      <w:r w:rsidR="006A6000">
        <w:t xml:space="preserve">ontain </w:t>
      </w:r>
      <w:r>
        <w:t>provisions which</w:t>
      </w:r>
      <w:r w:rsidR="006A6000">
        <w:t xml:space="preserve"> </w:t>
      </w:r>
      <w:r w:rsidR="00826328">
        <w:t xml:space="preserve">clearly specify that </w:t>
      </w:r>
      <w:r w:rsidR="006A6000">
        <w:t xml:space="preserve">the buyer is entitled to receive the specified </w:t>
      </w:r>
      <w:r>
        <w:t>quantity</w:t>
      </w:r>
      <w:r w:rsidR="006A6000">
        <w:t xml:space="preserve"> of electric power on its demand, and that the seller is not entitled to restrict such Export </w:t>
      </w:r>
      <w:r w:rsidR="00826328">
        <w:t xml:space="preserve">for any reason, other than the unavailability of the interconnection line; and the </w:t>
      </w:r>
      <w:r>
        <w:t>laws</w:t>
      </w:r>
      <w:r w:rsidR="00826328">
        <w:t xml:space="preserve"> prevailing in the country of the </w:t>
      </w:r>
      <w:r>
        <w:t>s</w:t>
      </w:r>
      <w:r w:rsidR="00826328">
        <w:t xml:space="preserve">eller </w:t>
      </w:r>
      <w:r>
        <w:t>do</w:t>
      </w:r>
      <w:r w:rsidR="00826328">
        <w:t xml:space="preserve"> not </w:t>
      </w:r>
      <w:r>
        <w:t xml:space="preserve">require suspension of Exports in case of </w:t>
      </w:r>
      <w:r w:rsidR="00826328">
        <w:t xml:space="preserve">shortages </w:t>
      </w:r>
      <w:commentRangeStart w:id="470"/>
      <w:r w:rsidR="00826328">
        <w:t xml:space="preserve">or </w:t>
      </w:r>
      <w:r>
        <w:t>e</w:t>
      </w:r>
      <w:r w:rsidR="00826328">
        <w:t>nergy deficits;</w:t>
      </w:r>
    </w:p>
    <w:p w14:paraId="20C7A82B" w14:textId="6EC73C6E" w:rsidR="00826328" w:rsidRPr="00826328" w:rsidRDefault="002F6972" w:rsidP="00826328">
      <w:pPr>
        <w:pStyle w:val="Heading5"/>
      </w:pPr>
      <w:r>
        <w:t>where t</w:t>
      </w:r>
      <w:r w:rsidR="00826328">
        <w:t>he Import is backed by an international treaty, clearly specif</w:t>
      </w:r>
      <w:r>
        <w:t>y</w:t>
      </w:r>
      <w:r w:rsidR="00826328">
        <w:t xml:space="preserve"> that the Export is firm and it will be res</w:t>
      </w:r>
      <w:commentRangeStart w:id="471"/>
      <w:r w:rsidR="00826328">
        <w:t xml:space="preserve">pected even in cases of </w:t>
      </w:r>
      <w:r>
        <w:t>e</w:t>
      </w:r>
      <w:r w:rsidR="00826328">
        <w:t xml:space="preserve">nergy deficits or </w:t>
      </w:r>
      <w:r w:rsidR="008F39E4">
        <w:t>shor</w:t>
      </w:r>
      <w:commentRangeEnd w:id="470"/>
      <w:r w:rsidR="00CE34A8">
        <w:rPr>
          <w:rStyle w:val="CommentReference"/>
          <w:rFonts w:eastAsiaTheme="minorHAnsi" w:cstheme="minorBidi"/>
          <w:color w:val="1C1C1C"/>
        </w:rPr>
        <w:commentReference w:id="470"/>
      </w:r>
      <w:r w:rsidR="008F39E4">
        <w:t>tages in the country or region of the seller.</w:t>
      </w:r>
      <w:commentRangeEnd w:id="471"/>
      <w:r w:rsidR="00F504E5">
        <w:rPr>
          <w:rStyle w:val="CommentReference"/>
          <w:rFonts w:eastAsiaTheme="minorHAnsi" w:cstheme="minorBidi"/>
          <w:color w:val="1C1C1C"/>
        </w:rPr>
        <w:commentReference w:id="471"/>
      </w:r>
    </w:p>
    <w:p w14:paraId="687A1D2B" w14:textId="7ECAD69D" w:rsidR="008F39E4" w:rsidRDefault="008F39E4" w:rsidP="00071FC2">
      <w:pPr>
        <w:pStyle w:val="Heading4"/>
      </w:pPr>
      <w:r>
        <w:t xml:space="preserve">The Market Operator </w:t>
      </w:r>
      <w:r w:rsidR="002F6972">
        <w:t>shall</w:t>
      </w:r>
      <w:r>
        <w:t xml:space="preserve"> review the </w:t>
      </w:r>
      <w:r w:rsidR="002F6972">
        <w:t>submitted Import</w:t>
      </w:r>
      <w:r>
        <w:t xml:space="preserve"> </w:t>
      </w:r>
      <w:r w:rsidR="003A578F">
        <w:t>Contract</w:t>
      </w:r>
      <w:r>
        <w:t xml:space="preserve"> and </w:t>
      </w:r>
      <w:r w:rsidR="002F6972">
        <w:t>shall</w:t>
      </w:r>
      <w:r>
        <w:t xml:space="preserve"> determine if </w:t>
      </w:r>
      <w:r w:rsidR="002F6972">
        <w:t>such</w:t>
      </w:r>
      <w:r>
        <w:t xml:space="preserve"> </w:t>
      </w:r>
      <w:r w:rsidR="005A139B">
        <w:t>C</w:t>
      </w:r>
      <w:r>
        <w:t>ontract qualif</w:t>
      </w:r>
      <w:r w:rsidR="002F6972">
        <w:t>ies</w:t>
      </w:r>
      <w:r>
        <w:t xml:space="preserve"> as firm Import or not. </w:t>
      </w:r>
    </w:p>
    <w:p w14:paraId="2CC87F10" w14:textId="79FFE5E3" w:rsidR="008F39E4" w:rsidRDefault="008F39E4" w:rsidP="00071FC2">
      <w:pPr>
        <w:pStyle w:val="Heading4"/>
      </w:pPr>
      <w:r>
        <w:t xml:space="preserve">In case the </w:t>
      </w:r>
      <w:r w:rsidR="00F0349F">
        <w:t>Import</w:t>
      </w:r>
      <w:r w:rsidR="005A139B">
        <w:t xml:space="preserve"> Contract</w:t>
      </w:r>
      <w:r>
        <w:t xml:space="preserve"> qualifies as firm Import, the </w:t>
      </w:r>
      <w:r w:rsidR="005A139B">
        <w:t>i</w:t>
      </w:r>
      <w:r>
        <w:t xml:space="preserve">nitial Firm Capacity </w:t>
      </w:r>
      <w:r w:rsidR="00F0349F">
        <w:t>for</w:t>
      </w:r>
      <w:r>
        <w:t xml:space="preserve"> the Import Contract shall be equal to the Firm Capacity stated in the Import Contract</w:t>
      </w:r>
      <w:r w:rsidR="00F0349F">
        <w:t>,</w:t>
      </w:r>
      <w:r>
        <w:t xml:space="preserve"> or if this value is not clearly stated in the </w:t>
      </w:r>
      <w:r w:rsidR="005A139B">
        <w:t>C</w:t>
      </w:r>
      <w:r>
        <w:t xml:space="preserve">ontract, the </w:t>
      </w:r>
      <w:r w:rsidR="005A139B">
        <w:t xml:space="preserve">average </w:t>
      </w:r>
      <w:r w:rsidR="00035C2D">
        <w:t xml:space="preserve">forecasted </w:t>
      </w:r>
      <w:r w:rsidR="005A139B">
        <w:t xml:space="preserve">Energy </w:t>
      </w:r>
      <w:r w:rsidR="00035C2D">
        <w:t xml:space="preserve">to be imported </w:t>
      </w:r>
      <w:r w:rsidR="005A139B">
        <w:t xml:space="preserve">during the </w:t>
      </w:r>
      <w:r w:rsidR="00900A69">
        <w:t>System Peak</w:t>
      </w:r>
      <w:r>
        <w:t xml:space="preserve"> Hours</w:t>
      </w:r>
      <w:r w:rsidR="00900A69">
        <w:t xml:space="preserve">. </w:t>
      </w:r>
    </w:p>
    <w:p w14:paraId="1D45BAC6" w14:textId="52DCFE1A" w:rsidR="00B245F9" w:rsidRPr="00DD72A6" w:rsidRDefault="00B245F9" w:rsidP="00B245F9">
      <w:pPr>
        <w:pStyle w:val="Heading2"/>
      </w:pPr>
      <w:bookmarkStart w:id="472" w:name="_Toc64846696"/>
      <w:bookmarkStart w:id="473" w:name="_Toc69476994"/>
      <w:r w:rsidRPr="007F788C">
        <w:t xml:space="preserve">Review of Firm Capacity </w:t>
      </w:r>
      <w:bookmarkEnd w:id="472"/>
      <w:bookmarkEnd w:id="473"/>
      <w:r w:rsidR="007F243A">
        <w:t>Certificates</w:t>
      </w:r>
      <w:r w:rsidR="007F243A" w:rsidRPr="007F788C">
        <w:t xml:space="preserve"> </w:t>
      </w:r>
    </w:p>
    <w:p w14:paraId="171B00FE" w14:textId="77777777" w:rsidR="00B245F9" w:rsidRDefault="00B245F9" w:rsidP="00B245F9">
      <w:pPr>
        <w:pStyle w:val="Heading3"/>
      </w:pPr>
      <w:r>
        <w:t>Review I</w:t>
      </w:r>
      <w:r w:rsidRPr="007F788C">
        <w:t>nitiated by the Market Operator</w:t>
      </w:r>
    </w:p>
    <w:p w14:paraId="05D2D041" w14:textId="27CB5CC0" w:rsidR="00814834" w:rsidRDefault="00814834" w:rsidP="005B295A">
      <w:pPr>
        <w:pStyle w:val="Heading4"/>
      </w:pPr>
      <w:bookmarkStart w:id="474" w:name="_Ref68700116"/>
      <w:r>
        <w:t>All Initial Firm Capacity Certificates issued to the Generation Units or Generation Plants commissioned prior to or after the CMOD shall be reviewed by the Market Operator withing 6 months after completion of three years from the issuance date of such certificates or any other shorter period as deemed appropriate by the Market Operator.</w:t>
      </w:r>
    </w:p>
    <w:p w14:paraId="402C38F0" w14:textId="2492C9AF" w:rsidR="00677C45" w:rsidRDefault="00814834" w:rsidP="005B295A">
      <w:pPr>
        <w:pStyle w:val="Heading4"/>
      </w:pPr>
      <w:bookmarkStart w:id="475" w:name="_Ref76904177"/>
      <w:r>
        <w:lastRenderedPageBreak/>
        <w:t>After carrying out the first review of the Initial Firm Capacity Certificates as stipulated above, t</w:t>
      </w:r>
      <w:r w:rsidR="00677C45">
        <w:t xml:space="preserve">he Market Operator shall </w:t>
      </w:r>
      <w:r>
        <w:t xml:space="preserve">carry out </w:t>
      </w:r>
      <w:r w:rsidR="00677C45">
        <w:t xml:space="preserve">review </w:t>
      </w:r>
      <w:r>
        <w:t xml:space="preserve">of </w:t>
      </w:r>
      <w:r w:rsidR="00677C45">
        <w:t xml:space="preserve">the Firm Capacity Certificates every five (5) years. This review shall be performed within six (6) months </w:t>
      </w:r>
      <w:r w:rsidR="005014BE">
        <w:t>after completion of the five years period.</w:t>
      </w:r>
      <w:bookmarkEnd w:id="474"/>
      <w:bookmarkEnd w:id="475"/>
      <w:r w:rsidR="00677C45">
        <w:t xml:space="preserve"> </w:t>
      </w:r>
    </w:p>
    <w:p w14:paraId="0201D98F" w14:textId="39523FD7" w:rsidR="00B245F9" w:rsidRDefault="003F3B8D" w:rsidP="005B295A">
      <w:pPr>
        <w:pStyle w:val="Heading4"/>
      </w:pPr>
      <w:r>
        <w:t>Notwithstanding</w:t>
      </w:r>
      <w:r w:rsidR="005014BE">
        <w:t xml:space="preserve"> the</w:t>
      </w:r>
      <w:r>
        <w:t xml:space="preserve"> provision</w:t>
      </w:r>
      <w:r w:rsidR="005014BE">
        <w:t>s</w:t>
      </w:r>
      <w:r>
        <w:t xml:space="preserve"> </w:t>
      </w:r>
      <w:r w:rsidR="005014BE">
        <w:t xml:space="preserve">of review as stipulated </w:t>
      </w:r>
      <w:r>
        <w:t xml:space="preserve">in Clause </w:t>
      </w:r>
      <w:r w:rsidR="00FB251F">
        <w:fldChar w:fldCharType="begin"/>
      </w:r>
      <w:r w:rsidR="00FB251F">
        <w:instrText xml:space="preserve"> REF _Ref76904177 \r \h </w:instrText>
      </w:r>
      <w:r w:rsidR="00FB251F">
        <w:fldChar w:fldCharType="separate"/>
      </w:r>
      <w:r w:rsidR="00FB251F">
        <w:t>9.4.1.2</w:t>
      </w:r>
      <w:r w:rsidR="00FB251F">
        <w:fldChar w:fldCharType="end"/>
      </w:r>
      <w:commentRangeStart w:id="476"/>
      <w:commentRangeEnd w:id="476"/>
      <w:r w:rsidR="005014BE">
        <w:rPr>
          <w:rStyle w:val="CommentReference"/>
          <w:rFonts w:eastAsiaTheme="minorHAnsi" w:cstheme="minorBidi"/>
          <w:bCs w:val="0"/>
          <w:iCs w:val="0"/>
          <w:color w:val="1C1C1C"/>
        </w:rPr>
        <w:commentReference w:id="476"/>
      </w:r>
      <w:r w:rsidR="005014BE">
        <w:rPr>
          <w:rStyle w:val="CommentReference"/>
          <w:rFonts w:eastAsiaTheme="minorHAnsi" w:cstheme="minorBidi"/>
          <w:bCs w:val="0"/>
          <w:iCs w:val="0"/>
          <w:color w:val="1C1C1C"/>
        </w:rPr>
        <w:t xml:space="preserve"> </w:t>
      </w:r>
      <w:r w:rsidR="005014BE" w:rsidRPr="005014BE">
        <w:rPr>
          <w:rStyle w:val="CommentReference"/>
          <w:rFonts w:eastAsiaTheme="minorHAnsi" w:cstheme="minorBidi"/>
          <w:bCs w:val="0"/>
          <w:iCs w:val="0"/>
          <w:color w:val="1C1C1C"/>
          <w:sz w:val="22"/>
          <w:szCs w:val="22"/>
        </w:rPr>
        <w:t>above</w:t>
      </w:r>
      <w:r>
        <w:t>, t</w:t>
      </w:r>
      <w:r w:rsidR="00B245F9" w:rsidRPr="00855708">
        <w:t xml:space="preserve">he Market Operator </w:t>
      </w:r>
      <w:r w:rsidR="005014BE">
        <w:t>may review and</w:t>
      </w:r>
      <w:r w:rsidR="00B245F9">
        <w:t xml:space="preserve"> cancel certain </w:t>
      </w:r>
      <w:r w:rsidR="005014BE">
        <w:t xml:space="preserve">number </w:t>
      </w:r>
      <w:r w:rsidR="00B245F9">
        <w:t xml:space="preserve">of the Firm Capacity Certificates, in cases: </w:t>
      </w:r>
    </w:p>
    <w:p w14:paraId="1C03E8CA" w14:textId="2367F552" w:rsidR="00B245F9" w:rsidRDefault="005014BE" w:rsidP="00B03234">
      <w:pPr>
        <w:pStyle w:val="Heading5"/>
      </w:pPr>
      <w:r>
        <w:t>t</w:t>
      </w:r>
      <w:r w:rsidR="00B245F9">
        <w:t xml:space="preserve">he actual availability of a Dispatchable </w:t>
      </w:r>
      <w:r w:rsidR="00E93A6A">
        <w:t xml:space="preserve">Generation Unit </w:t>
      </w:r>
      <w:r w:rsidR="00B245F9">
        <w:t xml:space="preserve">is consistently below the values which were used to issue the certificates; or </w:t>
      </w:r>
    </w:p>
    <w:p w14:paraId="5D065CCF" w14:textId="663B18F0" w:rsidR="00B245F9" w:rsidRDefault="005014BE" w:rsidP="00B03234">
      <w:pPr>
        <w:pStyle w:val="Heading5"/>
      </w:pPr>
      <w:r>
        <w:t>t</w:t>
      </w:r>
      <w:r w:rsidR="00B245F9">
        <w:t xml:space="preserve">he actual </w:t>
      </w:r>
      <w:r w:rsidR="0046412E">
        <w:t>Energy</w:t>
      </w:r>
      <w:r w:rsidR="00B245F9">
        <w:t xml:space="preserve"> produced by a Non-dispatchable </w:t>
      </w:r>
      <w:r w:rsidR="00E93A6A">
        <w:t xml:space="preserve">Generation Unit </w:t>
      </w:r>
      <w:r w:rsidR="00B245F9">
        <w:t>is consistently lower than the values which were used to issue the certificates; or</w:t>
      </w:r>
    </w:p>
    <w:p w14:paraId="5823505B" w14:textId="4424DB1D" w:rsidR="00B245F9" w:rsidRDefault="005014BE" w:rsidP="00B03234">
      <w:pPr>
        <w:pStyle w:val="Heading5"/>
      </w:pPr>
      <w:r>
        <w:t>t</w:t>
      </w:r>
      <w:r w:rsidR="00B245F9">
        <w:t xml:space="preserve">he </w:t>
      </w:r>
      <w:r w:rsidR="003214A4">
        <w:t xml:space="preserve">contracted quantity of </w:t>
      </w:r>
      <w:r w:rsidR="0046412E">
        <w:t>Energy</w:t>
      </w:r>
      <w:r w:rsidR="00B245F9">
        <w:t xml:space="preserve"> and/or </w:t>
      </w:r>
      <w:r w:rsidR="0046412E">
        <w:t>Capacity</w:t>
      </w:r>
      <w:r w:rsidR="00B245F9">
        <w:t xml:space="preserve"> in an Import Contract </w:t>
      </w:r>
      <w:r>
        <w:t>is not available for dispatch</w:t>
      </w:r>
      <w:r w:rsidR="003214A4">
        <w:t>,</w:t>
      </w:r>
      <w:r>
        <w:t xml:space="preserve"> </w:t>
      </w:r>
      <w:r w:rsidR="00B245F9">
        <w:t xml:space="preserve">when required. </w:t>
      </w:r>
    </w:p>
    <w:p w14:paraId="5DCEA71F" w14:textId="54F6BF93" w:rsidR="00B245F9" w:rsidRDefault="00B245F9" w:rsidP="005B295A">
      <w:pPr>
        <w:pStyle w:val="Heading4"/>
      </w:pPr>
      <w:commentRangeStart w:id="477"/>
      <w:r>
        <w:t xml:space="preserve">This review </w:t>
      </w:r>
      <w:r w:rsidR="003214A4">
        <w:t xml:space="preserve">may </w:t>
      </w:r>
      <w:r>
        <w:t>only be performed:</w:t>
      </w:r>
    </w:p>
    <w:p w14:paraId="5BEE37F6" w14:textId="77777777" w:rsidR="00B245F9" w:rsidRDefault="00B245F9" w:rsidP="00B03234">
      <w:pPr>
        <w:pStyle w:val="Heading5"/>
      </w:pPr>
      <w:r>
        <w:t>After the third year of the date of issuing the initial or renewed Firm Capacity Certificates; and</w:t>
      </w:r>
    </w:p>
    <w:p w14:paraId="5CE5C131" w14:textId="0B04332E" w:rsidR="00B245F9" w:rsidRPr="00C5096E" w:rsidRDefault="00B245F9" w:rsidP="00B03234">
      <w:pPr>
        <w:pStyle w:val="Heading5"/>
      </w:pPr>
      <w:r>
        <w:t xml:space="preserve">Not more than once </w:t>
      </w:r>
      <w:r w:rsidR="00677C45">
        <w:t>within a period of five (5) years</w:t>
      </w:r>
      <w:r>
        <w:t xml:space="preserve">.  </w:t>
      </w:r>
      <w:commentRangeEnd w:id="477"/>
      <w:r w:rsidR="003214A4">
        <w:rPr>
          <w:rStyle w:val="CommentReference"/>
          <w:rFonts w:eastAsiaTheme="minorHAnsi" w:cstheme="minorBidi"/>
          <w:color w:val="1C1C1C"/>
        </w:rPr>
        <w:commentReference w:id="477"/>
      </w:r>
    </w:p>
    <w:p w14:paraId="7531530F" w14:textId="466191B9" w:rsidR="00B245F9" w:rsidRDefault="003214A4" w:rsidP="005B295A">
      <w:pPr>
        <w:pStyle w:val="Heading4"/>
      </w:pPr>
      <w:r>
        <w:t xml:space="preserve">Where upon review of the Firm Capacity Certificates, </w:t>
      </w:r>
      <w:r w:rsidR="00886431">
        <w:t>it appears that the Firm Capacity of the Generation Unit or the Generation Plan is less than the number of Firm Capacity Certificates issued to a Market Participant,</w:t>
      </w:r>
      <w:r>
        <w:t xml:space="preserve"> </w:t>
      </w:r>
      <w:r w:rsidR="00886431">
        <w:t>the Market Operator shall issue a notice to the concerned Market Participant requiring it to provide reasons why certain number of certificates may not be cancelled and, if requested, provide an opportunity of hearing.</w:t>
      </w:r>
      <w:r w:rsidR="00B245F9">
        <w:t xml:space="preserve"> </w:t>
      </w:r>
      <w:r w:rsidR="00886431">
        <w:t>After receipt of reply to the notice and holding the hearing, if needed, the Market Operator shall decide whether to cancel certain number of Firm Capacity Certificates and inform the  concerned M</w:t>
      </w:r>
      <w:r w:rsidR="009F2FA5">
        <w:t>arket Participant</w:t>
      </w:r>
      <w:r w:rsidR="00B245F9">
        <w:t xml:space="preserve"> accordingly.</w:t>
      </w:r>
    </w:p>
    <w:p w14:paraId="004C53A0" w14:textId="59374D7B" w:rsidR="00B245F9" w:rsidRDefault="00B245F9" w:rsidP="005B295A">
      <w:pPr>
        <w:pStyle w:val="Heading4"/>
      </w:pPr>
      <w:r>
        <w:t xml:space="preserve">In case the Market Operator </w:t>
      </w:r>
      <w:r w:rsidR="00F11D79">
        <w:t>cancel</w:t>
      </w:r>
      <w:r w:rsidR="0001646F">
        <w:t>s</w:t>
      </w:r>
      <w:r w:rsidR="00F11D79">
        <w:t xml:space="preserve"> </w:t>
      </w:r>
      <w:commentRangeStart w:id="478"/>
      <w:commentRangeEnd w:id="478"/>
      <w:r w:rsidR="00D32F60">
        <w:rPr>
          <w:rStyle w:val="CommentReference"/>
          <w:rFonts w:eastAsiaTheme="minorHAnsi" w:cstheme="minorBidi"/>
          <w:bCs w:val="0"/>
          <w:iCs w:val="0"/>
          <w:color w:val="1C1C1C"/>
        </w:rPr>
        <w:commentReference w:id="478"/>
      </w:r>
      <w:r w:rsidR="0001646F">
        <w:t xml:space="preserve">certain </w:t>
      </w:r>
      <w:r>
        <w:t xml:space="preserve">number of Firm Capacity Certificates, it </w:t>
      </w:r>
      <w:r w:rsidR="0001646F">
        <w:t xml:space="preserve">shall </w:t>
      </w:r>
      <w:r>
        <w:t xml:space="preserve">change the </w:t>
      </w:r>
      <w:r w:rsidR="0001646F">
        <w:t>s</w:t>
      </w:r>
      <w:r>
        <w:t xml:space="preserve">tatus of such certificates to “Cancelled”. The number of certificates </w:t>
      </w:r>
      <w:r w:rsidR="0001646F">
        <w:t>to be</w:t>
      </w:r>
      <w:r>
        <w:t xml:space="preserve"> cancelled shall be calculated as the difference between the</w:t>
      </w:r>
      <w:r w:rsidR="0001646F">
        <w:t xml:space="preserve"> Firm Capacity included in the existing Firm Capacity Certificates and the new reduced value decided by the Market Operator multiplying it with a factor of ten </w:t>
      </w:r>
      <w:r>
        <w:t xml:space="preserve">[10]. </w:t>
      </w:r>
      <w:r w:rsidRPr="00B03C4A">
        <w:t xml:space="preserve">A Cancelled Firm Capacity Certificate </w:t>
      </w:r>
      <w:r w:rsidR="0001646F" w:rsidRPr="00B03C4A">
        <w:t xml:space="preserve">shall </w:t>
      </w:r>
      <w:r w:rsidRPr="00B03C4A">
        <w:t xml:space="preserve">not change its </w:t>
      </w:r>
      <w:r w:rsidR="0001646F" w:rsidRPr="00B03C4A">
        <w:t>s</w:t>
      </w:r>
      <w:r w:rsidRPr="00B03C4A">
        <w:t>tatus in any circumstance.</w:t>
      </w:r>
      <w:r>
        <w:t xml:space="preserve">   </w:t>
      </w:r>
    </w:p>
    <w:p w14:paraId="0B30C744" w14:textId="6270B80A" w:rsidR="00B245F9" w:rsidRDefault="00B245F9" w:rsidP="005B295A">
      <w:pPr>
        <w:pStyle w:val="Heading4"/>
      </w:pPr>
      <w:r>
        <w:t xml:space="preserve">The Market </w:t>
      </w:r>
      <w:r w:rsidRPr="00642DD0">
        <w:t xml:space="preserve">Operator shall </w:t>
      </w:r>
      <w:r w:rsidR="00FE664C">
        <w:t xml:space="preserve">make </w:t>
      </w:r>
      <w:r w:rsidR="00DF707B">
        <w:t>a CCOP</w:t>
      </w:r>
      <w:r>
        <w:t xml:space="preserve"> </w:t>
      </w:r>
      <w:r w:rsidR="00FE664C">
        <w:t xml:space="preserve">whereby a </w:t>
      </w:r>
      <w:r>
        <w:t xml:space="preserve">criteria </w:t>
      </w:r>
      <w:r w:rsidR="00FE664C">
        <w:t xml:space="preserve">and procedure shall be devised for measuring the </w:t>
      </w:r>
      <w:r>
        <w:t xml:space="preserve"> actual performance of a Generator or Import Contract . </w:t>
      </w:r>
    </w:p>
    <w:p w14:paraId="695940A3" w14:textId="47AF59F3" w:rsidR="00B245F9" w:rsidRDefault="00B245F9" w:rsidP="00B245F9">
      <w:pPr>
        <w:pStyle w:val="Heading3"/>
      </w:pPr>
      <w:r w:rsidRPr="007F788C">
        <w:t>Review of Firm Capacity Certificate</w:t>
      </w:r>
      <w:r w:rsidR="00FE664C">
        <w:t>s</w:t>
      </w:r>
      <w:r w:rsidRPr="007F788C">
        <w:t xml:space="preserve"> requested by </w:t>
      </w:r>
      <w:r>
        <w:t xml:space="preserve">a </w:t>
      </w:r>
      <w:commentRangeStart w:id="479"/>
      <w:r>
        <w:t>Market Participant</w:t>
      </w:r>
      <w:commentRangeEnd w:id="479"/>
      <w:r w:rsidR="005122DB">
        <w:rPr>
          <w:rStyle w:val="CommentReference"/>
          <w:rFonts w:eastAsiaTheme="minorHAnsi" w:cstheme="minorBidi"/>
          <w:smallCaps w:val="0"/>
          <w:color w:val="1C1C1C"/>
        </w:rPr>
        <w:commentReference w:id="479"/>
      </w:r>
    </w:p>
    <w:p w14:paraId="36F9A3CF" w14:textId="0C4F573A" w:rsidR="00F11D79" w:rsidRDefault="00FE664C" w:rsidP="005B295A">
      <w:pPr>
        <w:pStyle w:val="Heading4"/>
      </w:pPr>
      <w:r>
        <w:t xml:space="preserve">A </w:t>
      </w:r>
      <w:r w:rsidR="00F11D79">
        <w:t>Generator</w:t>
      </w:r>
      <w:r w:rsidR="000E0E64">
        <w:t>,</w:t>
      </w:r>
      <w:r w:rsidR="00F11D79">
        <w:t xml:space="preserve"> </w:t>
      </w:r>
      <w:r>
        <w:t>a</w:t>
      </w:r>
      <w:r w:rsidR="00F11D79">
        <w:t xml:space="preserve"> Market Participant representing </w:t>
      </w:r>
      <w:r>
        <w:t xml:space="preserve">a </w:t>
      </w:r>
      <w:r w:rsidR="00F11D79">
        <w:t>Generator</w:t>
      </w:r>
      <w:r w:rsidR="000E0E64">
        <w:t xml:space="preserve"> or a</w:t>
      </w:r>
      <w:r w:rsidR="00BF564D">
        <w:t>n</w:t>
      </w:r>
      <w:r w:rsidR="000E0E64">
        <w:t xml:space="preserve"> </w:t>
      </w:r>
      <w:r w:rsidR="00BF564D">
        <w:t>Electric Power Trader</w:t>
      </w:r>
      <w:r w:rsidR="000E0E64">
        <w:t xml:space="preserve"> importing electric power through an Import Contract</w:t>
      </w:r>
      <w:r w:rsidR="00F11D79">
        <w:t xml:space="preserve"> m</w:t>
      </w:r>
      <w:r w:rsidR="00F15BBC">
        <w:t>a</w:t>
      </w:r>
      <w:r w:rsidR="00F11D79">
        <w:t xml:space="preserve">y </w:t>
      </w:r>
      <w:r>
        <w:t>apply to</w:t>
      </w:r>
      <w:r w:rsidR="00F11D79">
        <w:t xml:space="preserve"> the Market Operator </w:t>
      </w:r>
      <w:r>
        <w:t>for</w:t>
      </w:r>
      <w:r w:rsidR="00F11D79">
        <w:t xml:space="preserve"> review</w:t>
      </w:r>
      <w:r>
        <w:t xml:space="preserve"> of</w:t>
      </w:r>
      <w:r w:rsidR="00F11D79">
        <w:t xml:space="preserve"> </w:t>
      </w:r>
      <w:r w:rsidR="000E0E64">
        <w:t>the</w:t>
      </w:r>
      <w:r w:rsidR="00F11D79">
        <w:t xml:space="preserve"> Firm Capacity Certificates.</w:t>
      </w:r>
    </w:p>
    <w:p w14:paraId="201199A1" w14:textId="25D11E18" w:rsidR="00B245F9" w:rsidRDefault="000E0E64" w:rsidP="005B295A">
      <w:pPr>
        <w:pStyle w:val="Heading4"/>
      </w:pPr>
      <w:r>
        <w:t>In case of</w:t>
      </w:r>
      <w:r w:rsidR="00B245F9">
        <w:t xml:space="preserve"> Import Contracts</w:t>
      </w:r>
      <w:r>
        <w:t>, the application for review</w:t>
      </w:r>
      <w:r w:rsidR="00B245F9">
        <w:t xml:space="preserve"> will only be </w:t>
      </w:r>
      <w:r>
        <w:t>processed where</w:t>
      </w:r>
      <w:r w:rsidR="00B245F9">
        <w:t xml:space="preserve"> the </w:t>
      </w:r>
      <w:r w:rsidR="003A578F">
        <w:t>Contract</w:t>
      </w:r>
      <w:r w:rsidR="00B245F9">
        <w:t xml:space="preserve"> is </w:t>
      </w:r>
      <w:r>
        <w:t>explicitly</w:t>
      </w:r>
      <w:r w:rsidR="00F15BBC">
        <w:t xml:space="preserve"> </w:t>
      </w:r>
      <w:r w:rsidR="00B245F9">
        <w:t xml:space="preserve">associated </w:t>
      </w:r>
      <w:r w:rsidR="00F15BBC">
        <w:t xml:space="preserve">with </w:t>
      </w:r>
      <w:r w:rsidR="00B245F9">
        <w:t xml:space="preserve">a Generator or </w:t>
      </w:r>
      <w:r w:rsidR="000B1401">
        <w:t>Generation Plant</w:t>
      </w:r>
      <w:r w:rsidR="00B245F9">
        <w:t xml:space="preserve">. In </w:t>
      </w:r>
      <w:r w:rsidR="00F15BBC">
        <w:t>such case</w:t>
      </w:r>
      <w:r w:rsidR="000B1401">
        <w:t>,</w:t>
      </w:r>
      <w:r w:rsidR="00B245F9">
        <w:t xml:space="preserve"> the Import Contract </w:t>
      </w:r>
      <w:r w:rsidR="00F15BBC">
        <w:t xml:space="preserve">shall </w:t>
      </w:r>
      <w:r w:rsidR="00B245F9">
        <w:t xml:space="preserve">be considered as </w:t>
      </w:r>
      <w:r w:rsidR="00F15BBC">
        <w:t xml:space="preserve">a </w:t>
      </w:r>
      <w:r w:rsidR="00B245F9">
        <w:t>Generat</w:t>
      </w:r>
      <w:r w:rsidR="00931AE6">
        <w:t>ion Unit</w:t>
      </w:r>
      <w:r w:rsidR="00B245F9">
        <w:t>.</w:t>
      </w:r>
    </w:p>
    <w:p w14:paraId="5E3F79AC" w14:textId="38EBE6EB" w:rsidR="00B245F9" w:rsidRDefault="00B245F9" w:rsidP="005B295A">
      <w:pPr>
        <w:pStyle w:val="Heading4"/>
      </w:pPr>
      <w:r w:rsidRPr="00855708">
        <w:t xml:space="preserve">The </w:t>
      </w:r>
      <w:r w:rsidR="00F15BBC">
        <w:t>applicant</w:t>
      </w:r>
      <w:r w:rsidR="009F2FA5" w:rsidRPr="00855708">
        <w:t xml:space="preserve"> </w:t>
      </w:r>
      <w:r>
        <w:t xml:space="preserve">may </w:t>
      </w:r>
      <w:r w:rsidR="00F41014">
        <w:t xml:space="preserve">submit an application for </w:t>
      </w:r>
      <w:r w:rsidR="00F15BBC">
        <w:t xml:space="preserve">review of </w:t>
      </w:r>
      <w:r>
        <w:t>the Firm Capacity Certificates</w:t>
      </w:r>
      <w:r w:rsidR="00B30639">
        <w:t xml:space="preserve"> by providing </w:t>
      </w:r>
      <w:r w:rsidR="00733B86">
        <w:t>supporting information and documents</w:t>
      </w:r>
      <w:r>
        <w:t xml:space="preserve">, in </w:t>
      </w:r>
      <w:r w:rsidR="00F15BBC">
        <w:t xml:space="preserve">the </w:t>
      </w:r>
      <w:r>
        <w:t xml:space="preserve">following cases: </w:t>
      </w:r>
    </w:p>
    <w:p w14:paraId="442BA090" w14:textId="368FCF19" w:rsidR="00B245F9" w:rsidRPr="00A66DB0" w:rsidRDefault="00B30639" w:rsidP="00B03234">
      <w:pPr>
        <w:pStyle w:val="Heading5"/>
      </w:pPr>
      <w:r>
        <w:t>a</w:t>
      </w:r>
      <w:r w:rsidR="00B245F9" w:rsidRPr="00A66DB0">
        <w:t xml:space="preserve">fter modification or major overhaul </w:t>
      </w:r>
      <w:r w:rsidR="00F15BBC">
        <w:t>of the</w:t>
      </w:r>
      <w:r w:rsidR="00B245F9" w:rsidRPr="00A66DB0">
        <w:t xml:space="preserve"> </w:t>
      </w:r>
      <w:r w:rsidR="00B245F9">
        <w:t>G</w:t>
      </w:r>
      <w:r w:rsidR="00B245F9" w:rsidRPr="00A66DB0">
        <w:t>enerat</w:t>
      </w:r>
      <w:r w:rsidR="00931AE6">
        <w:t>ion Unit</w:t>
      </w:r>
      <w:r w:rsidR="009F2FA5">
        <w:t xml:space="preserve"> or  Generation Plant</w:t>
      </w:r>
      <w:r w:rsidR="00B245F9" w:rsidRPr="00A66DB0">
        <w:t xml:space="preserve">, </w:t>
      </w:r>
      <w:r w:rsidR="00B245F9" w:rsidRPr="00A66DB0">
        <w:lastRenderedPageBreak/>
        <w:t xml:space="preserve">which </w:t>
      </w:r>
      <w:r w:rsidR="00F15BBC">
        <w:t>results in</w:t>
      </w:r>
      <w:r w:rsidR="00B245F9" w:rsidRPr="00A66DB0">
        <w:t xml:space="preserve"> </w:t>
      </w:r>
      <w:r w:rsidR="00733B86">
        <w:t>an increase in the</w:t>
      </w:r>
      <w:r w:rsidR="00B245F9" w:rsidRPr="00A66DB0">
        <w:t xml:space="preserve"> Installed </w:t>
      </w:r>
      <w:r w:rsidR="00F15BBC">
        <w:t xml:space="preserve">Net </w:t>
      </w:r>
      <w:r w:rsidR="00B245F9" w:rsidRPr="00A66DB0">
        <w:t>Capacity; or</w:t>
      </w:r>
    </w:p>
    <w:p w14:paraId="58BB8F6D" w14:textId="0FE9FA0C" w:rsidR="00B245F9" w:rsidRDefault="00B30639" w:rsidP="00B03234">
      <w:pPr>
        <w:pStyle w:val="Heading5"/>
      </w:pPr>
      <w:r>
        <w:t>a</w:t>
      </w:r>
      <w:r w:rsidR="00B245F9" w:rsidRPr="00A66DB0">
        <w:t xml:space="preserve">fter overhaul </w:t>
      </w:r>
      <w:r w:rsidR="00F15BBC">
        <w:t>of</w:t>
      </w:r>
      <w:r w:rsidR="00B245F9" w:rsidRPr="00A66DB0">
        <w:t xml:space="preserve"> </w:t>
      </w:r>
      <w:r w:rsidR="00931AE6">
        <w:t>a Generation Unit</w:t>
      </w:r>
      <w:r>
        <w:t xml:space="preserve"> which results in resolution of</w:t>
      </w:r>
      <w:r w:rsidR="00B245F9" w:rsidRPr="00A66DB0">
        <w:t xml:space="preserve"> </w:t>
      </w:r>
      <w:r w:rsidR="005277BF">
        <w:t xml:space="preserve">the cause of reduction </w:t>
      </w:r>
      <w:r w:rsidR="00733B86">
        <w:t xml:space="preserve">of </w:t>
      </w:r>
      <w:r w:rsidR="005277BF">
        <w:t>Firm Capacity Certificates</w:t>
      </w:r>
      <w:r w:rsidR="00B245F9">
        <w:t>; or</w:t>
      </w:r>
    </w:p>
    <w:p w14:paraId="2E7A1DA5" w14:textId="13FF4148" w:rsidR="00B245F9" w:rsidRDefault="00B245F9" w:rsidP="00B03234">
      <w:pPr>
        <w:pStyle w:val="Heading5"/>
      </w:pPr>
      <w:r>
        <w:t xml:space="preserve">for any other reason, </w:t>
      </w:r>
      <w:r w:rsidR="00733B86">
        <w:t xml:space="preserve">where </w:t>
      </w:r>
      <w:r>
        <w:t xml:space="preserve">the </w:t>
      </w:r>
      <w:r w:rsidR="00B30639">
        <w:t xml:space="preserve">concerned </w:t>
      </w:r>
      <w:r w:rsidR="009F2FA5">
        <w:t>Market Participant</w:t>
      </w:r>
      <w:r w:rsidR="009F2FA5" w:rsidRPr="0018275F">
        <w:t xml:space="preserve"> </w:t>
      </w:r>
      <w:r w:rsidRPr="0018275F">
        <w:t xml:space="preserve">considers that the existing Firm Capacity </w:t>
      </w:r>
      <w:r w:rsidR="00B30639">
        <w:t>Certificates</w:t>
      </w:r>
      <w:r w:rsidR="00B30639" w:rsidRPr="0018275F">
        <w:t xml:space="preserve"> </w:t>
      </w:r>
      <w:r w:rsidRPr="0018275F">
        <w:t xml:space="preserve">do not reflect the </w:t>
      </w:r>
      <w:r w:rsidR="00B30639">
        <w:t>actual Firm Capacity of the relevant Generation Unit.</w:t>
      </w:r>
      <w:r w:rsidRPr="0018275F">
        <w:t xml:space="preserve"> In this case, </w:t>
      </w:r>
      <w:r w:rsidR="00B30639">
        <w:t xml:space="preserve">the Market Participant, along with other </w:t>
      </w:r>
      <w:r w:rsidR="00733B86">
        <w:t>information</w:t>
      </w:r>
      <w:r w:rsidR="00B30639">
        <w:t xml:space="preserve">, shall also submit </w:t>
      </w:r>
      <w:r w:rsidRPr="0018275F">
        <w:t xml:space="preserve"> </w:t>
      </w:r>
      <w:r>
        <w:t xml:space="preserve">information </w:t>
      </w:r>
      <w:r w:rsidR="00B30639">
        <w:t xml:space="preserve">for </w:t>
      </w:r>
      <w:r>
        <w:t xml:space="preserve">last </w:t>
      </w:r>
      <w:r w:rsidR="00B12805">
        <w:t>three</w:t>
      </w:r>
      <w:r w:rsidR="00B12805" w:rsidRPr="0018275F">
        <w:t xml:space="preserve"> </w:t>
      </w:r>
      <w:r w:rsidRPr="0018275F">
        <w:t xml:space="preserve">years in which the </w:t>
      </w:r>
      <w:bookmarkStart w:id="480" w:name="_Hlk66264191"/>
      <w:r w:rsidRPr="0018275F">
        <w:t xml:space="preserve">Equivalent Availability Factor </w:t>
      </w:r>
      <w:bookmarkEnd w:id="480"/>
      <w:r w:rsidRPr="0018275F">
        <w:t xml:space="preserve">or </w:t>
      </w:r>
      <w:r w:rsidRPr="000B1401">
        <w:t xml:space="preserve">the </w:t>
      </w:r>
      <w:r w:rsidR="00931AE6" w:rsidRPr="000B1401">
        <w:t xml:space="preserve">Energy </w:t>
      </w:r>
      <w:r w:rsidRPr="000B1401">
        <w:t>actually</w:t>
      </w:r>
      <w:r w:rsidRPr="0018275F">
        <w:t xml:space="preserve"> generated</w:t>
      </w:r>
      <w:r w:rsidRPr="002F04D7">
        <w:t>,</w:t>
      </w:r>
      <w:r w:rsidR="005F4ABE" w:rsidRPr="002F04D7">
        <w:t xml:space="preserve"> </w:t>
      </w:r>
      <w:r w:rsidR="005F4ABE" w:rsidRPr="00B03C4A">
        <w:t>taking due consideration of those periods in which the Generation Unit has been instructed to reduce Generation as per an instruction issued by the System Operator or the Distribution Network Operator,</w:t>
      </w:r>
      <w:r w:rsidRPr="00B03C4A">
        <w:t xml:space="preserve"> as the case may be</w:t>
      </w:r>
      <w:r w:rsidRPr="002F04D7">
        <w:t xml:space="preserve">, is above the </w:t>
      </w:r>
      <w:r w:rsidR="00A46D81" w:rsidRPr="002F04D7">
        <w:t xml:space="preserve">input </w:t>
      </w:r>
      <w:r w:rsidRPr="002F04D7">
        <w:t xml:space="preserve">values </w:t>
      </w:r>
      <w:r w:rsidR="00A46D81" w:rsidRPr="002F04D7">
        <w:t xml:space="preserve">considered </w:t>
      </w:r>
      <w:r w:rsidRPr="002F04D7">
        <w:t>to issue the existing Firm Capacity Certificates</w:t>
      </w:r>
      <w:r>
        <w:t xml:space="preserve">. </w:t>
      </w:r>
    </w:p>
    <w:p w14:paraId="1DCFFCA3" w14:textId="6785C99B" w:rsidR="00B245F9" w:rsidRDefault="00F41014" w:rsidP="005B295A">
      <w:pPr>
        <w:pStyle w:val="Heading4"/>
      </w:pPr>
      <w:r>
        <w:t>The application for review of the Firm Capacity Certificates of a Generation Unit may only be accepted if the Generation Unit</w:t>
      </w:r>
      <w:r w:rsidR="00B245F9">
        <w:t>:</w:t>
      </w:r>
    </w:p>
    <w:p w14:paraId="4F1BCDCF" w14:textId="5C01FA03" w:rsidR="00B245F9" w:rsidRDefault="00F41014" w:rsidP="00B03234">
      <w:pPr>
        <w:pStyle w:val="Heading5"/>
      </w:pPr>
      <w:r>
        <w:t>is</w:t>
      </w:r>
      <w:r w:rsidR="00B245F9" w:rsidRPr="0003305F">
        <w:t xml:space="preserve"> dispatched</w:t>
      </w:r>
      <w:r>
        <w:t xml:space="preserve"> for</w:t>
      </w:r>
      <w:r w:rsidR="00B245F9">
        <w:t xml:space="preserve">, at least, 1,500 hours in each of the previous two years; and  </w:t>
      </w:r>
    </w:p>
    <w:p w14:paraId="78B35ACF" w14:textId="3E31F5DB" w:rsidR="00B245F9" w:rsidRDefault="00F41014" w:rsidP="00B03234">
      <w:pPr>
        <w:pStyle w:val="Heading5"/>
      </w:pPr>
      <w:r>
        <w:t xml:space="preserve">has injected into the Grid System </w:t>
      </w:r>
      <w:r w:rsidR="00A46D81">
        <w:t>such</w:t>
      </w:r>
      <w:r>
        <w:t xml:space="preserve"> quantity of </w:t>
      </w:r>
      <w:r w:rsidR="0046412E">
        <w:t>Energy</w:t>
      </w:r>
      <w:r>
        <w:t>,</w:t>
      </w:r>
      <w:r w:rsidR="00B245F9">
        <w:t xml:space="preserve"> in each of the previous two years</w:t>
      </w:r>
      <w:r>
        <w:t>,</w:t>
      </w:r>
      <w:r w:rsidR="00B245F9">
        <w:t xml:space="preserve"> </w:t>
      </w:r>
      <w:r>
        <w:t xml:space="preserve">which is </w:t>
      </w:r>
      <w:r w:rsidR="00B245F9">
        <w:t xml:space="preserve">above the </w:t>
      </w:r>
      <w:r w:rsidR="00931AE6">
        <w:t>Generation Unit Installed</w:t>
      </w:r>
      <w:r>
        <w:t xml:space="preserve"> Net</w:t>
      </w:r>
      <w:r w:rsidR="00931AE6">
        <w:t xml:space="preserve"> Capacity </w:t>
      </w:r>
      <w:r w:rsidR="00B245F9">
        <w:t>multiplied by 1,200 hours</w:t>
      </w:r>
      <w:r>
        <w:t>; or</w:t>
      </w:r>
    </w:p>
    <w:p w14:paraId="67FC837A" w14:textId="384CB9C2" w:rsidR="00F41014" w:rsidRPr="00F41014" w:rsidRDefault="00F41014" w:rsidP="00F41014">
      <w:pPr>
        <w:pStyle w:val="Heading5"/>
      </w:pPr>
      <w:r>
        <w:t>in case of Dispatchable Generation Units, has been tested by the System Operator to establish it</w:t>
      </w:r>
      <w:r w:rsidR="00A46D81">
        <w:t>s</w:t>
      </w:r>
      <w:r>
        <w:t xml:space="preserve"> dependable capacity and has issued a certificate in this regard.</w:t>
      </w:r>
    </w:p>
    <w:p w14:paraId="54475CC1" w14:textId="09A21514" w:rsidR="00B245F9" w:rsidRDefault="00055312" w:rsidP="005B295A">
      <w:pPr>
        <w:pStyle w:val="Heading4"/>
      </w:pPr>
      <w:r>
        <w:t>Upon acceptance of the application, t</w:t>
      </w:r>
      <w:r w:rsidR="00B245F9">
        <w:t xml:space="preserve">he Market Operator </w:t>
      </w:r>
      <w:r>
        <w:t>shall</w:t>
      </w:r>
      <w:r w:rsidR="00B245F9">
        <w:t>:</w:t>
      </w:r>
    </w:p>
    <w:p w14:paraId="50BE3B2B" w14:textId="7D7D3E65" w:rsidR="00B245F9" w:rsidRPr="00E20ED1" w:rsidRDefault="00055312" w:rsidP="00B03234">
      <w:pPr>
        <w:pStyle w:val="Heading5"/>
      </w:pPr>
      <w:r>
        <w:t>c</w:t>
      </w:r>
      <w:r w:rsidR="00B245F9" w:rsidRPr="00E20ED1">
        <w:t xml:space="preserve">onduct analysis and </w:t>
      </w:r>
      <w:r w:rsidR="00A46D81">
        <w:t xml:space="preserve">carry out </w:t>
      </w:r>
      <w:r w:rsidR="00B245F9" w:rsidRPr="00E20ED1">
        <w:t xml:space="preserve">investigation </w:t>
      </w:r>
      <w:r w:rsidR="00A46D81">
        <w:t>as deemed appropriate</w:t>
      </w:r>
      <w:r w:rsidR="00B245F9" w:rsidRPr="00E20ED1">
        <w:t xml:space="preserve">, which may include: </w:t>
      </w:r>
    </w:p>
    <w:p w14:paraId="2CF0BF68" w14:textId="611C301C" w:rsidR="00B245F9" w:rsidRDefault="00A46D81" w:rsidP="00055312">
      <w:pPr>
        <w:pStyle w:val="ListParagraph"/>
        <w:numPr>
          <w:ilvl w:val="1"/>
          <w:numId w:val="17"/>
        </w:numPr>
        <w:spacing w:before="0" w:after="160" w:line="259" w:lineRule="auto"/>
        <w:ind w:left="2694"/>
      </w:pPr>
      <w:r>
        <w:t>c</w:t>
      </w:r>
      <w:r w:rsidR="00B245F9">
        <w:t xml:space="preserve">omprehensive review of the submitted </w:t>
      </w:r>
      <w:r w:rsidR="00055312">
        <w:t>documents</w:t>
      </w:r>
      <w:r w:rsidR="00B245F9">
        <w:t xml:space="preserve">; </w:t>
      </w:r>
    </w:p>
    <w:p w14:paraId="2AEBCA01" w14:textId="201BFE1A" w:rsidR="00B245F9" w:rsidRDefault="00A46D81" w:rsidP="00055312">
      <w:pPr>
        <w:pStyle w:val="ListParagraph"/>
        <w:numPr>
          <w:ilvl w:val="1"/>
          <w:numId w:val="17"/>
        </w:numPr>
        <w:spacing w:before="0" w:after="160" w:line="259" w:lineRule="auto"/>
        <w:ind w:left="2694"/>
      </w:pPr>
      <w:r>
        <w:t>r</w:t>
      </w:r>
      <w:r w:rsidR="00B245F9">
        <w:t>equest the opinion of an independent expert</w:t>
      </w:r>
      <w:r>
        <w:t xml:space="preserve"> on the cost of the applicant</w:t>
      </w:r>
      <w:r w:rsidR="00B245F9">
        <w:t>;</w:t>
      </w:r>
    </w:p>
    <w:p w14:paraId="32B15E4F" w14:textId="4CF48B0E" w:rsidR="00B245F9" w:rsidRDefault="00A46D81" w:rsidP="00055312">
      <w:pPr>
        <w:pStyle w:val="ListParagraph"/>
        <w:numPr>
          <w:ilvl w:val="1"/>
          <w:numId w:val="17"/>
        </w:numPr>
        <w:spacing w:before="0" w:after="160" w:line="259" w:lineRule="auto"/>
        <w:ind w:left="2694"/>
      </w:pPr>
      <w:r>
        <w:t>p</w:t>
      </w:r>
      <w:r w:rsidR="00B245F9">
        <w:t xml:space="preserve">erform or </w:t>
      </w:r>
      <w:r>
        <w:t xml:space="preserve">required </w:t>
      </w:r>
      <w:r w:rsidR="00B245F9">
        <w:t xml:space="preserve">tests on the </w:t>
      </w:r>
      <w:r w:rsidR="00055312">
        <w:t xml:space="preserve">relevant </w:t>
      </w:r>
      <w:r w:rsidR="00931AE6">
        <w:t>Generation Unit</w:t>
      </w:r>
      <w:r>
        <w:t xml:space="preserve"> on the cost of the applicant</w:t>
      </w:r>
      <w:r w:rsidR="00B245F9">
        <w:t xml:space="preserve">; </w:t>
      </w:r>
    </w:p>
    <w:p w14:paraId="597BBD49" w14:textId="6500F3EB" w:rsidR="00B245F9" w:rsidRDefault="00A46D81" w:rsidP="00055312">
      <w:pPr>
        <w:pStyle w:val="ListParagraph"/>
        <w:numPr>
          <w:ilvl w:val="1"/>
          <w:numId w:val="17"/>
        </w:numPr>
        <w:spacing w:before="0" w:after="160" w:line="259" w:lineRule="auto"/>
        <w:ind w:left="2694"/>
      </w:pPr>
      <w:r>
        <w:t xml:space="preserve">require </w:t>
      </w:r>
      <w:r w:rsidR="00B245F9">
        <w:t xml:space="preserve">a verification period, which </w:t>
      </w:r>
      <w:r>
        <w:t>may not</w:t>
      </w:r>
      <w:r w:rsidR="00B245F9">
        <w:t xml:space="preserve"> last more than [180 days], during which the </w:t>
      </w:r>
      <w:r>
        <w:t xml:space="preserve">input </w:t>
      </w:r>
      <w:r w:rsidR="00B245F9">
        <w:t xml:space="preserve">values claimed by the </w:t>
      </w:r>
      <w:r w:rsidR="00055312">
        <w:t xml:space="preserve">applicant </w:t>
      </w:r>
      <w:r w:rsidR="00B245F9">
        <w:t xml:space="preserve">shall be actually </w:t>
      </w:r>
      <w:r w:rsidR="00055312">
        <w:t>demonstrated</w:t>
      </w:r>
      <w:r w:rsidR="00B245F9">
        <w:t>.</w:t>
      </w:r>
    </w:p>
    <w:p w14:paraId="7B198962" w14:textId="551FB305" w:rsidR="00B245F9" w:rsidRDefault="000E0E64" w:rsidP="00B03234">
      <w:pPr>
        <w:pStyle w:val="Heading5"/>
      </w:pPr>
      <w:r>
        <w:t>d</w:t>
      </w:r>
      <w:r w:rsidR="00A46D81">
        <w:t xml:space="preserve">etermine, after conducting analysis and carrying out investigations as stipulated above, </w:t>
      </w:r>
      <w:r w:rsidR="00B245F9">
        <w:t xml:space="preserve">the revised </w:t>
      </w:r>
      <w:r w:rsidR="00055312">
        <w:t xml:space="preserve">values </w:t>
      </w:r>
      <w:r w:rsidR="00B245F9">
        <w:t xml:space="preserve">which </w:t>
      </w:r>
      <w:r>
        <w:t xml:space="preserve">may be </w:t>
      </w:r>
      <w:r w:rsidR="00B245F9">
        <w:t>used to issue</w:t>
      </w:r>
      <w:r>
        <w:t>, if required,</w:t>
      </w:r>
      <w:r w:rsidR="00B245F9">
        <w:t xml:space="preserve"> </w:t>
      </w:r>
      <w:r>
        <w:t>additional</w:t>
      </w:r>
      <w:r w:rsidR="00055312">
        <w:t xml:space="preserve"> </w:t>
      </w:r>
      <w:r w:rsidR="00B245F9">
        <w:t>Firm Capacity Certificates</w:t>
      </w:r>
      <w:r w:rsidR="00931AE6">
        <w:t xml:space="preserve"> </w:t>
      </w:r>
      <w:r w:rsidR="00A46D81">
        <w:t xml:space="preserve">for </w:t>
      </w:r>
      <w:r w:rsidR="00931AE6">
        <w:t xml:space="preserve">the </w:t>
      </w:r>
      <w:r w:rsidR="00055312">
        <w:t xml:space="preserve">relevant </w:t>
      </w:r>
      <w:r w:rsidR="00931AE6">
        <w:t>Generation Unit</w:t>
      </w:r>
      <w:r w:rsidR="00B245F9">
        <w:t>.</w:t>
      </w:r>
    </w:p>
    <w:p w14:paraId="4E447803" w14:textId="2D392D4E" w:rsidR="00B245F9" w:rsidRPr="002C6251" w:rsidRDefault="00055312" w:rsidP="00AE1AD1">
      <w:pPr>
        <w:pStyle w:val="Heading4"/>
      </w:pPr>
      <w:r>
        <w:t xml:space="preserve"> </w:t>
      </w:r>
      <w:r w:rsidR="000E0E64">
        <w:t>The above</w:t>
      </w:r>
      <w:r>
        <w:t xml:space="preserve"> </w:t>
      </w:r>
      <w:r w:rsidR="000E0E64">
        <w:t>application for review of Firm Capacity Certificates shall only be accepted</w:t>
      </w:r>
      <w:r w:rsidR="007276F1">
        <w:t xml:space="preserve"> </w:t>
      </w:r>
      <w:r>
        <w:t>a</w:t>
      </w:r>
      <w:r w:rsidR="00B245F9" w:rsidRPr="002C6251">
        <w:t xml:space="preserve">fter </w:t>
      </w:r>
      <w:r w:rsidR="007276F1">
        <w:t>three</w:t>
      </w:r>
      <w:r w:rsidR="00B245F9" w:rsidRPr="002C6251">
        <w:t xml:space="preserve"> year</w:t>
      </w:r>
      <w:r w:rsidR="007276F1">
        <w:t>s</w:t>
      </w:r>
      <w:r w:rsidR="00B245F9" w:rsidRPr="002C6251">
        <w:t xml:space="preserve"> of</w:t>
      </w:r>
      <w:r w:rsidR="007276F1">
        <w:t xml:space="preserve"> </w:t>
      </w:r>
      <w:r>
        <w:t>issuance</w:t>
      </w:r>
      <w:r w:rsidRPr="002C6251">
        <w:t xml:space="preserve"> </w:t>
      </w:r>
      <w:r w:rsidR="007276F1">
        <w:t xml:space="preserve">of </w:t>
      </w:r>
      <w:r w:rsidR="00B245F9" w:rsidRPr="002C6251">
        <w:t xml:space="preserve">the </w:t>
      </w:r>
      <w:r>
        <w:t>existing Firm Capacity Certificate</w:t>
      </w:r>
      <w:r w:rsidR="007276F1">
        <w:t>, provided that only one such application shall be processed within a period of five (5) years</w:t>
      </w:r>
      <w:r w:rsidR="00B245F9" w:rsidRPr="002C6251">
        <w:t xml:space="preserve">. </w:t>
      </w:r>
    </w:p>
    <w:p w14:paraId="6E9C27AB" w14:textId="76D6950F" w:rsidR="00B245F9" w:rsidRDefault="007276F1" w:rsidP="005B295A">
      <w:pPr>
        <w:pStyle w:val="Heading4"/>
      </w:pPr>
      <w:r>
        <w:t>After acceptance of the application for review of the Firm Capacity Certificates, t</w:t>
      </w:r>
      <w:r w:rsidR="00B245F9">
        <w:t xml:space="preserve">he </w:t>
      </w:r>
      <w:r>
        <w:t xml:space="preserve"> newly issued Firm Capacity Certificates shall have the same </w:t>
      </w:r>
      <w:r w:rsidR="005C7AFA">
        <w:t xml:space="preserve">validity </w:t>
      </w:r>
      <w:r>
        <w:t>date as of the previously issued Firm Capacity Certificates for the relevant Generation Unit</w:t>
      </w:r>
      <w:r w:rsidR="00B245F9">
        <w:t>.</w:t>
      </w:r>
    </w:p>
    <w:p w14:paraId="74029F71" w14:textId="1E1FDFD9" w:rsidR="00FA73E7" w:rsidRPr="00FA73E7" w:rsidRDefault="00FA73E7" w:rsidP="00FA73E7">
      <w:pPr>
        <w:pStyle w:val="Heading3"/>
      </w:pPr>
      <w:r>
        <w:t>Calculation of new values of Firm Capacity in case of review</w:t>
      </w:r>
    </w:p>
    <w:p w14:paraId="24C763FA" w14:textId="357B9B27" w:rsidR="002354D4" w:rsidRDefault="002354D4" w:rsidP="002354D4">
      <w:pPr>
        <w:pStyle w:val="Heading4"/>
      </w:pPr>
      <w:r>
        <w:t>The calculations for reduction</w:t>
      </w:r>
      <w:r w:rsidR="00FA73E7">
        <w:t xml:space="preserve"> or increase in the number of the Firm Capacity Certificates resulting from the review by the Market Operator on its own motion or on the application of the concerned Market Participant, </w:t>
      </w:r>
      <w:r>
        <w:t xml:space="preserve">shall be the same as followed to issue the Initial Firm Capacity Certificates for existing Generation Units. </w:t>
      </w:r>
    </w:p>
    <w:p w14:paraId="275FE455" w14:textId="637ADA14" w:rsidR="002354D4" w:rsidRPr="002354D4" w:rsidRDefault="002354D4" w:rsidP="002354D4">
      <w:pPr>
        <w:pStyle w:val="Heading4"/>
      </w:pPr>
      <w:r>
        <w:lastRenderedPageBreak/>
        <w:t xml:space="preserve">The </w:t>
      </w:r>
      <w:r w:rsidR="00FA73E7">
        <w:t xml:space="preserve">data for a </w:t>
      </w:r>
      <w:r>
        <w:t xml:space="preserve">period </w:t>
      </w:r>
      <w:r w:rsidR="00FA73E7">
        <w:t xml:space="preserve">of only last three years shall be considered for calculation of the Firm Capacity. </w:t>
      </w:r>
    </w:p>
    <w:p w14:paraId="77AAB9A3" w14:textId="2AC6BFE1" w:rsidR="00B245F9" w:rsidRDefault="00B245F9" w:rsidP="005B295A">
      <w:pPr>
        <w:pStyle w:val="Heading4"/>
      </w:pPr>
      <w:r>
        <w:t xml:space="preserve">The Market Operator shall develop </w:t>
      </w:r>
      <w:r w:rsidR="00F42CB7">
        <w:t>a CCOP</w:t>
      </w:r>
      <w:r w:rsidRPr="00EB1EBE">
        <w:t xml:space="preserve"> </w:t>
      </w:r>
      <w:r w:rsidR="005C7AFA">
        <w:t>whereby a</w:t>
      </w:r>
      <w:r w:rsidRPr="00EB1EBE">
        <w:t xml:space="preserve"> criteria </w:t>
      </w:r>
      <w:r w:rsidR="005C7AFA">
        <w:t>shall be devised</w:t>
      </w:r>
      <w:r w:rsidRPr="00EB1EBE">
        <w:t xml:space="preserve"> to accept or </w:t>
      </w:r>
      <w:r w:rsidR="005C7AFA">
        <w:t>reject</w:t>
      </w:r>
      <w:r w:rsidR="005C7AFA" w:rsidRPr="00EB1EBE">
        <w:t xml:space="preserve"> </w:t>
      </w:r>
      <w:r w:rsidRPr="00EB1EBE">
        <w:t xml:space="preserve">the </w:t>
      </w:r>
      <w:r w:rsidR="005C7AFA">
        <w:t>application</w:t>
      </w:r>
      <w:r w:rsidR="005C7AFA" w:rsidRPr="00EB1EBE">
        <w:t xml:space="preserve"> </w:t>
      </w:r>
      <w:r w:rsidRPr="00EB1EBE">
        <w:t xml:space="preserve">of the </w:t>
      </w:r>
      <w:r w:rsidR="003F7A7C" w:rsidRPr="00EB1EBE">
        <w:t>Market Participants</w:t>
      </w:r>
      <w:r w:rsidR="005C7AFA">
        <w:t xml:space="preserve"> and to determine the new values to be used to issue the revised Firm Capacity Certificates</w:t>
      </w:r>
      <w:r w:rsidRPr="00EB1EBE">
        <w:t>.</w:t>
      </w:r>
      <w:r>
        <w:t xml:space="preserve"> </w:t>
      </w:r>
    </w:p>
    <w:p w14:paraId="6BA09F6B" w14:textId="31899E27" w:rsidR="00B245F9" w:rsidRDefault="005808ED" w:rsidP="00B245F9">
      <w:pPr>
        <w:pStyle w:val="Heading3"/>
      </w:pPr>
      <w:r>
        <w:t>Dispute Resolution</w:t>
      </w:r>
    </w:p>
    <w:p w14:paraId="0C10B9CB" w14:textId="7A5503E5" w:rsidR="00B245F9" w:rsidRDefault="00B245F9" w:rsidP="005B295A">
      <w:pPr>
        <w:pStyle w:val="Heading4"/>
      </w:pPr>
      <w:r>
        <w:t xml:space="preserve">In case </w:t>
      </w:r>
      <w:r w:rsidR="005808ED">
        <w:t>a</w:t>
      </w:r>
      <w:r w:rsidR="005C7AFA">
        <w:t xml:space="preserve"> </w:t>
      </w:r>
      <w:r w:rsidR="003F7A7C">
        <w:t>Market Participant</w:t>
      </w:r>
      <w:r>
        <w:t xml:space="preserve"> </w:t>
      </w:r>
      <w:r w:rsidR="005808ED">
        <w:t xml:space="preserve">is aggrieved of a decision </w:t>
      </w:r>
      <w:r>
        <w:t>taken by the Market Operator</w:t>
      </w:r>
      <w:r w:rsidR="005C7AFA">
        <w:t xml:space="preserve"> regarding</w:t>
      </w:r>
      <w:r>
        <w:t xml:space="preserve"> the Firm Capacity Certificates, it may </w:t>
      </w:r>
      <w:r w:rsidR="005C7AFA">
        <w:t xml:space="preserve">file a dispute with the Market Operator according to the provisions of </w:t>
      </w:r>
      <w:r w:rsidR="002F04D7">
        <w:rPr>
          <w:highlight w:val="yellow"/>
        </w:rPr>
        <w:fldChar w:fldCharType="begin"/>
      </w:r>
      <w:r w:rsidR="002F04D7">
        <w:instrText xml:space="preserve"> REF _Ref54986427 \r \h </w:instrText>
      </w:r>
      <w:r w:rsidR="002F04D7">
        <w:rPr>
          <w:highlight w:val="yellow"/>
        </w:rPr>
      </w:r>
      <w:r w:rsidR="002F04D7">
        <w:rPr>
          <w:highlight w:val="yellow"/>
        </w:rPr>
        <w:fldChar w:fldCharType="separate"/>
      </w:r>
      <w:r w:rsidR="002F04D7">
        <w:t>Chapter 15</w:t>
      </w:r>
      <w:r w:rsidR="002F04D7">
        <w:rPr>
          <w:highlight w:val="yellow"/>
        </w:rPr>
        <w:fldChar w:fldCharType="end"/>
      </w:r>
      <w:r>
        <w:t>.</w:t>
      </w:r>
    </w:p>
    <w:p w14:paraId="3BC1C157" w14:textId="3AAB1299" w:rsidR="00B245F9" w:rsidRDefault="00B245F9" w:rsidP="00E82920">
      <w:pPr>
        <w:pStyle w:val="Heading3"/>
      </w:pPr>
      <w:r>
        <w:t xml:space="preserve">Actions After </w:t>
      </w:r>
      <w:r w:rsidR="005C7AFA">
        <w:t xml:space="preserve">Review of </w:t>
      </w:r>
      <w:r>
        <w:t xml:space="preserve">Firm Capacity </w:t>
      </w:r>
      <w:r w:rsidR="005C7AFA">
        <w:t xml:space="preserve">Certificates </w:t>
      </w:r>
    </w:p>
    <w:p w14:paraId="1323088A" w14:textId="22A494F2" w:rsidR="00B245F9" w:rsidRDefault="00B245F9" w:rsidP="005B295A">
      <w:pPr>
        <w:pStyle w:val="Heading4"/>
      </w:pPr>
      <w:r>
        <w:t xml:space="preserve">In case the number of Firm Capacity Certificates </w:t>
      </w:r>
      <w:r w:rsidR="005808ED">
        <w:t>is increased after the review</w:t>
      </w:r>
      <w:r>
        <w:t xml:space="preserve">, the </w:t>
      </w:r>
      <w:r w:rsidR="005808ED">
        <w:t xml:space="preserve">concerned Market Participant </w:t>
      </w:r>
      <w:r w:rsidR="00B12805">
        <w:t xml:space="preserve">shall </w:t>
      </w:r>
      <w:r>
        <w:t xml:space="preserve">be </w:t>
      </w:r>
      <w:r w:rsidR="005808ED">
        <w:t xml:space="preserve">entitled </w:t>
      </w:r>
      <w:r>
        <w:t xml:space="preserve">to register </w:t>
      </w:r>
      <w:r w:rsidR="004F3B1F">
        <w:t>new C</w:t>
      </w:r>
      <w:r>
        <w:t>ontracts</w:t>
      </w:r>
      <w:r w:rsidR="00F92117">
        <w:t xml:space="preserve"> or amend its existing </w:t>
      </w:r>
      <w:r w:rsidR="005808ED">
        <w:t xml:space="preserve">registered </w:t>
      </w:r>
      <w:r w:rsidR="004F3B1F">
        <w:t>C</w:t>
      </w:r>
      <w:r w:rsidR="00F92117">
        <w:t>ontracts</w:t>
      </w:r>
      <w:r>
        <w:t xml:space="preserve"> </w:t>
      </w:r>
      <w:r w:rsidR="005808ED">
        <w:t xml:space="preserve">using </w:t>
      </w:r>
      <w:r>
        <w:t xml:space="preserve">the </w:t>
      </w:r>
      <w:r w:rsidR="005808ED">
        <w:t xml:space="preserve">additional </w:t>
      </w:r>
      <w:r>
        <w:t xml:space="preserve">Firm Capacity Certificates. </w:t>
      </w:r>
    </w:p>
    <w:p w14:paraId="420B591E" w14:textId="5695E32F" w:rsidR="00B245F9" w:rsidRDefault="00B245F9" w:rsidP="005B295A">
      <w:pPr>
        <w:pStyle w:val="Heading4"/>
      </w:pPr>
      <w:r>
        <w:t xml:space="preserve">In </w:t>
      </w:r>
      <w:r w:rsidR="00F92117">
        <w:t>case</w:t>
      </w:r>
      <w:r>
        <w:t xml:space="preserve"> the number of Firm Capacity Certificates is reduced, and the remaining certificates </w:t>
      </w:r>
      <w:r w:rsidR="00642DD0">
        <w:t xml:space="preserve">are </w:t>
      </w:r>
      <w:r>
        <w:t xml:space="preserve">below the total </w:t>
      </w:r>
      <w:r w:rsidR="0046412E">
        <w:t>Capacity</w:t>
      </w:r>
      <w:r>
        <w:t xml:space="preserve"> sold by this </w:t>
      </w:r>
      <w:r w:rsidR="005808ED">
        <w:t xml:space="preserve">Market Participant </w:t>
      </w:r>
      <w:r w:rsidR="00B12805">
        <w:t>through registered Contracts</w:t>
      </w:r>
      <w:r>
        <w:t>, the</w:t>
      </w:r>
      <w:r w:rsidR="002354D4">
        <w:t xml:space="preserve"> concerned</w:t>
      </w:r>
      <w:r>
        <w:t xml:space="preserve"> </w:t>
      </w:r>
      <w:r w:rsidR="002354D4">
        <w:t xml:space="preserve">Market Participant </w:t>
      </w:r>
      <w:r>
        <w:t xml:space="preserve">shall </w:t>
      </w:r>
      <w:r w:rsidR="005808ED">
        <w:t xml:space="preserve">execute </w:t>
      </w:r>
      <w:r>
        <w:t xml:space="preserve">new </w:t>
      </w:r>
      <w:r w:rsidR="002354D4">
        <w:t>Contracts,</w:t>
      </w:r>
      <w:r w:rsidR="00F92117">
        <w:t xml:space="preserve"> </w:t>
      </w:r>
      <w:r>
        <w:t xml:space="preserve">amend </w:t>
      </w:r>
      <w:r w:rsidR="002354D4">
        <w:t xml:space="preserve">the existing </w:t>
      </w:r>
      <w:r w:rsidR="003A578F">
        <w:t>Contract</w:t>
      </w:r>
      <w:r>
        <w:t xml:space="preserve">s with the </w:t>
      </w:r>
      <w:r w:rsidR="00B12805">
        <w:t xml:space="preserve">relevant </w:t>
      </w:r>
      <w:r>
        <w:t>Market Participants or procure the necessary additional certificates</w:t>
      </w:r>
      <w:r w:rsidRPr="005E71E2">
        <w:t xml:space="preserve"> through </w:t>
      </w:r>
      <w:r>
        <w:t>C</w:t>
      </w:r>
      <w:r w:rsidRPr="005E71E2">
        <w:t>ontracts</w:t>
      </w:r>
      <w:r>
        <w:t xml:space="preserve"> with other Market Participants. </w:t>
      </w:r>
    </w:p>
    <w:p w14:paraId="4866BC93" w14:textId="31D4478F" w:rsidR="00B245F9" w:rsidRDefault="00B245F9" w:rsidP="005B295A">
      <w:pPr>
        <w:pStyle w:val="Heading4"/>
      </w:pPr>
      <w:r>
        <w:t>The aggregat</w:t>
      </w:r>
      <w:r w:rsidR="002354D4">
        <w:t>e</w:t>
      </w:r>
      <w:r>
        <w:t xml:space="preserve"> </w:t>
      </w:r>
      <w:r w:rsidR="0046412E">
        <w:t>Capacity</w:t>
      </w:r>
      <w:r>
        <w:t xml:space="preserve"> sold in the</w:t>
      </w:r>
      <w:r w:rsidR="002354D4">
        <w:t xml:space="preserve"> new or</w:t>
      </w:r>
      <w:r>
        <w:t xml:space="preserve"> amended </w:t>
      </w:r>
      <w:r w:rsidR="004F3B1F">
        <w:t>C</w:t>
      </w:r>
      <w:r>
        <w:t xml:space="preserve">ontracts shall not exceed the number of the Firm Capacity Certificates. The </w:t>
      </w:r>
      <w:r w:rsidR="002354D4">
        <w:t xml:space="preserve">new or </w:t>
      </w:r>
      <w:r>
        <w:t xml:space="preserve">amended </w:t>
      </w:r>
      <w:r w:rsidR="004F3B1F">
        <w:t>C</w:t>
      </w:r>
      <w:r>
        <w:t xml:space="preserve">ontracts </w:t>
      </w:r>
      <w:r w:rsidR="002354D4">
        <w:t xml:space="preserve">executed by </w:t>
      </w:r>
      <w:r>
        <w:t xml:space="preserve">the </w:t>
      </w:r>
      <w:r w:rsidR="002354D4">
        <w:t xml:space="preserve">concerned </w:t>
      </w:r>
      <w:r w:rsidR="003F7A7C">
        <w:t xml:space="preserve">Market Participant </w:t>
      </w:r>
      <w:r>
        <w:t xml:space="preserve">shall be registered with the Market Operator, following the standard </w:t>
      </w:r>
      <w:r w:rsidR="00EB1EBE">
        <w:t xml:space="preserve">procedure </w:t>
      </w:r>
      <w:r w:rsidR="002354D4">
        <w:t xml:space="preserve">as set out </w:t>
      </w:r>
      <w:r>
        <w:t xml:space="preserve">in this Code.  </w:t>
      </w:r>
    </w:p>
    <w:p w14:paraId="285D23BA" w14:textId="1B35EAE0" w:rsidR="00B245F9" w:rsidRDefault="00B245F9" w:rsidP="005B295A">
      <w:pPr>
        <w:pStyle w:val="Heading4"/>
      </w:pPr>
      <w:r>
        <w:t xml:space="preserve">The Market Operator shall develop </w:t>
      </w:r>
      <w:r w:rsidR="00F92117">
        <w:t>a CCOP</w:t>
      </w:r>
      <w:r>
        <w:t xml:space="preserve"> </w:t>
      </w:r>
      <w:r w:rsidR="00B12805">
        <w:t xml:space="preserve">whereby a procedure is devised that shall be followed to check the appropriateness of the Contracts after </w:t>
      </w:r>
      <w:r w:rsidR="002354D4">
        <w:t>review</w:t>
      </w:r>
      <w:r w:rsidR="00B12805">
        <w:t xml:space="preserve"> of the Firm Capacity Certificates</w:t>
      </w:r>
      <w:r>
        <w:t xml:space="preserve">. </w:t>
      </w:r>
    </w:p>
    <w:p w14:paraId="0325A32A" w14:textId="77777777" w:rsidR="005B295A" w:rsidRPr="005B295A" w:rsidRDefault="005B295A" w:rsidP="005B295A">
      <w:pPr>
        <w:pStyle w:val="BodyText"/>
      </w:pPr>
    </w:p>
    <w:p w14:paraId="6C9403E7" w14:textId="03AB0006" w:rsidR="00D34F1F" w:rsidRDefault="00B245F9" w:rsidP="00B245F9">
      <w:pPr>
        <w:spacing w:line="240" w:lineRule="auto"/>
        <w:rPr>
          <w:rFonts w:eastAsiaTheme="majorEastAsia" w:cstheme="majorBidi"/>
          <w:b/>
          <w:bCs/>
          <w:smallCaps/>
          <w:color w:val="00153F" w:themeColor="accent1" w:themeShade="80"/>
          <w:sz w:val="34"/>
          <w:szCs w:val="32"/>
        </w:rPr>
      </w:pPr>
      <w:r>
        <w:br w:type="page"/>
      </w:r>
    </w:p>
    <w:p w14:paraId="6DC035E0" w14:textId="35B5EF21" w:rsidR="00293F8F" w:rsidRPr="0011555F" w:rsidRDefault="00293F8F" w:rsidP="00A40A5D">
      <w:pPr>
        <w:pStyle w:val="Heading1"/>
      </w:pPr>
      <w:bookmarkStart w:id="481" w:name="_Ref54809188"/>
      <w:bookmarkStart w:id="482" w:name="_Toc64846699"/>
      <w:bookmarkStart w:id="483" w:name="_Toc69476997"/>
      <w:r w:rsidRPr="0011555F">
        <w:lastRenderedPageBreak/>
        <w:t>BALANCING MECHANISM FOR CAPACITY</w:t>
      </w:r>
      <w:bookmarkEnd w:id="481"/>
      <w:bookmarkEnd w:id="482"/>
      <w:bookmarkEnd w:id="483"/>
    </w:p>
    <w:p w14:paraId="42509538" w14:textId="77777777" w:rsidR="004242EC" w:rsidRDefault="004242EC" w:rsidP="00C173D0">
      <w:pPr>
        <w:pStyle w:val="Heading2"/>
      </w:pPr>
      <w:bookmarkStart w:id="484" w:name="_Toc69476998"/>
      <w:r>
        <w:t>Introduction</w:t>
      </w:r>
      <w:bookmarkEnd w:id="484"/>
    </w:p>
    <w:p w14:paraId="01DFBBA7" w14:textId="32410B66" w:rsidR="00293F8F" w:rsidRDefault="007D5978" w:rsidP="00EB1EBE">
      <w:pPr>
        <w:pStyle w:val="Heading3"/>
      </w:pPr>
      <w:bookmarkStart w:id="485" w:name="_Toc64846700"/>
      <w:r>
        <w:t>Purpose</w:t>
      </w:r>
      <w:bookmarkEnd w:id="485"/>
      <w:r>
        <w:t xml:space="preserve"> </w:t>
      </w:r>
    </w:p>
    <w:p w14:paraId="4FD41812" w14:textId="6224E72C" w:rsidR="000951D6" w:rsidRDefault="008B1ED6" w:rsidP="005B295A">
      <w:pPr>
        <w:pStyle w:val="Heading4"/>
      </w:pPr>
      <w:r>
        <w:t xml:space="preserve">The </w:t>
      </w:r>
      <w:r w:rsidR="000951D6">
        <w:t xml:space="preserve">purpose of the </w:t>
      </w:r>
      <w:r>
        <w:t xml:space="preserve">Balancing Mechanism </w:t>
      </w:r>
      <w:r w:rsidR="005F1EB7">
        <w:t xml:space="preserve">for Capacity </w:t>
      </w:r>
      <w:r w:rsidR="000951D6">
        <w:t xml:space="preserve">is to facilitate </w:t>
      </w:r>
      <w:r w:rsidR="00E52B54">
        <w:t xml:space="preserve">Market Participants </w:t>
      </w:r>
      <w:r w:rsidR="00035452">
        <w:t>to comply with their</w:t>
      </w:r>
      <w:r w:rsidR="00E52B54">
        <w:t xml:space="preserve"> </w:t>
      </w:r>
      <w:r w:rsidR="007D5978">
        <w:t xml:space="preserve">Capacity </w:t>
      </w:r>
      <w:commentRangeStart w:id="486"/>
      <w:r w:rsidR="007D5978">
        <w:t>Obligations</w:t>
      </w:r>
      <w:r w:rsidR="00035452">
        <w:t xml:space="preserve">. </w:t>
      </w:r>
      <w:commentRangeEnd w:id="486"/>
      <w:r w:rsidR="000E59AE">
        <w:rPr>
          <w:rStyle w:val="CommentReference"/>
          <w:rFonts w:eastAsiaTheme="minorHAnsi" w:cstheme="minorBidi"/>
          <w:bCs w:val="0"/>
          <w:iCs w:val="0"/>
          <w:color w:val="1C1C1C"/>
        </w:rPr>
        <w:commentReference w:id="486"/>
      </w:r>
      <w:r w:rsidR="00035452">
        <w:t xml:space="preserve">In the Balancing Mechanism for Capacity, a </w:t>
      </w:r>
      <w:r w:rsidR="00E52B54">
        <w:t xml:space="preserve"> </w:t>
      </w:r>
      <w:r w:rsidR="00E52B54" w:rsidRPr="002F04D7">
        <w:t xml:space="preserve">Market Participant </w:t>
      </w:r>
      <w:r w:rsidR="00035452" w:rsidRPr="002F04D7">
        <w:t xml:space="preserve">purchases Capacity in order to comply with its Capacity Obligations </w:t>
      </w:r>
      <w:r w:rsidR="00035452" w:rsidRPr="00B03C4A">
        <w:t xml:space="preserve">from </w:t>
      </w:r>
      <w:r w:rsidR="00E52B54" w:rsidRPr="00B03C4A">
        <w:t xml:space="preserve">other </w:t>
      </w:r>
      <w:r w:rsidR="00C9059F" w:rsidRPr="00B03C4A">
        <w:t>Market Participant</w:t>
      </w:r>
      <w:r w:rsidR="00E52B54" w:rsidRPr="00B03C4A">
        <w:t>s</w:t>
      </w:r>
      <w:r w:rsidR="00C9059F" w:rsidRPr="00B03C4A">
        <w:t xml:space="preserve"> which have Capacity in excess of </w:t>
      </w:r>
      <w:r w:rsidR="00D20E43" w:rsidRPr="00B03C4A">
        <w:t>their</w:t>
      </w:r>
      <w:r w:rsidR="00E52B54" w:rsidRPr="00B03C4A">
        <w:t xml:space="preserve"> </w:t>
      </w:r>
      <w:r w:rsidR="00C9059F" w:rsidRPr="00B03C4A">
        <w:t>obligations</w:t>
      </w:r>
      <w:r w:rsidR="00C9059F" w:rsidRPr="002F04D7">
        <w:t>.</w:t>
      </w:r>
      <w:r w:rsidR="00C9059F">
        <w:t xml:space="preserve"> </w:t>
      </w:r>
    </w:p>
    <w:p w14:paraId="3636D12E" w14:textId="20300874" w:rsidR="00797237" w:rsidRDefault="00D20E43" w:rsidP="005B295A">
      <w:pPr>
        <w:pStyle w:val="Heading4"/>
      </w:pPr>
      <w:r>
        <w:t xml:space="preserve">The Capacity Imbalances for each Market Participant shall be determined, through the </w:t>
      </w:r>
      <w:r w:rsidR="004242EC" w:rsidRPr="00844AEE">
        <w:t xml:space="preserve">Balancing Mechanism for </w:t>
      </w:r>
      <w:r w:rsidR="004242EC">
        <w:t>Capacity</w:t>
      </w:r>
      <w:r>
        <w:t>,</w:t>
      </w:r>
      <w:r w:rsidR="004242EC" w:rsidRPr="00844AEE">
        <w:t xml:space="preserve"> as the difference between</w:t>
      </w:r>
      <w:r w:rsidR="00797237">
        <w:t>:</w:t>
      </w:r>
    </w:p>
    <w:p w14:paraId="2DD6BAA1" w14:textId="56BF5D3D" w:rsidR="00797237" w:rsidRDefault="00D20E43" w:rsidP="00BB78F9">
      <w:pPr>
        <w:pStyle w:val="Heading5"/>
      </w:pPr>
      <w:r>
        <w:t>t</w:t>
      </w:r>
      <w:r w:rsidR="004242EC" w:rsidRPr="00844AEE">
        <w:t xml:space="preserve">he </w:t>
      </w:r>
      <w:r w:rsidR="004242EC">
        <w:t xml:space="preserve">Capacity </w:t>
      </w:r>
      <w:r>
        <w:t xml:space="preserve">taken </w:t>
      </w:r>
      <w:r w:rsidR="004242EC">
        <w:t xml:space="preserve">from the </w:t>
      </w:r>
      <w:r>
        <w:t>Grid System</w:t>
      </w:r>
      <w:r w:rsidR="004242EC">
        <w:t xml:space="preserve"> and the </w:t>
      </w:r>
      <w:r w:rsidR="00423AFE">
        <w:t xml:space="preserve">Credited </w:t>
      </w:r>
      <w:r w:rsidR="004242EC">
        <w:t>Capacity</w:t>
      </w:r>
      <w:r>
        <w:t xml:space="preserve"> </w:t>
      </w:r>
      <w:r w:rsidR="004242EC">
        <w:t xml:space="preserve">to such Market Participant </w:t>
      </w:r>
      <w:r w:rsidR="00035452">
        <w:t>pursuant to a</w:t>
      </w:r>
      <w:r w:rsidR="008F1247">
        <w:t xml:space="preserve"> </w:t>
      </w:r>
      <w:r>
        <w:t xml:space="preserve">registered </w:t>
      </w:r>
      <w:r w:rsidR="005F1EB7">
        <w:t>Contract</w:t>
      </w:r>
      <w:r w:rsidR="004242EC">
        <w:t xml:space="preserve"> </w:t>
      </w:r>
      <w:r w:rsidR="005F1EB7">
        <w:t xml:space="preserve">or </w:t>
      </w:r>
      <w:r>
        <w:t xml:space="preserve">its own </w:t>
      </w:r>
      <w:r w:rsidR="005F1EB7">
        <w:t>Generation</w:t>
      </w:r>
      <w:r>
        <w:t xml:space="preserve"> Units</w:t>
      </w:r>
      <w:r w:rsidR="00797237">
        <w:t xml:space="preserve">; </w:t>
      </w:r>
    </w:p>
    <w:p w14:paraId="7AEF2593" w14:textId="743FE6EC" w:rsidR="004242EC" w:rsidRDefault="00D20E43" w:rsidP="00BB78F9">
      <w:pPr>
        <w:pStyle w:val="Heading5"/>
      </w:pPr>
      <w:r>
        <w:t>t</w:t>
      </w:r>
      <w:r w:rsidR="00797237">
        <w:t xml:space="preserve">he </w:t>
      </w:r>
      <w:r w:rsidR="00BB78F9">
        <w:t xml:space="preserve">Guaranteed </w:t>
      </w:r>
      <w:r w:rsidR="00797237">
        <w:t xml:space="preserve">Capacity sold by </w:t>
      </w:r>
      <w:r>
        <w:t>a Market Participant</w:t>
      </w:r>
      <w:r w:rsidR="00797237">
        <w:t xml:space="preserve"> </w:t>
      </w:r>
      <w:r w:rsidR="00BB78F9">
        <w:t xml:space="preserve">through </w:t>
      </w:r>
      <w:r w:rsidR="00035452">
        <w:t xml:space="preserve">a </w:t>
      </w:r>
      <w:r>
        <w:t xml:space="preserve">registered </w:t>
      </w:r>
      <w:r w:rsidR="00BB78F9">
        <w:t xml:space="preserve">Contract  and the Capacity </w:t>
      </w:r>
      <w:r w:rsidR="00797237">
        <w:t xml:space="preserve">actually provided by </w:t>
      </w:r>
      <w:r>
        <w:t xml:space="preserve">the relevant </w:t>
      </w:r>
      <w:r w:rsidR="00BB78F9">
        <w:t>Generat</w:t>
      </w:r>
      <w:r>
        <w:t>ion Units</w:t>
      </w:r>
      <w:r w:rsidR="004242EC">
        <w:t xml:space="preserve">. </w:t>
      </w:r>
    </w:p>
    <w:p w14:paraId="3A87BD54" w14:textId="44413DFC" w:rsidR="00E52B54" w:rsidRPr="00E52B54" w:rsidRDefault="00E52B54" w:rsidP="00E52B54">
      <w:pPr>
        <w:pStyle w:val="Heading4"/>
      </w:pPr>
      <w:r>
        <w:t xml:space="preserve">The results of the Balancing Mechanism for Capacity </w:t>
      </w:r>
      <w:r w:rsidR="00D20E43">
        <w:t>shall</w:t>
      </w:r>
      <w:r>
        <w:t xml:space="preserve"> also be used to verify ex-post compliance </w:t>
      </w:r>
      <w:r w:rsidR="00D20E43">
        <w:t>with</w:t>
      </w:r>
      <w:r>
        <w:t xml:space="preserve"> the Capacity Obligations of each Market Participant.</w:t>
      </w:r>
    </w:p>
    <w:p w14:paraId="5271BDA9" w14:textId="77777777" w:rsidR="00E52B54" w:rsidRDefault="00E52B54" w:rsidP="00E52B54">
      <w:pPr>
        <w:pStyle w:val="Heading3"/>
      </w:pPr>
      <w:r>
        <w:t>Balancing Period</w:t>
      </w:r>
    </w:p>
    <w:p w14:paraId="7B0B48A7" w14:textId="400C3123" w:rsidR="004242EC" w:rsidRDefault="004242EC" w:rsidP="00AE1AD1">
      <w:pPr>
        <w:pStyle w:val="Heading4"/>
      </w:pPr>
      <w:r>
        <w:t xml:space="preserve">The Market Operator shall calculate the </w:t>
      </w:r>
      <w:r w:rsidR="005F1EB7">
        <w:t>Capacity</w:t>
      </w:r>
      <w:r w:rsidR="00D20E43">
        <w:t xml:space="preserve"> Imbalances</w:t>
      </w:r>
      <w:r>
        <w:t xml:space="preserve"> on </w:t>
      </w:r>
      <w:r w:rsidR="005F1EB7">
        <w:t>yearly</w:t>
      </w:r>
      <w:r>
        <w:t xml:space="preserve"> basis (the </w:t>
      </w:r>
      <w:r w:rsidR="005F1EB7">
        <w:t>Capacity</w:t>
      </w:r>
      <w:r>
        <w:t xml:space="preserve"> Balancing Period)</w:t>
      </w:r>
      <w:r w:rsidR="005F1EB7">
        <w:t xml:space="preserve">, </w:t>
      </w:r>
      <w:r w:rsidR="00035452">
        <w:t>on the basis of</w:t>
      </w:r>
      <w:r w:rsidR="005F1EB7">
        <w:t xml:space="preserve"> certain number of hours in which the system is stressed</w:t>
      </w:r>
      <w:r w:rsidR="00F11D79">
        <w:t xml:space="preserve"> “the Critical Hours”</w:t>
      </w:r>
      <w:r w:rsidR="005F1EB7">
        <w:t xml:space="preserve">. </w:t>
      </w:r>
    </w:p>
    <w:p w14:paraId="6A7ADCF7" w14:textId="6BA3334C" w:rsidR="003A1044" w:rsidRDefault="003A1044" w:rsidP="00C9059F">
      <w:pPr>
        <w:pStyle w:val="Heading3"/>
      </w:pPr>
      <w:r>
        <w:t>Sellers</w:t>
      </w:r>
      <w:r w:rsidR="00C9059F">
        <w:t xml:space="preserve"> </w:t>
      </w:r>
      <w:r w:rsidR="00947EFB">
        <w:t xml:space="preserve">and </w:t>
      </w:r>
      <w:r w:rsidR="00FE040E">
        <w:t>Buyers</w:t>
      </w:r>
      <w:r w:rsidR="00947EFB">
        <w:t xml:space="preserve"> </w:t>
      </w:r>
      <w:r w:rsidR="00C9059F">
        <w:t>in the Balancing Mechanism for Capacit</w:t>
      </w:r>
      <w:r>
        <w:t>y</w:t>
      </w:r>
    </w:p>
    <w:p w14:paraId="6D8C985A" w14:textId="4626FF0A" w:rsidR="00947EFB" w:rsidRDefault="00D20E43" w:rsidP="005B295A">
      <w:pPr>
        <w:pStyle w:val="Heading4"/>
      </w:pPr>
      <w:r>
        <w:t>The f</w:t>
      </w:r>
      <w:r w:rsidR="00947EFB">
        <w:t xml:space="preserve">ollowing Market Participants </w:t>
      </w:r>
      <w:r w:rsidR="00FE358F">
        <w:t>may sell Capacity</w:t>
      </w:r>
      <w:r w:rsidR="00947EFB">
        <w:t xml:space="preserve"> in the Balancing Mechanism for Capacity: </w:t>
      </w:r>
    </w:p>
    <w:p w14:paraId="3F05C128" w14:textId="0B90D1F3" w:rsidR="00947EFB" w:rsidRDefault="002F04D7" w:rsidP="00797237">
      <w:pPr>
        <w:pStyle w:val="Heading5"/>
      </w:pPr>
      <w:r>
        <w:t>a</w:t>
      </w:r>
      <w:r w:rsidR="00FE358F">
        <w:t xml:space="preserve"> </w:t>
      </w:r>
      <w:r w:rsidR="00947EFB">
        <w:t xml:space="preserve">Generator which </w:t>
      </w:r>
      <w:r w:rsidR="00FE358F">
        <w:t xml:space="preserve">has </w:t>
      </w:r>
      <w:r w:rsidR="00423AFE">
        <w:t xml:space="preserve">not sold </w:t>
      </w:r>
      <w:r w:rsidR="00FE358F">
        <w:t>all</w:t>
      </w:r>
      <w:r w:rsidR="00947EFB">
        <w:t xml:space="preserve"> </w:t>
      </w:r>
      <w:r w:rsidR="00FE358F">
        <w:t xml:space="preserve">of </w:t>
      </w:r>
      <w:r w:rsidR="00947EFB">
        <w:t>its Available Capacity</w:t>
      </w:r>
      <w:r w:rsidR="00423AFE">
        <w:t>,</w:t>
      </w:r>
      <w:r w:rsidR="00947EFB">
        <w:t xml:space="preserve"> through </w:t>
      </w:r>
      <w:r w:rsidR="00D20E43">
        <w:t xml:space="preserve">registered </w:t>
      </w:r>
      <w:r w:rsidR="00947EFB">
        <w:t>Contracts</w:t>
      </w:r>
      <w:r w:rsidR="00423AFE">
        <w:t>,</w:t>
      </w:r>
      <w:r w:rsidR="00947EFB">
        <w:t xml:space="preserve"> </w:t>
      </w:r>
      <w:r w:rsidR="00FC3392">
        <w:t>to other Market Participants</w:t>
      </w:r>
      <w:r w:rsidR="00622ACE">
        <w:t>;</w:t>
      </w:r>
    </w:p>
    <w:p w14:paraId="132F7E4B" w14:textId="2AAC6BC9" w:rsidR="00622ACE" w:rsidRDefault="002F04D7" w:rsidP="00797237">
      <w:pPr>
        <w:pStyle w:val="Heading5"/>
      </w:pPr>
      <w:r>
        <w:t>a</w:t>
      </w:r>
      <w:r w:rsidR="00FE358F">
        <w:t xml:space="preserve"> </w:t>
      </w:r>
      <w:r w:rsidR="00423AFE">
        <w:t xml:space="preserve">Market Participant </w:t>
      </w:r>
      <w:r w:rsidR="00622ACE">
        <w:t xml:space="preserve">which </w:t>
      </w:r>
      <w:r w:rsidR="00FE358F">
        <w:t>has excess Capacity, purchased through a registered Contracts, than its requirement</w:t>
      </w:r>
      <w:r w:rsidR="00622ACE">
        <w:t xml:space="preserve">; </w:t>
      </w:r>
    </w:p>
    <w:p w14:paraId="10DB63E9" w14:textId="45BF6DA3" w:rsidR="00622ACE" w:rsidRDefault="00423AFE" w:rsidP="005B295A">
      <w:pPr>
        <w:pStyle w:val="Heading4"/>
      </w:pPr>
      <w:r>
        <w:t>The f</w:t>
      </w:r>
      <w:r w:rsidR="00622ACE">
        <w:t xml:space="preserve">ollowing Market Participants </w:t>
      </w:r>
      <w:r w:rsidR="00FE358F">
        <w:t>may purchase</w:t>
      </w:r>
      <w:r>
        <w:t xml:space="preserve"> </w:t>
      </w:r>
      <w:r w:rsidR="00622ACE">
        <w:t xml:space="preserve">in the Balancing Mechanism for Capacity: </w:t>
      </w:r>
    </w:p>
    <w:p w14:paraId="1CEF9FA7" w14:textId="155DA85E" w:rsidR="00622ACE" w:rsidRDefault="002F04D7" w:rsidP="00797237">
      <w:pPr>
        <w:pStyle w:val="Heading5"/>
      </w:pPr>
      <w:r>
        <w:t>a</w:t>
      </w:r>
      <w:r w:rsidR="00FE358F">
        <w:t xml:space="preserve"> </w:t>
      </w:r>
      <w:r w:rsidR="00423AFE">
        <w:t xml:space="preserve">Market Participant </w:t>
      </w:r>
      <w:r w:rsidR="00622ACE">
        <w:t xml:space="preserve">which </w:t>
      </w:r>
      <w:r w:rsidR="00FE358F">
        <w:t xml:space="preserve">has </w:t>
      </w:r>
      <w:r w:rsidR="00622ACE">
        <w:t xml:space="preserve">sold Guaranteed Capacity, as </w:t>
      </w:r>
      <w:r w:rsidR="00FE358F">
        <w:t xml:space="preserve">provided </w:t>
      </w:r>
      <w:r w:rsidR="00622ACE">
        <w:t xml:space="preserve">in Clause </w:t>
      </w:r>
      <w:r w:rsidR="00797237">
        <w:fldChar w:fldCharType="begin"/>
      </w:r>
      <w:r w:rsidR="00797237">
        <w:instrText xml:space="preserve"> REF _Ref67476620 \r \h  \* MERGEFORMAT </w:instrText>
      </w:r>
      <w:r w:rsidR="00797237">
        <w:fldChar w:fldCharType="separate"/>
      </w:r>
      <w:r w:rsidR="00251DBF">
        <w:t>4.2.1.4</w:t>
      </w:r>
      <w:r w:rsidR="00797237">
        <w:fldChar w:fldCharType="end"/>
      </w:r>
      <w:r w:rsidR="00423AFE">
        <w:t xml:space="preserve">, </w:t>
      </w:r>
      <w:r w:rsidR="00622ACE">
        <w:t xml:space="preserve">to </w:t>
      </w:r>
      <w:r w:rsidR="00FE358F">
        <w:t xml:space="preserve">another </w:t>
      </w:r>
      <w:r w:rsidR="00622ACE">
        <w:t xml:space="preserve">Market Participant, </w:t>
      </w:r>
      <w:r w:rsidR="00FE358F">
        <w:t xml:space="preserve">however, </w:t>
      </w:r>
      <w:r w:rsidR="00622ACE">
        <w:t>the</w:t>
      </w:r>
      <w:r w:rsidR="00FE358F">
        <w:t xml:space="preserve"> provided</w:t>
      </w:r>
      <w:r w:rsidR="00622ACE">
        <w:t xml:space="preserve"> Capacity </w:t>
      </w:r>
      <w:r w:rsidR="00FE358F">
        <w:t>is less than the Guaranteed Capacity</w:t>
      </w:r>
      <w:r w:rsidR="00622ACE">
        <w:t xml:space="preserve">; </w:t>
      </w:r>
    </w:p>
    <w:p w14:paraId="1CE4C68D" w14:textId="0DD9EF13" w:rsidR="00622ACE" w:rsidRDefault="00622ACE" w:rsidP="00797237">
      <w:pPr>
        <w:pStyle w:val="Heading5"/>
      </w:pPr>
      <w:r>
        <w:t xml:space="preserve"> </w:t>
      </w:r>
      <w:r w:rsidR="002F04D7">
        <w:t>a</w:t>
      </w:r>
      <w:r w:rsidR="00A8404E">
        <w:t xml:space="preserve"> </w:t>
      </w:r>
      <w:r w:rsidR="00797133">
        <w:t xml:space="preserve">Market Participant which </w:t>
      </w:r>
      <w:r w:rsidR="00A8404E">
        <w:t>has</w:t>
      </w:r>
      <w:r w:rsidR="00797133">
        <w:t xml:space="preserve"> taken Capacity </w:t>
      </w:r>
      <w:r w:rsidR="00A8404E">
        <w:t>from</w:t>
      </w:r>
      <w:r w:rsidR="00797133">
        <w:t xml:space="preserve"> the Grid System in excess of </w:t>
      </w:r>
      <w:r w:rsidR="00A8404E">
        <w:t>its</w:t>
      </w:r>
      <w:r w:rsidR="00797133">
        <w:t xml:space="preserve"> Credited Capacity</w:t>
      </w:r>
      <w:r w:rsidR="00797237">
        <w:t>.</w:t>
      </w:r>
      <w:r>
        <w:t xml:space="preserve"> </w:t>
      </w:r>
    </w:p>
    <w:p w14:paraId="5E8B5627" w14:textId="77777777" w:rsidR="00947EFB" w:rsidRPr="00947EFB" w:rsidRDefault="00947EFB" w:rsidP="00947EFB">
      <w:pPr>
        <w:pStyle w:val="BodyText"/>
      </w:pPr>
    </w:p>
    <w:p w14:paraId="54AC422C" w14:textId="4DD1A6CE" w:rsidR="004242EC" w:rsidRDefault="0012055E" w:rsidP="004242EC">
      <w:pPr>
        <w:pStyle w:val="Heading2"/>
      </w:pPr>
      <w:bookmarkStart w:id="487" w:name="_Toc69476999"/>
      <w:r>
        <w:lastRenderedPageBreak/>
        <w:t>P</w:t>
      </w:r>
      <w:r w:rsidR="004242EC">
        <w:t xml:space="preserve">rocedure for </w:t>
      </w:r>
      <w:r w:rsidR="00A8404E" w:rsidRPr="00B03C4A">
        <w:t>administration</w:t>
      </w:r>
      <w:r w:rsidR="00A8404E" w:rsidRPr="00814601">
        <w:t xml:space="preserve"> </w:t>
      </w:r>
      <w:r w:rsidR="00A8404E">
        <w:t xml:space="preserve">of </w:t>
      </w:r>
      <w:r>
        <w:t>the</w:t>
      </w:r>
      <w:r w:rsidR="004242EC">
        <w:t xml:space="preserve"> </w:t>
      </w:r>
      <w:r>
        <w:t>B</w:t>
      </w:r>
      <w:r w:rsidR="004242EC">
        <w:t xml:space="preserve">alancing </w:t>
      </w:r>
      <w:r>
        <w:t>M</w:t>
      </w:r>
      <w:r w:rsidR="004242EC">
        <w:t xml:space="preserve">echanism for </w:t>
      </w:r>
      <w:r>
        <w:t>C</w:t>
      </w:r>
      <w:r w:rsidR="004242EC">
        <w:t>apacity</w:t>
      </w:r>
      <w:bookmarkEnd w:id="487"/>
    </w:p>
    <w:p w14:paraId="70F9180A" w14:textId="77777777" w:rsidR="007D5978" w:rsidRDefault="007D5978" w:rsidP="007D5978">
      <w:pPr>
        <w:pStyle w:val="Heading3"/>
      </w:pPr>
      <w:bookmarkStart w:id="488" w:name="_Toc47017042"/>
      <w:bookmarkStart w:id="489" w:name="_Ref67479936"/>
      <w:r>
        <w:t>Step 1: Identification of Critical Hours</w:t>
      </w:r>
      <w:bookmarkEnd w:id="488"/>
      <w:bookmarkEnd w:id="489"/>
    </w:p>
    <w:p w14:paraId="1F1C1FDC" w14:textId="04EB87BB" w:rsidR="007D5978" w:rsidRPr="00DD1317" w:rsidRDefault="007D5978" w:rsidP="005B295A">
      <w:pPr>
        <w:pStyle w:val="Heading4"/>
      </w:pPr>
      <w:r w:rsidRPr="00DD1317">
        <w:t xml:space="preserve">For </w:t>
      </w:r>
      <w:r w:rsidR="00A8404E">
        <w:t>calculation of the Capacity Imbalances of a Market Participant, the Market Operator shall consider</w:t>
      </w:r>
      <w:r w:rsidRPr="00DD1317">
        <w:t xml:space="preserve"> the Capacity </w:t>
      </w:r>
      <w:r w:rsidR="00BB78F9" w:rsidRPr="00DD1317">
        <w:t xml:space="preserve">actually </w:t>
      </w:r>
      <w:r w:rsidRPr="00DD1317">
        <w:t xml:space="preserve">provided by </w:t>
      </w:r>
      <w:r w:rsidR="00A8404E">
        <w:t xml:space="preserve">a </w:t>
      </w:r>
      <w:r w:rsidR="00BD6DB0" w:rsidRPr="00DD1317">
        <w:t xml:space="preserve">Generator </w:t>
      </w:r>
      <w:r w:rsidRPr="00DD1317">
        <w:t xml:space="preserve">and </w:t>
      </w:r>
      <w:r w:rsidR="00797133">
        <w:t xml:space="preserve">the </w:t>
      </w:r>
      <w:r w:rsidR="00BB78F9" w:rsidRPr="00DD1317">
        <w:t xml:space="preserve">Capacity </w:t>
      </w:r>
      <w:r w:rsidR="00797133">
        <w:t xml:space="preserve">actually </w:t>
      </w:r>
      <w:r w:rsidRPr="00DD1317">
        <w:t xml:space="preserve">taken by </w:t>
      </w:r>
      <w:r w:rsidR="00A8404E">
        <w:t xml:space="preserve">a </w:t>
      </w:r>
      <w:r w:rsidR="00797133">
        <w:t xml:space="preserve">Market Participant </w:t>
      </w:r>
      <w:r w:rsidR="00A8404E">
        <w:t>during</w:t>
      </w:r>
      <w:r w:rsidRPr="00DD1317">
        <w:t xml:space="preserve"> the “Critical Hours</w:t>
      </w:r>
      <w:r w:rsidR="008453B7">
        <w:t>”</w:t>
      </w:r>
      <w:r w:rsidRPr="00DD1317">
        <w:t xml:space="preserve">. </w:t>
      </w:r>
      <w:r w:rsidR="00D605AC">
        <w:t xml:space="preserve">For the purposes of this chapter, the </w:t>
      </w:r>
      <w:r w:rsidRPr="00DD1317">
        <w:t xml:space="preserve"> </w:t>
      </w:r>
      <w:r w:rsidR="008453B7">
        <w:t>C</w:t>
      </w:r>
      <w:r w:rsidRPr="00DD1317">
        <w:t xml:space="preserve">ritical </w:t>
      </w:r>
      <w:r w:rsidR="008453B7">
        <w:t>H</w:t>
      </w:r>
      <w:r w:rsidRPr="00DD1317">
        <w:t xml:space="preserve">ours </w:t>
      </w:r>
      <w:commentRangeStart w:id="490"/>
      <w:r w:rsidR="00D605AC">
        <w:t xml:space="preserve">are defined as </w:t>
      </w:r>
      <w:r w:rsidR="00A8404E">
        <w:t>such</w:t>
      </w:r>
      <w:r w:rsidR="00A8404E" w:rsidRPr="00DD1317">
        <w:t xml:space="preserve"> </w:t>
      </w:r>
      <w:r w:rsidRPr="00DD1317">
        <w:t>hours of the previous year</w:t>
      </w:r>
      <w:r w:rsidR="00A8404E">
        <w:t xml:space="preserve"> when</w:t>
      </w:r>
      <w:r w:rsidRPr="00DD1317">
        <w:t xml:space="preserve"> the power system </w:t>
      </w:r>
      <w:r w:rsidR="00A8404E">
        <w:t>was</w:t>
      </w:r>
      <w:r w:rsidR="00A8404E" w:rsidRPr="00DD1317">
        <w:t xml:space="preserve"> </w:t>
      </w:r>
      <w:r w:rsidR="00A8404E">
        <w:t>under</w:t>
      </w:r>
      <w:r w:rsidR="00A8404E" w:rsidRPr="00DD1317">
        <w:t xml:space="preserve"> </w:t>
      </w:r>
      <w:r w:rsidRPr="00DD1317">
        <w:t xml:space="preserve">maximum stress.  </w:t>
      </w:r>
      <w:commentRangeEnd w:id="490"/>
      <w:r w:rsidR="000E59AE">
        <w:rPr>
          <w:rStyle w:val="CommentReference"/>
          <w:rFonts w:eastAsiaTheme="minorHAnsi" w:cstheme="minorBidi"/>
          <w:bCs w:val="0"/>
          <w:iCs w:val="0"/>
          <w:color w:val="1C1C1C"/>
        </w:rPr>
        <w:commentReference w:id="490"/>
      </w:r>
    </w:p>
    <w:p w14:paraId="14FF07E0" w14:textId="7D6C4373" w:rsidR="007D5978" w:rsidRDefault="00BB78F9" w:rsidP="005B295A">
      <w:pPr>
        <w:pStyle w:val="Heading4"/>
      </w:pPr>
      <w:bookmarkStart w:id="491" w:name="_Ref67478367"/>
      <w:r w:rsidRPr="000C7CBF">
        <w:t xml:space="preserve">Within </w:t>
      </w:r>
      <w:r w:rsidR="00797133">
        <w:t>eighteen</w:t>
      </w:r>
      <w:r w:rsidR="00797133" w:rsidRPr="000C7CBF">
        <w:t xml:space="preserve"> </w:t>
      </w:r>
      <w:r w:rsidRPr="000C7CBF">
        <w:t>[</w:t>
      </w:r>
      <w:r>
        <w:t>1</w:t>
      </w:r>
      <w:r w:rsidR="00797133">
        <w:t>8</w:t>
      </w:r>
      <w:r w:rsidRPr="000C7CBF">
        <w:t>] month</w:t>
      </w:r>
      <w:r>
        <w:t>s</w:t>
      </w:r>
      <w:r w:rsidRPr="000C7CBF">
        <w:t xml:space="preserve"> </w:t>
      </w:r>
      <w:r w:rsidR="00D605AC">
        <w:t>of</w:t>
      </w:r>
      <w:r w:rsidR="00D605AC" w:rsidRPr="000C7CBF">
        <w:t xml:space="preserve"> </w:t>
      </w:r>
      <w:r w:rsidR="00D605AC">
        <w:t>the CMOD</w:t>
      </w:r>
      <w:r w:rsidRPr="000C7CBF">
        <w:t xml:space="preserve">, </w:t>
      </w:r>
      <w:commentRangeStart w:id="492"/>
      <w:r w:rsidRPr="000C7CBF">
        <w:t>the</w:t>
      </w:r>
      <w:r w:rsidR="007D5978">
        <w:t xml:space="preserve"> System Operator </w:t>
      </w:r>
      <w:r w:rsidR="00797133">
        <w:t>shall</w:t>
      </w:r>
      <w:r w:rsidR="00263B9E">
        <w:t>, in collaboration with the Market Operator,</w:t>
      </w:r>
      <w:r w:rsidR="00797133">
        <w:t xml:space="preserve"> </w:t>
      </w:r>
      <w:r w:rsidR="00D605AC">
        <w:t>make</w:t>
      </w:r>
      <w:r>
        <w:t xml:space="preserve"> </w:t>
      </w:r>
      <w:r w:rsidR="007D5978">
        <w:t xml:space="preserve"> </w:t>
      </w:r>
      <w:commentRangeEnd w:id="492"/>
      <w:r w:rsidR="00340C45">
        <w:rPr>
          <w:rStyle w:val="CommentReference"/>
          <w:rFonts w:eastAsiaTheme="minorHAnsi" w:cstheme="minorBidi"/>
          <w:bCs w:val="0"/>
          <w:iCs w:val="0"/>
          <w:color w:val="1C1C1C"/>
        </w:rPr>
        <w:commentReference w:id="492"/>
      </w:r>
      <w:r w:rsidR="007D5978">
        <w:t xml:space="preserve">a </w:t>
      </w:r>
      <w:r w:rsidR="008453B7">
        <w:t>CCOP</w:t>
      </w:r>
      <w:r w:rsidR="007D5978">
        <w:t xml:space="preserve"> for determining </w:t>
      </w:r>
      <w:r>
        <w:t>the Critical Hours</w:t>
      </w:r>
      <w:r w:rsidR="00797133">
        <w:t>,</w:t>
      </w:r>
      <w:r>
        <w:t xml:space="preserve"> of the previous </w:t>
      </w:r>
      <w:r w:rsidR="00797133">
        <w:t>year,</w:t>
      </w:r>
      <w:r w:rsidR="002111ED">
        <w:t xml:space="preserve"> </w:t>
      </w:r>
      <w:r w:rsidR="00797133">
        <w:t>during</w:t>
      </w:r>
      <w:r w:rsidR="00797133" w:rsidRPr="00DD1317">
        <w:t xml:space="preserve"> </w:t>
      </w:r>
      <w:r w:rsidR="002111ED" w:rsidRPr="00DD1317">
        <w:t xml:space="preserve">which the power system </w:t>
      </w:r>
      <w:r w:rsidR="00D605AC">
        <w:t>was</w:t>
      </w:r>
      <w:r w:rsidR="00D605AC" w:rsidRPr="00DD1317">
        <w:t xml:space="preserve"> </w:t>
      </w:r>
      <w:r w:rsidR="00D605AC">
        <w:t xml:space="preserve">under </w:t>
      </w:r>
      <w:r w:rsidR="002111ED" w:rsidRPr="00DD1317">
        <w:t>maximum stress</w:t>
      </w:r>
      <w:r>
        <w:t xml:space="preserve">. </w:t>
      </w:r>
      <w:r w:rsidR="00D605AC">
        <w:t xml:space="preserve">The said </w:t>
      </w:r>
      <w:r>
        <w:t xml:space="preserve">CCOP shall </w:t>
      </w:r>
      <w:r w:rsidR="00D605AC">
        <w:t>include</w:t>
      </w:r>
      <w:r w:rsidR="007D5978">
        <w:t>:</w:t>
      </w:r>
      <w:bookmarkEnd w:id="491"/>
      <w:r w:rsidR="007D5978">
        <w:t xml:space="preserve"> </w:t>
      </w:r>
    </w:p>
    <w:p w14:paraId="16DDE4C2" w14:textId="3D648F9C" w:rsidR="007D5978" w:rsidRDefault="002F04D7" w:rsidP="00B03234">
      <w:pPr>
        <w:pStyle w:val="Heading5"/>
      </w:pPr>
      <w:r>
        <w:t>t</w:t>
      </w:r>
      <w:r w:rsidR="007D5978">
        <w:t xml:space="preserve">he characteristics of the </w:t>
      </w:r>
      <w:r w:rsidR="00BD6DB0">
        <w:t>Demand</w:t>
      </w:r>
      <w:r w:rsidR="007D5978">
        <w:t xml:space="preserve">; </w:t>
      </w:r>
    </w:p>
    <w:p w14:paraId="599DABC9" w14:textId="4CFBED29" w:rsidR="007D5978" w:rsidRDefault="002F04D7" w:rsidP="00B03234">
      <w:pPr>
        <w:pStyle w:val="Heading5"/>
      </w:pPr>
      <w:r>
        <w:t>t</w:t>
      </w:r>
      <w:r w:rsidR="007D5978">
        <w:t xml:space="preserve">he production of </w:t>
      </w:r>
      <w:r w:rsidR="00BB78F9">
        <w:t xml:space="preserve">Energy by certain technologies, </w:t>
      </w:r>
      <w:r w:rsidR="007D5978">
        <w:t xml:space="preserve">which, </w:t>
      </w:r>
      <w:r w:rsidR="00BB78F9">
        <w:t>due</w:t>
      </w:r>
      <w:r w:rsidR="007D5978">
        <w:t xml:space="preserve"> </w:t>
      </w:r>
      <w:r w:rsidR="00D605AC">
        <w:t xml:space="preserve">to </w:t>
      </w:r>
      <w:r w:rsidR="007D5978">
        <w:t xml:space="preserve">their characteristics, </w:t>
      </w:r>
      <w:r w:rsidR="00BB78F9">
        <w:t>are</w:t>
      </w:r>
      <w:r w:rsidR="007D5978">
        <w:t xml:space="preserve"> not </w:t>
      </w:r>
      <w:r w:rsidR="00BB78F9">
        <w:t xml:space="preserve">able to fully control their </w:t>
      </w:r>
      <w:r w:rsidR="00797133">
        <w:t xml:space="preserve">Energy </w:t>
      </w:r>
      <w:r w:rsidR="00BB78F9">
        <w:t xml:space="preserve">injection into the </w:t>
      </w:r>
      <w:r w:rsidR="00B64708">
        <w:t>Grid System</w:t>
      </w:r>
      <w:r w:rsidR="007D5978">
        <w:t>;</w:t>
      </w:r>
    </w:p>
    <w:p w14:paraId="10D41889" w14:textId="1EE57B83" w:rsidR="007D5978" w:rsidRDefault="002F04D7" w:rsidP="00B03234">
      <w:pPr>
        <w:pStyle w:val="Heading5"/>
      </w:pPr>
      <w:r>
        <w:t>t</w:t>
      </w:r>
      <w:r w:rsidR="007D5978">
        <w:t xml:space="preserve">he specific characteristics of the constraints </w:t>
      </w:r>
      <w:r w:rsidR="00D605AC">
        <w:t>of the</w:t>
      </w:r>
      <w:r w:rsidR="007D5978">
        <w:t xml:space="preserve"> </w:t>
      </w:r>
      <w:r w:rsidR="008453B7">
        <w:t xml:space="preserve">hydro </w:t>
      </w:r>
      <w:r w:rsidR="00BD6DB0">
        <w:t>Generation</w:t>
      </w:r>
      <w:r w:rsidR="007D5978">
        <w:t>;</w:t>
      </w:r>
    </w:p>
    <w:p w14:paraId="33BE036E" w14:textId="64C01BF7" w:rsidR="007D5978" w:rsidRDefault="002F04D7" w:rsidP="00B03234">
      <w:pPr>
        <w:pStyle w:val="Heading5"/>
      </w:pPr>
      <w:r>
        <w:t>t</w:t>
      </w:r>
      <w:r w:rsidR="007D5978">
        <w:t xml:space="preserve">he </w:t>
      </w:r>
      <w:r w:rsidR="00BD6DB0">
        <w:t xml:space="preserve">Generation Units </w:t>
      </w:r>
      <w:r w:rsidR="007D5978">
        <w:t>maintenance plans; and</w:t>
      </w:r>
    </w:p>
    <w:p w14:paraId="1B966DA0" w14:textId="7B053E57" w:rsidR="007D5978" w:rsidRDefault="002F04D7" w:rsidP="00B03234">
      <w:pPr>
        <w:pStyle w:val="Heading5"/>
      </w:pPr>
      <w:r>
        <w:t>t</w:t>
      </w:r>
      <w:r w:rsidR="007D5978">
        <w:t xml:space="preserve">he </w:t>
      </w:r>
      <w:r w:rsidR="00BB78F9">
        <w:t xml:space="preserve">minimum </w:t>
      </w:r>
      <w:r w:rsidR="00D605AC">
        <w:t xml:space="preserve">reserve </w:t>
      </w:r>
      <w:r w:rsidR="007D5978">
        <w:t xml:space="preserve">requirements of the </w:t>
      </w:r>
      <w:r w:rsidR="00BB78F9">
        <w:t>power</w:t>
      </w:r>
      <w:r w:rsidR="007D5978">
        <w:t xml:space="preserve"> system.</w:t>
      </w:r>
    </w:p>
    <w:p w14:paraId="71D7B575" w14:textId="4A58C14D" w:rsidR="00BB78F9" w:rsidRDefault="00BB78F9" w:rsidP="005B295A">
      <w:pPr>
        <w:pStyle w:val="Heading4"/>
      </w:pPr>
      <w:bookmarkStart w:id="493" w:name="_Ref68597310"/>
      <w:r>
        <w:t>Until</w:t>
      </w:r>
      <w:r w:rsidR="007D5978">
        <w:t xml:space="preserve"> the </w:t>
      </w:r>
      <w:r>
        <w:t xml:space="preserve">System Operator develops the CCOP </w:t>
      </w:r>
      <w:r w:rsidR="00797133">
        <w:t xml:space="preserve">as provided </w:t>
      </w:r>
      <w:r>
        <w:t xml:space="preserve">in Clause </w:t>
      </w:r>
      <w:r>
        <w:fldChar w:fldCharType="begin"/>
      </w:r>
      <w:r>
        <w:instrText xml:space="preserve"> REF _Ref67478367 \r \h </w:instrText>
      </w:r>
      <w:r>
        <w:fldChar w:fldCharType="separate"/>
      </w:r>
      <w:r w:rsidR="00251DBF">
        <w:t>10.2.1.2</w:t>
      </w:r>
      <w:r>
        <w:fldChar w:fldCharType="end"/>
      </w:r>
      <w:r w:rsidR="00797133">
        <w:t xml:space="preserve"> above</w:t>
      </w:r>
      <w:r>
        <w:t>,</w:t>
      </w:r>
      <w:r w:rsidR="007D5978">
        <w:t xml:space="preserve"> the </w:t>
      </w:r>
      <w:r>
        <w:t>C</w:t>
      </w:r>
      <w:r w:rsidR="007D5978">
        <w:t xml:space="preserve">ritical </w:t>
      </w:r>
      <w:r>
        <w:t>H</w:t>
      </w:r>
      <w:r w:rsidR="007D5978">
        <w:t xml:space="preserve">ours </w:t>
      </w:r>
      <w:r w:rsidR="00797133">
        <w:t xml:space="preserve">shall </w:t>
      </w:r>
      <w:r w:rsidR="007D5978">
        <w:t xml:space="preserve">be </w:t>
      </w:r>
      <w:r w:rsidR="00D605AC">
        <w:t xml:space="preserve">determined </w:t>
      </w:r>
      <w:r>
        <w:t>as:</w:t>
      </w:r>
      <w:bookmarkEnd w:id="493"/>
      <w:r>
        <w:t xml:space="preserve"> </w:t>
      </w:r>
    </w:p>
    <w:p w14:paraId="514689DC" w14:textId="66974CC4" w:rsidR="000B54B5" w:rsidRDefault="00D125E0" w:rsidP="000B54B5">
      <w:pPr>
        <w:pStyle w:val="Heading5"/>
      </w:pPr>
      <w:r>
        <w:t>t</w:t>
      </w:r>
      <w:r w:rsidR="00BB78F9">
        <w:t>he fifty (</w:t>
      </w:r>
      <w:r w:rsidR="007D5978">
        <w:t>50</w:t>
      </w:r>
      <w:r w:rsidR="00BB78F9">
        <w:t>)</w:t>
      </w:r>
      <w:r w:rsidR="007D5978">
        <w:t xml:space="preserve"> hours in which the </w:t>
      </w:r>
      <w:r w:rsidR="00762E64">
        <w:t xml:space="preserve">sum </w:t>
      </w:r>
      <w:r w:rsidR="000B54B5">
        <w:t xml:space="preserve">of the </w:t>
      </w:r>
      <w:r w:rsidR="00BB78F9">
        <w:t>T</w:t>
      </w:r>
      <w:r w:rsidR="007D5978">
        <w:t xml:space="preserve">otal </w:t>
      </w:r>
      <w:r w:rsidR="00BB78F9">
        <w:t>D</w:t>
      </w:r>
      <w:r w:rsidR="007D5978">
        <w:t>em</w:t>
      </w:r>
      <w:r w:rsidR="00762E64">
        <w:t xml:space="preserve">and, </w:t>
      </w:r>
      <w:r w:rsidR="00D605AC">
        <w:t>hourly transmission losses</w:t>
      </w:r>
      <w:r w:rsidR="00762E64">
        <w:t xml:space="preserve"> </w:t>
      </w:r>
      <w:r w:rsidR="000B54B5">
        <w:t xml:space="preserve">and </w:t>
      </w:r>
      <w:r w:rsidR="00762E64">
        <w:t>an estimation</w:t>
      </w:r>
      <w:r w:rsidR="00D605AC">
        <w:t xml:space="preserve"> of</w:t>
      </w:r>
      <w:r w:rsidR="00762E64">
        <w:t xml:space="preserve"> </w:t>
      </w:r>
      <w:r w:rsidR="000B54B5">
        <w:t>the Demand</w:t>
      </w:r>
      <w:r w:rsidR="00D605AC">
        <w:t>,</w:t>
      </w:r>
      <w:r w:rsidR="000B54B5">
        <w:t xml:space="preserve"> </w:t>
      </w:r>
      <w:r w:rsidR="007D5978">
        <w:t xml:space="preserve">which </w:t>
      </w:r>
      <w:r w:rsidR="000B54B5">
        <w:t xml:space="preserve">has been disconnected </w:t>
      </w:r>
      <w:r w:rsidR="00D605AC">
        <w:t>upon</w:t>
      </w:r>
      <w:r w:rsidR="000B54B5">
        <w:t xml:space="preserve"> instructions issued by the </w:t>
      </w:r>
      <w:r w:rsidR="002111ED">
        <w:t xml:space="preserve">System </w:t>
      </w:r>
      <w:r w:rsidR="000B54B5">
        <w:t>Operato</w:t>
      </w:r>
      <w:r w:rsidR="002111ED">
        <w:t>r or the DISCO</w:t>
      </w:r>
      <w:r w:rsidR="00762E64">
        <w:t xml:space="preserve"> </w:t>
      </w:r>
      <w:r w:rsidR="00D605AC">
        <w:t xml:space="preserve">due </w:t>
      </w:r>
      <w:commentRangeStart w:id="494"/>
      <w:r w:rsidR="00D605AC">
        <w:t>to</w:t>
      </w:r>
      <w:r w:rsidR="00762E64">
        <w:t xml:space="preserve"> </w:t>
      </w:r>
      <w:r w:rsidR="00797133">
        <w:t>generation</w:t>
      </w:r>
      <w:r w:rsidR="00762E64">
        <w:t xml:space="preserve"> or </w:t>
      </w:r>
      <w:r w:rsidR="00797133">
        <w:t>network</w:t>
      </w:r>
      <w:r w:rsidR="00762E64">
        <w:t xml:space="preserve"> constraints</w:t>
      </w:r>
      <w:r w:rsidR="002111ED">
        <w:t xml:space="preserve">, as the case may </w:t>
      </w:r>
      <w:r w:rsidR="00797133">
        <w:t>be</w:t>
      </w:r>
      <w:r w:rsidR="002111ED">
        <w:t>,</w:t>
      </w:r>
      <w:r w:rsidR="007D5978">
        <w:t xml:space="preserve"> is higher</w:t>
      </w:r>
      <w:r>
        <w:t xml:space="preserve"> than all other hours</w:t>
      </w:r>
      <w:commentRangeEnd w:id="494"/>
      <w:r w:rsidR="008A1568">
        <w:rPr>
          <w:rStyle w:val="CommentReference"/>
          <w:rFonts w:eastAsiaTheme="minorHAnsi" w:cstheme="minorBidi"/>
          <w:color w:val="1C1C1C"/>
        </w:rPr>
        <w:commentReference w:id="494"/>
      </w:r>
      <w:r w:rsidR="00D605AC">
        <w:t>;</w:t>
      </w:r>
      <w:r w:rsidR="004A3377">
        <w:t xml:space="preserve"> and</w:t>
      </w:r>
    </w:p>
    <w:p w14:paraId="7C42FAA1" w14:textId="32A7CE53" w:rsidR="007D5978" w:rsidRDefault="000B54B5" w:rsidP="00EB1EBE">
      <w:pPr>
        <w:pStyle w:val="Heading5"/>
      </w:pPr>
      <w:r>
        <w:t>no</w:t>
      </w:r>
      <w:r w:rsidR="00D605AC">
        <w:t>t</w:t>
      </w:r>
      <w:r>
        <w:t xml:space="preserve"> more than five (5) hours of the same day </w:t>
      </w:r>
      <w:r w:rsidR="00D125E0">
        <w:t>shall be included in</w:t>
      </w:r>
      <w:r>
        <w:t xml:space="preserve"> the Critical Hours</w:t>
      </w:r>
      <w:r w:rsidR="007D5978">
        <w:t xml:space="preserve">. </w:t>
      </w:r>
    </w:p>
    <w:p w14:paraId="391A9B6A" w14:textId="7AAD1499" w:rsidR="00293F8F" w:rsidRDefault="00C2551B" w:rsidP="00C173D0">
      <w:pPr>
        <w:pStyle w:val="Heading3"/>
      </w:pPr>
      <w:r>
        <w:t>Step 2: D</w:t>
      </w:r>
      <w:r w:rsidR="00293F8F">
        <w:t xml:space="preserve">etermination of the </w:t>
      </w:r>
      <w:commentRangeStart w:id="495"/>
      <w:r w:rsidR="00D473BA">
        <w:t>Capacity</w:t>
      </w:r>
      <w:r w:rsidR="00293F8F">
        <w:t xml:space="preserve"> provided by Generators</w:t>
      </w:r>
      <w:commentRangeEnd w:id="495"/>
      <w:r w:rsidR="00DD67E1">
        <w:rPr>
          <w:rStyle w:val="CommentReference"/>
          <w:rFonts w:eastAsiaTheme="minorHAnsi" w:cstheme="minorBidi"/>
          <w:smallCaps w:val="0"/>
          <w:color w:val="1C1C1C"/>
        </w:rPr>
        <w:commentReference w:id="495"/>
      </w:r>
    </w:p>
    <w:p w14:paraId="2EBE1038" w14:textId="34AE8A73" w:rsidR="000B54B5" w:rsidRDefault="00D125E0" w:rsidP="005B295A">
      <w:pPr>
        <w:pStyle w:val="Heading4"/>
      </w:pPr>
      <w:r>
        <w:t xml:space="preserve">For the </w:t>
      </w:r>
      <w:r w:rsidRPr="0046412E">
        <w:t>Balancing Mechanism for Capacity</w:t>
      </w:r>
      <w:r>
        <w:t>,</w:t>
      </w:r>
      <w:r w:rsidRPr="0046412E">
        <w:t xml:space="preserve"> </w:t>
      </w:r>
      <w:r>
        <w:t>t</w:t>
      </w:r>
      <w:r w:rsidR="007D5978">
        <w:t xml:space="preserve">he </w:t>
      </w:r>
      <w:r w:rsidR="0046412E">
        <w:t>Capacity</w:t>
      </w:r>
      <w:r w:rsidR="007D5978">
        <w:t xml:space="preserve"> </w:t>
      </w:r>
      <w:r w:rsidR="000B54B5">
        <w:t xml:space="preserve">provided by </w:t>
      </w:r>
      <w:r w:rsidR="007D5978">
        <w:t xml:space="preserve">each </w:t>
      </w:r>
      <w:r w:rsidR="000B54B5">
        <w:t>G</w:t>
      </w:r>
      <w:r w:rsidR="007D5978">
        <w:t>enerat</w:t>
      </w:r>
      <w:r w:rsidR="00396F7F">
        <w:t>ion Unit</w:t>
      </w:r>
      <w:r>
        <w:t xml:space="preserve"> </w:t>
      </w:r>
      <w:r w:rsidRPr="0046412E">
        <w:t>(expressed</w:t>
      </w:r>
      <w:r>
        <w:t xml:space="preserve"> in MW-year)</w:t>
      </w:r>
      <w:r w:rsidR="007D5978">
        <w:t xml:space="preserve"> </w:t>
      </w:r>
      <w:r>
        <w:t xml:space="preserve">shall be equal </w:t>
      </w:r>
      <w:r w:rsidR="007D5978">
        <w:t xml:space="preserve">to the </w:t>
      </w:r>
      <w:r w:rsidR="000B54B5">
        <w:t xml:space="preserve">average </w:t>
      </w:r>
      <w:r w:rsidR="0046412E">
        <w:t>Capacity</w:t>
      </w:r>
      <w:r w:rsidR="007D5978" w:rsidRPr="0046412E">
        <w:t xml:space="preserve"> </w:t>
      </w:r>
      <w:r w:rsidR="000B54B5">
        <w:t>provided</w:t>
      </w:r>
      <w:r w:rsidR="007D5978" w:rsidRPr="0046412E">
        <w:t xml:space="preserve"> by such </w:t>
      </w:r>
      <w:r w:rsidR="000B54B5">
        <w:t>G</w:t>
      </w:r>
      <w:r w:rsidR="007D5978" w:rsidRPr="0046412E">
        <w:t xml:space="preserve">enerator to the </w:t>
      </w:r>
      <w:r>
        <w:t>Gird System</w:t>
      </w:r>
      <w:r w:rsidRPr="0046412E">
        <w:t xml:space="preserve"> </w:t>
      </w:r>
      <w:r w:rsidR="007D5978" w:rsidRPr="0046412E">
        <w:t xml:space="preserve">during the </w:t>
      </w:r>
      <w:bookmarkStart w:id="496" w:name="_Hlk66640526"/>
      <w:r w:rsidR="007D5978" w:rsidRPr="0046412E">
        <w:t>Critical Hours</w:t>
      </w:r>
      <w:bookmarkEnd w:id="496"/>
      <w:r w:rsidR="007D5978" w:rsidRPr="0046412E">
        <w:t xml:space="preserve">. </w:t>
      </w:r>
    </w:p>
    <w:p w14:paraId="4369C848" w14:textId="7A221B0F" w:rsidR="000B54B5" w:rsidRDefault="005C7F31" w:rsidP="005B295A">
      <w:pPr>
        <w:pStyle w:val="Heading4"/>
      </w:pPr>
      <w:bookmarkStart w:id="497" w:name="_Ref67484166"/>
      <w:r>
        <w:t>The System Operator shall determine, for each hour included in the Critical Hours, t</w:t>
      </w:r>
      <w:r w:rsidR="000B54B5">
        <w:t>he</w:t>
      </w:r>
      <w:r w:rsidR="007D5978" w:rsidRPr="0046412E">
        <w:t xml:space="preserve"> </w:t>
      </w:r>
      <w:r w:rsidR="0046412E">
        <w:t>Capacity</w:t>
      </w:r>
      <w:r w:rsidR="007D5978">
        <w:t xml:space="preserve"> </w:t>
      </w:r>
      <w:r w:rsidR="000B54B5">
        <w:t xml:space="preserve">provided by a </w:t>
      </w:r>
      <w:r w:rsidR="00396F7F">
        <w:t>Generation Unit</w:t>
      </w:r>
      <w:r w:rsidR="00233BD2">
        <w:t>,</w:t>
      </w:r>
      <w:r w:rsidR="000B54B5">
        <w:t xml:space="preserve"> </w:t>
      </w:r>
      <w:r w:rsidR="00233BD2">
        <w:t>after taking</w:t>
      </w:r>
      <w:r w:rsidR="00396F7F">
        <w:t xml:space="preserve"> due consideration</w:t>
      </w:r>
      <w:r w:rsidR="007D5978">
        <w:t xml:space="preserve"> of the </w:t>
      </w:r>
      <w:r w:rsidR="000B54B5">
        <w:t>type of</w:t>
      </w:r>
      <w:r w:rsidR="00396F7F">
        <w:t xml:space="preserve"> </w:t>
      </w:r>
      <w:r>
        <w:t>such unit as under</w:t>
      </w:r>
      <w:r w:rsidR="000B54B5">
        <w:t>:</w:t>
      </w:r>
      <w:bookmarkEnd w:id="497"/>
      <w:r w:rsidR="000B54B5">
        <w:t xml:space="preserve"> </w:t>
      </w:r>
    </w:p>
    <w:p w14:paraId="3F8B3D8A" w14:textId="3AB87988" w:rsidR="00126186" w:rsidRPr="007F49B7" w:rsidRDefault="00266399" w:rsidP="007F49B7">
      <w:pPr>
        <w:pStyle w:val="Heading5"/>
      </w:pPr>
      <w:bookmarkStart w:id="498" w:name="_Ref76905136"/>
      <w:r>
        <w:t>f</w:t>
      </w:r>
      <w:r w:rsidR="000B54B5" w:rsidRPr="007F49B7">
        <w:t xml:space="preserve">or </w:t>
      </w:r>
      <w:r w:rsidR="005C7F31">
        <w:t xml:space="preserve">an </w:t>
      </w:r>
      <w:r w:rsidR="00396F7F" w:rsidRPr="007F49B7">
        <w:t>ARE Generation Unit</w:t>
      </w:r>
      <w:r w:rsidR="005C7F31">
        <w:t xml:space="preserve"> </w:t>
      </w:r>
      <w:r w:rsidR="00396F7F" w:rsidRPr="007F49B7">
        <w:t xml:space="preserve">without storage, </w:t>
      </w:r>
      <w:r w:rsidR="005C7F31">
        <w:t xml:space="preserve">whose </w:t>
      </w:r>
      <w:r w:rsidR="007D5978">
        <w:t>production</w:t>
      </w:r>
      <w:r w:rsidR="005C7F31">
        <w:t xml:space="preserve"> of Energy</w:t>
      </w:r>
      <w:r w:rsidR="007D5978">
        <w:t xml:space="preserve"> </w:t>
      </w:r>
      <w:r w:rsidR="00396F7F" w:rsidRPr="007F49B7">
        <w:t xml:space="preserve">is </w:t>
      </w:r>
      <w:r w:rsidR="00DD1317" w:rsidRPr="007F49B7">
        <w:t>dependent</w:t>
      </w:r>
      <w:r w:rsidR="00396F7F" w:rsidRPr="007F49B7">
        <w:t xml:space="preserve"> on the </w:t>
      </w:r>
      <w:r w:rsidR="007D5978">
        <w:t xml:space="preserve">availability </w:t>
      </w:r>
      <w:r w:rsidR="00396F7F" w:rsidRPr="007F49B7">
        <w:t xml:space="preserve">of the primary energy resource, the Capacity provided </w:t>
      </w:r>
      <w:r w:rsidR="005C7F31">
        <w:t>shall</w:t>
      </w:r>
      <w:r w:rsidR="005C7F31" w:rsidRPr="007F49B7">
        <w:t xml:space="preserve"> </w:t>
      </w:r>
      <w:r w:rsidR="000B54B5" w:rsidRPr="007F49B7">
        <w:t>be equal to</w:t>
      </w:r>
      <w:r w:rsidR="00126186" w:rsidRPr="007F49B7">
        <w:t>:</w:t>
      </w:r>
      <w:bookmarkEnd w:id="498"/>
    </w:p>
    <w:p w14:paraId="6ADDA9ED" w14:textId="766D45B2" w:rsidR="007D5978" w:rsidRDefault="00233BD2" w:rsidP="00CF7164">
      <w:pPr>
        <w:pStyle w:val="Heading6"/>
      </w:pPr>
      <w:r>
        <w:t>t</w:t>
      </w:r>
      <w:r w:rsidR="000B54B5">
        <w:t xml:space="preserve">he </w:t>
      </w:r>
      <w:r w:rsidR="00396F7F">
        <w:t xml:space="preserve">Energy </w:t>
      </w:r>
      <w:r w:rsidR="005C7F31">
        <w:t xml:space="preserve">injected into the Grid System </w:t>
      </w:r>
      <w:r w:rsidR="00396F7F">
        <w:t>by such Generation Unit</w:t>
      </w:r>
      <w:r w:rsidR="007D5978">
        <w:t xml:space="preserve"> during the </w:t>
      </w:r>
      <w:r w:rsidR="000B54B5">
        <w:t>hour</w:t>
      </w:r>
      <w:r w:rsidR="00126186">
        <w:t>; plus</w:t>
      </w:r>
      <w:r w:rsidR="007D5978">
        <w:t xml:space="preserve"> </w:t>
      </w:r>
    </w:p>
    <w:p w14:paraId="4C3540E8" w14:textId="502B9CF4" w:rsidR="000B54B5" w:rsidRDefault="00233BD2" w:rsidP="00CF7164">
      <w:pPr>
        <w:pStyle w:val="Heading6"/>
      </w:pPr>
      <w:r>
        <w:t xml:space="preserve">such quantity of </w:t>
      </w:r>
      <w:r w:rsidR="00126186">
        <w:t xml:space="preserve">Energy that such Generation Unit </w:t>
      </w:r>
      <w:r>
        <w:t xml:space="preserve">would have </w:t>
      </w:r>
      <w:r w:rsidR="005C7F31">
        <w:t>inject</w:t>
      </w:r>
      <w:r>
        <w:t>ed</w:t>
      </w:r>
      <w:r w:rsidR="005C7F31">
        <w:t xml:space="preserve"> into the Grid System </w:t>
      </w:r>
      <w:r w:rsidR="00126186">
        <w:t xml:space="preserve">during the hour, </w:t>
      </w:r>
      <w:r w:rsidR="001119F9">
        <w:t xml:space="preserve">but could not be injected due to </w:t>
      </w:r>
      <w:r w:rsidR="00D775F2">
        <w:t>grid failure or curtailment instructed by</w:t>
      </w:r>
      <w:r w:rsidR="001119F9">
        <w:t xml:space="preserve"> t</w:t>
      </w:r>
      <w:r w:rsidR="00126186">
        <w:t>he System Operator</w:t>
      </w:r>
      <w:r w:rsidR="002111ED">
        <w:t xml:space="preserve"> or the DISCO</w:t>
      </w:r>
      <w:r w:rsidR="00126186">
        <w:t xml:space="preserve"> </w:t>
      </w:r>
      <w:r w:rsidR="001119F9">
        <w:t xml:space="preserve">for </w:t>
      </w:r>
      <w:r w:rsidR="00126186">
        <w:t>disconnect</w:t>
      </w:r>
      <w:r w:rsidR="001119F9">
        <w:t>ion</w:t>
      </w:r>
      <w:r w:rsidR="00126186">
        <w:t xml:space="preserve"> or reduc</w:t>
      </w:r>
      <w:r w:rsidR="001119F9">
        <w:t>tion of</w:t>
      </w:r>
      <w:r w:rsidR="00126186">
        <w:t xml:space="preserve"> </w:t>
      </w:r>
      <w:r w:rsidR="005C7F31">
        <w:t>Energy generation</w:t>
      </w:r>
      <w:r w:rsidR="00126186">
        <w:t xml:space="preserve">, </w:t>
      </w:r>
      <w:r w:rsidR="001119F9">
        <w:t>on account of</w:t>
      </w:r>
      <w:r w:rsidR="00126186">
        <w:t xml:space="preserve"> Congestion or</w:t>
      </w:r>
      <w:r w:rsidR="005C7F31">
        <w:t xml:space="preserve"> </w:t>
      </w:r>
      <w:r w:rsidR="00126186">
        <w:lastRenderedPageBreak/>
        <w:t>provision of Ancillary Services</w:t>
      </w:r>
      <w:r w:rsidR="001119F9">
        <w:t>,</w:t>
      </w:r>
      <w:r w:rsidR="00D775F2">
        <w:t xml:space="preserve"> </w:t>
      </w:r>
      <w:r w:rsidR="005C7F31">
        <w:t xml:space="preserve">which shall </w:t>
      </w:r>
      <w:r w:rsidR="001119F9">
        <w:t xml:space="preserve">equal to </w:t>
      </w:r>
      <w:r w:rsidR="005C7F31">
        <w:t>the Energy forecasted by the System Operator for the relevant hour</w:t>
      </w:r>
      <w:r w:rsidR="00126186">
        <w:t xml:space="preserve">. </w:t>
      </w:r>
    </w:p>
    <w:p w14:paraId="4CDDEF56" w14:textId="696D9DD4" w:rsidR="007D5978" w:rsidRDefault="00266399" w:rsidP="00B03234">
      <w:pPr>
        <w:pStyle w:val="Heading5"/>
      </w:pPr>
      <w:bookmarkStart w:id="499" w:name="_Ref68783062"/>
      <w:r>
        <w:t>f</w:t>
      </w:r>
      <w:r w:rsidR="000B54B5" w:rsidRPr="007F49B7">
        <w:t xml:space="preserve">or </w:t>
      </w:r>
      <w:r w:rsidR="001119F9">
        <w:t>N</w:t>
      </w:r>
      <w:r w:rsidR="000B54B5" w:rsidRPr="007F49B7">
        <w:t xml:space="preserve">on-Energy </w:t>
      </w:r>
      <w:r w:rsidR="00126186" w:rsidRPr="007F49B7">
        <w:t>L</w:t>
      </w:r>
      <w:r w:rsidR="000B54B5" w:rsidRPr="007F49B7">
        <w:t xml:space="preserve">imited </w:t>
      </w:r>
      <w:r w:rsidR="00126186" w:rsidRPr="007F49B7">
        <w:t>Generation Units</w:t>
      </w:r>
      <w:r w:rsidR="005C7F31">
        <w:t>,</w:t>
      </w:r>
      <w:r w:rsidR="001119F9">
        <w:t xml:space="preserve"> </w:t>
      </w:r>
      <w:r w:rsidR="00126186" w:rsidRPr="007F49B7">
        <w:t xml:space="preserve"> the Capacity provided</w:t>
      </w:r>
      <w:r w:rsidR="007D5978">
        <w:t xml:space="preserve"> </w:t>
      </w:r>
      <w:r w:rsidR="005C7F31">
        <w:t xml:space="preserve">shall </w:t>
      </w:r>
      <w:r w:rsidR="007D5978">
        <w:t xml:space="preserve">be equal to the </w:t>
      </w:r>
      <w:r w:rsidR="00867053" w:rsidRPr="007F49B7">
        <w:t xml:space="preserve">Available Capacity of the Generation Unit during the hour, </w:t>
      </w:r>
      <w:r w:rsidR="004F5618">
        <w:t xml:space="preserve">as informed </w:t>
      </w:r>
      <w:r w:rsidR="007D5978">
        <w:t xml:space="preserve">by </w:t>
      </w:r>
      <w:r w:rsidR="00867053" w:rsidRPr="007F49B7">
        <w:t xml:space="preserve">the </w:t>
      </w:r>
      <w:r w:rsidR="004F5618">
        <w:t>concerned</w:t>
      </w:r>
      <w:r w:rsidR="004F5618" w:rsidRPr="007F49B7">
        <w:t xml:space="preserve"> </w:t>
      </w:r>
      <w:r w:rsidR="004F5618">
        <w:t xml:space="preserve">Market Participant </w:t>
      </w:r>
      <w:r w:rsidR="007D5978">
        <w:t xml:space="preserve">to the System Operator </w:t>
      </w:r>
      <w:r w:rsidR="004F5618">
        <w:t>according to the provisions of the Grid Code</w:t>
      </w:r>
      <w:r w:rsidR="00932A5C">
        <w:t xml:space="preserve"> such as thermal power plants</w:t>
      </w:r>
      <w:r w:rsidR="007D5978">
        <w:t>;</w:t>
      </w:r>
      <w:bookmarkEnd w:id="499"/>
      <w:r w:rsidR="007D5978">
        <w:t xml:space="preserve"> </w:t>
      </w:r>
    </w:p>
    <w:p w14:paraId="7933830A" w14:textId="5BC58F27" w:rsidR="007D5978" w:rsidRDefault="007D5978" w:rsidP="00B03C4A">
      <w:pPr>
        <w:pStyle w:val="Heading5"/>
      </w:pPr>
      <w:r>
        <w:t xml:space="preserve">For </w:t>
      </w:r>
      <w:r w:rsidR="0046412E">
        <w:t>Energy</w:t>
      </w:r>
      <w:r>
        <w:t xml:space="preserve"> </w:t>
      </w:r>
      <w:r w:rsidR="00867053" w:rsidRPr="007F49B7">
        <w:t>L</w:t>
      </w:r>
      <w:r w:rsidR="000B54B5" w:rsidRPr="007F49B7">
        <w:t xml:space="preserve">imited </w:t>
      </w:r>
      <w:r w:rsidR="0012055E" w:rsidRPr="00336AD9">
        <w:t>Generation</w:t>
      </w:r>
      <w:r w:rsidR="0012055E" w:rsidRPr="007F49B7">
        <w:t xml:space="preserve"> Units</w:t>
      </w:r>
      <w:r w:rsidR="00932A5C">
        <w:t xml:space="preserve"> as defined below</w:t>
      </w:r>
      <w:r w:rsidR="004F5618">
        <w:t>,</w:t>
      </w:r>
      <w:r w:rsidR="000B54B5" w:rsidRPr="007F49B7">
        <w:t xml:space="preserve"> </w:t>
      </w:r>
      <w:r w:rsidR="00867053" w:rsidRPr="007F49B7">
        <w:t xml:space="preserve">the Capacity provided during the hour </w:t>
      </w:r>
      <w:r w:rsidR="009338A8" w:rsidRPr="007F49B7">
        <w:t>shall be calculated</w:t>
      </w:r>
      <w:r w:rsidR="00932A5C">
        <w:t xml:space="preserve"> as provided below</w:t>
      </w:r>
      <w:r w:rsidR="009338A8" w:rsidRPr="007F49B7">
        <w:t xml:space="preserve"> depending</w:t>
      </w:r>
      <w:r>
        <w:t xml:space="preserve"> on the </w:t>
      </w:r>
      <w:r w:rsidR="004F5618">
        <w:t xml:space="preserve">quantity </w:t>
      </w:r>
      <w:r>
        <w:t xml:space="preserve">of </w:t>
      </w:r>
      <w:r w:rsidR="009338A8" w:rsidRPr="007F49B7">
        <w:t>primary energy stored</w:t>
      </w:r>
      <w:r w:rsidR="00932A5C">
        <w:t>;</w:t>
      </w:r>
    </w:p>
    <w:p w14:paraId="48371DCE" w14:textId="1E464574" w:rsidR="007D5978" w:rsidRDefault="007D5978" w:rsidP="00CF7164">
      <w:pPr>
        <w:pStyle w:val="Heading6"/>
      </w:pPr>
      <w:r>
        <w:t xml:space="preserve">In case </w:t>
      </w:r>
      <w:r w:rsidR="0012055E">
        <w:t xml:space="preserve">the primary energy stored </w:t>
      </w:r>
      <w:r w:rsidR="00932A5C">
        <w:t xml:space="preserve">during </w:t>
      </w:r>
      <w:r w:rsidR="0012055E">
        <w:t xml:space="preserve">the </w:t>
      </w:r>
      <w:r w:rsidR="00932A5C">
        <w:t xml:space="preserve">relevant </w:t>
      </w:r>
      <w:r w:rsidR="0012055E">
        <w:t xml:space="preserve">hour would be enough for operating the Generation Plant </w:t>
      </w:r>
      <w:r w:rsidR="007F49B7">
        <w:t xml:space="preserve">at its Installed Capacity for at least ninety-six (96 hours), the Generation Unit shall be considered as a </w:t>
      </w:r>
      <w:r w:rsidR="00932A5C">
        <w:t>N</w:t>
      </w:r>
      <w:r w:rsidR="007F49B7">
        <w:t xml:space="preserve">on-Energy Limited Generation Unit and the Capacity </w:t>
      </w:r>
      <w:r w:rsidR="004F5618">
        <w:t>p</w:t>
      </w:r>
      <w:r w:rsidR="007F49B7">
        <w:t>rovided shall be calculated as per paragraph</w:t>
      </w:r>
      <w:r w:rsidR="00DC7D1E">
        <w:t xml:space="preserve"> </w:t>
      </w:r>
      <w:r w:rsidR="00DC7D1E">
        <w:fldChar w:fldCharType="begin"/>
      </w:r>
      <w:r w:rsidR="00DC7D1E">
        <w:instrText xml:space="preserve"> REF _Ref68783062 \r \h </w:instrText>
      </w:r>
      <w:r w:rsidR="00DC7D1E">
        <w:fldChar w:fldCharType="separate"/>
      </w:r>
      <w:r w:rsidR="00251DBF">
        <w:t>b)</w:t>
      </w:r>
      <w:r w:rsidR="00DC7D1E">
        <w:fldChar w:fldCharType="end"/>
      </w:r>
      <w:r w:rsidR="007F49B7">
        <w:t xml:space="preserve"> above</w:t>
      </w:r>
      <w:r w:rsidR="00932A5C">
        <w:t xml:space="preserve"> such as Hydro plant with large reservoirs as well</w:t>
      </w:r>
      <w:r w:rsidR="00B14200">
        <w:t xml:space="preserve"> wind and solar having similar storage capacity</w:t>
      </w:r>
      <w:r w:rsidR="007F49B7">
        <w:t xml:space="preserve">. </w:t>
      </w:r>
    </w:p>
    <w:p w14:paraId="7C2FF0BA" w14:textId="310FC293" w:rsidR="007D5978" w:rsidRDefault="007D5978" w:rsidP="00CF7164">
      <w:pPr>
        <w:pStyle w:val="Heading6"/>
      </w:pPr>
      <w:r>
        <w:t xml:space="preserve">In case </w:t>
      </w:r>
      <w:r w:rsidR="007F49B7">
        <w:t xml:space="preserve">the primary energy stored at the </w:t>
      </w:r>
      <w:r w:rsidR="00932A5C">
        <w:t xml:space="preserve">relevant </w:t>
      </w:r>
      <w:r w:rsidR="007F49B7">
        <w:t>hour would not</w:t>
      </w:r>
      <w:r>
        <w:t xml:space="preserve"> be </w:t>
      </w:r>
      <w:r w:rsidR="007F49B7">
        <w:t>enough</w:t>
      </w:r>
      <w:r>
        <w:t xml:space="preserve"> for </w:t>
      </w:r>
      <w:r w:rsidR="007F49B7">
        <w:t>operating</w:t>
      </w:r>
      <w:r>
        <w:t xml:space="preserve"> the </w:t>
      </w:r>
      <w:r w:rsidR="007F49B7">
        <w:t>Generation Plant at its Installed Capacity for at least ninety-six (96 hours),</w:t>
      </w:r>
      <w:r>
        <w:t xml:space="preserve"> the </w:t>
      </w:r>
      <w:r w:rsidR="007F49B7">
        <w:t xml:space="preserve">Capacity provided </w:t>
      </w:r>
      <w:r w:rsidR="004F5618">
        <w:t xml:space="preserve">shall be calculated as per Paragraph </w:t>
      </w:r>
      <w:r w:rsidR="00B14200" w:rsidRPr="00B03C4A">
        <w:fldChar w:fldCharType="begin"/>
      </w:r>
      <w:r w:rsidR="00B14200" w:rsidRPr="00B03C4A">
        <w:instrText xml:space="preserve"> REF _Ref76905136 \w \h </w:instrText>
      </w:r>
      <w:r w:rsidR="00B14200">
        <w:instrText xml:space="preserve"> \* MERGEFORMAT </w:instrText>
      </w:r>
      <w:r w:rsidR="00B14200" w:rsidRPr="00B03C4A">
        <w:fldChar w:fldCharType="separate"/>
      </w:r>
      <w:r w:rsidR="00B14200" w:rsidRPr="00B03C4A">
        <w:t>10.2.2.2.a)</w:t>
      </w:r>
      <w:r w:rsidR="00B14200" w:rsidRPr="00B03C4A">
        <w:fldChar w:fldCharType="end"/>
      </w:r>
      <w:r w:rsidR="004F5618" w:rsidRPr="00B14200">
        <w:t xml:space="preserve"> a</w:t>
      </w:r>
      <w:r w:rsidR="004F5618">
        <w:t>bove</w:t>
      </w:r>
      <w:r w:rsidR="00932A5C">
        <w:t xml:space="preserve"> such as run of river hydro plants</w:t>
      </w:r>
      <w:r w:rsidR="00B14200">
        <w:t xml:space="preserve"> or wind and solar plants with very limited storage capacity</w:t>
      </w:r>
      <w:r>
        <w:t>.</w:t>
      </w:r>
    </w:p>
    <w:p w14:paraId="19B5E5EE" w14:textId="093A1147" w:rsidR="000B54B5" w:rsidRPr="007F49B7" w:rsidRDefault="00266399" w:rsidP="007F49B7">
      <w:pPr>
        <w:pStyle w:val="Heading5"/>
      </w:pPr>
      <w:r>
        <w:t>f</w:t>
      </w:r>
      <w:r w:rsidR="000B54B5" w:rsidRPr="007F49B7">
        <w:t xml:space="preserve">or </w:t>
      </w:r>
      <w:r w:rsidR="007F49B7">
        <w:t>I</w:t>
      </w:r>
      <w:r w:rsidR="000B54B5" w:rsidRPr="007F49B7">
        <w:t>mport</w:t>
      </w:r>
      <w:r w:rsidR="007F49B7">
        <w:t>s</w:t>
      </w:r>
      <w:r w:rsidR="004F5618">
        <w:t>,</w:t>
      </w:r>
      <w:r w:rsidR="007F49B7">
        <w:t xml:space="preserve"> the Capacity provided shall be equal to the</w:t>
      </w:r>
      <w:r w:rsidR="00894904">
        <w:t xml:space="preserve"> Capacity</w:t>
      </w:r>
      <w:r w:rsidR="007F49B7">
        <w:t xml:space="preserve"> determined by the System Operator taking due consideration of the nature of the </w:t>
      </w:r>
      <w:r w:rsidR="004F5618">
        <w:t xml:space="preserve">Import </w:t>
      </w:r>
      <w:r w:rsidR="007F49B7">
        <w:t xml:space="preserve">Contract, which shall not be lower than the actual Import during the corresponding hour. </w:t>
      </w:r>
    </w:p>
    <w:p w14:paraId="563300A3" w14:textId="0797ACCE" w:rsidR="007D5978" w:rsidRDefault="004F5618" w:rsidP="005B295A">
      <w:pPr>
        <w:pStyle w:val="Heading4"/>
      </w:pPr>
      <w:r>
        <w:t>Within eighteen [18] months</w:t>
      </w:r>
      <w:r w:rsidR="00FA1960">
        <w:t xml:space="preserve"> after the approval of this Code, </w:t>
      </w:r>
      <w:r>
        <w:t xml:space="preserve"> </w:t>
      </w:r>
      <w:r w:rsidR="00FA1960">
        <w:t>t</w:t>
      </w:r>
      <w:r w:rsidR="0029621D" w:rsidRPr="0029621D">
        <w:t>he System Operator shall</w:t>
      </w:r>
      <w:r w:rsidR="00263B9E">
        <w:t>, in collaboration with the Market Operator,</w:t>
      </w:r>
      <w:r w:rsidR="0029621D" w:rsidRPr="0029621D">
        <w:t xml:space="preserve"> </w:t>
      </w:r>
      <w:r w:rsidR="00263B9E">
        <w:t>make</w:t>
      </w:r>
      <w:r w:rsidR="00263B9E" w:rsidRPr="0029621D">
        <w:t xml:space="preserve"> </w:t>
      </w:r>
      <w:r w:rsidR="0029621D" w:rsidRPr="0029621D">
        <w:t xml:space="preserve">a </w:t>
      </w:r>
      <w:r w:rsidR="002F19B7">
        <w:t>CCOP</w:t>
      </w:r>
      <w:r w:rsidR="0029621D" w:rsidRPr="0029621D">
        <w:t xml:space="preserve"> </w:t>
      </w:r>
      <w:r>
        <w:t>describing</w:t>
      </w:r>
      <w:r w:rsidRPr="0029621D">
        <w:t xml:space="preserve"> </w:t>
      </w:r>
      <w:r w:rsidR="0029621D" w:rsidRPr="0029621D">
        <w:t xml:space="preserve">the detailed methodology for implementing the calculations indicated in Clause </w:t>
      </w:r>
      <w:r w:rsidR="0029621D" w:rsidRPr="0029621D">
        <w:fldChar w:fldCharType="begin"/>
      </w:r>
      <w:r w:rsidR="0029621D" w:rsidRPr="0029621D">
        <w:instrText xml:space="preserve"> REF _Ref67484166 \r \h </w:instrText>
      </w:r>
      <w:r w:rsidR="0029621D">
        <w:instrText xml:space="preserve"> \* MERGEFORMAT </w:instrText>
      </w:r>
      <w:r w:rsidR="0029621D" w:rsidRPr="0029621D">
        <w:fldChar w:fldCharType="separate"/>
      </w:r>
      <w:r w:rsidR="00251DBF">
        <w:t>10.2.2.2</w:t>
      </w:r>
      <w:r w:rsidR="0029621D" w:rsidRPr="0029621D">
        <w:fldChar w:fldCharType="end"/>
      </w:r>
      <w:r w:rsidR="0029621D" w:rsidRPr="0029621D">
        <w:t xml:space="preserve">. Such methodology shall take due consideration of: </w:t>
      </w:r>
    </w:p>
    <w:p w14:paraId="7DAC4ACC" w14:textId="6D4ADAF6" w:rsidR="007D5978" w:rsidRDefault="0029621D" w:rsidP="00B03234">
      <w:pPr>
        <w:pStyle w:val="Heading5"/>
      </w:pPr>
      <w:r w:rsidRPr="0029621D">
        <w:t>Generation Units m</w:t>
      </w:r>
      <w:r w:rsidR="007D5978" w:rsidRPr="0029621D">
        <w:t xml:space="preserve">aintenance </w:t>
      </w:r>
      <w:r w:rsidRPr="0029621D">
        <w:t>plans and eventual modifications of such plan, instructed by the System Operator;</w:t>
      </w:r>
    </w:p>
    <w:p w14:paraId="55BE6F4A" w14:textId="3D4F279B" w:rsidR="007D5978" w:rsidRDefault="007D5978" w:rsidP="00B03234">
      <w:pPr>
        <w:pStyle w:val="Heading5"/>
      </w:pPr>
      <w:r>
        <w:t xml:space="preserve">Availability </w:t>
      </w:r>
      <w:r w:rsidR="000D45A2">
        <w:t>D</w:t>
      </w:r>
      <w:r>
        <w:t xml:space="preserve">eclarations of each </w:t>
      </w:r>
      <w:r w:rsidR="0029621D" w:rsidRPr="0029621D">
        <w:t>Generation Plant or Generation Unit,</w:t>
      </w:r>
      <w:r>
        <w:t xml:space="preserve"> as </w:t>
      </w:r>
      <w:r w:rsidR="00FA1960">
        <w:t>the case may be</w:t>
      </w:r>
      <w:r w:rsidR="0029621D" w:rsidRPr="0029621D">
        <w:t>,</w:t>
      </w:r>
      <w:r>
        <w:t xml:space="preserve"> and </w:t>
      </w:r>
      <w:r w:rsidR="0029621D" w:rsidRPr="0029621D">
        <w:t xml:space="preserve">eventual </w:t>
      </w:r>
      <w:r>
        <w:t>changes</w:t>
      </w:r>
      <w:r w:rsidR="0029621D" w:rsidRPr="0029621D">
        <w:t xml:space="preserve"> to such declarations</w:t>
      </w:r>
      <w:r>
        <w:t xml:space="preserve"> informed by the </w:t>
      </w:r>
      <w:r w:rsidR="00FA1960">
        <w:t xml:space="preserve">Generators or other Market Participants </w:t>
      </w:r>
      <w:r>
        <w:t xml:space="preserve">during </w:t>
      </w:r>
      <w:r w:rsidR="0029621D" w:rsidRPr="0029621D">
        <w:t xml:space="preserve">real time operations; </w:t>
      </w:r>
    </w:p>
    <w:p w14:paraId="05C05B67" w14:textId="036BA542" w:rsidR="007D5978" w:rsidRDefault="00266399" w:rsidP="00B03234">
      <w:pPr>
        <w:pStyle w:val="Heading5"/>
      </w:pPr>
      <w:r>
        <w:t>t</w:t>
      </w:r>
      <w:r w:rsidR="0029621D" w:rsidRPr="0029621D">
        <w:t>he results of t</w:t>
      </w:r>
      <w:r w:rsidR="007D5978" w:rsidRPr="0029621D">
        <w:t xml:space="preserve">ests </w:t>
      </w:r>
      <w:r w:rsidR="0029621D" w:rsidRPr="0029621D">
        <w:t xml:space="preserve">performed or instructed by the System Operator to verify the Availability </w:t>
      </w:r>
      <w:r w:rsidR="000D45A2">
        <w:t>D</w:t>
      </w:r>
      <w:r w:rsidR="0029621D" w:rsidRPr="0029621D">
        <w:t xml:space="preserve">eclarations </w:t>
      </w:r>
      <w:r w:rsidR="00FA1960">
        <w:t xml:space="preserve">submitted </w:t>
      </w:r>
      <w:r w:rsidR="0029621D" w:rsidRPr="0029621D">
        <w:t xml:space="preserve">by the </w:t>
      </w:r>
      <w:r w:rsidR="00FA1960">
        <w:t>Generators or other Market Participants</w:t>
      </w:r>
      <w:r w:rsidR="0029621D" w:rsidRPr="0029621D">
        <w:t>, including</w:t>
      </w:r>
      <w:r w:rsidR="007D5978" w:rsidRPr="0029621D">
        <w:t xml:space="preserve"> </w:t>
      </w:r>
      <w:r w:rsidR="0029621D" w:rsidRPr="0029621D">
        <w:t xml:space="preserve">compliance with </w:t>
      </w:r>
      <w:r w:rsidR="007D5978" w:rsidRPr="0029621D">
        <w:t>instruct</w:t>
      </w:r>
      <w:r w:rsidR="0029621D" w:rsidRPr="0029621D">
        <w:t>ions of start-up, synchronizing and production of Energy</w:t>
      </w:r>
      <w:r w:rsidR="007D5978" w:rsidRPr="0029621D">
        <w:t>;</w:t>
      </w:r>
    </w:p>
    <w:p w14:paraId="62BE1ADE" w14:textId="603D4AA3" w:rsidR="0029621D" w:rsidRPr="0029621D" w:rsidRDefault="00266399" w:rsidP="00B03234">
      <w:pPr>
        <w:pStyle w:val="Heading5"/>
      </w:pPr>
      <w:r>
        <w:t>t</w:t>
      </w:r>
      <w:r w:rsidR="0029621D" w:rsidRPr="0029621D">
        <w:t xml:space="preserve">he results of audits, performed by the System Operator, aimed to verify the appropriateness of the Availability </w:t>
      </w:r>
      <w:r w:rsidR="000D45A2">
        <w:t>D</w:t>
      </w:r>
      <w:r w:rsidR="0029621D" w:rsidRPr="0029621D">
        <w:t xml:space="preserve">eclarations </w:t>
      </w:r>
      <w:r w:rsidR="00FA1960">
        <w:t xml:space="preserve">submitted </w:t>
      </w:r>
      <w:r w:rsidR="0029621D" w:rsidRPr="0029621D">
        <w:t>by the</w:t>
      </w:r>
      <w:r w:rsidR="00FA1960">
        <w:t xml:space="preserve"> Generators or other</w:t>
      </w:r>
      <w:r w:rsidR="0029621D" w:rsidRPr="0029621D">
        <w:t xml:space="preserve"> </w:t>
      </w:r>
      <w:r w:rsidR="00FA1960">
        <w:t>Market Participants</w:t>
      </w:r>
      <w:r w:rsidR="0029621D" w:rsidRPr="0029621D">
        <w:t xml:space="preserve">. </w:t>
      </w:r>
    </w:p>
    <w:p w14:paraId="578A4713" w14:textId="15708A7E" w:rsidR="0029621D" w:rsidRPr="0096353B" w:rsidRDefault="0029621D" w:rsidP="005B295A">
      <w:pPr>
        <w:pStyle w:val="Heading4"/>
      </w:pPr>
      <w:r w:rsidRPr="0046412E">
        <w:t>Th</w:t>
      </w:r>
      <w:r>
        <w:t>e</w:t>
      </w:r>
      <w:r w:rsidRPr="0046412E">
        <w:t xml:space="preserve"> </w:t>
      </w:r>
      <w:r>
        <w:t>Capacity provided by each Generation Unit</w:t>
      </w:r>
      <w:r w:rsidR="00FA1960">
        <w:t>,</w:t>
      </w:r>
      <w:r>
        <w:t xml:space="preserve"> </w:t>
      </w:r>
      <w:r w:rsidR="00FA1960">
        <w:t xml:space="preserve">for </w:t>
      </w:r>
      <w:r>
        <w:t xml:space="preserve">each hour </w:t>
      </w:r>
      <w:r w:rsidR="00FA1960">
        <w:t>included in</w:t>
      </w:r>
      <w:r>
        <w:t xml:space="preserve"> the Critical Hours, shall be determined by the System Operator within fifteen (15) Business Days immediately after the end of each Calendar Year</w:t>
      </w:r>
      <w:r w:rsidR="00FA1960">
        <w:t xml:space="preserve"> and provide such information to the Market Operator</w:t>
      </w:r>
      <w:r>
        <w:t>.</w:t>
      </w:r>
      <w:r w:rsidRPr="0096353B">
        <w:t xml:space="preserve"> </w:t>
      </w:r>
    </w:p>
    <w:p w14:paraId="0E945FF4" w14:textId="12A92745" w:rsidR="00DD1317" w:rsidRDefault="007D5978" w:rsidP="007D5978">
      <w:pPr>
        <w:pStyle w:val="Heading3"/>
      </w:pPr>
      <w:bookmarkStart w:id="500" w:name="_Toc47017044"/>
      <w:r>
        <w:lastRenderedPageBreak/>
        <w:t xml:space="preserve">Step 3: </w:t>
      </w:r>
      <w:r w:rsidR="00DD1317">
        <w:t>Capacity Credited to Market Participants</w:t>
      </w:r>
    </w:p>
    <w:p w14:paraId="375EB28C" w14:textId="1202575F" w:rsidR="007D0B05" w:rsidRDefault="007D0B05" w:rsidP="005B295A">
      <w:pPr>
        <w:pStyle w:val="Heading4"/>
      </w:pPr>
      <w:r>
        <w:t xml:space="preserve">The Market Operator shall </w:t>
      </w:r>
      <w:r w:rsidR="00ED7637">
        <w:t xml:space="preserve">credit </w:t>
      </w:r>
      <w:r>
        <w:t>the Capacity provided by each Generation Unit</w:t>
      </w:r>
      <w:r w:rsidR="00D80D3C">
        <w:t>,</w:t>
      </w:r>
      <w:r>
        <w:t xml:space="preserve"> for each of the hour</w:t>
      </w:r>
      <w:r w:rsidR="00D80D3C">
        <w:t>s</w:t>
      </w:r>
      <w:r>
        <w:t xml:space="preserve"> </w:t>
      </w:r>
      <w:r w:rsidR="00D80D3C">
        <w:t>included in the</w:t>
      </w:r>
      <w:r>
        <w:t xml:space="preserve"> Critical Hours</w:t>
      </w:r>
      <w:r w:rsidR="00D80D3C">
        <w:t>,</w:t>
      </w:r>
      <w:r>
        <w:t xml:space="preserve"> to the</w:t>
      </w:r>
      <w:r w:rsidR="00ED7637">
        <w:t xml:space="preserve"> relevant</w:t>
      </w:r>
      <w:r>
        <w:t xml:space="preserve"> Market Participants </w:t>
      </w:r>
      <w:r w:rsidR="00ED7637">
        <w:t xml:space="preserve">by considering </w:t>
      </w:r>
      <w:r>
        <w:t>the information contained in the Contract</w:t>
      </w:r>
      <w:r w:rsidR="00ED7637">
        <w:t xml:space="preserve"> Register</w:t>
      </w:r>
      <w:r>
        <w:t xml:space="preserve"> </w:t>
      </w:r>
      <w:r w:rsidR="00ED7637">
        <w:t>as well as the</w:t>
      </w:r>
      <w:r>
        <w:t xml:space="preserve"> Firm Capacity Register. </w:t>
      </w:r>
    </w:p>
    <w:p w14:paraId="2701D68C" w14:textId="3AB7BB62" w:rsidR="00B63C56" w:rsidRDefault="00B63C56" w:rsidP="005B295A">
      <w:pPr>
        <w:pStyle w:val="Heading4"/>
      </w:pPr>
      <w:bookmarkStart w:id="501" w:name="_Ref68042371"/>
      <w:r>
        <w:t xml:space="preserve">The </w:t>
      </w:r>
      <w:r w:rsidR="00ED7637">
        <w:t>crediting</w:t>
      </w:r>
      <w:r w:rsidR="00D367C6">
        <w:t xml:space="preserve"> of</w:t>
      </w:r>
      <w:r w:rsidR="00ED7637">
        <w:t xml:space="preserve"> the</w:t>
      </w:r>
      <w:r w:rsidR="00D367C6">
        <w:t xml:space="preserve"> Capacity</w:t>
      </w:r>
      <w:r w:rsidR="00D80D3C">
        <w:t xml:space="preserve"> </w:t>
      </w:r>
      <w:r>
        <w:t>shall be done in the following way:</w:t>
      </w:r>
      <w:bookmarkEnd w:id="501"/>
    </w:p>
    <w:p w14:paraId="5D8FBE26" w14:textId="1C511C34" w:rsidR="00DD1317" w:rsidRDefault="00266399" w:rsidP="00320295">
      <w:pPr>
        <w:pStyle w:val="Heading5"/>
      </w:pPr>
      <w:bookmarkStart w:id="502" w:name="_Ref68042144"/>
      <w:r>
        <w:t>w</w:t>
      </w:r>
      <w:r w:rsidR="00D80D3C">
        <w:t>here</w:t>
      </w:r>
      <w:r w:rsidR="00320295">
        <w:t xml:space="preserve"> </w:t>
      </w:r>
      <w:r w:rsidR="006F588F">
        <w:t xml:space="preserve">a </w:t>
      </w:r>
      <w:r w:rsidR="00320295">
        <w:t>Generator which owns the Generation Unit</w:t>
      </w:r>
      <w:r w:rsidR="00B525E5">
        <w:t xml:space="preserve">, or </w:t>
      </w:r>
      <w:r w:rsidR="006F588F">
        <w:t>a</w:t>
      </w:r>
      <w:r w:rsidR="00BF564D">
        <w:t>n</w:t>
      </w:r>
      <w:r w:rsidR="006F588F">
        <w:t xml:space="preserve"> </w:t>
      </w:r>
      <w:r w:rsidR="00BF564D">
        <w:t>Electric Power Trader</w:t>
      </w:r>
      <w:r w:rsidR="00B525E5">
        <w:t xml:space="preserve"> representing </w:t>
      </w:r>
      <w:r w:rsidR="00D80D3C">
        <w:t xml:space="preserve">the </w:t>
      </w:r>
      <w:r w:rsidR="00B525E5">
        <w:t>Generator,</w:t>
      </w:r>
      <w:r w:rsidR="00320295">
        <w:t xml:space="preserve"> has not register</w:t>
      </w:r>
      <w:r w:rsidR="007B4DF5">
        <w:t>ed</w:t>
      </w:r>
      <w:r w:rsidR="00320295">
        <w:t xml:space="preserve"> any Contract involving “Guaranteed Capacity”, the </w:t>
      </w:r>
      <w:r w:rsidR="00B63C56">
        <w:t xml:space="preserve">Capacity provided by </w:t>
      </w:r>
      <w:r w:rsidR="004467C1">
        <w:t>the</w:t>
      </w:r>
      <w:r w:rsidR="00B63C56">
        <w:t xml:space="preserve"> </w:t>
      </w:r>
      <w:r w:rsidR="00D80D3C">
        <w:t xml:space="preserve">relevant </w:t>
      </w:r>
      <w:r w:rsidR="00B63C56">
        <w:t xml:space="preserve">Generation Unit, </w:t>
      </w:r>
      <w:r w:rsidR="00D80D3C">
        <w:t xml:space="preserve">during </w:t>
      </w:r>
      <w:r w:rsidR="00B63C56">
        <w:t>each of the hour</w:t>
      </w:r>
      <w:r w:rsidR="00D80D3C">
        <w:t>s</w:t>
      </w:r>
      <w:r w:rsidR="00B63C56">
        <w:t xml:space="preserve"> </w:t>
      </w:r>
      <w:r w:rsidR="00D80D3C">
        <w:t xml:space="preserve">included in the </w:t>
      </w:r>
      <w:r w:rsidR="00B63C56">
        <w:t xml:space="preserve">Critical Hours, shall be </w:t>
      </w:r>
      <w:r w:rsidR="00320295">
        <w:t>credited</w:t>
      </w:r>
      <w:r w:rsidR="00B63C56">
        <w:t xml:space="preserve"> </w:t>
      </w:r>
      <w:r w:rsidR="0051033B">
        <w:t xml:space="preserve">proportionally </w:t>
      </w:r>
      <w:r w:rsidR="00B63C56">
        <w:t xml:space="preserve">to the owners of the Firm Capacity Certificates of such Generation Unit, </w:t>
      </w:r>
      <w:r w:rsidR="0051033B">
        <w:t>during</w:t>
      </w:r>
      <w:r w:rsidR="0051033B" w:rsidRPr="0051033B">
        <w:t xml:space="preserve"> </w:t>
      </w:r>
      <w:r w:rsidR="00320295" w:rsidRPr="0051033B">
        <w:t xml:space="preserve">the day </w:t>
      </w:r>
      <w:r w:rsidR="007B4DF5" w:rsidRPr="0051033B">
        <w:t>to</w:t>
      </w:r>
      <w:r w:rsidR="00320295" w:rsidRPr="0051033B">
        <w:t xml:space="preserve"> which the corresponding hour belong</w:t>
      </w:r>
      <w:r w:rsidR="0051033B">
        <w:t>s</w:t>
      </w:r>
      <w:r w:rsidR="00320295">
        <w:t>;</w:t>
      </w:r>
      <w:bookmarkEnd w:id="502"/>
      <w:r w:rsidR="00320295">
        <w:t xml:space="preserve">  </w:t>
      </w:r>
    </w:p>
    <w:p w14:paraId="1ADF1239" w14:textId="4179C4BF" w:rsidR="00DD4751" w:rsidRDefault="00266399" w:rsidP="00DD1317">
      <w:pPr>
        <w:pStyle w:val="Heading5"/>
      </w:pPr>
      <w:bookmarkStart w:id="503" w:name="_Ref68042128"/>
      <w:r>
        <w:t>w</w:t>
      </w:r>
      <w:r w:rsidR="006F588F">
        <w:t xml:space="preserve">here </w:t>
      </w:r>
      <w:r w:rsidR="00320295">
        <w:t>the Generator which owns the Generation Unit</w:t>
      </w:r>
      <w:r w:rsidR="006F588F">
        <w:t xml:space="preserve"> or </w:t>
      </w:r>
      <w:r w:rsidR="00BF564D">
        <w:t>Electric Power Trader</w:t>
      </w:r>
      <w:r w:rsidR="006F588F">
        <w:t xml:space="preserve"> representing the Generator</w:t>
      </w:r>
      <w:r w:rsidR="00320295">
        <w:t xml:space="preserve"> has </w:t>
      </w:r>
      <w:r w:rsidR="00D367C6">
        <w:t>registered a</w:t>
      </w:r>
      <w:r w:rsidR="00320295">
        <w:t xml:space="preserve"> Contract, </w:t>
      </w:r>
      <w:r w:rsidR="00917191">
        <w:t>in which</w:t>
      </w:r>
      <w:r w:rsidR="00320295">
        <w:t xml:space="preserve"> the Generation Unit is involved in a transaction of “Guaranteed Capacity”</w:t>
      </w:r>
      <w:r w:rsidR="004467C1">
        <w:t>, for each</w:t>
      </w:r>
      <w:r w:rsidR="00D367C6">
        <w:t xml:space="preserve"> hour</w:t>
      </w:r>
      <w:r w:rsidR="004467C1">
        <w:t xml:space="preserve"> </w:t>
      </w:r>
      <w:r w:rsidR="00D367C6">
        <w:t>included in the</w:t>
      </w:r>
      <w:r w:rsidR="004467C1">
        <w:t xml:space="preserve"> Critical Hours </w:t>
      </w:r>
      <w:r w:rsidR="00DD4751">
        <w:t>:</w:t>
      </w:r>
      <w:bookmarkEnd w:id="503"/>
      <w:r w:rsidR="00DD4751">
        <w:t xml:space="preserve"> </w:t>
      </w:r>
    </w:p>
    <w:p w14:paraId="414AA2E4" w14:textId="777D9DB6" w:rsidR="004467C1" w:rsidRDefault="00D367C6" w:rsidP="00CF7164">
      <w:pPr>
        <w:pStyle w:val="Heading6"/>
      </w:pPr>
      <w:r>
        <w:t>t</w:t>
      </w:r>
      <w:r w:rsidR="004467C1">
        <w:t>he Capacity stated in the Contract shall be fully credited to the</w:t>
      </w:r>
      <w:r w:rsidR="0071175A">
        <w:t xml:space="preserve"> Market Participant which is the</w:t>
      </w:r>
      <w:r w:rsidR="004467C1">
        <w:t xml:space="preserve"> </w:t>
      </w:r>
      <w:r w:rsidR="0071175A">
        <w:t>b</w:t>
      </w:r>
      <w:r w:rsidR="004467C1">
        <w:t>uyer</w:t>
      </w:r>
      <w:r w:rsidR="0071175A">
        <w:t xml:space="preserve"> in the Contract</w:t>
      </w:r>
      <w:r w:rsidR="004467C1">
        <w:t>; and</w:t>
      </w:r>
    </w:p>
    <w:p w14:paraId="11F02B1F" w14:textId="29185684" w:rsidR="004467C1" w:rsidRDefault="00D367C6" w:rsidP="00CF7164">
      <w:pPr>
        <w:pStyle w:val="Heading6"/>
      </w:pPr>
      <w:r>
        <w:t>t</w:t>
      </w:r>
      <w:r w:rsidR="00EE5B43">
        <w:t>he C</w:t>
      </w:r>
      <w:r w:rsidR="004467C1">
        <w:t>apacity</w:t>
      </w:r>
      <w:r w:rsidR="00EE5B43">
        <w:t xml:space="preserve"> </w:t>
      </w:r>
      <w:r w:rsidR="004467C1">
        <w:t xml:space="preserve">provided by the Generation Unit shall be fully credited to the </w:t>
      </w:r>
      <w:r w:rsidR="0071175A">
        <w:t>Market Participant which is the s</w:t>
      </w:r>
      <w:r w:rsidR="004467C1">
        <w:t>eller</w:t>
      </w:r>
      <w:r w:rsidR="0071175A">
        <w:t xml:space="preserve"> in the Contract</w:t>
      </w:r>
      <w:r w:rsidR="004467C1">
        <w:t xml:space="preserve">. </w:t>
      </w:r>
    </w:p>
    <w:p w14:paraId="5A45712E" w14:textId="6D6DB8FC" w:rsidR="0071175A" w:rsidRDefault="00266399" w:rsidP="00DD1317">
      <w:pPr>
        <w:pStyle w:val="Heading5"/>
      </w:pPr>
      <w:r>
        <w:t>w</w:t>
      </w:r>
      <w:r w:rsidR="00D367C6">
        <w:t xml:space="preserve">here the Generator which owns the Generation Unit or </w:t>
      </w:r>
      <w:r w:rsidR="00BF564D">
        <w:t>Electric Power Trader</w:t>
      </w:r>
      <w:r w:rsidR="00D367C6">
        <w:t xml:space="preserve"> representing the Generator</w:t>
      </w:r>
      <w:r w:rsidR="00D367C6" w:rsidDel="00D367C6">
        <w:t xml:space="preserve"> </w:t>
      </w:r>
      <w:r w:rsidR="004467C1">
        <w:t xml:space="preserve"> has </w:t>
      </w:r>
      <w:r w:rsidR="00917191">
        <w:t xml:space="preserve">registered </w:t>
      </w:r>
      <w:r w:rsidR="004467C1">
        <w:t>Contracts</w:t>
      </w:r>
      <w:r w:rsidR="00917191">
        <w:t>,</w:t>
      </w:r>
      <w:r w:rsidR="004467C1">
        <w:t xml:space="preserve"> </w:t>
      </w:r>
      <w:r w:rsidR="00917191">
        <w:t>in which</w:t>
      </w:r>
      <w:r w:rsidR="004467C1">
        <w:t xml:space="preserve"> the Generation Unit </w:t>
      </w:r>
      <w:r w:rsidR="0071175A">
        <w:t xml:space="preserve">is involved, partially in transactions of “Guaranteed Capacity” and partially in transactions of “Non-Guaranteed Capacity”, the portion involved in “Guaranteed Capacity” shall be assigned as indicated in paragraph </w:t>
      </w:r>
      <w:r w:rsidR="0071175A">
        <w:fldChar w:fldCharType="begin"/>
      </w:r>
      <w:r w:rsidR="0071175A">
        <w:instrText xml:space="preserve"> REF _Ref68042128 \r \h </w:instrText>
      </w:r>
      <w:r w:rsidR="0071175A">
        <w:fldChar w:fldCharType="separate"/>
      </w:r>
      <w:r w:rsidR="00564C1E">
        <w:fldChar w:fldCharType="begin"/>
      </w:r>
      <w:r w:rsidR="00564C1E">
        <w:instrText xml:space="preserve"> REF _Ref68042128 \w \h </w:instrText>
      </w:r>
      <w:r w:rsidR="00564C1E">
        <w:fldChar w:fldCharType="separate"/>
      </w:r>
      <w:r w:rsidR="00564C1E">
        <w:t>10.2.3.2.b)</w:t>
      </w:r>
      <w:r w:rsidR="00564C1E">
        <w:fldChar w:fldCharType="end"/>
      </w:r>
      <w:r w:rsidR="0071175A">
        <w:fldChar w:fldCharType="end"/>
      </w:r>
      <w:r w:rsidR="0071175A">
        <w:t xml:space="preserve"> and the remaining part </w:t>
      </w:r>
      <w:r w:rsidR="00D367C6">
        <w:t>shall be assigned as provided</w:t>
      </w:r>
      <w:r w:rsidR="0071175A">
        <w:t xml:space="preserve"> </w:t>
      </w:r>
      <w:r w:rsidR="00756404">
        <w:t xml:space="preserve">in </w:t>
      </w:r>
      <w:r w:rsidR="0071175A">
        <w:t xml:space="preserve">paragraph </w:t>
      </w:r>
      <w:r w:rsidR="00564C1E">
        <w:fldChar w:fldCharType="begin"/>
      </w:r>
      <w:r w:rsidR="00564C1E">
        <w:instrText xml:space="preserve"> REF _Ref68042144 \w \h </w:instrText>
      </w:r>
      <w:r w:rsidR="00564C1E">
        <w:fldChar w:fldCharType="separate"/>
      </w:r>
      <w:r w:rsidR="00564C1E">
        <w:t>10.2.3.2.a)</w:t>
      </w:r>
      <w:r w:rsidR="00564C1E">
        <w:fldChar w:fldCharType="end"/>
      </w:r>
      <w:r w:rsidR="0071175A">
        <w:t xml:space="preserve"> above. </w:t>
      </w:r>
    </w:p>
    <w:p w14:paraId="02CE14F9" w14:textId="60E83305" w:rsidR="00A3170D" w:rsidRPr="0096353B" w:rsidRDefault="0071175A" w:rsidP="005B295A">
      <w:pPr>
        <w:pStyle w:val="Heading4"/>
      </w:pPr>
      <w:bookmarkStart w:id="504" w:name="_Ref68043053"/>
      <w:r>
        <w:t xml:space="preserve">Once the Market Operator has credited the Capacity provided by all Generation Units to the corresponding Market Participants, </w:t>
      </w:r>
      <w:r w:rsidR="00D367C6">
        <w:t xml:space="preserve">in accordance with </w:t>
      </w:r>
      <w:r>
        <w:t xml:space="preserve">Clause </w:t>
      </w:r>
      <w:r>
        <w:fldChar w:fldCharType="begin"/>
      </w:r>
      <w:r>
        <w:instrText xml:space="preserve"> REF _Ref68042371 \r \h </w:instrText>
      </w:r>
      <w:r>
        <w:fldChar w:fldCharType="separate"/>
      </w:r>
      <w:r w:rsidR="00251DBF">
        <w:t>10.2.3.2</w:t>
      </w:r>
      <w:r>
        <w:fldChar w:fldCharType="end"/>
      </w:r>
      <w:r w:rsidR="00D367C6">
        <w:t xml:space="preserve"> above</w:t>
      </w:r>
      <w:r>
        <w:t>, it shall determine the Credited Capacity of each Market Participant as</w:t>
      </w:r>
      <w:r w:rsidR="00A3170D">
        <w:t xml:space="preserve"> the average of the Credited Capacity at each hour </w:t>
      </w:r>
      <w:r w:rsidR="00D367C6">
        <w:t>included in the</w:t>
      </w:r>
      <w:r w:rsidR="00A3170D">
        <w:t xml:space="preserve"> Critical Hours</w:t>
      </w:r>
      <w:r>
        <w:t>:</w:t>
      </w:r>
      <w:bookmarkEnd w:id="504"/>
      <w:r>
        <w:t xml:space="preserve"> </w:t>
      </w:r>
    </w:p>
    <w:p w14:paraId="370752B9" w14:textId="2ECA16DB" w:rsidR="00A3170D" w:rsidRPr="0096353B" w:rsidRDefault="004D6075" w:rsidP="00A3170D">
      <w:pPr>
        <w:jc w:val="center"/>
      </w:pPr>
      <m:oMathPara>
        <m:oMath>
          <m:sSub>
            <m:sSubPr>
              <m:ctrlPr>
                <w:rPr>
                  <w:rFonts w:ascii="Cambria Math" w:hAnsi="Cambria Math"/>
                  <w:i/>
                </w:rPr>
              </m:ctrlPr>
            </m:sSubPr>
            <m:e>
              <m:r>
                <w:rPr>
                  <w:rFonts w:ascii="Cambria Math" w:hAnsi="Cambria Math"/>
                </w:rPr>
                <m:t>ACC</m:t>
              </m:r>
            </m:e>
            <m:sub>
              <m:r>
                <w:rPr>
                  <w:rFonts w:ascii="Cambria Math" w:hAnsi="Cambria Math"/>
                </w:rPr>
                <m:t>i,y</m:t>
              </m:r>
            </m:sub>
          </m:sSub>
          <m:d>
            <m:dPr>
              <m:begChr m:val="["/>
              <m:endChr m:val="]"/>
              <m:ctrlPr>
                <w:rPr>
                  <w:rFonts w:ascii="Cambria Math" w:hAnsi="Cambria Math"/>
                  <w:i/>
                </w:rPr>
              </m:ctrlPr>
            </m:dPr>
            <m:e>
              <m:r>
                <w:rPr>
                  <w:rFonts w:ascii="Cambria Math" w:hAnsi="Cambria Math"/>
                </w:rPr>
                <m:t>MW</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h∈CH</m:t>
                  </m:r>
                </m:sub>
                <m:sup/>
                <m:e>
                  <m:sSub>
                    <m:sSubPr>
                      <m:ctrlPr>
                        <w:rPr>
                          <w:rFonts w:ascii="Cambria Math" w:hAnsi="Cambria Math"/>
                        </w:rPr>
                      </m:ctrlPr>
                    </m:sSubPr>
                    <m:e>
                      <m:r>
                        <w:rPr>
                          <w:rFonts w:ascii="Cambria Math" w:hAnsi="Cambria Math"/>
                          <w:lang w:val="en-US"/>
                        </w:rPr>
                        <m:t>CC</m:t>
                      </m:r>
                    </m:e>
                    <m:sub>
                      <m:r>
                        <w:rPr>
                          <w:rFonts w:ascii="Cambria Math" w:hAnsi="Cambria Math"/>
                        </w:rPr>
                        <m:t>i</m:t>
                      </m:r>
                      <m:r>
                        <m:rPr>
                          <m:sty m:val="p"/>
                        </m:rPr>
                        <w:rPr>
                          <w:rFonts w:ascii="Cambria Math" w:hAnsi="Cambria Math"/>
                          <w:lang w:val="en-US"/>
                        </w:rPr>
                        <m:t>,</m:t>
                      </m:r>
                      <m:r>
                        <w:rPr>
                          <w:rFonts w:ascii="Cambria Math" w:hAnsi="Cambria Math"/>
                          <w:lang w:val="en-US"/>
                        </w:rPr>
                        <m:t>h</m:t>
                      </m:r>
                    </m:sub>
                  </m:sSub>
                </m:e>
              </m:nary>
            </m:num>
            <m:den>
              <m:r>
                <w:rPr>
                  <w:rFonts w:ascii="Cambria Math" w:hAnsi="Cambria Math"/>
                </w:rPr>
                <m:t xml:space="preserve">50 </m:t>
              </m:r>
              <m:r>
                <w:rPr>
                  <w:rFonts w:ascii="Cambria Math" w:hAnsi="Cambria Math"/>
                </w:rPr>
                <m:t>hours</m:t>
              </m:r>
            </m:den>
          </m:f>
        </m:oMath>
      </m:oMathPara>
    </w:p>
    <w:p w14:paraId="2EFD5AE0" w14:textId="77777777" w:rsidR="00A3170D" w:rsidRDefault="00A3170D" w:rsidP="00A3170D">
      <w:pPr>
        <w:pStyle w:val="BodyText"/>
        <w:ind w:left="3544" w:hanging="992"/>
      </w:pPr>
      <w:r>
        <w:t>Where:</w:t>
      </w:r>
      <w:r w:rsidRPr="0096353B">
        <w:t xml:space="preserve"> </w:t>
      </w:r>
    </w:p>
    <w:p w14:paraId="489421C9" w14:textId="5C4D9A1F" w:rsidR="00A3170D" w:rsidRPr="0096353B" w:rsidRDefault="00A3170D" w:rsidP="00A3170D">
      <w:pPr>
        <w:pStyle w:val="BodyText"/>
        <w:ind w:left="3544" w:hanging="992"/>
      </w:pPr>
      <w:r w:rsidRPr="0096353B">
        <w:rPr>
          <w:i/>
          <w:iCs/>
        </w:rPr>
        <w:t>AC</w:t>
      </w:r>
      <w:r>
        <w:rPr>
          <w:i/>
          <w:iCs/>
        </w:rPr>
        <w:t>C</w:t>
      </w:r>
      <w:r w:rsidRPr="0096353B">
        <w:rPr>
          <w:i/>
          <w:iCs/>
          <w:vertAlign w:val="subscript"/>
        </w:rPr>
        <w:t>i,y</w:t>
      </w:r>
      <w:r w:rsidRPr="0096353B">
        <w:rPr>
          <w:i/>
          <w:iCs/>
        </w:rPr>
        <w:tab/>
      </w:r>
      <w:r>
        <w:t xml:space="preserve">is the Credited Capacity to Market Participant </w:t>
      </w:r>
      <w:r w:rsidRPr="0096353B">
        <w:rPr>
          <w:i/>
          <w:iCs/>
        </w:rPr>
        <w:t>“i”,</w:t>
      </w:r>
      <w:r w:rsidRPr="0096353B">
        <w:t xml:space="preserve"> for the Fiscal Year </w:t>
      </w:r>
      <w:r w:rsidRPr="0096353B">
        <w:rPr>
          <w:i/>
          <w:iCs/>
        </w:rPr>
        <w:t>“y”</w:t>
      </w:r>
      <w:r w:rsidRPr="0096353B">
        <w:t>, in MW;</w:t>
      </w:r>
    </w:p>
    <w:p w14:paraId="75E0F0C3" w14:textId="1B0618EB" w:rsidR="00A3170D" w:rsidRPr="0096353B" w:rsidRDefault="00A3170D" w:rsidP="00A3170D">
      <w:pPr>
        <w:pStyle w:val="BodyText"/>
        <w:ind w:left="3544" w:hanging="992"/>
      </w:pPr>
      <w:r>
        <w:rPr>
          <w:i/>
          <w:iCs/>
        </w:rPr>
        <w:t>CC</w:t>
      </w:r>
      <w:r w:rsidRPr="0096353B">
        <w:rPr>
          <w:i/>
          <w:iCs/>
          <w:vertAlign w:val="subscript"/>
        </w:rPr>
        <w:t>i,h</w:t>
      </w:r>
      <w:r w:rsidRPr="0096353B">
        <w:rPr>
          <w:i/>
          <w:iCs/>
        </w:rPr>
        <w:tab/>
      </w:r>
      <w:r w:rsidRPr="0096353B">
        <w:t xml:space="preserve">is the </w:t>
      </w:r>
      <w:r>
        <w:t xml:space="preserve">Credited Capacity to Market Participant </w:t>
      </w:r>
      <w:r w:rsidRPr="0096353B">
        <w:rPr>
          <w:i/>
          <w:iCs/>
        </w:rPr>
        <w:t>“i”</w:t>
      </w:r>
      <w:r w:rsidRPr="0096353B">
        <w:t xml:space="preserve">, in hour </w:t>
      </w:r>
      <w:r w:rsidRPr="0096353B">
        <w:rPr>
          <w:i/>
          <w:iCs/>
        </w:rPr>
        <w:t>“h”,</w:t>
      </w:r>
      <w:r w:rsidRPr="0096353B">
        <w:t xml:space="preserve"> calculated pursuant </w:t>
      </w:r>
      <w:r>
        <w:t xml:space="preserve">Clause </w:t>
      </w:r>
      <w:r>
        <w:fldChar w:fldCharType="begin"/>
      </w:r>
      <w:r>
        <w:instrText xml:space="preserve"> REF _Ref68042371 \r \h </w:instrText>
      </w:r>
      <w:r>
        <w:fldChar w:fldCharType="separate"/>
      </w:r>
      <w:r w:rsidR="00251DBF">
        <w:t>10.2.3.2</w:t>
      </w:r>
      <w:r>
        <w:fldChar w:fldCharType="end"/>
      </w:r>
      <w:r w:rsidRPr="0096353B">
        <w:t>, in MW</w:t>
      </w:r>
      <w:r w:rsidR="00266399">
        <w:t>;</w:t>
      </w:r>
    </w:p>
    <w:p w14:paraId="6968E231" w14:textId="23793EC0" w:rsidR="00A3170D" w:rsidRPr="0096353B" w:rsidRDefault="00A3170D" w:rsidP="00A3170D">
      <w:pPr>
        <w:pStyle w:val="BodyText"/>
        <w:ind w:left="3544" w:hanging="992"/>
      </w:pPr>
      <w:r w:rsidRPr="0096353B">
        <w:rPr>
          <w:rFonts w:ascii="Symbol" w:hAnsi="Symbol"/>
          <w:i/>
          <w:iCs/>
          <w:sz w:val="28"/>
          <w:szCs w:val="28"/>
        </w:rPr>
        <w:t>S</w:t>
      </w:r>
      <w:r w:rsidRPr="0096353B">
        <w:rPr>
          <w:i/>
          <w:iCs/>
          <w:vertAlign w:val="subscript"/>
        </w:rPr>
        <w:t>h</w:t>
      </w:r>
      <w:r w:rsidRPr="0096353B">
        <w:rPr>
          <w:i/>
          <w:iCs/>
          <w:vertAlign w:val="subscript"/>
        </w:rPr>
        <w:sym w:font="Symbol" w:char="F0CE"/>
      </w:r>
      <w:r w:rsidRPr="0096353B">
        <w:rPr>
          <w:i/>
          <w:iCs/>
          <w:vertAlign w:val="subscript"/>
        </w:rPr>
        <w:t>CH</w:t>
      </w:r>
      <w:r w:rsidRPr="0096353B">
        <w:rPr>
          <w:i/>
          <w:iCs/>
          <w:vertAlign w:val="subscript"/>
        </w:rPr>
        <w:tab/>
      </w:r>
      <w:r w:rsidRPr="0096353B">
        <w:t xml:space="preserve">means the 50 hours which have been defined as Critical Hours, for the Fiscal Year </w:t>
      </w:r>
      <w:r w:rsidRPr="0096353B">
        <w:rPr>
          <w:i/>
          <w:iCs/>
        </w:rPr>
        <w:t>“y”</w:t>
      </w:r>
      <w:r w:rsidRPr="0096353B">
        <w:t>.</w:t>
      </w:r>
    </w:p>
    <w:p w14:paraId="1069FE4E" w14:textId="4384DFC5" w:rsidR="007D5978" w:rsidRDefault="00DD1317" w:rsidP="007D5978">
      <w:pPr>
        <w:pStyle w:val="Heading3"/>
      </w:pPr>
      <w:r>
        <w:lastRenderedPageBreak/>
        <w:t xml:space="preserve">Step 4: </w:t>
      </w:r>
      <w:r w:rsidR="007D5978">
        <w:t xml:space="preserve">Capacity Requirements </w:t>
      </w:r>
      <w:r w:rsidR="00C2551B" w:rsidRPr="0096353B">
        <w:t>of</w:t>
      </w:r>
      <w:r w:rsidR="002A54A6" w:rsidRPr="0096353B">
        <w:t xml:space="preserve"> Market Participants </w:t>
      </w:r>
      <w:bookmarkEnd w:id="500"/>
    </w:p>
    <w:p w14:paraId="3110041F" w14:textId="23CC3228" w:rsidR="002A54A6" w:rsidRPr="0096353B" w:rsidRDefault="001B4092" w:rsidP="005B295A">
      <w:pPr>
        <w:pStyle w:val="Heading4"/>
      </w:pPr>
      <w:bookmarkStart w:id="505" w:name="_Ref67489987"/>
      <w:bookmarkStart w:id="506" w:name="_Ref77153276"/>
      <w:r w:rsidRPr="0096353B">
        <w:t>F</w:t>
      </w:r>
      <w:r w:rsidR="002A54A6" w:rsidRPr="0096353B">
        <w:t xml:space="preserve">or the Balancing Mechanism for </w:t>
      </w:r>
      <w:r w:rsidR="0046412E">
        <w:t>Capacity</w:t>
      </w:r>
      <w:r w:rsidR="002A54A6" w:rsidRPr="0096353B">
        <w:t>, all</w:t>
      </w:r>
      <w:r w:rsidR="007D5978">
        <w:t xml:space="preserve"> </w:t>
      </w:r>
      <w:r w:rsidR="00136176">
        <w:t xml:space="preserve">Market </w:t>
      </w:r>
      <w:r w:rsidR="002A54A6" w:rsidRPr="0096353B">
        <w:t xml:space="preserve">Participants </w:t>
      </w:r>
      <w:r w:rsidR="007D5978">
        <w:t xml:space="preserve">which </w:t>
      </w:r>
      <w:r w:rsidR="002A54A6" w:rsidRPr="0096353B">
        <w:t xml:space="preserve">supply to Consumers, BPCs which are registered as Market Participants and, if </w:t>
      </w:r>
      <w:r w:rsidR="00EA3ABC">
        <w:t>applicable</w:t>
      </w:r>
      <w:r w:rsidR="002A54A6" w:rsidRPr="0096353B">
        <w:t xml:space="preserve">, Firm Exports, shall </w:t>
      </w:r>
      <w:r w:rsidR="00EA3ABC">
        <w:t>be required to procure Capacity</w:t>
      </w:r>
      <w:r w:rsidR="00A53E9B">
        <w:t xml:space="preserve">, </w:t>
      </w:r>
      <w:r w:rsidR="00EA3ABC">
        <w:t>as determined below.</w:t>
      </w:r>
      <w:bookmarkEnd w:id="505"/>
      <w:r w:rsidR="002A54A6" w:rsidRPr="0096353B">
        <w:t xml:space="preserve"> </w:t>
      </w:r>
      <w:r w:rsidR="00EA3ABC">
        <w:t>Further</w:t>
      </w:r>
      <w:r w:rsidR="0096353B" w:rsidRPr="0096353B">
        <w:t>, Generators</w:t>
      </w:r>
      <w:r w:rsidR="00EA3ABC">
        <w:t xml:space="preserve"> or </w:t>
      </w:r>
      <w:r w:rsidR="00BF564D">
        <w:t>Electric Power Trader</w:t>
      </w:r>
      <w:r w:rsidR="00EA3ABC">
        <w:t>s representing Generators</w:t>
      </w:r>
      <w:r w:rsidR="0096353B" w:rsidRPr="0096353B">
        <w:t xml:space="preserve"> which have sold Guaranteed Capacity to Market Participants, shall</w:t>
      </w:r>
      <w:r w:rsidR="00EA3ABC">
        <w:t xml:space="preserve"> be required to provide Capacity which was </w:t>
      </w:r>
      <w:r w:rsidR="0096353B" w:rsidRPr="0096353B">
        <w:t>sold</w:t>
      </w:r>
      <w:r w:rsidR="00EA3ABC">
        <w:t xml:space="preserve"> through the registered Contracts</w:t>
      </w:r>
      <w:r w:rsidR="0096353B" w:rsidRPr="0096353B">
        <w:t>.</w:t>
      </w:r>
      <w:bookmarkEnd w:id="506"/>
      <w:r w:rsidR="0096353B" w:rsidRPr="0096353B">
        <w:t xml:space="preserve"> </w:t>
      </w:r>
      <w:r w:rsidR="00A53E9B">
        <w:t>This requirement to procure Capacity is termed as the Capacity Requirement for the Market Participants.</w:t>
      </w:r>
    </w:p>
    <w:p w14:paraId="4D4DB32D" w14:textId="77D0C66B" w:rsidR="007D5978" w:rsidRDefault="002A54A6" w:rsidP="005B295A">
      <w:pPr>
        <w:pStyle w:val="Heading4"/>
      </w:pPr>
      <w:bookmarkStart w:id="507" w:name="_Ref67524592"/>
      <w:r w:rsidRPr="0096353B">
        <w:t xml:space="preserve">The </w:t>
      </w:r>
      <w:r w:rsidR="0046412E" w:rsidRPr="0096353B">
        <w:t>Capacity</w:t>
      </w:r>
      <w:r w:rsidR="007D5978" w:rsidRPr="0096353B">
        <w:t xml:space="preserve"> </w:t>
      </w:r>
      <w:r w:rsidR="00905A71">
        <w:t>R</w:t>
      </w:r>
      <w:r w:rsidR="007D5978" w:rsidRPr="0096353B">
        <w:t xml:space="preserve">equirement </w:t>
      </w:r>
      <w:r w:rsidRPr="0096353B">
        <w:t xml:space="preserve">for the Market Participants </w:t>
      </w:r>
      <w:r w:rsidR="00EA3ABC">
        <w:t xml:space="preserve">as </w:t>
      </w:r>
      <w:r w:rsidRPr="0096353B">
        <w:t xml:space="preserve">referred </w:t>
      </w:r>
      <w:r w:rsidR="00EA3ABC">
        <w:t xml:space="preserve">to </w:t>
      </w:r>
      <w:r w:rsidRPr="00B03C4A">
        <w:t xml:space="preserve">in Clause </w:t>
      </w:r>
      <w:r w:rsidRPr="00B03C4A">
        <w:fldChar w:fldCharType="begin"/>
      </w:r>
      <w:r w:rsidRPr="00B03C4A">
        <w:instrText xml:space="preserve"> REF _Ref67489987 \r \h </w:instrText>
      </w:r>
      <w:r w:rsidR="0096353B" w:rsidRPr="00B03C4A">
        <w:instrText xml:space="preserve"> \* MERGEFORMAT </w:instrText>
      </w:r>
      <w:r w:rsidRPr="00B03C4A">
        <w:fldChar w:fldCharType="separate"/>
      </w:r>
      <w:r w:rsidR="00251DBF" w:rsidRPr="00B03C4A">
        <w:t>10.2.4.1</w:t>
      </w:r>
      <w:r w:rsidRPr="00B03C4A">
        <w:fldChar w:fldCharType="end"/>
      </w:r>
      <w:r w:rsidRPr="00266399">
        <w:t xml:space="preserve"> </w:t>
      </w:r>
      <w:r w:rsidR="00266399" w:rsidRPr="00266399">
        <w:t xml:space="preserve">above </w:t>
      </w:r>
      <w:r w:rsidRPr="00266399">
        <w:t>shall</w:t>
      </w:r>
      <w:r w:rsidR="007D5978">
        <w:t xml:space="preserve"> be calculated by the Market Operator </w:t>
      </w:r>
      <w:r w:rsidR="00EA3ABC">
        <w:t>as under</w:t>
      </w:r>
      <w:r w:rsidR="007D5978">
        <w:t>:</w:t>
      </w:r>
      <w:bookmarkEnd w:id="507"/>
    </w:p>
    <w:p w14:paraId="63364027" w14:textId="170F1204" w:rsidR="00C2551B" w:rsidRPr="0096353B" w:rsidRDefault="00266399" w:rsidP="00C2551B">
      <w:pPr>
        <w:pStyle w:val="Heading5"/>
      </w:pPr>
      <w:bookmarkStart w:id="508" w:name="_Ref68043089"/>
      <w:r>
        <w:t>i</w:t>
      </w:r>
      <w:r w:rsidR="00C2551B" w:rsidRPr="0096353B">
        <w:t xml:space="preserve">n </w:t>
      </w:r>
      <w:r w:rsidR="00EA3ABC">
        <w:t xml:space="preserve">the </w:t>
      </w:r>
      <w:r w:rsidR="00C2551B" w:rsidRPr="0096353B">
        <w:t>case of a BPC</w:t>
      </w:r>
      <w:r w:rsidR="00EA3ABC">
        <w:t>,</w:t>
      </w:r>
      <w:r w:rsidR="00C2551B" w:rsidRPr="0096353B">
        <w:t xml:space="preserve"> which is a Market Participant, the Capacity </w:t>
      </w:r>
      <w:r w:rsidR="00905A71">
        <w:t>R</w:t>
      </w:r>
      <w:r w:rsidR="00C2551B" w:rsidRPr="0096353B">
        <w:t xml:space="preserve">equirement shall be equal to the </w:t>
      </w:r>
      <w:r w:rsidR="00F960E9" w:rsidRPr="0096353B">
        <w:t xml:space="preserve">average </w:t>
      </w:r>
      <w:r w:rsidR="00C2551B" w:rsidRPr="0096353B">
        <w:t>Energy</w:t>
      </w:r>
      <w:r w:rsidR="004E0D14">
        <w:t xml:space="preserve"> withdrawn</w:t>
      </w:r>
      <w:r w:rsidR="00F960E9" w:rsidRPr="0096353B">
        <w:t xml:space="preserve">, </w:t>
      </w:r>
      <w:r w:rsidR="004E0D14">
        <w:t>during</w:t>
      </w:r>
      <w:r w:rsidR="00F960E9" w:rsidRPr="0096353B">
        <w:t xml:space="preserve"> the Critical Hours,</w:t>
      </w:r>
      <w:r w:rsidR="00C2551B" w:rsidRPr="0096353B">
        <w:t xml:space="preserve"> </w:t>
      </w:r>
      <w:r w:rsidR="00EA3ABC">
        <w:t xml:space="preserve">calculated pursuant to Clause </w:t>
      </w:r>
      <w:r w:rsidR="00EA3ABC" w:rsidRPr="001A7D29">
        <w:fldChar w:fldCharType="begin"/>
      </w:r>
      <w:r w:rsidR="00EA3ABC" w:rsidRPr="001A7D29">
        <w:instrText xml:space="preserve"> REF _Ref59456858 \r \h  \* MERGEFORMAT </w:instrText>
      </w:r>
      <w:r w:rsidR="00EA3ABC" w:rsidRPr="001A7D29">
        <w:fldChar w:fldCharType="separate"/>
      </w:r>
      <w:r w:rsidR="00EA3ABC">
        <w:t>6.3.3.3</w:t>
      </w:r>
      <w:r w:rsidR="00EA3ABC" w:rsidRPr="001A7D29">
        <w:fldChar w:fldCharType="end"/>
      </w:r>
      <w:r w:rsidR="004E0D14">
        <w:t>,</w:t>
      </w:r>
      <w:r w:rsidR="00C2551B" w:rsidRPr="0096353B">
        <w:t xml:space="preserve"> </w:t>
      </w:r>
      <w:r w:rsidR="004E0D14">
        <w:t>multiplied by an</w:t>
      </w:r>
      <w:r w:rsidR="00F960E9" w:rsidRPr="0096353B">
        <w:t xml:space="preserve"> </w:t>
      </w:r>
      <w:r w:rsidR="002D58BB">
        <w:t>Operational Reserve Margin</w:t>
      </w:r>
      <w:r w:rsidR="00C2551B" w:rsidRPr="0096353B">
        <w:t>:</w:t>
      </w:r>
      <w:bookmarkEnd w:id="508"/>
      <w:r w:rsidR="00C2551B" w:rsidRPr="0096353B">
        <w:t xml:space="preserve"> </w:t>
      </w:r>
    </w:p>
    <w:p w14:paraId="334808A3" w14:textId="6D3FE2FE" w:rsidR="00C2551B" w:rsidRPr="0096353B" w:rsidRDefault="004D6075" w:rsidP="00C2551B">
      <w:pPr>
        <w:jc w:val="center"/>
      </w:pPr>
      <m:oMathPara>
        <m:oMath>
          <m:sSub>
            <m:sSubPr>
              <m:ctrlPr>
                <w:rPr>
                  <w:rFonts w:ascii="Cambria Math" w:hAnsi="Cambria Math"/>
                  <w:i/>
                </w:rPr>
              </m:ctrlPr>
            </m:sSubPr>
            <m:e>
              <m:r>
                <w:rPr>
                  <w:rFonts w:ascii="Cambria Math" w:hAnsi="Cambria Math"/>
                </w:rPr>
                <m:t>ACR</m:t>
              </m:r>
            </m:e>
            <m:sub>
              <m:r>
                <w:rPr>
                  <w:rFonts w:ascii="Cambria Math" w:hAnsi="Cambria Math"/>
                </w:rPr>
                <m:t>i,y</m:t>
              </m:r>
            </m:sub>
          </m:sSub>
          <m:d>
            <m:dPr>
              <m:begChr m:val="["/>
              <m:endChr m:val="]"/>
              <m:ctrlPr>
                <w:rPr>
                  <w:rFonts w:ascii="Cambria Math" w:hAnsi="Cambria Math"/>
                  <w:i/>
                </w:rPr>
              </m:ctrlPr>
            </m:dPr>
            <m:e>
              <m:r>
                <w:rPr>
                  <w:rFonts w:ascii="Cambria Math" w:hAnsi="Cambria Math"/>
                </w:rPr>
                <m:t>MW</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h∈CH</m:t>
                      </m:r>
                    </m:sub>
                    <m:sup/>
                    <m:e>
                      <m:d>
                        <m:dPr>
                          <m:ctrlPr>
                            <w:rPr>
                              <w:rFonts w:ascii="Cambria Math" w:hAnsi="Cambria Math"/>
                              <w:i/>
                            </w:rPr>
                          </m:ctrlPr>
                        </m:dPr>
                        <m:e>
                          <m:sSub>
                            <m:sSubPr>
                              <m:ctrlPr>
                                <w:rPr>
                                  <w:rFonts w:ascii="Cambria Math" w:hAnsi="Cambria Math"/>
                                  <w:i/>
                                </w:rPr>
                              </m:ctrlPr>
                            </m:sSubPr>
                            <m:e>
                              <m:r>
                                <w:rPr>
                                  <w:rFonts w:ascii="Cambria Math" w:hAnsi="Cambria Math"/>
                                </w:rPr>
                                <m:t>Act_E</m:t>
                              </m:r>
                            </m:e>
                            <m:sub>
                              <m:r>
                                <w:rPr>
                                  <w:rFonts w:ascii="Cambria Math" w:hAnsi="Cambria Math"/>
                                </w:rPr>
                                <m:t>i,h</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∀CS</m:t>
                                  </m:r>
                                </m:e>
                                <m:sub>
                                  <m:r>
                                    <w:rPr>
                                      <w:rFonts w:ascii="Cambria Math" w:hAnsi="Cambria Math"/>
                                    </w:rPr>
                                    <m:t>j</m:t>
                                  </m:r>
                                </m:sub>
                              </m:sSub>
                            </m:sub>
                            <m:sup/>
                            <m:e>
                              <m:sSub>
                                <m:sSubPr>
                                  <m:ctrlPr>
                                    <w:rPr>
                                      <w:rFonts w:ascii="Cambria Math" w:eastAsiaTheme="minorEastAsia" w:hAnsi="Cambria Math"/>
                                    </w:rPr>
                                  </m:ctrlPr>
                                </m:sSubPr>
                                <m:e>
                                  <m:r>
                                    <w:rPr>
                                      <w:rFonts w:ascii="Cambria Math" w:eastAsiaTheme="minorEastAsia" w:hAnsi="Cambria Math"/>
                                    </w:rPr>
                                    <m:t>EC</m:t>
                                  </m:r>
                                </m:e>
                                <m:sub>
                                  <m:sSub>
                                    <m:sSubPr>
                                      <m:ctrlPr>
                                        <w:rPr>
                                          <w:rFonts w:ascii="Cambria Math" w:eastAsiaTheme="minorEastAsia" w:hAnsi="Cambria Math"/>
                                        </w:rPr>
                                      </m:ctrlPr>
                                    </m:sSubPr>
                                    <m:e>
                                      <m:r>
                                        <w:rPr>
                                          <w:rFonts w:ascii="Cambria Math" w:eastAsiaTheme="minorEastAsia" w:hAnsi="Cambria Math"/>
                                        </w:rPr>
                                        <m:t>MP</m:t>
                                      </m:r>
                                    </m:e>
                                    <m:sub>
                                      <m:r>
                                        <w:rPr>
                                          <w:rFonts w:ascii="Cambria Math" w:eastAsiaTheme="minorEastAsia" w:hAnsi="Cambria Math"/>
                                        </w:rPr>
                                        <m:t>i,j</m:t>
                                      </m:r>
                                      <m:r>
                                        <m:rPr>
                                          <m:sty m:val="p"/>
                                        </m:rPr>
                                        <w:rPr>
                                          <w:rFonts w:ascii="Cambria Math" w:eastAsiaTheme="minorEastAsia" w:hAnsi="Cambria Math"/>
                                        </w:rPr>
                                        <m:t>,</m:t>
                                      </m:r>
                                      <m:r>
                                        <w:rPr>
                                          <w:rFonts w:ascii="Cambria Math" w:eastAsiaTheme="minorEastAsia" w:hAnsi="Cambria Math"/>
                                        </w:rPr>
                                        <m:t>h</m:t>
                                      </m:r>
                                    </m:sub>
                                  </m:sSub>
                                </m:sub>
                              </m:sSub>
                            </m:e>
                          </m:nary>
                        </m:e>
                      </m:d>
                    </m:e>
                  </m:nary>
                </m:num>
                <m:den>
                  <m:r>
                    <w:rPr>
                      <w:rFonts w:ascii="Cambria Math" w:hAnsi="Cambria Math"/>
                    </w:rPr>
                    <m:t xml:space="preserve">50 </m:t>
                  </m:r>
                  <m:r>
                    <w:rPr>
                      <w:rFonts w:ascii="Cambria Math" w:hAnsi="Cambria Math"/>
                    </w:rPr>
                    <m:t>hours</m:t>
                  </m:r>
                </m:den>
              </m:f>
            </m:e>
          </m:d>
          <m:d>
            <m:dPr>
              <m:ctrlPr>
                <w:rPr>
                  <w:rFonts w:ascii="Cambria Math" w:hAnsi="Cambria Math"/>
                  <w:i/>
                </w:rPr>
              </m:ctrlPr>
            </m:dPr>
            <m:e>
              <m:r>
                <w:rPr>
                  <w:rFonts w:ascii="Cambria Math" w:hAnsi="Cambria Math"/>
                </w:rPr>
                <m:t>1+RM</m:t>
              </m:r>
            </m:e>
          </m:d>
        </m:oMath>
      </m:oMathPara>
    </w:p>
    <w:p w14:paraId="78BF2584" w14:textId="77777777" w:rsidR="007D5978" w:rsidRPr="001A7D29" w:rsidRDefault="007D5978" w:rsidP="00EB1EBE">
      <w:pPr>
        <w:pStyle w:val="BodyText"/>
        <w:ind w:left="3544" w:hanging="992"/>
      </w:pPr>
      <w:r w:rsidRPr="001A7D29">
        <w:t>Where:</w:t>
      </w:r>
      <w:r w:rsidR="00C2551B" w:rsidRPr="001A7D29">
        <w:t xml:space="preserve"> </w:t>
      </w:r>
    </w:p>
    <w:p w14:paraId="678BF56C" w14:textId="3832E71D" w:rsidR="00C2551B" w:rsidRPr="001A7D29" w:rsidRDefault="00E8465D" w:rsidP="00C2551B">
      <w:pPr>
        <w:pStyle w:val="BodyText"/>
        <w:ind w:left="3544" w:hanging="992"/>
      </w:pPr>
      <w:r w:rsidRPr="001A7D29">
        <w:rPr>
          <w:i/>
          <w:iCs/>
        </w:rPr>
        <w:t>ACR</w:t>
      </w:r>
      <w:r w:rsidRPr="001A7D29">
        <w:rPr>
          <w:i/>
          <w:iCs/>
          <w:vertAlign w:val="subscript"/>
        </w:rPr>
        <w:t>i,y</w:t>
      </w:r>
      <w:r w:rsidRPr="001A7D29">
        <w:rPr>
          <w:i/>
          <w:iCs/>
        </w:rPr>
        <w:tab/>
      </w:r>
      <w:r w:rsidR="007D5978" w:rsidRPr="001A7D29">
        <w:t xml:space="preserve">is the Capacity </w:t>
      </w:r>
      <w:r w:rsidR="00905A71">
        <w:t>R</w:t>
      </w:r>
      <w:r w:rsidR="007D5978" w:rsidRPr="001A7D29">
        <w:t xml:space="preserve">equirement of </w:t>
      </w:r>
      <w:r w:rsidR="00C2551B" w:rsidRPr="001A7D29">
        <w:t xml:space="preserve">BPC </w:t>
      </w:r>
      <w:r w:rsidR="00C2551B" w:rsidRPr="001A7D29">
        <w:rPr>
          <w:i/>
          <w:iCs/>
        </w:rPr>
        <w:t>“i”,</w:t>
      </w:r>
      <w:r w:rsidR="00C2551B" w:rsidRPr="001A7D29">
        <w:t xml:space="preserve"> </w:t>
      </w:r>
      <w:r w:rsidRPr="001A7D29">
        <w:t xml:space="preserve">for the Fiscal Year </w:t>
      </w:r>
      <w:r w:rsidRPr="001A7D29">
        <w:rPr>
          <w:i/>
          <w:iCs/>
        </w:rPr>
        <w:t>“y”</w:t>
      </w:r>
      <w:r w:rsidR="00C2551B" w:rsidRPr="001A7D29">
        <w:t>, in MW;</w:t>
      </w:r>
    </w:p>
    <w:p w14:paraId="7F5322F2" w14:textId="0B685C21" w:rsidR="00C2551B" w:rsidRPr="001A7D29" w:rsidRDefault="00A55DED" w:rsidP="00C2551B">
      <w:pPr>
        <w:pStyle w:val="BodyText"/>
        <w:ind w:left="3544" w:hanging="992"/>
      </w:pPr>
      <w:r w:rsidRPr="001A7D29">
        <w:rPr>
          <w:i/>
          <w:iCs/>
        </w:rPr>
        <w:t>A</w:t>
      </w:r>
      <w:r>
        <w:rPr>
          <w:i/>
          <w:iCs/>
        </w:rPr>
        <w:t>ct</w:t>
      </w:r>
      <w:r w:rsidR="00E8465D" w:rsidRPr="001A7D29">
        <w:rPr>
          <w:i/>
          <w:iCs/>
        </w:rPr>
        <w:t>_E</w:t>
      </w:r>
      <w:r w:rsidR="00E8465D" w:rsidRPr="001A7D29">
        <w:rPr>
          <w:i/>
          <w:iCs/>
          <w:vertAlign w:val="subscript"/>
        </w:rPr>
        <w:t>i,h</w:t>
      </w:r>
      <w:r w:rsidR="00C2551B" w:rsidRPr="001A7D29">
        <w:rPr>
          <w:i/>
          <w:iCs/>
        </w:rPr>
        <w:tab/>
      </w:r>
      <w:r w:rsidR="00C2551B" w:rsidRPr="001A7D29">
        <w:t xml:space="preserve">is the Energy </w:t>
      </w:r>
      <w:r w:rsidR="004E0D14">
        <w:t>withdrawn</w:t>
      </w:r>
      <w:r w:rsidR="004E0D14" w:rsidRPr="001A7D29">
        <w:t xml:space="preserve"> </w:t>
      </w:r>
      <w:r w:rsidR="00C2551B" w:rsidRPr="001A7D29">
        <w:t xml:space="preserve">by BPC </w:t>
      </w:r>
      <w:r w:rsidR="00C2551B" w:rsidRPr="001A7D29">
        <w:rPr>
          <w:i/>
          <w:iCs/>
        </w:rPr>
        <w:t>“i”</w:t>
      </w:r>
      <w:r w:rsidR="00C2551B" w:rsidRPr="001A7D29">
        <w:t xml:space="preserve">, in hour </w:t>
      </w:r>
      <w:r w:rsidR="00C2551B" w:rsidRPr="001A7D29">
        <w:rPr>
          <w:i/>
          <w:iCs/>
        </w:rPr>
        <w:t>“h”,</w:t>
      </w:r>
      <w:r w:rsidR="00C2551B" w:rsidRPr="001A7D29">
        <w:t xml:space="preserve"> </w:t>
      </w:r>
      <w:r w:rsidR="00E8465D" w:rsidRPr="001A7D29">
        <w:t>calculated pursuant</w:t>
      </w:r>
      <w:r w:rsidR="004E0D14">
        <w:t xml:space="preserve"> to</w:t>
      </w:r>
      <w:r w:rsidR="00E8465D" w:rsidRPr="001A7D29">
        <w:t xml:space="preserve"> Clause </w:t>
      </w:r>
      <w:r w:rsidR="00E8465D" w:rsidRPr="001A7D29">
        <w:fldChar w:fldCharType="begin"/>
      </w:r>
      <w:r w:rsidR="00E8465D" w:rsidRPr="001A7D29">
        <w:instrText xml:space="preserve"> REF _Ref59456858 \r \h </w:instrText>
      </w:r>
      <w:r w:rsidR="0096353B" w:rsidRPr="001A7D29">
        <w:instrText xml:space="preserve"> \* MERGEFORMAT </w:instrText>
      </w:r>
      <w:r w:rsidR="00E8465D" w:rsidRPr="001A7D29">
        <w:fldChar w:fldCharType="separate"/>
      </w:r>
      <w:r w:rsidR="00251DBF">
        <w:t>6.3.3.3</w:t>
      </w:r>
      <w:r w:rsidR="00E8465D" w:rsidRPr="001A7D29">
        <w:fldChar w:fldCharType="end"/>
      </w:r>
      <w:r w:rsidR="00C2551B" w:rsidRPr="001A7D29">
        <w:t>, in MWh</w:t>
      </w:r>
      <w:r w:rsidR="004E0D14">
        <w:t>;</w:t>
      </w:r>
    </w:p>
    <w:p w14:paraId="1D0FFEE1" w14:textId="32C540B5" w:rsidR="008A7E16" w:rsidRPr="001A7D29" w:rsidRDefault="004D6075" w:rsidP="008A7E16">
      <w:pPr>
        <w:pStyle w:val="BodyText"/>
        <w:ind w:left="3544" w:hanging="992"/>
        <w:rPr>
          <w:iCs/>
        </w:rPr>
      </w:pPr>
      <m:oMath>
        <m:sSub>
          <m:sSubPr>
            <m:ctrlPr>
              <w:rPr>
                <w:rFonts w:ascii="Cambria Math" w:eastAsiaTheme="minorEastAsia" w:hAnsi="Cambria Math"/>
              </w:rPr>
            </m:ctrlPr>
          </m:sSubPr>
          <m:e>
            <m:r>
              <w:rPr>
                <w:rFonts w:ascii="Cambria Math" w:eastAsiaTheme="minorEastAsia" w:hAnsi="Cambria Math"/>
              </w:rPr>
              <m:t>EC</m:t>
            </m:r>
          </m:e>
          <m:sub>
            <m:sSub>
              <m:sSubPr>
                <m:ctrlPr>
                  <w:rPr>
                    <w:rFonts w:ascii="Cambria Math" w:eastAsiaTheme="minorEastAsia" w:hAnsi="Cambria Math"/>
                  </w:rPr>
                </m:ctrlPr>
              </m:sSubPr>
              <m:e>
                <m:r>
                  <w:rPr>
                    <w:rFonts w:ascii="Cambria Math" w:eastAsiaTheme="minorEastAsia" w:hAnsi="Cambria Math"/>
                  </w:rPr>
                  <m:t>MP</m:t>
                </m:r>
              </m:e>
              <m:sub>
                <m:r>
                  <w:rPr>
                    <w:rFonts w:ascii="Cambria Math" w:eastAsiaTheme="minorEastAsia" w:hAnsi="Cambria Math"/>
                  </w:rPr>
                  <m:t>i,j</m:t>
                </m:r>
                <m:r>
                  <m:rPr>
                    <m:sty m:val="p"/>
                  </m:rPr>
                  <w:rPr>
                    <w:rFonts w:ascii="Cambria Math" w:eastAsiaTheme="minorEastAsia" w:hAnsi="Cambria Math"/>
                  </w:rPr>
                  <m:t>,</m:t>
                </m:r>
                <m:r>
                  <w:rPr>
                    <w:rFonts w:ascii="Cambria Math" w:eastAsiaTheme="minorEastAsia" w:hAnsi="Cambria Math"/>
                  </w:rPr>
                  <m:t>h</m:t>
                </m:r>
              </m:sub>
            </m:sSub>
          </m:sub>
        </m:sSub>
        <m:r>
          <w:rPr>
            <w:rFonts w:ascii="Cambria Math" w:eastAsiaTheme="minorEastAsia" w:hAnsi="Cambria Math"/>
          </w:rPr>
          <m:t xml:space="preserve">  </m:t>
        </m:r>
      </m:oMath>
      <w:r w:rsidR="008A7E16" w:rsidRPr="001A7D29">
        <w:rPr>
          <w:rFonts w:ascii="Cambria Math" w:hAnsi="Cambria Math"/>
          <w:i/>
        </w:rPr>
        <w:tab/>
      </w:r>
      <w:commentRangeStart w:id="509"/>
      <w:r w:rsidR="008A7E16" w:rsidRPr="001A7D29">
        <w:rPr>
          <w:iCs/>
        </w:rPr>
        <w:t xml:space="preserve">is the Energy supplied by the Competitive </w:t>
      </w:r>
      <w:r w:rsidR="00BF564D">
        <w:rPr>
          <w:iCs/>
        </w:rPr>
        <w:t>Electric Power Supplier</w:t>
      </w:r>
      <w:r w:rsidR="008A7E16" w:rsidRPr="001A7D29">
        <w:rPr>
          <w:iCs/>
        </w:rPr>
        <w:t xml:space="preserve"> </w:t>
      </w:r>
      <w:r w:rsidR="008A7E16" w:rsidRPr="001A7D29">
        <w:rPr>
          <w:i/>
        </w:rPr>
        <w:t>“j”</w:t>
      </w:r>
      <w:r w:rsidR="008A7E16" w:rsidRPr="001A7D29">
        <w:rPr>
          <w:iCs/>
        </w:rPr>
        <w:t xml:space="preserve"> to the BPC </w:t>
      </w:r>
      <w:r w:rsidR="008A7E16" w:rsidRPr="001A7D29">
        <w:rPr>
          <w:i/>
        </w:rPr>
        <w:t>“i”,</w:t>
      </w:r>
      <w:r w:rsidR="008A7E16" w:rsidRPr="001A7D29">
        <w:rPr>
          <w:iCs/>
        </w:rPr>
        <w:t xml:space="preserve"> in hour </w:t>
      </w:r>
      <w:r w:rsidR="008A7E16" w:rsidRPr="001A7D29">
        <w:rPr>
          <w:i/>
        </w:rPr>
        <w:t xml:space="preserve">“h”, </w:t>
      </w:r>
      <w:r w:rsidR="008A7E16" w:rsidRPr="001A7D29">
        <w:rPr>
          <w:iCs/>
        </w:rPr>
        <w:t>registered by the Commercial Metering System or the information contained in the Contract Register of the Market Operator, as the case may be</w:t>
      </w:r>
      <w:commentRangeEnd w:id="509"/>
      <w:r w:rsidR="00506904">
        <w:rPr>
          <w:rStyle w:val="CommentReference"/>
        </w:rPr>
        <w:commentReference w:id="509"/>
      </w:r>
      <w:r w:rsidR="004E0D14">
        <w:rPr>
          <w:iCs/>
        </w:rPr>
        <w:t>;</w:t>
      </w:r>
    </w:p>
    <w:p w14:paraId="5446B247" w14:textId="10A92853" w:rsidR="008A7E16" w:rsidRPr="001A7D29" w:rsidRDefault="008A7E16" w:rsidP="008A7E16">
      <w:pPr>
        <w:pStyle w:val="BodyText"/>
        <w:ind w:left="3544" w:hanging="992"/>
      </w:pPr>
      <w:r w:rsidRPr="001A7D29">
        <w:rPr>
          <w:rFonts w:ascii="Symbol" w:hAnsi="Symbol"/>
          <w:i/>
          <w:iCs/>
          <w:sz w:val="28"/>
          <w:szCs w:val="28"/>
        </w:rPr>
        <w:t>S</w:t>
      </w:r>
      <w:r w:rsidRPr="001A7D29">
        <w:rPr>
          <w:i/>
          <w:iCs/>
          <w:vertAlign w:val="subscript"/>
        </w:rPr>
        <w:sym w:font="Symbol" w:char="F022"/>
      </w:r>
      <w:r w:rsidRPr="001A7D29">
        <w:rPr>
          <w:i/>
          <w:iCs/>
          <w:vertAlign w:val="subscript"/>
        </w:rPr>
        <w:t>CS</w:t>
      </w:r>
      <w:r w:rsidR="001A7D29" w:rsidRPr="001A7D29">
        <w:rPr>
          <w:i/>
          <w:iCs/>
          <w:vertAlign w:val="subscript"/>
        </w:rPr>
        <w:t>j</w:t>
      </w:r>
      <w:r w:rsidRPr="001A7D29">
        <w:rPr>
          <w:i/>
          <w:iCs/>
          <w:vertAlign w:val="subscript"/>
        </w:rPr>
        <w:tab/>
      </w:r>
      <w:r w:rsidRPr="001A7D29">
        <w:t>means</w:t>
      </w:r>
      <w:r w:rsidR="001A7D29" w:rsidRPr="001A7D29">
        <w:t xml:space="preserve"> the sum over all Competitive </w:t>
      </w:r>
      <w:r w:rsidR="00BF564D">
        <w:t>Electric Power Supplier</w:t>
      </w:r>
      <w:r w:rsidR="001A7D29" w:rsidRPr="001A7D29">
        <w:t xml:space="preserve">s which have </w:t>
      </w:r>
      <w:r w:rsidR="003A578F">
        <w:t>Contract</w:t>
      </w:r>
      <w:r w:rsidR="001A7D29" w:rsidRPr="001A7D29">
        <w:t>s  with the BPC</w:t>
      </w:r>
      <w:r w:rsidR="001A7D29" w:rsidRPr="001A7D29">
        <w:rPr>
          <w:i/>
          <w:iCs/>
        </w:rPr>
        <w:t xml:space="preserve"> “i” (</w:t>
      </w:r>
      <w:r w:rsidR="001A7D29" w:rsidRPr="001A7D29">
        <w:t>if any)</w:t>
      </w:r>
      <w:r w:rsidRPr="001A7D29">
        <w:rPr>
          <w:i/>
          <w:iCs/>
        </w:rPr>
        <w:t>”</w:t>
      </w:r>
      <w:r w:rsidR="004E0D14">
        <w:t>;</w:t>
      </w:r>
    </w:p>
    <w:p w14:paraId="2B88C189" w14:textId="447CA46F" w:rsidR="00E8465D" w:rsidRPr="001A7D29" w:rsidRDefault="00E8465D" w:rsidP="00C2551B">
      <w:pPr>
        <w:pStyle w:val="BodyText"/>
        <w:ind w:left="3544" w:hanging="992"/>
      </w:pPr>
      <w:r w:rsidRPr="001A7D29">
        <w:rPr>
          <w:rFonts w:ascii="Symbol" w:hAnsi="Symbol"/>
          <w:i/>
          <w:iCs/>
          <w:sz w:val="28"/>
          <w:szCs w:val="28"/>
        </w:rPr>
        <w:t>S</w:t>
      </w:r>
      <w:r w:rsidRPr="001A7D29">
        <w:rPr>
          <w:i/>
          <w:iCs/>
          <w:vertAlign w:val="subscript"/>
        </w:rPr>
        <w:t>h</w:t>
      </w:r>
      <w:r w:rsidRPr="001A7D29">
        <w:rPr>
          <w:i/>
          <w:iCs/>
          <w:vertAlign w:val="subscript"/>
        </w:rPr>
        <w:sym w:font="Symbol" w:char="F0CE"/>
      </w:r>
      <w:r w:rsidR="00513E04" w:rsidRPr="001A7D29">
        <w:rPr>
          <w:i/>
          <w:iCs/>
          <w:vertAlign w:val="subscript"/>
        </w:rPr>
        <w:t>CH</w:t>
      </w:r>
      <w:r w:rsidR="00513E04" w:rsidRPr="001A7D29">
        <w:rPr>
          <w:i/>
          <w:iCs/>
          <w:vertAlign w:val="subscript"/>
        </w:rPr>
        <w:tab/>
      </w:r>
      <w:r w:rsidR="00513E04" w:rsidRPr="001A7D29">
        <w:t xml:space="preserve">means the 50 hours which have been defined as Critical Hours, for the Fiscal Year </w:t>
      </w:r>
      <w:r w:rsidR="00513E04" w:rsidRPr="001A7D29">
        <w:rPr>
          <w:i/>
          <w:iCs/>
        </w:rPr>
        <w:t>“y”</w:t>
      </w:r>
      <w:r w:rsidR="004E0D14">
        <w:t>;</w:t>
      </w:r>
    </w:p>
    <w:p w14:paraId="2F67D464" w14:textId="0167F2CC" w:rsidR="00F92DA3" w:rsidRDefault="00F92DA3" w:rsidP="00F92DA3">
      <w:pPr>
        <w:pStyle w:val="BodyText"/>
        <w:ind w:left="3544" w:hanging="992"/>
      </w:pPr>
      <w:r w:rsidRPr="001A7D29">
        <w:rPr>
          <w:i/>
          <w:iCs/>
        </w:rPr>
        <w:t>RM</w:t>
      </w:r>
      <w:r w:rsidRPr="001A7D29">
        <w:rPr>
          <w:i/>
          <w:iCs/>
        </w:rPr>
        <w:tab/>
      </w:r>
      <w:r w:rsidRPr="001A7D29">
        <w:t xml:space="preserve">is the </w:t>
      </w:r>
      <w:r w:rsidR="00FF212F" w:rsidRPr="001A7D29">
        <w:t xml:space="preserve">applicable </w:t>
      </w:r>
      <w:r w:rsidR="002D58BB">
        <w:t>Operational Reserve Margin</w:t>
      </w:r>
      <w:r w:rsidR="00FF212F">
        <w:t>.</w:t>
      </w:r>
    </w:p>
    <w:p w14:paraId="580F3602" w14:textId="6EAD3F90" w:rsidR="007D5978" w:rsidRDefault="00266399" w:rsidP="00EB1EBE">
      <w:pPr>
        <w:pStyle w:val="Heading5"/>
      </w:pPr>
      <w:bookmarkStart w:id="510" w:name="_Ref68043092"/>
      <w:r>
        <w:t>i</w:t>
      </w:r>
      <w:r w:rsidR="00C2551B" w:rsidRPr="0096353B">
        <w:t xml:space="preserve">n the </w:t>
      </w:r>
      <w:r w:rsidR="00C2551B" w:rsidRPr="00FF212F">
        <w:t xml:space="preserve">case of Competitive </w:t>
      </w:r>
      <w:r w:rsidR="00BF564D">
        <w:t>Electric Power Supplier</w:t>
      </w:r>
      <w:r w:rsidR="00C2551B" w:rsidRPr="00FF212F">
        <w:t xml:space="preserve">s, </w:t>
      </w:r>
      <w:r w:rsidR="00F92DA3" w:rsidRPr="00FF212F">
        <w:t>its</w:t>
      </w:r>
      <w:r w:rsidR="00513E04" w:rsidRPr="00FF212F">
        <w:t xml:space="preserve"> Capacity </w:t>
      </w:r>
      <w:r w:rsidR="00905A71">
        <w:t>R</w:t>
      </w:r>
      <w:r w:rsidR="00513E04" w:rsidRPr="00FF212F">
        <w:t>equirement shall be equal to the average Energy supplied</w:t>
      </w:r>
      <w:r w:rsidR="00513E04">
        <w:t xml:space="preserve"> by the </w:t>
      </w:r>
      <w:r w:rsidR="00BF564D">
        <w:t>Electric Power Supplier</w:t>
      </w:r>
      <w:r w:rsidR="00513E04" w:rsidRPr="00513E04">
        <w:t xml:space="preserve">, </w:t>
      </w:r>
      <w:r w:rsidR="004E0D14">
        <w:t>during</w:t>
      </w:r>
      <w:r w:rsidR="00513E04" w:rsidRPr="00513E04">
        <w:t xml:space="preserve"> the Critical Hours, </w:t>
      </w:r>
      <w:r w:rsidR="004E0D14" w:rsidRPr="005318C2">
        <w:rPr>
          <w:iCs/>
        </w:rPr>
        <w:t>calculated pursuant</w:t>
      </w:r>
      <w:r w:rsidR="004E0D14">
        <w:rPr>
          <w:iCs/>
        </w:rPr>
        <w:t xml:space="preserve"> to</w:t>
      </w:r>
      <w:r w:rsidR="004E0D14" w:rsidRPr="005318C2">
        <w:rPr>
          <w:iCs/>
        </w:rPr>
        <w:t xml:space="preserve"> </w:t>
      </w:r>
      <w:r w:rsidR="004E0D14" w:rsidRPr="005318C2">
        <w:t xml:space="preserve">Clause </w:t>
      </w:r>
      <w:r w:rsidR="004E0D14" w:rsidRPr="005318C2">
        <w:fldChar w:fldCharType="begin"/>
      </w:r>
      <w:r w:rsidR="004E0D14" w:rsidRPr="005318C2">
        <w:instrText xml:space="preserve"> REF _Ref59456858 \r \h  \* MERGEFORMAT </w:instrText>
      </w:r>
      <w:r w:rsidR="004E0D14" w:rsidRPr="005318C2">
        <w:fldChar w:fldCharType="separate"/>
      </w:r>
      <w:r w:rsidR="004E0D14">
        <w:t>6.3.3.3</w:t>
      </w:r>
      <w:r w:rsidR="004E0D14" w:rsidRPr="005318C2">
        <w:fldChar w:fldCharType="end"/>
      </w:r>
      <w:r w:rsidR="004E0D14">
        <w:t xml:space="preserve">, multiplied by </w:t>
      </w:r>
      <w:r w:rsidR="00513E04" w:rsidRPr="00513E04">
        <w:t>a</w:t>
      </w:r>
      <w:r w:rsidR="002D58BB">
        <w:t>n</w:t>
      </w:r>
      <w:r w:rsidR="00513E04" w:rsidRPr="00513E04">
        <w:t xml:space="preserve"> </w:t>
      </w:r>
      <w:r w:rsidR="002D58BB">
        <w:t>Operational Reserve Margin</w:t>
      </w:r>
      <w:r w:rsidR="00513E04">
        <w:t>. The</w:t>
      </w:r>
      <w:r w:rsidR="00C2551B">
        <w:t xml:space="preserve"> Energy supplied </w:t>
      </w:r>
      <w:r w:rsidR="00513E04">
        <w:t xml:space="preserve">for each </w:t>
      </w:r>
      <w:r w:rsidR="007D5978">
        <w:t xml:space="preserve">particular </w:t>
      </w:r>
      <w:r w:rsidR="00513E04">
        <w:t xml:space="preserve">hour </w:t>
      </w:r>
      <w:r w:rsidR="00C2551B">
        <w:t xml:space="preserve">shall be the addition of the Energy supplied to all the BPCs served by the Competitive </w:t>
      </w:r>
      <w:r w:rsidR="00BF564D">
        <w:t>Electric Power Supplier</w:t>
      </w:r>
      <w:r w:rsidR="004E0D14">
        <w:t xml:space="preserve"> during the relevant hour</w:t>
      </w:r>
      <w:r w:rsidR="00C2551B">
        <w:t>:</w:t>
      </w:r>
      <w:bookmarkEnd w:id="510"/>
    </w:p>
    <w:p w14:paraId="5FEE9404" w14:textId="076C7A5E" w:rsidR="001A7D29" w:rsidRPr="00E27305" w:rsidRDefault="004D6075" w:rsidP="001A7D29">
      <w:pPr>
        <w:ind w:left="1276"/>
        <w:jc w:val="center"/>
        <w:rPr>
          <w:rFonts w:eastAsia="Times New Roman" w:cs="Times New Roman"/>
        </w:rPr>
      </w:pPr>
      <m:oMathPara>
        <m:oMath>
          <m:sSub>
            <m:sSubPr>
              <m:ctrlPr>
                <w:rPr>
                  <w:rFonts w:ascii="Cambria Math" w:hAnsi="Cambria Math"/>
                  <w:i/>
                </w:rPr>
              </m:ctrlPr>
            </m:sSubPr>
            <m:e>
              <m:r>
                <w:rPr>
                  <w:rFonts w:ascii="Cambria Math" w:hAnsi="Cambria Math"/>
                </w:rPr>
                <m:t>ACR</m:t>
              </m:r>
            </m:e>
            <m:sub>
              <m:r>
                <w:rPr>
                  <w:rFonts w:ascii="Cambria Math" w:hAnsi="Cambria Math"/>
                </w:rPr>
                <m:t>j,y</m:t>
              </m:r>
            </m:sub>
          </m:sSub>
          <m:d>
            <m:dPr>
              <m:begChr m:val="["/>
              <m:endChr m:val="]"/>
              <m:ctrlPr>
                <w:rPr>
                  <w:rFonts w:ascii="Cambria Math" w:hAnsi="Cambria Math"/>
                  <w:i/>
                </w:rPr>
              </m:ctrlPr>
            </m:dPr>
            <m:e>
              <m:r>
                <w:rPr>
                  <w:rFonts w:ascii="Cambria Math" w:hAnsi="Cambria Math"/>
                </w:rPr>
                <m:t>MW</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h∈CH</m:t>
                  </m:r>
                </m:sub>
                <m:sup/>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BPC</m:t>
                              </m:r>
                            </m:e>
                            <m:sub>
                              <m:r>
                                <w:rPr>
                                  <w:rFonts w:ascii="Cambria Math" w:hAnsi="Cambria Math"/>
                                </w:rPr>
                                <m:t>i,j</m:t>
                              </m:r>
                            </m:sub>
                          </m:sSub>
                        </m:sub>
                        <m:sup/>
                        <m:e>
                          <m:sSub>
                            <m:sSubPr>
                              <m:ctrlPr>
                                <w:rPr>
                                  <w:rFonts w:ascii="Cambria Math" w:hAnsi="Cambria Math"/>
                                </w:rPr>
                              </m:ctrlPr>
                            </m:sSubPr>
                            <m:e>
                              <m:r>
                                <w:rPr>
                                  <w:rFonts w:ascii="Cambria Math" w:hAnsi="Cambria Math"/>
                                  <w:lang w:val="en-US"/>
                                </w:rPr>
                                <m:t>Act</m:t>
                              </m:r>
                              <m:r>
                                <m:rPr>
                                  <m:sty m:val="p"/>
                                </m:rPr>
                                <w:rPr>
                                  <w:rFonts w:ascii="Cambria Math" w:hAnsi="Cambria Math"/>
                                  <w:lang w:val="en-US"/>
                                </w:rPr>
                                <m:t>_</m:t>
                              </m:r>
                              <m:r>
                                <w:rPr>
                                  <w:rFonts w:ascii="Cambria Math" w:hAnsi="Cambria Math"/>
                                </w:rPr>
                                <m:t>E</m:t>
                              </m:r>
                            </m:e>
                            <m:sub>
                              <m:r>
                                <w:rPr>
                                  <w:rFonts w:ascii="Cambria Math" w:hAnsi="Cambria Math"/>
                                </w:rPr>
                                <m:t>i</m:t>
                              </m:r>
                              <m:r>
                                <m:rPr>
                                  <m:sty m:val="p"/>
                                </m:rPr>
                                <w:rPr>
                                  <w:rFonts w:ascii="Cambria Math" w:hAnsi="Cambria Math"/>
                                  <w:lang w:val="en-US"/>
                                </w:rPr>
                                <m:t>,j,</m:t>
                              </m:r>
                              <m:r>
                                <w:rPr>
                                  <w:rFonts w:ascii="Cambria Math" w:hAnsi="Cambria Math"/>
                                  <w:lang w:val="en-US"/>
                                </w:rPr>
                                <m:t>h</m:t>
                              </m:r>
                            </m:sub>
                          </m:sSub>
                        </m:e>
                      </m:nary>
                    </m:e>
                  </m:d>
                </m:e>
              </m:nary>
            </m:num>
            <m:den>
              <m:r>
                <w:rPr>
                  <w:rFonts w:ascii="Cambria Math" w:hAnsi="Cambria Math"/>
                </w:rPr>
                <m:t xml:space="preserve">50 </m:t>
              </m:r>
              <m:r>
                <w:rPr>
                  <w:rFonts w:ascii="Cambria Math" w:hAnsi="Cambria Math"/>
                </w:rPr>
                <m:t>hours</m:t>
              </m:r>
            </m:den>
          </m:f>
          <m:r>
            <w:rPr>
              <w:rFonts w:ascii="Cambria Math" w:hAnsi="Cambria Math"/>
            </w:rPr>
            <m:t xml:space="preserve">   </m:t>
          </m:r>
          <m:d>
            <m:dPr>
              <m:ctrlPr>
                <w:rPr>
                  <w:rFonts w:ascii="Cambria Math" w:hAnsi="Cambria Math"/>
                  <w:i/>
                </w:rPr>
              </m:ctrlPr>
            </m:dPr>
            <m:e>
              <m:r>
                <w:rPr>
                  <w:rFonts w:ascii="Cambria Math" w:hAnsi="Cambria Math"/>
                </w:rPr>
                <m:t>1+RM</m:t>
              </m:r>
            </m:e>
          </m:d>
        </m:oMath>
      </m:oMathPara>
    </w:p>
    <w:p w14:paraId="5EB15590" w14:textId="77777777" w:rsidR="001A7D29" w:rsidRPr="00E13254" w:rsidRDefault="001A7D29" w:rsidP="001A7D29">
      <w:pPr>
        <w:pStyle w:val="BodyText"/>
        <w:ind w:left="3544" w:hanging="992"/>
      </w:pPr>
      <w:r>
        <w:t>Where:</w:t>
      </w:r>
      <w:r w:rsidRPr="00B90F6F">
        <w:t xml:space="preserve"> </w:t>
      </w:r>
    </w:p>
    <w:p w14:paraId="542C55AB" w14:textId="679F0FC9" w:rsidR="001A7D29" w:rsidRPr="00EE7F7E" w:rsidRDefault="001A7D29" w:rsidP="001A7D29">
      <w:pPr>
        <w:pStyle w:val="BodyText"/>
        <w:ind w:left="3544" w:hanging="992"/>
      </w:pPr>
      <w:r>
        <w:rPr>
          <w:i/>
          <w:iCs/>
        </w:rPr>
        <w:t>ACR</w:t>
      </w:r>
      <w:r>
        <w:rPr>
          <w:i/>
          <w:iCs/>
          <w:vertAlign w:val="subscript"/>
        </w:rPr>
        <w:t>j</w:t>
      </w:r>
      <w:r w:rsidRPr="00E8465D">
        <w:rPr>
          <w:i/>
          <w:iCs/>
          <w:vertAlign w:val="subscript"/>
        </w:rPr>
        <w:t>,y</w:t>
      </w:r>
      <w:r>
        <w:rPr>
          <w:i/>
          <w:iCs/>
        </w:rPr>
        <w:tab/>
      </w:r>
      <w:r>
        <w:t xml:space="preserve">is the Capacity Requirement of the Competitive </w:t>
      </w:r>
      <w:r w:rsidR="00BF564D">
        <w:t>Electric Power Supplier</w:t>
      </w:r>
      <w:r>
        <w:t xml:space="preserve"> </w:t>
      </w:r>
      <w:r w:rsidRPr="00DC384E">
        <w:rPr>
          <w:i/>
          <w:iCs/>
        </w:rPr>
        <w:t>“</w:t>
      </w:r>
      <w:r>
        <w:rPr>
          <w:i/>
          <w:iCs/>
        </w:rPr>
        <w:t>j</w:t>
      </w:r>
      <w:r w:rsidRPr="00DC384E">
        <w:rPr>
          <w:i/>
          <w:iCs/>
        </w:rPr>
        <w:t>”,</w:t>
      </w:r>
      <w:r>
        <w:t xml:space="preserve"> for the Fiscal Year </w:t>
      </w:r>
      <w:r w:rsidRPr="00E8465D">
        <w:rPr>
          <w:i/>
          <w:iCs/>
        </w:rPr>
        <w:t>“y”</w:t>
      </w:r>
      <w:r>
        <w:t>, in MW;</w:t>
      </w:r>
    </w:p>
    <w:p w14:paraId="607CCB7D" w14:textId="01E5A1C2" w:rsidR="005318C2" w:rsidRPr="005318C2" w:rsidRDefault="001A7D29" w:rsidP="004E0D14">
      <w:pPr>
        <w:pStyle w:val="BodyText"/>
        <w:ind w:left="3544" w:hanging="992"/>
      </w:pPr>
      <w:r w:rsidRPr="005318C2">
        <w:rPr>
          <w:i/>
          <w:iCs/>
        </w:rPr>
        <w:t>A</w:t>
      </w:r>
      <w:r w:rsidR="00A55DED">
        <w:rPr>
          <w:i/>
          <w:iCs/>
        </w:rPr>
        <w:t>ct</w:t>
      </w:r>
      <w:r w:rsidRPr="005318C2">
        <w:rPr>
          <w:i/>
          <w:iCs/>
        </w:rPr>
        <w:t>_E</w:t>
      </w:r>
      <w:r w:rsidRPr="005318C2">
        <w:rPr>
          <w:i/>
          <w:iCs/>
          <w:vertAlign w:val="subscript"/>
        </w:rPr>
        <w:t>i,j,h</w:t>
      </w:r>
      <w:r w:rsidRPr="005318C2">
        <w:rPr>
          <w:i/>
          <w:iCs/>
        </w:rPr>
        <w:t xml:space="preserve"> is</w:t>
      </w:r>
      <w:r w:rsidRPr="005318C2">
        <w:t xml:space="preserve"> the total Energy supplied by the Competitive </w:t>
      </w:r>
      <w:r w:rsidR="00BF564D">
        <w:t>Electric Power Supplier</w:t>
      </w:r>
      <w:r w:rsidRPr="005318C2">
        <w:t xml:space="preserve"> </w:t>
      </w:r>
      <w:r w:rsidRPr="005318C2">
        <w:rPr>
          <w:i/>
          <w:iCs/>
        </w:rPr>
        <w:t>“j”</w:t>
      </w:r>
      <w:r w:rsidRPr="005318C2">
        <w:t xml:space="preserve">, to BPC </w:t>
      </w:r>
      <w:r w:rsidRPr="005318C2">
        <w:rPr>
          <w:i/>
          <w:iCs/>
        </w:rPr>
        <w:t>“i”</w:t>
      </w:r>
      <w:r w:rsidRPr="005318C2">
        <w:t xml:space="preserve"> in hour </w:t>
      </w:r>
      <w:r w:rsidRPr="005318C2">
        <w:rPr>
          <w:i/>
          <w:iCs/>
        </w:rPr>
        <w:t>“h”,</w:t>
      </w:r>
      <w:r w:rsidRPr="005318C2">
        <w:t xml:space="preserve"> </w:t>
      </w:r>
      <w:r w:rsidR="005318C2" w:rsidRPr="005318C2">
        <w:t>, either</w:t>
      </w:r>
      <w:r w:rsidR="004E0D14">
        <w:t xml:space="preserve"> </w:t>
      </w:r>
      <w:r w:rsidRPr="005318C2">
        <w:rPr>
          <w:iCs/>
        </w:rPr>
        <w:t xml:space="preserve">calculated pursuant </w:t>
      </w:r>
      <w:r w:rsidRPr="005318C2">
        <w:lastRenderedPageBreak/>
        <w:t xml:space="preserve">Clause </w:t>
      </w:r>
      <w:r w:rsidRPr="005318C2">
        <w:fldChar w:fldCharType="begin"/>
      </w:r>
      <w:r w:rsidRPr="005318C2">
        <w:instrText xml:space="preserve"> REF _Ref59456858 \r \h  \* MERGEFORMAT </w:instrText>
      </w:r>
      <w:r w:rsidRPr="005318C2">
        <w:fldChar w:fldCharType="separate"/>
      </w:r>
      <w:r w:rsidR="00251DBF">
        <w:t>6.3.3.3</w:t>
      </w:r>
      <w:r w:rsidRPr="005318C2">
        <w:fldChar w:fldCharType="end"/>
      </w:r>
      <w:r w:rsidRPr="005318C2">
        <w:rPr>
          <w:iCs/>
        </w:rPr>
        <w:t xml:space="preserve"> </w:t>
      </w:r>
      <w:r w:rsidRPr="005318C2">
        <w:t xml:space="preserve"> or</w:t>
      </w:r>
      <w:r w:rsidR="004E0D14">
        <w:t xml:space="preserve"> </w:t>
      </w:r>
      <w:r w:rsidR="005318C2" w:rsidRPr="005318C2">
        <w:t xml:space="preserve">the information contained in the Contract Register of the Market Operator, </w:t>
      </w:r>
      <w:r w:rsidR="005318C2" w:rsidRPr="005318C2">
        <w:rPr>
          <w:iCs/>
        </w:rPr>
        <w:t>as the case may be</w:t>
      </w:r>
      <w:r w:rsidR="005318C2" w:rsidRPr="005318C2">
        <w:t xml:space="preserve">, depending on the type of Contract  between the Competitive </w:t>
      </w:r>
      <w:r w:rsidR="00BF564D">
        <w:t>Electric Power Supplier</w:t>
      </w:r>
      <w:r w:rsidR="005318C2" w:rsidRPr="005318C2">
        <w:t xml:space="preserve"> and the BPC, in MWh</w:t>
      </w:r>
      <w:r w:rsidR="004E0D14">
        <w:t>;</w:t>
      </w:r>
    </w:p>
    <w:p w14:paraId="48F58101" w14:textId="4F266EF0" w:rsidR="001A7D29" w:rsidRPr="00B3349B" w:rsidRDefault="004D6075" w:rsidP="001A7D29">
      <w:pPr>
        <w:pStyle w:val="BodyText"/>
        <w:ind w:left="3544" w:hanging="992"/>
        <w:rPr>
          <w:rFonts w:eastAsiaTheme="minorEastAsia"/>
          <w:sz w:val="24"/>
          <w:szCs w:val="24"/>
        </w:rPr>
      </w:pPr>
      <m:oMath>
        <m:nary>
          <m:naryPr>
            <m:chr m:val="∑"/>
            <m:limLoc m:val="undOvr"/>
            <m:supHide m:val="1"/>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BPC</m:t>
                </m:r>
              </m:e>
              <m:sub>
                <m:r>
                  <w:rPr>
                    <w:rFonts w:ascii="Cambria Math" w:hAnsi="Cambria Math"/>
                  </w:rPr>
                  <m:t>i,j</m:t>
                </m:r>
              </m:sub>
            </m:sSub>
          </m:sub>
          <m:sup/>
          <m:e/>
        </m:nary>
      </m:oMath>
      <w:r w:rsidR="001A7D29">
        <w:rPr>
          <w:rFonts w:ascii="Cambria Math" w:eastAsiaTheme="minorEastAsia" w:hAnsi="Cambria Math"/>
          <w:sz w:val="24"/>
          <w:szCs w:val="24"/>
        </w:rPr>
        <w:tab/>
      </w:r>
      <w:r w:rsidR="001A7D29" w:rsidRPr="00B3349B">
        <w:rPr>
          <w:rFonts w:eastAsiaTheme="minorEastAsia"/>
          <w:sz w:val="24"/>
          <w:szCs w:val="24"/>
        </w:rPr>
        <w:t xml:space="preserve">means </w:t>
      </w:r>
      <w:r w:rsidR="001A7D29">
        <w:rPr>
          <w:rFonts w:eastAsiaTheme="minorEastAsia"/>
          <w:sz w:val="24"/>
          <w:szCs w:val="24"/>
        </w:rPr>
        <w:t xml:space="preserve">the </w:t>
      </w:r>
      <w:r w:rsidR="001C60A0">
        <w:rPr>
          <w:rFonts w:eastAsiaTheme="minorEastAsia"/>
          <w:sz w:val="24"/>
          <w:szCs w:val="24"/>
        </w:rPr>
        <w:t xml:space="preserve">sum </w:t>
      </w:r>
      <w:r w:rsidR="001A7D29">
        <w:rPr>
          <w:rFonts w:eastAsiaTheme="minorEastAsia"/>
          <w:sz w:val="24"/>
          <w:szCs w:val="24"/>
        </w:rPr>
        <w:t xml:space="preserve">over all BPCs </w:t>
      </w:r>
      <w:r w:rsidR="001A7D29" w:rsidRPr="00F92DA3">
        <w:rPr>
          <w:rFonts w:eastAsiaTheme="minorEastAsia"/>
          <w:i/>
          <w:iCs/>
          <w:sz w:val="24"/>
          <w:szCs w:val="24"/>
        </w:rPr>
        <w:t>“i”</w:t>
      </w:r>
      <w:r w:rsidR="001A7D29">
        <w:rPr>
          <w:rFonts w:eastAsiaTheme="minorEastAsia"/>
          <w:sz w:val="24"/>
          <w:szCs w:val="24"/>
        </w:rPr>
        <w:t xml:space="preserve"> which are supplied by the Competitive </w:t>
      </w:r>
      <w:r w:rsidR="00BF564D">
        <w:rPr>
          <w:rFonts w:eastAsiaTheme="minorEastAsia"/>
          <w:sz w:val="24"/>
          <w:szCs w:val="24"/>
        </w:rPr>
        <w:t>Electric Power Supplier</w:t>
      </w:r>
      <w:r w:rsidR="001A7D29">
        <w:rPr>
          <w:rFonts w:eastAsiaTheme="minorEastAsia"/>
          <w:sz w:val="24"/>
          <w:szCs w:val="24"/>
        </w:rPr>
        <w:t xml:space="preserve"> </w:t>
      </w:r>
      <w:r w:rsidR="001A7D29" w:rsidRPr="00F92DA3">
        <w:rPr>
          <w:rFonts w:eastAsiaTheme="minorEastAsia"/>
          <w:i/>
          <w:iCs/>
          <w:sz w:val="24"/>
          <w:szCs w:val="24"/>
        </w:rPr>
        <w:t>“j”</w:t>
      </w:r>
      <w:r w:rsidR="001A7D29">
        <w:rPr>
          <w:rFonts w:eastAsiaTheme="minorEastAsia"/>
          <w:sz w:val="24"/>
          <w:szCs w:val="24"/>
        </w:rPr>
        <w:t xml:space="preserve"> </w:t>
      </w:r>
      <w:r w:rsidR="004E0D14">
        <w:rPr>
          <w:rFonts w:eastAsiaTheme="minorEastAsia"/>
          <w:sz w:val="24"/>
          <w:szCs w:val="24"/>
        </w:rPr>
        <w:t>;</w:t>
      </w:r>
    </w:p>
    <w:p w14:paraId="0D62CFB8" w14:textId="107AC934" w:rsidR="001A7D29" w:rsidRDefault="001A7D29" w:rsidP="001A7D29">
      <w:pPr>
        <w:pStyle w:val="BodyText"/>
        <w:ind w:left="3544" w:hanging="992"/>
      </w:pPr>
      <w:r w:rsidRPr="00513E04">
        <w:rPr>
          <w:rFonts w:ascii="Symbol" w:hAnsi="Symbol"/>
          <w:i/>
          <w:iCs/>
          <w:sz w:val="28"/>
          <w:szCs w:val="28"/>
        </w:rPr>
        <w:t>S</w:t>
      </w:r>
      <w:r w:rsidRPr="00513E04">
        <w:rPr>
          <w:i/>
          <w:iCs/>
          <w:vertAlign w:val="subscript"/>
        </w:rPr>
        <w:t>h</w:t>
      </w:r>
      <w:r w:rsidRPr="00513E04">
        <w:rPr>
          <w:i/>
          <w:iCs/>
          <w:vertAlign w:val="subscript"/>
        </w:rPr>
        <w:sym w:font="Symbol" w:char="F0CE"/>
      </w:r>
      <w:r w:rsidRPr="00513E04">
        <w:rPr>
          <w:i/>
          <w:iCs/>
          <w:vertAlign w:val="subscript"/>
        </w:rPr>
        <w:t>CH</w:t>
      </w:r>
      <w:r>
        <w:rPr>
          <w:i/>
          <w:iCs/>
          <w:vertAlign w:val="subscript"/>
        </w:rPr>
        <w:tab/>
      </w:r>
      <w:r>
        <w:t xml:space="preserve">means the 50 hours which have been defined as Critical Hours, for the Fiscal Year </w:t>
      </w:r>
      <w:r w:rsidRPr="00513E04">
        <w:rPr>
          <w:i/>
          <w:iCs/>
        </w:rPr>
        <w:t>“y”</w:t>
      </w:r>
      <w:r w:rsidR="004E0D14">
        <w:t>;</w:t>
      </w:r>
    </w:p>
    <w:p w14:paraId="22C77CD8" w14:textId="7C51F07A" w:rsidR="001A7D29" w:rsidRDefault="001A7D29" w:rsidP="001A7D29">
      <w:pPr>
        <w:pStyle w:val="BodyText"/>
        <w:ind w:left="3544" w:hanging="992"/>
      </w:pPr>
      <w:r>
        <w:rPr>
          <w:i/>
          <w:iCs/>
        </w:rPr>
        <w:t>RM</w:t>
      </w:r>
      <w:r w:rsidRPr="00B90F6F">
        <w:rPr>
          <w:i/>
          <w:iCs/>
        </w:rPr>
        <w:tab/>
      </w:r>
      <w:r>
        <w:t xml:space="preserve">is the </w:t>
      </w:r>
      <w:r w:rsidR="00FF212F">
        <w:t xml:space="preserve">applicable </w:t>
      </w:r>
      <w:r w:rsidR="002D58BB">
        <w:t>Operational Reserve Margin</w:t>
      </w:r>
      <w:r w:rsidR="00FF212F">
        <w:t>.</w:t>
      </w:r>
    </w:p>
    <w:p w14:paraId="347FAF43" w14:textId="06D272C5" w:rsidR="005318C2" w:rsidRPr="00450284" w:rsidRDefault="00266399" w:rsidP="005318C2">
      <w:pPr>
        <w:pStyle w:val="Heading5"/>
      </w:pPr>
      <w:bookmarkStart w:id="511" w:name="_Ref68043095"/>
      <w:r>
        <w:t>i</w:t>
      </w:r>
      <w:r w:rsidR="005318C2">
        <w:t xml:space="preserve">n the case of </w:t>
      </w:r>
      <w:r w:rsidR="00403C8A">
        <w:t>Default Supplier</w:t>
      </w:r>
      <w:r w:rsidR="005318C2">
        <w:t xml:space="preserve">s, the </w:t>
      </w:r>
      <w:r w:rsidR="005318C2" w:rsidRPr="00513E04">
        <w:t xml:space="preserve">Capacity </w:t>
      </w:r>
      <w:r w:rsidR="00905A71">
        <w:t>R</w:t>
      </w:r>
      <w:r w:rsidR="005318C2" w:rsidRPr="00513E04">
        <w:t xml:space="preserve">equirement shall be equal </w:t>
      </w:r>
      <w:r w:rsidR="005318C2" w:rsidRPr="00564C1E">
        <w:t xml:space="preserve">to the average Energy supplied by the </w:t>
      </w:r>
      <w:r w:rsidR="00BF564D">
        <w:t>Electric Power Supplier</w:t>
      </w:r>
      <w:r w:rsidR="005318C2" w:rsidRPr="00564C1E">
        <w:t xml:space="preserve">, </w:t>
      </w:r>
      <w:r w:rsidR="001C60A0">
        <w:t>during</w:t>
      </w:r>
      <w:r w:rsidR="005318C2" w:rsidRPr="00564C1E">
        <w:t xml:space="preserve"> the Critical Hours, </w:t>
      </w:r>
      <w:r w:rsidR="001C60A0" w:rsidRPr="00A55DED">
        <w:rPr>
          <w:iCs/>
        </w:rPr>
        <w:t>calculated pursuant</w:t>
      </w:r>
      <w:r w:rsidR="001C60A0">
        <w:rPr>
          <w:iCs/>
        </w:rPr>
        <w:t xml:space="preserve"> to</w:t>
      </w:r>
      <w:r w:rsidR="001C60A0" w:rsidRPr="00A55DED">
        <w:rPr>
          <w:iCs/>
        </w:rPr>
        <w:t xml:space="preserve"> Clause </w:t>
      </w:r>
      <w:r w:rsidR="001C60A0" w:rsidRPr="00A55DED">
        <w:rPr>
          <w:iCs/>
        </w:rPr>
        <w:fldChar w:fldCharType="begin"/>
      </w:r>
      <w:r w:rsidR="001C60A0" w:rsidRPr="00A55DED">
        <w:rPr>
          <w:iCs/>
        </w:rPr>
        <w:instrText xml:space="preserve"> REF _Ref68108993 \w \h  \* MERGEFORMAT </w:instrText>
      </w:r>
      <w:r w:rsidR="001C60A0" w:rsidRPr="00A55DED">
        <w:rPr>
          <w:iCs/>
        </w:rPr>
      </w:r>
      <w:r w:rsidR="001C60A0" w:rsidRPr="00A55DED">
        <w:rPr>
          <w:iCs/>
        </w:rPr>
        <w:fldChar w:fldCharType="separate"/>
      </w:r>
      <w:r w:rsidR="001C60A0">
        <w:rPr>
          <w:iCs/>
        </w:rPr>
        <w:t>6.2.1.3</w:t>
      </w:r>
      <w:r w:rsidR="001C60A0" w:rsidRPr="00A55DED">
        <w:rPr>
          <w:iCs/>
        </w:rPr>
        <w:fldChar w:fldCharType="end"/>
      </w:r>
      <w:r w:rsidR="001C60A0">
        <w:rPr>
          <w:iCs/>
        </w:rPr>
        <w:t xml:space="preserve">, </w:t>
      </w:r>
      <w:r w:rsidR="001C60A0">
        <w:t>multiplied by</w:t>
      </w:r>
      <w:r w:rsidR="001C60A0" w:rsidRPr="00450284">
        <w:t xml:space="preserve"> </w:t>
      </w:r>
      <w:r w:rsidR="005318C2" w:rsidRPr="00450284">
        <w:t>a</w:t>
      </w:r>
      <w:r w:rsidR="002D58BB">
        <w:t>n</w:t>
      </w:r>
      <w:r w:rsidR="005318C2" w:rsidRPr="00450284">
        <w:t xml:space="preserve"> </w:t>
      </w:r>
      <w:r w:rsidR="002D58BB">
        <w:t>Operational Reserve Margin</w:t>
      </w:r>
      <w:r w:rsidR="005318C2" w:rsidRPr="00450284">
        <w:t xml:space="preserve">. The Energy supplied shall be calculated through an appropriate balance of the total Energy </w:t>
      </w:r>
      <w:r w:rsidR="001C60A0">
        <w:t>withdrawn</w:t>
      </w:r>
      <w:r w:rsidR="001C60A0" w:rsidRPr="00450284">
        <w:t xml:space="preserve"> </w:t>
      </w:r>
      <w:r w:rsidR="005318C2" w:rsidRPr="00450284">
        <w:t xml:space="preserve">by the </w:t>
      </w:r>
      <w:r w:rsidR="00403C8A">
        <w:t>Default Supplier</w:t>
      </w:r>
      <w:bookmarkEnd w:id="511"/>
      <w:r w:rsidR="005318C2" w:rsidRPr="00450284">
        <w:t xml:space="preserve"> from the Transmission Network or Imports plus the Energy injected by Embedded Generation owned by the </w:t>
      </w:r>
      <w:r w:rsidR="00403C8A">
        <w:t>Default Supplier</w:t>
      </w:r>
      <w:r w:rsidR="00564C1E">
        <w:t xml:space="preserve"> </w:t>
      </w:r>
      <w:commentRangeStart w:id="512"/>
      <w:r w:rsidR="005318C2" w:rsidRPr="00450284">
        <w:t>(duly corrected to take into account the losses in the Transmission or Distribution Network)</w:t>
      </w:r>
      <w:commentRangeEnd w:id="512"/>
      <w:r w:rsidR="001C60A0">
        <w:rPr>
          <w:rStyle w:val="CommentReference"/>
          <w:rFonts w:eastAsiaTheme="minorHAnsi" w:cstheme="minorBidi"/>
          <w:color w:val="1C1C1C"/>
        </w:rPr>
        <w:commentReference w:id="512"/>
      </w:r>
      <w:r>
        <w:t>:</w:t>
      </w:r>
    </w:p>
    <w:p w14:paraId="64D85B15" w14:textId="5289A630" w:rsidR="005318C2" w:rsidRPr="00450284" w:rsidRDefault="004D6075" w:rsidP="005318C2">
      <m:oMathPara>
        <m:oMath>
          <m:sSub>
            <m:sSubPr>
              <m:ctrlPr>
                <w:rPr>
                  <w:rFonts w:ascii="Cambria Math" w:hAnsi="Cambria Math"/>
                  <w:i/>
                </w:rPr>
              </m:ctrlPr>
            </m:sSubPr>
            <m:e>
              <m:r>
                <w:rPr>
                  <w:rFonts w:ascii="Cambria Math" w:hAnsi="Cambria Math"/>
                </w:rPr>
                <m:t>ACR</m:t>
              </m:r>
            </m:e>
            <m:sub>
              <m:r>
                <w:rPr>
                  <w:rFonts w:ascii="Cambria Math" w:hAnsi="Cambria Math"/>
                </w:rPr>
                <m:t>k,y</m:t>
              </m:r>
            </m:sub>
          </m:sSub>
          <m:d>
            <m:dPr>
              <m:begChr m:val="["/>
              <m:endChr m:val="]"/>
              <m:ctrlPr>
                <w:rPr>
                  <w:rFonts w:ascii="Cambria Math" w:hAnsi="Cambria Math"/>
                  <w:i/>
                </w:rPr>
              </m:ctrlPr>
            </m:dPr>
            <m:e>
              <m:r>
                <w:rPr>
                  <w:rFonts w:ascii="Cambria Math" w:hAnsi="Cambria Math"/>
                </w:rPr>
                <m:t>MW</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h∈CH</m:t>
                  </m:r>
                </m:sub>
                <m:sup/>
                <m:e>
                  <m:d>
                    <m:dPr>
                      <m:ctrlPr>
                        <w:rPr>
                          <w:rFonts w:ascii="Cambria Math" w:hAnsi="Cambria Math"/>
                          <w:i/>
                        </w:rPr>
                      </m:ctrlPr>
                    </m:dPr>
                    <m:e>
                      <m:nary>
                        <m:naryPr>
                          <m:chr m:val="∑"/>
                          <m:limLoc m:val="undOvr"/>
                          <m:supHide m:val="1"/>
                          <m:ctrlPr>
                            <w:rPr>
                              <w:rFonts w:ascii="Cambria Math" w:eastAsiaTheme="minorEastAsia" w:hAnsi="Cambria Math"/>
                            </w:rPr>
                          </m:ctrlPr>
                        </m:naryPr>
                        <m:sub>
                          <m:r>
                            <w:rPr>
                              <w:rFonts w:ascii="Cambria Math" w:eastAsiaTheme="minorEastAsia" w:hAnsi="Cambria Math"/>
                            </w:rPr>
                            <m:t>∀i∈TP</m:t>
                          </m:r>
                        </m:sub>
                        <m:sup/>
                        <m:e>
                          <m:sSub>
                            <m:sSubPr>
                              <m:ctrlPr>
                                <w:rPr>
                                  <w:rFonts w:ascii="Cambria Math" w:eastAsiaTheme="minorEastAsia" w:hAnsi="Cambria Math"/>
                                </w:rPr>
                              </m:ctrlPr>
                            </m:sSubPr>
                            <m:e>
                              <m:r>
                                <w:rPr>
                                  <w:rFonts w:ascii="Cambria Math" w:eastAsiaTheme="minorEastAsia" w:hAnsi="Cambria Math"/>
                                </w:rPr>
                                <m:t>Act_E</m:t>
                              </m:r>
                            </m:e>
                            <m:sub>
                              <m:sSub>
                                <m:sSubPr>
                                  <m:ctrlPr>
                                    <w:rPr>
                                      <w:rFonts w:ascii="Cambria Math" w:eastAsiaTheme="minorEastAsia" w:hAnsi="Cambria Math"/>
                                    </w:rPr>
                                  </m:ctrlPr>
                                </m:sSubPr>
                                <m:e>
                                  <m:r>
                                    <w:rPr>
                                      <w:rFonts w:ascii="Cambria Math" w:eastAsiaTheme="minorEastAsia" w:hAnsi="Cambria Math"/>
                                    </w:rPr>
                                    <m:t>TP</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h</m:t>
                                  </m:r>
                                </m:sub>
                              </m:sSub>
                            </m:sub>
                          </m:sSub>
                        </m:e>
                      </m:nary>
                      <m:r>
                        <m:rPr>
                          <m:sty m:val="p"/>
                        </m:rPr>
                        <w:rPr>
                          <w:rFonts w:ascii="Cambria Math" w:eastAsiaTheme="minorEastAsia" w:hAnsi="Cambria Math"/>
                        </w:rPr>
                        <m:t>+</m:t>
                      </m:r>
                      <m:nary>
                        <m:naryPr>
                          <m:chr m:val="∑"/>
                          <m:limLoc m:val="undOvr"/>
                          <m:supHide m:val="1"/>
                          <m:ctrlPr>
                            <w:rPr>
                              <w:rFonts w:ascii="Cambria Math" w:eastAsiaTheme="minorEastAsia" w:hAnsi="Cambria Math"/>
                            </w:rPr>
                          </m:ctrlPr>
                        </m:naryPr>
                        <m:sub>
                          <m:r>
                            <w:rPr>
                              <w:rFonts w:ascii="Cambria Math" w:eastAsiaTheme="minorEastAsia" w:hAnsi="Cambria Math"/>
                            </w:rPr>
                            <m:t>∀j∈MP</m:t>
                          </m:r>
                        </m:sub>
                        <m:sup/>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MP</m:t>
                                  </m:r>
                                </m:sub>
                              </m:sSub>
                            </m:e>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h</m:t>
                              </m:r>
                            </m:sub>
                          </m:sSub>
                        </m:e>
                      </m:nary>
                    </m:e>
                  </m:d>
                </m:e>
              </m:nary>
            </m:num>
            <m:den>
              <m:r>
                <w:rPr>
                  <w:rFonts w:ascii="Cambria Math" w:hAnsi="Cambria Math"/>
                </w:rPr>
                <m:t xml:space="preserve">50 </m:t>
              </m:r>
              <m:r>
                <w:rPr>
                  <w:rFonts w:ascii="Cambria Math" w:hAnsi="Cambria Math"/>
                </w:rPr>
                <m:t>hours</m:t>
              </m:r>
            </m:den>
          </m:f>
          <m:r>
            <w:rPr>
              <w:rFonts w:ascii="Cambria Math" w:hAnsi="Cambria Math"/>
            </w:rPr>
            <m:t xml:space="preserve">   </m:t>
          </m:r>
          <m:d>
            <m:dPr>
              <m:ctrlPr>
                <w:rPr>
                  <w:rFonts w:ascii="Cambria Math" w:hAnsi="Cambria Math"/>
                  <w:i/>
                </w:rPr>
              </m:ctrlPr>
            </m:dPr>
            <m:e>
              <m:r>
                <w:rPr>
                  <w:rFonts w:ascii="Cambria Math" w:hAnsi="Cambria Math"/>
                </w:rPr>
                <m:t>1+RM</m:t>
              </m:r>
            </m:e>
          </m:d>
        </m:oMath>
      </m:oMathPara>
    </w:p>
    <w:p w14:paraId="3976B274" w14:textId="77777777" w:rsidR="00A55DED" w:rsidRPr="00450284" w:rsidRDefault="00A55DED" w:rsidP="00A55DED">
      <w:pPr>
        <w:pStyle w:val="BodyText"/>
        <w:ind w:left="3544" w:hanging="992"/>
      </w:pPr>
      <w:r w:rsidRPr="00450284">
        <w:t xml:space="preserve">Where: </w:t>
      </w:r>
    </w:p>
    <w:p w14:paraId="19A8EA41" w14:textId="0277450B" w:rsidR="00A55DED" w:rsidRPr="00EE7F7E" w:rsidRDefault="00A55DED" w:rsidP="00A55DED">
      <w:pPr>
        <w:pStyle w:val="BodyText"/>
        <w:ind w:left="3544" w:hanging="992"/>
      </w:pPr>
      <w:r w:rsidRPr="00450284">
        <w:rPr>
          <w:i/>
          <w:iCs/>
        </w:rPr>
        <w:t>ACR</w:t>
      </w:r>
      <w:r w:rsidRPr="00450284">
        <w:rPr>
          <w:i/>
          <w:iCs/>
          <w:vertAlign w:val="subscript"/>
        </w:rPr>
        <w:t>k,y</w:t>
      </w:r>
      <w:r w:rsidRPr="00450284">
        <w:rPr>
          <w:i/>
          <w:iCs/>
        </w:rPr>
        <w:tab/>
      </w:r>
      <w:r w:rsidRPr="00450284">
        <w:t xml:space="preserve">is the Capacity Requirement of the </w:t>
      </w:r>
      <w:r w:rsidR="00403C8A">
        <w:t>Default Supplier</w:t>
      </w:r>
      <w:r w:rsidRPr="00450284">
        <w:t xml:space="preserve"> </w:t>
      </w:r>
      <w:r w:rsidRPr="00450284">
        <w:rPr>
          <w:i/>
          <w:iCs/>
        </w:rPr>
        <w:t>“k”,</w:t>
      </w:r>
      <w:r w:rsidRPr="00450284">
        <w:t xml:space="preserve"> for t</w:t>
      </w:r>
      <w:r>
        <w:t xml:space="preserve">he Fiscal Year </w:t>
      </w:r>
      <w:r w:rsidRPr="00E8465D">
        <w:rPr>
          <w:i/>
          <w:iCs/>
        </w:rPr>
        <w:t>“y”</w:t>
      </w:r>
      <w:r>
        <w:t>, in MW;</w:t>
      </w:r>
    </w:p>
    <w:p w14:paraId="735E9896" w14:textId="6AD42B54" w:rsidR="00A55DED" w:rsidRPr="00A55DED" w:rsidRDefault="004D6075" w:rsidP="00A55DED">
      <w:pPr>
        <w:pStyle w:val="BodyText"/>
        <w:ind w:left="3544" w:hanging="992"/>
      </w:pPr>
      <m:oMath>
        <m:sSub>
          <m:sSubPr>
            <m:ctrlPr>
              <w:rPr>
                <w:rFonts w:ascii="Cambria Math" w:eastAsiaTheme="minorEastAsia" w:hAnsi="Cambria Math"/>
              </w:rPr>
            </m:ctrlPr>
          </m:sSubPr>
          <m:e>
            <m:r>
              <w:rPr>
                <w:rFonts w:ascii="Cambria Math" w:eastAsiaTheme="minorEastAsia" w:hAnsi="Cambria Math"/>
              </w:rPr>
              <m:t>Act_E</m:t>
            </m:r>
          </m:e>
          <m:sub>
            <m:sSub>
              <m:sSubPr>
                <m:ctrlPr>
                  <w:rPr>
                    <w:rFonts w:ascii="Cambria Math" w:eastAsiaTheme="minorEastAsia" w:hAnsi="Cambria Math"/>
                  </w:rPr>
                </m:ctrlPr>
              </m:sSubPr>
              <m:e>
                <m:r>
                  <w:rPr>
                    <w:rFonts w:ascii="Cambria Math" w:eastAsiaTheme="minorEastAsia" w:hAnsi="Cambria Math"/>
                  </w:rPr>
                  <m:t>TP</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h</m:t>
                </m:r>
              </m:sub>
            </m:sSub>
          </m:sub>
        </m:sSub>
      </m:oMath>
      <w:r w:rsidR="00A55DED" w:rsidRPr="00A55DED">
        <w:rPr>
          <w:i/>
          <w:iCs/>
        </w:rPr>
        <w:t>is</w:t>
      </w:r>
      <w:r w:rsidR="00A55DED" w:rsidRPr="00A55DED">
        <w:t xml:space="preserve"> the total Energy </w:t>
      </w:r>
      <w:r w:rsidR="001C60A0">
        <w:rPr>
          <w:rStyle w:val="NoSpacingChar"/>
        </w:rPr>
        <w:t>injected/withdrawn</w:t>
      </w:r>
      <w:r w:rsidR="001C60A0" w:rsidRPr="00A55DED">
        <w:rPr>
          <w:rStyle w:val="NoSpacingChar"/>
        </w:rPr>
        <w:t xml:space="preserve"> </w:t>
      </w:r>
      <w:r w:rsidR="00A55DED" w:rsidRPr="00A55DED">
        <w:rPr>
          <w:rStyle w:val="NoSpacingChar"/>
        </w:rPr>
        <w:t>at the Trading Point “</w:t>
      </w:r>
      <w:r w:rsidR="00A55DED" w:rsidRPr="00A55DED">
        <w:rPr>
          <w:i/>
          <w:iCs/>
        </w:rPr>
        <w:t>i”</w:t>
      </w:r>
      <w:r w:rsidR="00A55DED" w:rsidRPr="00A55DED">
        <w:rPr>
          <w:iCs/>
        </w:rPr>
        <w:t xml:space="preserve">, </w:t>
      </w:r>
      <w:r w:rsidR="00A55DED" w:rsidRPr="00A55DED">
        <w:t xml:space="preserve">belonging to the </w:t>
      </w:r>
      <w:r w:rsidR="00403C8A">
        <w:t>Default Supplier</w:t>
      </w:r>
      <w:r w:rsidR="00A55DED" w:rsidRPr="00A55DED">
        <w:t xml:space="preserve"> </w:t>
      </w:r>
      <w:r w:rsidR="00A55DED" w:rsidRPr="00A55DED">
        <w:rPr>
          <w:i/>
          <w:iCs/>
        </w:rPr>
        <w:t>“k”</w:t>
      </w:r>
      <w:r w:rsidR="00A55DED" w:rsidRPr="00A55DED">
        <w:t xml:space="preserve">, in hour </w:t>
      </w:r>
      <w:r w:rsidR="00A55DED" w:rsidRPr="00A55DED">
        <w:rPr>
          <w:i/>
          <w:iCs/>
        </w:rPr>
        <w:t>“h”,</w:t>
      </w:r>
      <w:r w:rsidR="00A55DED" w:rsidRPr="00A55DED">
        <w:t xml:space="preserve">  </w:t>
      </w:r>
      <w:r w:rsidR="00A55DED" w:rsidRPr="00A55DED">
        <w:rPr>
          <w:iCs/>
        </w:rPr>
        <w:t>calculated pursuant</w:t>
      </w:r>
      <w:r w:rsidR="001C60A0">
        <w:rPr>
          <w:iCs/>
        </w:rPr>
        <w:t xml:space="preserve"> to</w:t>
      </w:r>
      <w:r w:rsidR="00A55DED" w:rsidRPr="00A55DED">
        <w:rPr>
          <w:iCs/>
        </w:rPr>
        <w:t xml:space="preserve"> Clause </w:t>
      </w:r>
      <w:r w:rsidR="00A55DED" w:rsidRPr="00A55DED">
        <w:rPr>
          <w:iCs/>
        </w:rPr>
        <w:fldChar w:fldCharType="begin"/>
      </w:r>
      <w:r w:rsidR="00A55DED" w:rsidRPr="00A55DED">
        <w:rPr>
          <w:iCs/>
        </w:rPr>
        <w:instrText xml:space="preserve"> REF _Ref68108993 \w \h  \* MERGEFORMAT </w:instrText>
      </w:r>
      <w:r w:rsidR="00A55DED" w:rsidRPr="00A55DED">
        <w:rPr>
          <w:iCs/>
        </w:rPr>
      </w:r>
      <w:r w:rsidR="00A55DED" w:rsidRPr="00A55DED">
        <w:rPr>
          <w:iCs/>
        </w:rPr>
        <w:fldChar w:fldCharType="separate"/>
      </w:r>
      <w:r w:rsidR="00251DBF">
        <w:rPr>
          <w:iCs/>
        </w:rPr>
        <w:t>6.2.1.3</w:t>
      </w:r>
      <w:r w:rsidR="00A55DED" w:rsidRPr="00A55DED">
        <w:rPr>
          <w:iCs/>
        </w:rPr>
        <w:fldChar w:fldCharType="end"/>
      </w:r>
      <w:r w:rsidR="00A55DED" w:rsidRPr="00A55DED">
        <w:rPr>
          <w:iCs/>
        </w:rPr>
        <w:t xml:space="preserve">, </w:t>
      </w:r>
      <w:r w:rsidR="00A55DED" w:rsidRPr="00A55DED">
        <w:t>in MWh</w:t>
      </w:r>
      <w:r w:rsidR="001C60A0">
        <w:t>;</w:t>
      </w:r>
      <w:r w:rsidR="00A55DED" w:rsidRPr="00A55DED">
        <w:t xml:space="preserve"> </w:t>
      </w:r>
    </w:p>
    <w:p w14:paraId="04643458" w14:textId="77777777" w:rsidR="00A53E9B" w:rsidRDefault="004D6075" w:rsidP="00A53E9B">
      <w:pPr>
        <w:pStyle w:val="BodyText"/>
        <w:ind w:left="3544" w:hanging="992"/>
      </w:pP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MP</m:t>
                </m:r>
              </m:sub>
            </m:sSub>
          </m:e>
          <m:sub>
            <m:r>
              <w:rPr>
                <w:rFonts w:ascii="Cambria Math" w:eastAsiaTheme="minorEastAsia" w:hAnsi="Cambria Math"/>
              </w:rPr>
              <m:t>j,h</m:t>
            </m:r>
          </m:sub>
        </m:sSub>
      </m:oMath>
      <w:r w:rsidR="00A55DED" w:rsidRPr="00BD1859">
        <w:rPr>
          <w:i/>
          <w:iCs/>
        </w:rPr>
        <w:tab/>
      </w:r>
      <w:r w:rsidR="00A53E9B" w:rsidRPr="00A72A5A">
        <w:t xml:space="preserve">is the </w:t>
      </w:r>
      <w:r w:rsidR="00A53E9B" w:rsidRPr="001A7E54">
        <w:t xml:space="preserve">Energy </w:t>
      </w:r>
      <w:r w:rsidR="00A53E9B" w:rsidRPr="00B03C4A">
        <w:rPr>
          <w:rStyle w:val="NoSpacingChar"/>
          <w:rFonts w:ascii="Gill Sans MT" w:hAnsi="Gill Sans MT"/>
        </w:rPr>
        <w:t>injected/withdrawn at the Metering Point “</w:t>
      </w:r>
      <w:r w:rsidR="00A53E9B" w:rsidRPr="001A7E54">
        <w:rPr>
          <w:i/>
          <w:iCs/>
          <w:lang w:val="en-US"/>
        </w:rPr>
        <w:t>j</w:t>
      </w:r>
      <w:r w:rsidR="00A53E9B" w:rsidRPr="001A7E54">
        <w:rPr>
          <w:i/>
          <w:iCs/>
        </w:rPr>
        <w:t>”</w:t>
      </w:r>
      <w:r w:rsidR="00A53E9B" w:rsidRPr="001A7E54">
        <w:t>, which is not a Trading Point, belonging to the</w:t>
      </w:r>
      <w:r w:rsidR="00A53E9B" w:rsidRPr="00A72A5A">
        <w:t xml:space="preserve"> </w:t>
      </w:r>
      <w:r w:rsidR="00A53E9B">
        <w:t>Default Supplier</w:t>
      </w:r>
      <w:r w:rsidR="00A53E9B" w:rsidRPr="00A72A5A">
        <w:t xml:space="preserve"> </w:t>
      </w:r>
      <w:r w:rsidR="00A53E9B" w:rsidRPr="00A72A5A">
        <w:rPr>
          <w:i/>
          <w:iCs/>
        </w:rPr>
        <w:t>“k”</w:t>
      </w:r>
      <w:r w:rsidR="00A53E9B" w:rsidRPr="00A72A5A">
        <w:t xml:space="preserve">, in hour </w:t>
      </w:r>
      <w:r w:rsidR="00A53E9B" w:rsidRPr="00A72A5A">
        <w:rPr>
          <w:i/>
          <w:iCs/>
        </w:rPr>
        <w:t>“h”,</w:t>
      </w:r>
      <w:r w:rsidR="00A53E9B" w:rsidRPr="00A72A5A">
        <w:t xml:space="preserve"> </w:t>
      </w:r>
      <w:r w:rsidR="00A53E9B">
        <w:t xml:space="preserve">considered by the Market Operator in accordance with the Provisions of </w:t>
      </w:r>
      <w:r w:rsidR="00A53E9B">
        <w:rPr>
          <w:rFonts w:eastAsiaTheme="minorEastAsia" w:cstheme="minorHAnsi"/>
          <w:color w:val="auto"/>
        </w:rPr>
        <w:fldChar w:fldCharType="begin"/>
      </w:r>
      <w:r w:rsidR="00A53E9B">
        <w:rPr>
          <w:rFonts w:eastAsiaTheme="minorEastAsia" w:cstheme="minorHAnsi"/>
          <w:color w:val="auto"/>
        </w:rPr>
        <w:instrText xml:space="preserve"> REF _Ref76854808 \r \h </w:instrText>
      </w:r>
      <w:r w:rsidR="00A53E9B">
        <w:rPr>
          <w:rFonts w:eastAsiaTheme="minorEastAsia" w:cstheme="minorHAnsi"/>
          <w:color w:val="auto"/>
        </w:rPr>
      </w:r>
      <w:r w:rsidR="00A53E9B">
        <w:rPr>
          <w:rFonts w:eastAsiaTheme="minorEastAsia" w:cstheme="minorHAnsi"/>
          <w:color w:val="auto"/>
        </w:rPr>
        <w:fldChar w:fldCharType="separate"/>
      </w:r>
      <w:r w:rsidR="00A53E9B">
        <w:rPr>
          <w:rFonts w:eastAsiaTheme="minorEastAsia" w:cstheme="minorHAnsi"/>
          <w:color w:val="auto"/>
        </w:rPr>
        <w:t>Chapter 5</w:t>
      </w:r>
      <w:r w:rsidR="00A53E9B">
        <w:rPr>
          <w:rFonts w:eastAsiaTheme="minorEastAsia" w:cstheme="minorHAnsi"/>
          <w:color w:val="auto"/>
        </w:rPr>
        <w:fldChar w:fldCharType="end"/>
      </w:r>
      <w:r w:rsidR="00A53E9B" w:rsidRPr="00A72A5A">
        <w:t xml:space="preserve">. </w:t>
      </w:r>
    </w:p>
    <w:p w14:paraId="0B84AFE6" w14:textId="6409C3B5" w:rsidR="00A55DED" w:rsidRDefault="00A53E9B" w:rsidP="00B03C4A">
      <w:pPr>
        <w:pStyle w:val="BodyText"/>
        <w:ind w:left="3544"/>
      </w:pPr>
      <w:r>
        <w:t xml:space="preserve">The </w:t>
      </w:r>
      <w:r w:rsidRPr="00A72A5A">
        <w:t xml:space="preserve">Energy </w:t>
      </w:r>
      <w:r>
        <w:t>injected</w:t>
      </w:r>
      <w:r w:rsidRPr="00A72A5A">
        <w:t xml:space="preserve"> into the Distribution Network </w:t>
      </w:r>
      <w:r>
        <w:t>in the service territory of</w:t>
      </w:r>
      <w:r w:rsidRPr="00A72A5A">
        <w:t xml:space="preserve"> the </w:t>
      </w:r>
      <w:r>
        <w:t>Default Supplier</w:t>
      </w:r>
      <w:r w:rsidRPr="00A72A5A">
        <w:t xml:space="preserve"> “k” </w:t>
      </w:r>
      <w:r>
        <w:t xml:space="preserve">shall be considered positive </w:t>
      </w:r>
      <w:r w:rsidRPr="00A72A5A">
        <w:t xml:space="preserve">and </w:t>
      </w:r>
      <w:r>
        <w:t xml:space="preserve">the Energy withdrawn from such network shall be considered </w:t>
      </w:r>
      <w:r w:rsidRPr="00A72A5A">
        <w:t>negative. Only positive values shall be used in the calculation</w:t>
      </w:r>
      <w:r w:rsidR="00214CE4">
        <w:t>;</w:t>
      </w:r>
    </w:p>
    <w:p w14:paraId="7F80E240" w14:textId="2A47EEF4" w:rsidR="00BD1859" w:rsidRPr="00A72A5A" w:rsidRDefault="004D6075" w:rsidP="00B03C4A">
      <w:pPr>
        <w:pStyle w:val="BodyText"/>
        <w:ind w:left="3544" w:hanging="992"/>
        <w:rPr>
          <w:rFonts w:eastAsiaTheme="minorEastAsia"/>
          <w:i/>
          <w:iCs/>
          <w:sz w:val="24"/>
          <w:szCs w:val="24"/>
        </w:rPr>
      </w:pPr>
      <m:oMath>
        <m:nary>
          <m:naryPr>
            <m:chr m:val="∑"/>
            <m:limLoc m:val="undOvr"/>
            <m:supHide m:val="1"/>
            <m:ctrlPr>
              <w:rPr>
                <w:rFonts w:ascii="Cambria Math" w:eastAsiaTheme="minorEastAsia" w:hAnsi="Cambria Math"/>
              </w:rPr>
            </m:ctrlPr>
          </m:naryPr>
          <m:sub>
            <m:r>
              <w:rPr>
                <w:rFonts w:ascii="Cambria Math" w:eastAsiaTheme="minorEastAsia" w:hAnsi="Cambria Math"/>
              </w:rPr>
              <m:t>∀i∈TP</m:t>
            </m:r>
          </m:sub>
          <m:sup/>
          <m:e/>
        </m:nary>
      </m:oMath>
      <w:r w:rsidR="00450284" w:rsidRPr="00B03C4A">
        <w:rPr>
          <w:noProof/>
        </w:rPr>
        <w:drawing>
          <wp:anchor distT="0" distB="0" distL="114300" distR="114300" simplePos="0" relativeHeight="251720704" behindDoc="0" locked="0" layoutInCell="1" allowOverlap="1" wp14:anchorId="1C5BBD66" wp14:editId="2E09FDD0">
            <wp:simplePos x="0" y="0"/>
            <wp:positionH relativeFrom="column">
              <wp:posOffset>1629410</wp:posOffset>
            </wp:positionH>
            <wp:positionV relativeFrom="paragraph">
              <wp:posOffset>372745</wp:posOffset>
            </wp:positionV>
            <wp:extent cx="384175" cy="569595"/>
            <wp:effectExtent l="0" t="0" r="0" b="0"/>
            <wp:wrapThrough wrapText="bothSides">
              <wp:wrapPolygon edited="0">
                <wp:start x="3213" y="2167"/>
                <wp:lineTo x="0" y="15171"/>
                <wp:lineTo x="1071" y="18060"/>
                <wp:lineTo x="6426" y="18060"/>
                <wp:lineTo x="20350" y="15893"/>
                <wp:lineTo x="20350" y="14448"/>
                <wp:lineTo x="16066" y="2167"/>
                <wp:lineTo x="3213" y="2167"/>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a:extLst>
                        <a:ext uri="{28A0092B-C50C-407E-A947-70E740481C1C}">
                          <a14:useLocalDpi xmlns:a14="http://schemas.microsoft.com/office/drawing/2010/main" val="0"/>
                        </a:ext>
                      </a:extLst>
                    </a:blip>
                    <a:srcRect l="43445" r="50075"/>
                    <a:stretch/>
                  </pic:blipFill>
                  <pic:spPr bwMode="auto">
                    <a:xfrm>
                      <a:off x="0" y="0"/>
                      <a:ext cx="384175" cy="569595"/>
                    </a:xfrm>
                    <a:prstGeom prst="rect">
                      <a:avLst/>
                    </a:prstGeom>
                    <a:noFill/>
                    <a:ln>
                      <a:noFill/>
                    </a:ln>
                    <a:extLst>
                      <a:ext uri="{53640926-AAD7-44D8-BBD7-CCE9431645EC}">
                        <a14:shadowObscured xmlns:a14="http://schemas.microsoft.com/office/drawing/2010/main"/>
                      </a:ext>
                    </a:extLst>
                  </pic:spPr>
                </pic:pic>
              </a:graphicData>
            </a:graphic>
          </wp:anchor>
        </w:drawing>
      </w:r>
      <w:r w:rsidR="00BD1859" w:rsidRPr="00B03C4A">
        <w:rPr>
          <w:rFonts w:eastAsiaTheme="minorEastAsia"/>
          <w:sz w:val="24"/>
          <w:szCs w:val="24"/>
        </w:rPr>
        <w:t>means</w:t>
      </w:r>
      <w:r w:rsidR="00BD1859" w:rsidRPr="00266399">
        <w:rPr>
          <w:rFonts w:eastAsiaTheme="minorEastAsia"/>
          <w:sz w:val="24"/>
          <w:szCs w:val="24"/>
        </w:rPr>
        <w:t xml:space="preserve"> the</w:t>
      </w:r>
      <w:r w:rsidR="00BD1859" w:rsidRPr="00A72A5A">
        <w:rPr>
          <w:rFonts w:eastAsiaTheme="minorEastAsia"/>
          <w:sz w:val="24"/>
          <w:szCs w:val="24"/>
        </w:rPr>
        <w:t xml:space="preserve"> </w:t>
      </w:r>
      <w:r w:rsidR="001C60A0">
        <w:rPr>
          <w:rFonts w:eastAsiaTheme="minorEastAsia"/>
          <w:sz w:val="24"/>
          <w:szCs w:val="24"/>
        </w:rPr>
        <w:t>sum</w:t>
      </w:r>
      <w:r w:rsidR="001C60A0" w:rsidRPr="00A72A5A">
        <w:rPr>
          <w:rFonts w:eastAsiaTheme="minorEastAsia"/>
          <w:sz w:val="24"/>
          <w:szCs w:val="24"/>
        </w:rPr>
        <w:t xml:space="preserve"> </w:t>
      </w:r>
      <w:r w:rsidR="00BD1859" w:rsidRPr="00A72A5A">
        <w:rPr>
          <w:rFonts w:eastAsiaTheme="minorEastAsia"/>
          <w:sz w:val="24"/>
          <w:szCs w:val="24"/>
        </w:rPr>
        <w:t xml:space="preserve">over all Trading Points belonging to the </w:t>
      </w:r>
      <w:r w:rsidR="00403C8A">
        <w:rPr>
          <w:rFonts w:eastAsiaTheme="minorEastAsia"/>
          <w:sz w:val="24"/>
          <w:szCs w:val="24"/>
        </w:rPr>
        <w:t>Default Supplier</w:t>
      </w:r>
      <w:r w:rsidR="00BD1859" w:rsidRPr="00A72A5A">
        <w:rPr>
          <w:rFonts w:eastAsiaTheme="minorEastAsia"/>
          <w:sz w:val="24"/>
          <w:szCs w:val="24"/>
        </w:rPr>
        <w:t xml:space="preserve"> “k”</w:t>
      </w:r>
      <w:r w:rsidR="00214CE4">
        <w:rPr>
          <w:rFonts w:eastAsiaTheme="minorEastAsia"/>
          <w:sz w:val="24"/>
          <w:szCs w:val="24"/>
        </w:rPr>
        <w:t>;</w:t>
      </w:r>
    </w:p>
    <w:p w14:paraId="0E74BD5F" w14:textId="24A6DB3D" w:rsidR="00BD1859" w:rsidRPr="00A72A5A" w:rsidRDefault="00BD1859" w:rsidP="00450284">
      <w:pPr>
        <w:pStyle w:val="BodyText"/>
        <w:ind w:left="3544"/>
        <w:rPr>
          <w:rFonts w:eastAsiaTheme="minorEastAsia"/>
          <w:i/>
          <w:iCs/>
          <w:sz w:val="24"/>
          <w:szCs w:val="24"/>
        </w:rPr>
      </w:pPr>
      <w:r w:rsidRPr="00A72A5A">
        <w:rPr>
          <w:rFonts w:eastAsiaTheme="minorEastAsia"/>
          <w:sz w:val="24"/>
          <w:szCs w:val="24"/>
        </w:rPr>
        <w:t xml:space="preserve">means the </w:t>
      </w:r>
      <w:r w:rsidR="001C60A0">
        <w:rPr>
          <w:rFonts w:eastAsiaTheme="minorEastAsia"/>
          <w:sz w:val="24"/>
          <w:szCs w:val="24"/>
        </w:rPr>
        <w:t>sum</w:t>
      </w:r>
      <w:r w:rsidR="001C60A0" w:rsidRPr="00A72A5A">
        <w:rPr>
          <w:rFonts w:eastAsiaTheme="minorEastAsia"/>
          <w:sz w:val="24"/>
          <w:szCs w:val="24"/>
        </w:rPr>
        <w:t xml:space="preserve"> </w:t>
      </w:r>
      <w:r w:rsidRPr="00A72A5A">
        <w:rPr>
          <w:rFonts w:eastAsiaTheme="minorEastAsia"/>
          <w:sz w:val="24"/>
          <w:szCs w:val="24"/>
        </w:rPr>
        <w:t xml:space="preserve">over all Metering Points which are not Trading Points, belonging to the </w:t>
      </w:r>
      <w:r w:rsidR="00403C8A">
        <w:rPr>
          <w:rFonts w:eastAsiaTheme="minorEastAsia"/>
          <w:sz w:val="24"/>
          <w:szCs w:val="24"/>
        </w:rPr>
        <w:t>Default Supplier</w:t>
      </w:r>
      <w:r w:rsidRPr="00A72A5A">
        <w:rPr>
          <w:rFonts w:eastAsiaTheme="minorEastAsia"/>
          <w:sz w:val="24"/>
          <w:szCs w:val="24"/>
        </w:rPr>
        <w:t xml:space="preserve"> </w:t>
      </w:r>
      <w:r w:rsidRPr="00450284">
        <w:rPr>
          <w:rFonts w:eastAsiaTheme="minorEastAsia"/>
          <w:i/>
          <w:iCs/>
          <w:sz w:val="24"/>
          <w:szCs w:val="24"/>
        </w:rPr>
        <w:t>“k”</w:t>
      </w:r>
      <w:r w:rsidR="001C60A0">
        <w:rPr>
          <w:rFonts w:eastAsiaTheme="minorEastAsia"/>
          <w:i/>
          <w:iCs/>
          <w:sz w:val="24"/>
          <w:szCs w:val="24"/>
        </w:rPr>
        <w:t>;</w:t>
      </w:r>
    </w:p>
    <w:p w14:paraId="0402A193" w14:textId="30356969" w:rsidR="00A55DED" w:rsidRDefault="00A55DED" w:rsidP="00A55DED">
      <w:pPr>
        <w:pStyle w:val="BodyText"/>
        <w:ind w:left="3544" w:hanging="992"/>
      </w:pPr>
      <w:r w:rsidRPr="00513E04">
        <w:rPr>
          <w:rFonts w:ascii="Symbol" w:hAnsi="Symbol"/>
          <w:i/>
          <w:iCs/>
          <w:sz w:val="28"/>
          <w:szCs w:val="28"/>
        </w:rPr>
        <w:t>S</w:t>
      </w:r>
      <w:r w:rsidRPr="00513E04">
        <w:rPr>
          <w:i/>
          <w:iCs/>
          <w:vertAlign w:val="subscript"/>
        </w:rPr>
        <w:t>h</w:t>
      </w:r>
      <w:r w:rsidRPr="00513E04">
        <w:rPr>
          <w:i/>
          <w:iCs/>
          <w:vertAlign w:val="subscript"/>
        </w:rPr>
        <w:sym w:font="Symbol" w:char="F0CE"/>
      </w:r>
      <w:r w:rsidRPr="00513E04">
        <w:rPr>
          <w:i/>
          <w:iCs/>
          <w:vertAlign w:val="subscript"/>
        </w:rPr>
        <w:t>CH</w:t>
      </w:r>
      <w:r>
        <w:rPr>
          <w:i/>
          <w:iCs/>
          <w:vertAlign w:val="subscript"/>
        </w:rPr>
        <w:tab/>
      </w:r>
      <w:r>
        <w:t xml:space="preserve">means the 50 hours which have been defined as Critical Hours, for the Fiscal Year </w:t>
      </w:r>
      <w:r w:rsidRPr="00513E04">
        <w:rPr>
          <w:i/>
          <w:iCs/>
        </w:rPr>
        <w:t>“y”</w:t>
      </w:r>
      <w:r w:rsidR="001C60A0">
        <w:t>;</w:t>
      </w:r>
    </w:p>
    <w:p w14:paraId="036828DB" w14:textId="25B85ED3" w:rsidR="00FF212F" w:rsidRDefault="00A55DED" w:rsidP="00FF212F">
      <w:pPr>
        <w:pStyle w:val="BodyText"/>
        <w:ind w:left="3544" w:hanging="992"/>
        <w:rPr>
          <w:rFonts w:eastAsiaTheme="minorEastAsia"/>
        </w:rPr>
      </w:pPr>
      <w:r>
        <w:rPr>
          <w:i/>
          <w:iCs/>
        </w:rPr>
        <w:t>RM</w:t>
      </w:r>
      <w:r w:rsidRPr="00B90F6F">
        <w:rPr>
          <w:i/>
          <w:iCs/>
        </w:rPr>
        <w:tab/>
      </w:r>
      <w:r>
        <w:t xml:space="preserve">is the </w:t>
      </w:r>
      <w:r w:rsidR="002D58BB">
        <w:t>Operational Reserve Margin</w:t>
      </w:r>
      <w:r w:rsidR="00214CE4">
        <w:t>.</w:t>
      </w:r>
      <w:r>
        <w:t xml:space="preserve"> </w:t>
      </w:r>
    </w:p>
    <w:p w14:paraId="47D22056" w14:textId="75B1C185" w:rsidR="001A4371" w:rsidRDefault="001A4371" w:rsidP="001A4371">
      <w:pPr>
        <w:pStyle w:val="BodyText"/>
        <w:ind w:left="3544" w:hanging="992"/>
      </w:pPr>
      <w:bookmarkStart w:id="513" w:name="_Ref68043097"/>
    </w:p>
    <w:p w14:paraId="6AD37389" w14:textId="25187635" w:rsidR="00900A69" w:rsidRDefault="00266399" w:rsidP="001A4371">
      <w:pPr>
        <w:pStyle w:val="Heading5"/>
      </w:pPr>
      <w:r>
        <w:t>i</w:t>
      </w:r>
      <w:r w:rsidR="001A4371">
        <w:t xml:space="preserve">n the </w:t>
      </w:r>
      <w:r w:rsidR="0096353B" w:rsidRPr="00F25E65">
        <w:t xml:space="preserve">case of </w:t>
      </w:r>
      <w:r w:rsidR="00BF564D">
        <w:t>Electric Power Trader</w:t>
      </w:r>
      <w:r w:rsidR="0096353B" w:rsidRPr="00F25E65">
        <w:t xml:space="preserve">s which have Contracts for Firm Export, the Capacity </w:t>
      </w:r>
      <w:r w:rsidR="00905A71">
        <w:t>R</w:t>
      </w:r>
      <w:r w:rsidR="0096353B" w:rsidRPr="00F25E65">
        <w:t xml:space="preserve">equirement shall be equal to </w:t>
      </w:r>
      <w:r w:rsidR="00B20FD1" w:rsidRPr="00F25E65">
        <w:t xml:space="preserve">Capacity stated in the </w:t>
      </w:r>
      <w:r w:rsidR="00214CE4">
        <w:t xml:space="preserve">registered </w:t>
      </w:r>
      <w:r w:rsidR="00B20FD1" w:rsidRPr="00F25E65">
        <w:t xml:space="preserve">Contract, </w:t>
      </w:r>
      <w:r w:rsidR="00214CE4" w:rsidRPr="005318C2">
        <w:rPr>
          <w:iCs/>
        </w:rPr>
        <w:lastRenderedPageBreak/>
        <w:t>calculated pursuant</w:t>
      </w:r>
      <w:r w:rsidR="00214CE4">
        <w:rPr>
          <w:iCs/>
        </w:rPr>
        <w:t xml:space="preserve"> to</w:t>
      </w:r>
      <w:r w:rsidR="00214CE4" w:rsidRPr="005318C2">
        <w:rPr>
          <w:iCs/>
        </w:rPr>
        <w:t xml:space="preserve"> </w:t>
      </w:r>
      <w:r w:rsidR="00214CE4" w:rsidRPr="005318C2">
        <w:t xml:space="preserve">Clause </w:t>
      </w:r>
      <w:r w:rsidR="00214CE4" w:rsidRPr="005318C2">
        <w:fldChar w:fldCharType="begin"/>
      </w:r>
      <w:r w:rsidR="00214CE4" w:rsidRPr="005318C2">
        <w:instrText xml:space="preserve"> REF _Ref59456858 \r \h  \* MERGEFORMAT </w:instrText>
      </w:r>
      <w:r w:rsidR="00214CE4" w:rsidRPr="005318C2">
        <w:fldChar w:fldCharType="separate"/>
      </w:r>
      <w:r w:rsidR="00214CE4">
        <w:t>6.3.3.3</w:t>
      </w:r>
      <w:r w:rsidR="00214CE4" w:rsidRPr="005318C2">
        <w:fldChar w:fldCharType="end"/>
      </w:r>
      <w:r w:rsidR="00214CE4">
        <w:t>,</w:t>
      </w:r>
      <w:r w:rsidR="001A4371">
        <w:t xml:space="preserve"> </w:t>
      </w:r>
      <w:r w:rsidR="00214CE4">
        <w:t>multiplied by</w:t>
      </w:r>
      <w:r w:rsidR="00214CE4" w:rsidRPr="00F25E65">
        <w:t xml:space="preserve"> </w:t>
      </w:r>
      <w:r w:rsidR="0096353B" w:rsidRPr="00F25E65">
        <w:t>a</w:t>
      </w:r>
      <w:r w:rsidR="002D58BB">
        <w:t>n</w:t>
      </w:r>
      <w:r w:rsidR="0096353B" w:rsidRPr="00F25E65">
        <w:t xml:space="preserve"> </w:t>
      </w:r>
      <w:r w:rsidR="002D58BB">
        <w:t>Operational Reserve Margin</w:t>
      </w:r>
      <w:bookmarkEnd w:id="513"/>
      <w:r>
        <w:t>:</w:t>
      </w:r>
    </w:p>
    <w:p w14:paraId="4D0432E0" w14:textId="367B923E" w:rsidR="00900A69" w:rsidRPr="00E27305" w:rsidRDefault="004D6075" w:rsidP="00900A69">
      <w:pPr>
        <w:ind w:left="1276"/>
        <w:jc w:val="center"/>
        <w:rPr>
          <w:rFonts w:eastAsia="Times New Roman" w:cs="Times New Roman"/>
        </w:rPr>
      </w:pPr>
      <m:oMathPara>
        <m:oMath>
          <m:sSub>
            <m:sSubPr>
              <m:ctrlPr>
                <w:rPr>
                  <w:rFonts w:ascii="Cambria Math" w:hAnsi="Cambria Math"/>
                  <w:i/>
                </w:rPr>
              </m:ctrlPr>
            </m:sSubPr>
            <m:e>
              <m:r>
                <w:rPr>
                  <w:rFonts w:ascii="Cambria Math" w:hAnsi="Cambria Math"/>
                </w:rPr>
                <m:t>ACR</m:t>
              </m:r>
            </m:e>
            <m:sub>
              <m:r>
                <w:rPr>
                  <w:rFonts w:ascii="Cambria Math" w:hAnsi="Cambria Math"/>
                </w:rPr>
                <m:t>k,y</m:t>
              </m:r>
            </m:sub>
          </m:sSub>
          <m:d>
            <m:dPr>
              <m:begChr m:val="["/>
              <m:endChr m:val="]"/>
              <m:ctrlPr>
                <w:rPr>
                  <w:rFonts w:ascii="Cambria Math" w:hAnsi="Cambria Math"/>
                  <w:i/>
                </w:rPr>
              </m:ctrlPr>
            </m:dPr>
            <m:e>
              <m:r>
                <w:rPr>
                  <w:rFonts w:ascii="Cambria Math" w:hAnsi="Cambria Math"/>
                </w:rPr>
                <m:t>MW</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h∈CH</m:t>
                  </m:r>
                </m:sub>
                <m:sup/>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EXP</m:t>
                              </m:r>
                            </m:e>
                            <m:sub>
                              <m:r>
                                <w:rPr>
                                  <w:rFonts w:ascii="Cambria Math" w:hAnsi="Cambria Math"/>
                                </w:rPr>
                                <m:t>x,k</m:t>
                              </m:r>
                            </m:sub>
                          </m:sSub>
                        </m:sub>
                        <m:sup/>
                        <m:e>
                          <m:sSub>
                            <m:sSubPr>
                              <m:ctrlPr>
                                <w:rPr>
                                  <w:rFonts w:ascii="Cambria Math" w:hAnsi="Cambria Math"/>
                                </w:rPr>
                              </m:ctrlPr>
                            </m:sSubPr>
                            <m:e>
                              <m:r>
                                <w:rPr>
                                  <w:rFonts w:ascii="Cambria Math" w:hAnsi="Cambria Math"/>
                                  <w:lang w:val="en-US"/>
                                </w:rPr>
                                <m:t>Act</m:t>
                              </m:r>
                              <m:r>
                                <m:rPr>
                                  <m:sty m:val="p"/>
                                </m:rPr>
                                <w:rPr>
                                  <w:rFonts w:ascii="Cambria Math" w:hAnsi="Cambria Math"/>
                                  <w:lang w:val="en-US"/>
                                </w:rPr>
                                <m:t>_</m:t>
                              </m:r>
                              <m:r>
                                <w:rPr>
                                  <w:rFonts w:ascii="Cambria Math" w:hAnsi="Cambria Math"/>
                                </w:rPr>
                                <m:t>E</m:t>
                              </m:r>
                            </m:e>
                            <m:sub>
                              <m:r>
                                <w:rPr>
                                  <w:rFonts w:ascii="Cambria Math" w:hAnsi="Cambria Math"/>
                                </w:rPr>
                                <m:t>k</m:t>
                              </m:r>
                              <m:r>
                                <m:rPr>
                                  <m:sty m:val="p"/>
                                </m:rPr>
                                <w:rPr>
                                  <w:rFonts w:ascii="Cambria Math" w:hAnsi="Cambria Math"/>
                                  <w:lang w:val="en-US"/>
                                </w:rPr>
                                <m:t>,x,</m:t>
                              </m:r>
                              <m:r>
                                <w:rPr>
                                  <w:rFonts w:ascii="Cambria Math" w:hAnsi="Cambria Math"/>
                                  <w:lang w:val="en-US"/>
                                </w:rPr>
                                <m:t>h</m:t>
                              </m:r>
                            </m:sub>
                          </m:sSub>
                        </m:e>
                      </m:nary>
                    </m:e>
                  </m:d>
                </m:e>
              </m:nary>
            </m:num>
            <m:den>
              <m:r>
                <w:rPr>
                  <w:rFonts w:ascii="Cambria Math" w:hAnsi="Cambria Math"/>
                </w:rPr>
                <m:t xml:space="preserve">50 </m:t>
              </m:r>
              <m:r>
                <w:rPr>
                  <w:rFonts w:ascii="Cambria Math" w:hAnsi="Cambria Math"/>
                </w:rPr>
                <m:t>hours</m:t>
              </m:r>
            </m:den>
          </m:f>
          <m:r>
            <w:rPr>
              <w:rFonts w:ascii="Cambria Math" w:hAnsi="Cambria Math"/>
            </w:rPr>
            <m:t xml:space="preserve">   </m:t>
          </m:r>
          <m:d>
            <m:dPr>
              <m:ctrlPr>
                <w:rPr>
                  <w:rFonts w:ascii="Cambria Math" w:hAnsi="Cambria Math"/>
                  <w:i/>
                </w:rPr>
              </m:ctrlPr>
            </m:dPr>
            <m:e>
              <m:r>
                <w:rPr>
                  <w:rFonts w:ascii="Cambria Math" w:hAnsi="Cambria Math"/>
                </w:rPr>
                <m:t>1+RM</m:t>
              </m:r>
            </m:e>
          </m:d>
        </m:oMath>
      </m:oMathPara>
    </w:p>
    <w:p w14:paraId="352088A1" w14:textId="77777777" w:rsidR="00900A69" w:rsidRPr="00E13254" w:rsidRDefault="00900A69" w:rsidP="00900A69">
      <w:pPr>
        <w:pStyle w:val="BodyText"/>
        <w:ind w:left="3544" w:hanging="992"/>
      </w:pPr>
      <w:r>
        <w:t>Where:</w:t>
      </w:r>
      <w:r w:rsidRPr="00B90F6F">
        <w:t xml:space="preserve"> </w:t>
      </w:r>
    </w:p>
    <w:p w14:paraId="3C264661" w14:textId="27C6E011" w:rsidR="00900A69" w:rsidRPr="00EE7F7E" w:rsidRDefault="00900A69" w:rsidP="00900A69">
      <w:pPr>
        <w:pStyle w:val="BodyText"/>
        <w:ind w:left="3544" w:hanging="992"/>
      </w:pPr>
      <w:r>
        <w:rPr>
          <w:i/>
          <w:iCs/>
        </w:rPr>
        <w:t>ACR</w:t>
      </w:r>
      <w:r>
        <w:rPr>
          <w:i/>
          <w:iCs/>
          <w:vertAlign w:val="subscript"/>
        </w:rPr>
        <w:t>k</w:t>
      </w:r>
      <w:r w:rsidRPr="00E8465D">
        <w:rPr>
          <w:i/>
          <w:iCs/>
          <w:vertAlign w:val="subscript"/>
        </w:rPr>
        <w:t>,y</w:t>
      </w:r>
      <w:r>
        <w:rPr>
          <w:i/>
          <w:iCs/>
        </w:rPr>
        <w:tab/>
      </w:r>
      <w:r>
        <w:t xml:space="preserve">is the Capacity Requirement of the </w:t>
      </w:r>
      <w:r w:rsidR="00BF564D">
        <w:t>Electric Power Trader</w:t>
      </w:r>
      <w:r>
        <w:t xml:space="preserve"> with Export </w:t>
      </w:r>
      <w:r w:rsidR="003A578F">
        <w:t>Contract</w:t>
      </w:r>
      <w:r>
        <w:t xml:space="preserve">s </w:t>
      </w:r>
      <w:r w:rsidRPr="00DC384E">
        <w:rPr>
          <w:i/>
          <w:iCs/>
        </w:rPr>
        <w:t>“</w:t>
      </w:r>
      <w:r>
        <w:rPr>
          <w:i/>
          <w:iCs/>
        </w:rPr>
        <w:t>k</w:t>
      </w:r>
      <w:r w:rsidRPr="00DC384E">
        <w:rPr>
          <w:i/>
          <w:iCs/>
        </w:rPr>
        <w:t>”,</w:t>
      </w:r>
      <w:r>
        <w:t xml:space="preserve"> for the Fiscal Year </w:t>
      </w:r>
      <w:r w:rsidRPr="00E8465D">
        <w:rPr>
          <w:i/>
          <w:iCs/>
        </w:rPr>
        <w:t>“y”</w:t>
      </w:r>
      <w:r>
        <w:t>, in MW;</w:t>
      </w:r>
    </w:p>
    <w:p w14:paraId="596094A4" w14:textId="4D091C7B" w:rsidR="00900A69" w:rsidRPr="005318C2" w:rsidRDefault="00900A69" w:rsidP="00900A69">
      <w:pPr>
        <w:pStyle w:val="BodyText"/>
        <w:ind w:left="3544" w:hanging="992"/>
      </w:pPr>
      <w:r w:rsidRPr="005318C2">
        <w:rPr>
          <w:i/>
          <w:iCs/>
        </w:rPr>
        <w:t>A</w:t>
      </w:r>
      <w:r>
        <w:rPr>
          <w:i/>
          <w:iCs/>
        </w:rPr>
        <w:t>ct</w:t>
      </w:r>
      <w:r w:rsidRPr="005318C2">
        <w:rPr>
          <w:i/>
          <w:iCs/>
        </w:rPr>
        <w:t>_E</w:t>
      </w:r>
      <w:r>
        <w:rPr>
          <w:i/>
          <w:iCs/>
          <w:vertAlign w:val="subscript"/>
        </w:rPr>
        <w:t>k</w:t>
      </w:r>
      <w:r w:rsidR="00D43987">
        <w:rPr>
          <w:i/>
          <w:iCs/>
          <w:vertAlign w:val="subscript"/>
        </w:rPr>
        <w:t>,x,</w:t>
      </w:r>
      <w:r w:rsidRPr="005318C2">
        <w:rPr>
          <w:i/>
          <w:iCs/>
          <w:vertAlign w:val="subscript"/>
        </w:rPr>
        <w:t>,h</w:t>
      </w:r>
      <w:r w:rsidRPr="005318C2">
        <w:rPr>
          <w:i/>
          <w:iCs/>
        </w:rPr>
        <w:t xml:space="preserve"> is</w:t>
      </w:r>
      <w:r w:rsidRPr="005318C2">
        <w:t xml:space="preserve"> the total Energy </w:t>
      </w:r>
      <w:r>
        <w:t xml:space="preserve">exported by the </w:t>
      </w:r>
      <w:r w:rsidR="00BF564D">
        <w:t>Electric Power Trader</w:t>
      </w:r>
      <w:r>
        <w:t xml:space="preserve"> </w:t>
      </w:r>
      <w:r w:rsidRPr="005318C2">
        <w:rPr>
          <w:i/>
          <w:iCs/>
        </w:rPr>
        <w:t>“</w:t>
      </w:r>
      <w:r>
        <w:rPr>
          <w:i/>
          <w:iCs/>
        </w:rPr>
        <w:t>k</w:t>
      </w:r>
      <w:r w:rsidRPr="005318C2">
        <w:rPr>
          <w:i/>
          <w:iCs/>
        </w:rPr>
        <w:t>”</w:t>
      </w:r>
      <w:r w:rsidRPr="005318C2">
        <w:t xml:space="preserve">, </w:t>
      </w:r>
      <w:r w:rsidR="00D43987">
        <w:t xml:space="preserve">to system “x”, </w:t>
      </w:r>
      <w:r w:rsidRPr="005318C2">
        <w:t xml:space="preserve">in hour </w:t>
      </w:r>
      <w:r w:rsidRPr="005318C2">
        <w:rPr>
          <w:i/>
          <w:iCs/>
        </w:rPr>
        <w:t>“h”,</w:t>
      </w:r>
      <w:r w:rsidRPr="005318C2">
        <w:t xml:space="preserve">  </w:t>
      </w:r>
      <w:r w:rsidRPr="005318C2">
        <w:rPr>
          <w:iCs/>
        </w:rPr>
        <w:t xml:space="preserve">calculated pursuant </w:t>
      </w:r>
      <w:r w:rsidRPr="005318C2">
        <w:t xml:space="preserve">Clause </w:t>
      </w:r>
      <w:r w:rsidRPr="005318C2">
        <w:fldChar w:fldCharType="begin"/>
      </w:r>
      <w:r w:rsidRPr="005318C2">
        <w:instrText xml:space="preserve"> REF _Ref59456858 \r \h  \* MERGEFORMAT </w:instrText>
      </w:r>
      <w:r w:rsidRPr="005318C2">
        <w:fldChar w:fldCharType="separate"/>
      </w:r>
      <w:r>
        <w:t>6.3.3.3</w:t>
      </w:r>
      <w:r w:rsidRPr="005318C2">
        <w:fldChar w:fldCharType="end"/>
      </w:r>
      <w:r w:rsidR="00214CE4">
        <w:t>, in MWh;</w:t>
      </w:r>
    </w:p>
    <w:p w14:paraId="693330AA" w14:textId="6A0F888B" w:rsidR="00900A69" w:rsidRPr="00B3349B" w:rsidRDefault="004D6075" w:rsidP="00900A69">
      <w:pPr>
        <w:pStyle w:val="BodyText"/>
        <w:ind w:left="3544" w:hanging="992"/>
        <w:rPr>
          <w:rFonts w:eastAsiaTheme="minorEastAsia"/>
          <w:sz w:val="24"/>
          <w:szCs w:val="24"/>
        </w:rPr>
      </w:pPr>
      <m:oMath>
        <m:nary>
          <m:naryPr>
            <m:chr m:val="∑"/>
            <m:limLoc m:val="undOvr"/>
            <m:supHide m:val="1"/>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EXP</m:t>
                </m:r>
              </m:e>
              <m:sub>
                <m:r>
                  <w:rPr>
                    <w:rFonts w:ascii="Cambria Math" w:hAnsi="Cambria Math"/>
                  </w:rPr>
                  <m:t>x,k</m:t>
                </m:r>
              </m:sub>
            </m:sSub>
          </m:sub>
          <m:sup/>
          <m:e/>
        </m:nary>
      </m:oMath>
      <w:r w:rsidR="00900A69">
        <w:rPr>
          <w:rFonts w:ascii="Cambria Math" w:eastAsiaTheme="minorEastAsia" w:hAnsi="Cambria Math"/>
          <w:sz w:val="24"/>
          <w:szCs w:val="24"/>
        </w:rPr>
        <w:tab/>
      </w:r>
      <w:r w:rsidR="00900A69" w:rsidRPr="00B3349B">
        <w:rPr>
          <w:rFonts w:eastAsiaTheme="minorEastAsia"/>
          <w:sz w:val="24"/>
          <w:szCs w:val="24"/>
        </w:rPr>
        <w:t xml:space="preserve">means </w:t>
      </w:r>
      <w:r w:rsidR="00900A69">
        <w:rPr>
          <w:rFonts w:eastAsiaTheme="minorEastAsia"/>
          <w:sz w:val="24"/>
          <w:szCs w:val="24"/>
        </w:rPr>
        <w:t xml:space="preserve">the </w:t>
      </w:r>
      <w:r w:rsidR="00214CE4">
        <w:rPr>
          <w:rFonts w:eastAsiaTheme="minorEastAsia"/>
          <w:sz w:val="24"/>
          <w:szCs w:val="24"/>
        </w:rPr>
        <w:t>sum</w:t>
      </w:r>
      <w:r w:rsidR="00900A69">
        <w:rPr>
          <w:rFonts w:eastAsiaTheme="minorEastAsia"/>
          <w:sz w:val="24"/>
          <w:szCs w:val="24"/>
        </w:rPr>
        <w:t xml:space="preserve"> over all </w:t>
      </w:r>
      <w:r w:rsidR="00D43987">
        <w:rPr>
          <w:rFonts w:eastAsiaTheme="minorEastAsia"/>
          <w:sz w:val="24"/>
          <w:szCs w:val="24"/>
        </w:rPr>
        <w:t xml:space="preserve">exports </w:t>
      </w:r>
      <w:r w:rsidR="00900A69" w:rsidRPr="00F92DA3">
        <w:rPr>
          <w:rFonts w:eastAsiaTheme="minorEastAsia"/>
          <w:i/>
          <w:iCs/>
          <w:sz w:val="24"/>
          <w:szCs w:val="24"/>
        </w:rPr>
        <w:t>“</w:t>
      </w:r>
      <w:r w:rsidR="00D43987">
        <w:rPr>
          <w:rFonts w:eastAsiaTheme="minorEastAsia"/>
          <w:i/>
          <w:iCs/>
          <w:sz w:val="24"/>
          <w:szCs w:val="24"/>
        </w:rPr>
        <w:t>x</w:t>
      </w:r>
      <w:r w:rsidR="00900A69" w:rsidRPr="00F92DA3">
        <w:rPr>
          <w:rFonts w:eastAsiaTheme="minorEastAsia"/>
          <w:i/>
          <w:iCs/>
          <w:sz w:val="24"/>
          <w:szCs w:val="24"/>
        </w:rPr>
        <w:t>”</w:t>
      </w:r>
      <w:r w:rsidR="00900A69">
        <w:rPr>
          <w:rFonts w:eastAsiaTheme="minorEastAsia"/>
          <w:sz w:val="24"/>
          <w:szCs w:val="24"/>
        </w:rPr>
        <w:t xml:space="preserve"> which are </w:t>
      </w:r>
      <w:r w:rsidR="00D43987">
        <w:rPr>
          <w:rFonts w:eastAsiaTheme="minorEastAsia"/>
          <w:sz w:val="24"/>
          <w:szCs w:val="24"/>
        </w:rPr>
        <w:t>carried out</w:t>
      </w:r>
      <w:r w:rsidR="00900A69">
        <w:rPr>
          <w:rFonts w:eastAsiaTheme="minorEastAsia"/>
          <w:sz w:val="24"/>
          <w:szCs w:val="24"/>
        </w:rPr>
        <w:t xml:space="preserve"> by the </w:t>
      </w:r>
      <w:r w:rsidR="00BF564D">
        <w:rPr>
          <w:rFonts w:eastAsiaTheme="minorEastAsia"/>
          <w:sz w:val="24"/>
          <w:szCs w:val="24"/>
        </w:rPr>
        <w:t>Electric Power Trader</w:t>
      </w:r>
      <w:r w:rsidR="00900A69">
        <w:rPr>
          <w:rFonts w:eastAsiaTheme="minorEastAsia"/>
          <w:sz w:val="24"/>
          <w:szCs w:val="24"/>
        </w:rPr>
        <w:t xml:space="preserve"> </w:t>
      </w:r>
      <w:r w:rsidR="00900A69" w:rsidRPr="00F92DA3">
        <w:rPr>
          <w:rFonts w:eastAsiaTheme="minorEastAsia"/>
          <w:i/>
          <w:iCs/>
          <w:sz w:val="24"/>
          <w:szCs w:val="24"/>
        </w:rPr>
        <w:t>“</w:t>
      </w:r>
      <w:r w:rsidR="00D43987">
        <w:rPr>
          <w:rFonts w:eastAsiaTheme="minorEastAsia"/>
          <w:i/>
          <w:iCs/>
          <w:sz w:val="24"/>
          <w:szCs w:val="24"/>
        </w:rPr>
        <w:t>k</w:t>
      </w:r>
      <w:r w:rsidR="00900A69" w:rsidRPr="00F92DA3">
        <w:rPr>
          <w:rFonts w:eastAsiaTheme="minorEastAsia"/>
          <w:i/>
          <w:iCs/>
          <w:sz w:val="24"/>
          <w:szCs w:val="24"/>
        </w:rPr>
        <w:t>”</w:t>
      </w:r>
      <w:r w:rsidR="00214CE4">
        <w:rPr>
          <w:rFonts w:eastAsiaTheme="minorEastAsia"/>
          <w:sz w:val="24"/>
          <w:szCs w:val="24"/>
        </w:rPr>
        <w:t>;</w:t>
      </w:r>
    </w:p>
    <w:p w14:paraId="6BDEE8D5" w14:textId="70F6228C" w:rsidR="00900A69" w:rsidRDefault="00900A69" w:rsidP="00900A69">
      <w:pPr>
        <w:pStyle w:val="BodyText"/>
        <w:ind w:left="3544" w:hanging="992"/>
      </w:pPr>
      <w:r w:rsidRPr="00513E04">
        <w:rPr>
          <w:rFonts w:ascii="Symbol" w:hAnsi="Symbol"/>
          <w:i/>
          <w:iCs/>
          <w:sz w:val="28"/>
          <w:szCs w:val="28"/>
        </w:rPr>
        <w:t>S</w:t>
      </w:r>
      <w:r w:rsidRPr="00513E04">
        <w:rPr>
          <w:i/>
          <w:iCs/>
          <w:vertAlign w:val="subscript"/>
        </w:rPr>
        <w:t>h</w:t>
      </w:r>
      <w:r w:rsidRPr="00513E04">
        <w:rPr>
          <w:i/>
          <w:iCs/>
          <w:vertAlign w:val="subscript"/>
        </w:rPr>
        <w:sym w:font="Symbol" w:char="F0CE"/>
      </w:r>
      <w:r w:rsidRPr="00513E04">
        <w:rPr>
          <w:i/>
          <w:iCs/>
          <w:vertAlign w:val="subscript"/>
        </w:rPr>
        <w:t>CH</w:t>
      </w:r>
      <w:r>
        <w:rPr>
          <w:i/>
          <w:iCs/>
          <w:vertAlign w:val="subscript"/>
        </w:rPr>
        <w:tab/>
      </w:r>
      <w:r>
        <w:t xml:space="preserve">means the 50 hours which have been defined as Critical Hours, for the Fiscal Year </w:t>
      </w:r>
      <w:r w:rsidRPr="00513E04">
        <w:rPr>
          <w:i/>
          <w:iCs/>
        </w:rPr>
        <w:t>“y”</w:t>
      </w:r>
      <w:r w:rsidR="00214CE4">
        <w:t>;</w:t>
      </w:r>
    </w:p>
    <w:p w14:paraId="619735FA" w14:textId="77777777" w:rsidR="00900A69" w:rsidRDefault="00900A69" w:rsidP="00900A69">
      <w:pPr>
        <w:pStyle w:val="BodyText"/>
        <w:ind w:left="3544" w:hanging="992"/>
      </w:pPr>
      <w:r>
        <w:rPr>
          <w:i/>
          <w:iCs/>
        </w:rPr>
        <w:t>RM</w:t>
      </w:r>
      <w:r w:rsidRPr="00B90F6F">
        <w:rPr>
          <w:i/>
          <w:iCs/>
        </w:rPr>
        <w:tab/>
      </w:r>
      <w:r>
        <w:t>is the applicable Operational Reserve Margin.</w:t>
      </w:r>
    </w:p>
    <w:p w14:paraId="270EF8A6" w14:textId="17868F31" w:rsidR="00B20FD1" w:rsidRPr="00F25E65" w:rsidRDefault="00B20FD1" w:rsidP="009814F1">
      <w:pPr>
        <w:pStyle w:val="Heading5"/>
      </w:pPr>
      <w:r w:rsidRPr="00F25E65">
        <w:t xml:space="preserve"> </w:t>
      </w:r>
      <w:bookmarkStart w:id="514" w:name="_Ref68043104"/>
      <w:r w:rsidR="00266399">
        <w:t>i</w:t>
      </w:r>
      <w:r w:rsidRPr="00F25E65">
        <w:t xml:space="preserve">n the case of </w:t>
      </w:r>
      <w:r w:rsidR="00214CE4">
        <w:t xml:space="preserve">Market Participants </w:t>
      </w:r>
      <w:r w:rsidRPr="00F25E65">
        <w:t xml:space="preserve">which have </w:t>
      </w:r>
      <w:r w:rsidR="00214CE4">
        <w:t>executed</w:t>
      </w:r>
      <w:r w:rsidR="00214CE4" w:rsidRPr="00F25E65">
        <w:t xml:space="preserve"> </w:t>
      </w:r>
      <w:r w:rsidRPr="00F25E65">
        <w:t xml:space="preserve">Contracts, </w:t>
      </w:r>
      <w:r w:rsidR="00214CE4">
        <w:t>involving</w:t>
      </w:r>
      <w:r w:rsidRPr="00F25E65">
        <w:t xml:space="preserve"> the </w:t>
      </w:r>
      <w:r w:rsidR="00214CE4">
        <w:t>sale</w:t>
      </w:r>
      <w:r w:rsidR="00214CE4" w:rsidRPr="00F25E65">
        <w:t xml:space="preserve"> </w:t>
      </w:r>
      <w:r w:rsidRPr="00F25E65">
        <w:t xml:space="preserve">of Guaranteed Capacity to other Market Participants, the Capacity </w:t>
      </w:r>
      <w:r w:rsidR="00905A71">
        <w:t>R</w:t>
      </w:r>
      <w:r w:rsidRPr="00F25E65">
        <w:t xml:space="preserve">equirement shall be equal to </w:t>
      </w:r>
      <w:r w:rsidR="00214CE4">
        <w:t xml:space="preserve">the </w:t>
      </w:r>
      <w:r w:rsidR="005B3CEE">
        <w:t>C</w:t>
      </w:r>
      <w:r w:rsidRPr="00F25E65">
        <w:t>apacity sold</w:t>
      </w:r>
      <w:r w:rsidR="001A4371">
        <w:t xml:space="preserve"> </w:t>
      </w:r>
      <w:r w:rsidR="00214CE4">
        <w:t xml:space="preserve">through </w:t>
      </w:r>
      <w:r w:rsidR="001A4371">
        <w:t>such Contracts</w:t>
      </w:r>
      <w:r w:rsidR="00D43987">
        <w:t xml:space="preserve">, without considering </w:t>
      </w:r>
      <w:r w:rsidR="009814F1">
        <w:t>losses or Operational Reserve Margin</w:t>
      </w:r>
      <w:r w:rsidRPr="00F25E65">
        <w:t>.</w:t>
      </w:r>
      <w:bookmarkEnd w:id="514"/>
      <w:r w:rsidRPr="00F25E65">
        <w:t xml:space="preserve"> </w:t>
      </w:r>
    </w:p>
    <w:p w14:paraId="38771C56" w14:textId="6115E797" w:rsidR="007D5978" w:rsidRDefault="007D5978" w:rsidP="005B295A">
      <w:pPr>
        <w:pStyle w:val="Heading4"/>
      </w:pPr>
      <w:bookmarkStart w:id="515" w:name="_Ref67524173"/>
      <w:r w:rsidRPr="00F25E65">
        <w:t xml:space="preserve">The </w:t>
      </w:r>
      <w:r w:rsidR="002D58BB">
        <w:t xml:space="preserve">Operational </w:t>
      </w:r>
      <w:r w:rsidR="0096353B" w:rsidRPr="00F25E65">
        <w:t xml:space="preserve">Reserve Margin </w:t>
      </w:r>
      <w:r w:rsidR="00B20FD1" w:rsidRPr="00F25E65">
        <w:t>is the minimum amount of reserve that the system requires for the provision of Ancillary Services</w:t>
      </w:r>
      <w:r w:rsidR="005F4ABE">
        <w:t>, including frequency control,</w:t>
      </w:r>
      <w:r w:rsidR="00B20FD1" w:rsidRPr="00F25E65">
        <w:t xml:space="preserve"> which are required for secure and reliable operation</w:t>
      </w:r>
      <w:r w:rsidR="00F25E65" w:rsidRPr="00F25E65">
        <w:t xml:space="preserve">, and it </w:t>
      </w:r>
      <w:r>
        <w:t xml:space="preserve">will be </w:t>
      </w:r>
      <w:r w:rsidR="00B20FD1" w:rsidRPr="00F25E65">
        <w:t xml:space="preserve">expressed </w:t>
      </w:r>
      <w:r w:rsidR="00F25E65" w:rsidRPr="00F25E65">
        <w:t>as percentage of the Total Demand</w:t>
      </w:r>
      <w:r w:rsidR="005F4ABE">
        <w:t>.</w:t>
      </w:r>
      <w:r w:rsidR="00F25E65" w:rsidRPr="00F25E65">
        <w:t xml:space="preserve"> The value of the </w:t>
      </w:r>
      <w:r w:rsidR="002D58BB">
        <w:t>Operational Reserve Margin</w:t>
      </w:r>
      <w:r w:rsidR="00F25E65" w:rsidRPr="00F25E65">
        <w:t xml:space="preserve"> shall be determined, periodically, by the System Operator</w:t>
      </w:r>
      <w:r w:rsidR="005B3CEE">
        <w:t xml:space="preserve"> pursuant to the provisions of the Grid Code. Till such time the System Operator determines this value and inform the Market Operator accordingly, </w:t>
      </w:r>
      <w:r w:rsidR="00F25E65" w:rsidRPr="00F25E65">
        <w:t xml:space="preserve"> the </w:t>
      </w:r>
      <w:r w:rsidR="002D58BB">
        <w:t>Operational Reserve Margin</w:t>
      </w:r>
      <w:r w:rsidR="00F25E65" w:rsidRPr="00F25E65">
        <w:t xml:space="preserve"> </w:t>
      </w:r>
      <w:r w:rsidR="005B3CEE">
        <w:t>shall be equal to</w:t>
      </w:r>
      <w:r w:rsidR="00F25E65" w:rsidRPr="00F25E65">
        <w:t xml:space="preserve"> </w:t>
      </w:r>
      <w:r w:rsidR="005B3CEE">
        <w:t>[</w:t>
      </w:r>
      <w:r w:rsidR="00F25E65" w:rsidRPr="00F25E65">
        <w:t>7.0%</w:t>
      </w:r>
      <w:r w:rsidR="005B3CEE">
        <w:t>]</w:t>
      </w:r>
      <w:r w:rsidR="00F25E65" w:rsidRPr="00F25E65">
        <w:t>.</w:t>
      </w:r>
      <w:bookmarkEnd w:id="515"/>
    </w:p>
    <w:p w14:paraId="55EADC57" w14:textId="6E0C35BD" w:rsidR="00293F8F" w:rsidRDefault="00823D63" w:rsidP="00C173D0">
      <w:pPr>
        <w:pStyle w:val="Heading3"/>
      </w:pPr>
      <w:r>
        <w:t xml:space="preserve">Step </w:t>
      </w:r>
      <w:r w:rsidR="002F3BA1">
        <w:t>5</w:t>
      </w:r>
      <w:r>
        <w:t xml:space="preserve">: </w:t>
      </w:r>
      <w:r w:rsidR="00293F8F">
        <w:t>Capacity Balances of each Market Participant</w:t>
      </w:r>
    </w:p>
    <w:p w14:paraId="6A0D6A12" w14:textId="15A596F0" w:rsidR="00C34833" w:rsidRDefault="00C34833" w:rsidP="00905A71">
      <w:pPr>
        <w:pStyle w:val="Heading4"/>
      </w:pPr>
      <w:r>
        <w:t xml:space="preserve">The Market Operator </w:t>
      </w:r>
      <w:r w:rsidR="005B3CEE">
        <w:t xml:space="preserve">shall </w:t>
      </w:r>
      <w:r>
        <w:t xml:space="preserve">calculate the Capacity Balance of each Market Participant as the difference between the </w:t>
      </w:r>
      <w:r w:rsidR="00A3170D">
        <w:t xml:space="preserve">Credited </w:t>
      </w:r>
      <w:r w:rsidR="0046412E">
        <w:t>Capacity</w:t>
      </w:r>
      <w:r>
        <w:t xml:space="preserve"> and </w:t>
      </w:r>
      <w:r w:rsidR="00BA71B4">
        <w:t>t</w:t>
      </w:r>
      <w:r>
        <w:t xml:space="preserve">he </w:t>
      </w:r>
      <w:r w:rsidR="00A3170D">
        <w:t xml:space="preserve">Capacity </w:t>
      </w:r>
      <w:r w:rsidR="00905A71">
        <w:t>R</w:t>
      </w:r>
      <w:r w:rsidR="00A3170D">
        <w:t>equirement of each Market Participant</w:t>
      </w:r>
      <w:r w:rsidR="00905A71">
        <w:t xml:space="preserve"> as under:</w:t>
      </w:r>
      <w:r>
        <w:t xml:space="preserve"> </w:t>
      </w:r>
    </w:p>
    <w:p w14:paraId="1FAB1580" w14:textId="5CC4D1D8" w:rsidR="00C34833" w:rsidRPr="00A3170D" w:rsidRDefault="004D6075" w:rsidP="00A22D29">
      <w:pPr>
        <w:pStyle w:val="BodyText"/>
        <w:rPr>
          <w:rFonts w:eastAsiaTheme="majorEastAsia" w:cstheme="majorBidi"/>
        </w:rPr>
      </w:pPr>
      <m:oMathPara>
        <m:oMath>
          <m:sSub>
            <m:sSubPr>
              <m:ctrlPr>
                <w:rPr>
                  <w:rFonts w:ascii="Cambria Math" w:hAnsi="Cambria Math"/>
                  <w:iCs/>
                </w:rPr>
              </m:ctrlPr>
            </m:sSubPr>
            <m:e>
              <m:r>
                <w:rPr>
                  <w:rFonts w:ascii="Cambria Math" w:hAnsi="Cambria Math"/>
                </w:rPr>
                <m:t>CB</m:t>
              </m:r>
            </m:e>
            <m:sub>
              <m:r>
                <w:rPr>
                  <w:rFonts w:ascii="Cambria Math" w:hAnsi="Cambria Math"/>
                </w:rPr>
                <m:t>i,y</m:t>
              </m:r>
            </m:sub>
          </m:sSub>
          <m:r>
            <m:rPr>
              <m:sty m:val="p"/>
            </m:rPr>
            <w:rPr>
              <w:rFonts w:ascii="Cambria Math" w:hAnsi="Cambria Math"/>
            </w:rPr>
            <m:t>=</m:t>
          </m:r>
          <m:sSub>
            <m:sSubPr>
              <m:ctrlPr>
                <w:rPr>
                  <w:rFonts w:ascii="Cambria Math" w:hAnsi="Cambria Math"/>
                </w:rPr>
              </m:ctrlPr>
            </m:sSubPr>
            <m:e>
              <m:r>
                <w:rPr>
                  <w:rFonts w:ascii="Cambria Math" w:hAnsi="Cambria Math"/>
                </w:rPr>
                <m:t>ACC</m:t>
              </m:r>
            </m:e>
            <m:sub>
              <m:r>
                <w:rPr>
                  <w:rFonts w:ascii="Cambria Math" w:hAnsi="Cambria Math"/>
                </w:rPr>
                <m:t>i,y</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ACR</m:t>
              </m:r>
            </m:e>
            <m:sub>
              <m:r>
                <w:rPr>
                  <w:rFonts w:ascii="Cambria Math" w:hAnsi="Cambria Math"/>
                </w:rPr>
                <m:t>i,y</m:t>
              </m:r>
            </m:sub>
          </m:sSub>
        </m:oMath>
      </m:oMathPara>
    </w:p>
    <w:p w14:paraId="790A012A" w14:textId="77777777" w:rsidR="00A3170D" w:rsidRDefault="00A3170D" w:rsidP="00A3170D">
      <w:pPr>
        <w:pStyle w:val="BodyText"/>
        <w:ind w:left="3544" w:hanging="992"/>
      </w:pPr>
      <w:r>
        <w:t>Where:</w:t>
      </w:r>
      <w:r w:rsidRPr="0096353B">
        <w:t xml:space="preserve"> </w:t>
      </w:r>
    </w:p>
    <w:p w14:paraId="62FDE159" w14:textId="0C9C36D4" w:rsidR="00D7798A" w:rsidRPr="00D7798A" w:rsidRDefault="00D7798A" w:rsidP="00A3170D">
      <w:pPr>
        <w:pStyle w:val="BodyText"/>
        <w:ind w:left="3544" w:hanging="992"/>
      </w:pPr>
      <w:r>
        <w:rPr>
          <w:i/>
          <w:iCs/>
        </w:rPr>
        <w:t>CBi</w:t>
      </w:r>
      <w:r w:rsidRPr="00D7798A">
        <w:rPr>
          <w:i/>
          <w:iCs/>
          <w:vertAlign w:val="subscript"/>
        </w:rPr>
        <w:t>,y</w:t>
      </w:r>
      <w:r>
        <w:rPr>
          <w:i/>
          <w:iCs/>
        </w:rPr>
        <w:tab/>
      </w:r>
      <w:r>
        <w:t xml:space="preserve">is the Capacity Balance of Market Participant </w:t>
      </w:r>
      <w:r w:rsidRPr="00D7798A">
        <w:rPr>
          <w:i/>
          <w:iCs/>
        </w:rPr>
        <w:t>“i”</w:t>
      </w:r>
      <w:r>
        <w:t xml:space="preserve">, for the </w:t>
      </w:r>
      <w:r w:rsidR="00905A71">
        <w:t>year</w:t>
      </w:r>
      <w:r>
        <w:t xml:space="preserve"> </w:t>
      </w:r>
      <w:r w:rsidRPr="00D7798A">
        <w:rPr>
          <w:i/>
          <w:iCs/>
        </w:rPr>
        <w:t>“y”</w:t>
      </w:r>
      <w:r>
        <w:t>, which will be used for determining its participation in the Balancing Mechanism for Capacity, in MW;</w:t>
      </w:r>
    </w:p>
    <w:p w14:paraId="316DB4FC" w14:textId="00740D3F" w:rsidR="00D7798A" w:rsidRDefault="00A3170D" w:rsidP="00A3170D">
      <w:pPr>
        <w:pStyle w:val="BodyText"/>
        <w:ind w:left="3544" w:hanging="992"/>
      </w:pPr>
      <w:r w:rsidRPr="0096353B">
        <w:rPr>
          <w:i/>
          <w:iCs/>
        </w:rPr>
        <w:t>AC</w:t>
      </w:r>
      <w:r>
        <w:rPr>
          <w:i/>
          <w:iCs/>
        </w:rPr>
        <w:t>C</w:t>
      </w:r>
      <w:r w:rsidRPr="0096353B">
        <w:rPr>
          <w:i/>
          <w:iCs/>
          <w:vertAlign w:val="subscript"/>
        </w:rPr>
        <w:t>i,y</w:t>
      </w:r>
      <w:r w:rsidRPr="0096353B">
        <w:rPr>
          <w:i/>
          <w:iCs/>
        </w:rPr>
        <w:tab/>
      </w:r>
      <w:r>
        <w:t xml:space="preserve">is the Credited Capacity to Market Participant </w:t>
      </w:r>
      <w:r w:rsidRPr="0096353B">
        <w:rPr>
          <w:i/>
          <w:iCs/>
        </w:rPr>
        <w:t>“i”,</w:t>
      </w:r>
      <w:r w:rsidRPr="0096353B">
        <w:t xml:space="preserve"> for the </w:t>
      </w:r>
      <w:r w:rsidR="00905A71">
        <w:t>y</w:t>
      </w:r>
      <w:r w:rsidRPr="0096353B">
        <w:t xml:space="preserve">ear </w:t>
      </w:r>
      <w:r w:rsidRPr="0096353B">
        <w:rPr>
          <w:i/>
          <w:iCs/>
        </w:rPr>
        <w:t>“y”</w:t>
      </w:r>
      <w:r w:rsidRPr="0096353B">
        <w:t xml:space="preserve">, </w:t>
      </w:r>
      <w:r w:rsidR="00905A71">
        <w:t xml:space="preserve">calculated pursuant to </w:t>
      </w:r>
      <w:r>
        <w:t xml:space="preserve">Clause </w:t>
      </w:r>
      <w:r w:rsidR="00D7798A">
        <w:fldChar w:fldCharType="begin"/>
      </w:r>
      <w:r w:rsidR="00D7798A">
        <w:instrText xml:space="preserve"> REF _Ref68043053 \r \h </w:instrText>
      </w:r>
      <w:r w:rsidR="00D7798A">
        <w:fldChar w:fldCharType="separate"/>
      </w:r>
      <w:r w:rsidR="00251DBF">
        <w:t>10.2.3.3</w:t>
      </w:r>
      <w:r w:rsidR="00D7798A">
        <w:fldChar w:fldCharType="end"/>
      </w:r>
      <w:r w:rsidR="00D7798A">
        <w:t>, i</w:t>
      </w:r>
      <w:r w:rsidRPr="0096353B">
        <w:t>n MW;</w:t>
      </w:r>
    </w:p>
    <w:p w14:paraId="0FDB94AF" w14:textId="7F2CE839" w:rsidR="00A3170D" w:rsidRPr="0096353B" w:rsidRDefault="00D7798A" w:rsidP="00A3170D">
      <w:pPr>
        <w:pStyle w:val="BodyText"/>
        <w:ind w:left="3544" w:hanging="992"/>
      </w:pPr>
      <w:r>
        <w:rPr>
          <w:i/>
          <w:iCs/>
        </w:rPr>
        <w:t>ACR</w:t>
      </w:r>
      <w:r>
        <w:rPr>
          <w:i/>
          <w:iCs/>
          <w:vertAlign w:val="subscript"/>
        </w:rPr>
        <w:t>j</w:t>
      </w:r>
      <w:r w:rsidRPr="00E8465D">
        <w:rPr>
          <w:i/>
          <w:iCs/>
          <w:vertAlign w:val="subscript"/>
        </w:rPr>
        <w:t>,y</w:t>
      </w:r>
      <w:r>
        <w:rPr>
          <w:i/>
          <w:iCs/>
        </w:rPr>
        <w:tab/>
      </w:r>
      <w:r>
        <w:t xml:space="preserve">is the Capacity Requirement of the Market Participant </w:t>
      </w:r>
      <w:r w:rsidRPr="00DC384E">
        <w:rPr>
          <w:i/>
          <w:iCs/>
        </w:rPr>
        <w:t>“</w:t>
      </w:r>
      <w:r>
        <w:rPr>
          <w:i/>
          <w:iCs/>
        </w:rPr>
        <w:t>i</w:t>
      </w:r>
      <w:r w:rsidRPr="00DC384E">
        <w:rPr>
          <w:i/>
          <w:iCs/>
        </w:rPr>
        <w:t>”,</w:t>
      </w:r>
      <w:r>
        <w:t xml:space="preserve"> for the </w:t>
      </w:r>
      <w:r w:rsidR="00905A71">
        <w:t>y</w:t>
      </w:r>
      <w:r>
        <w:t xml:space="preserve">ear </w:t>
      </w:r>
      <w:r w:rsidRPr="00E8465D">
        <w:rPr>
          <w:i/>
          <w:iCs/>
        </w:rPr>
        <w:t>“y”</w:t>
      </w:r>
      <w:r>
        <w:t xml:space="preserve">, calculated pursuant </w:t>
      </w:r>
      <w:r w:rsidR="00905A71">
        <w:t xml:space="preserve">to </w:t>
      </w:r>
      <w:r>
        <w:t xml:space="preserve">Clause </w:t>
      </w:r>
      <w:r>
        <w:fldChar w:fldCharType="begin"/>
      </w:r>
      <w:r>
        <w:instrText xml:space="preserve"> REF _Ref67524592 \w \h </w:instrText>
      </w:r>
      <w:r>
        <w:fldChar w:fldCharType="separate"/>
      </w:r>
      <w:r w:rsidR="00251DBF">
        <w:t>10.2.4.2</w:t>
      </w:r>
      <w:r>
        <w:fldChar w:fldCharType="end"/>
      </w:r>
      <w:r>
        <w:t>, in MW</w:t>
      </w:r>
      <w:r w:rsidR="00905A71">
        <w:t>.</w:t>
      </w:r>
    </w:p>
    <w:p w14:paraId="2E13EACB" w14:textId="05B32A68" w:rsidR="00293F8F" w:rsidRDefault="00823D63" w:rsidP="00C173D0">
      <w:pPr>
        <w:pStyle w:val="Heading3"/>
      </w:pPr>
      <w:r>
        <w:t xml:space="preserve">Step </w:t>
      </w:r>
      <w:r w:rsidR="002F3BA1">
        <w:t>6</w:t>
      </w:r>
      <w:r>
        <w:t xml:space="preserve">: </w:t>
      </w:r>
      <w:r w:rsidR="00293F8F">
        <w:t xml:space="preserve">Determination of the </w:t>
      </w:r>
      <w:r w:rsidR="00AF5331">
        <w:t xml:space="preserve">Efficient Reserve and the </w:t>
      </w:r>
      <w:r w:rsidR="00293F8F">
        <w:t>Reference Technology</w:t>
      </w:r>
    </w:p>
    <w:p w14:paraId="72022E6D" w14:textId="0E9C2FDA" w:rsidR="000675C6" w:rsidRPr="000675C6" w:rsidRDefault="000675C6" w:rsidP="005B295A">
      <w:pPr>
        <w:pStyle w:val="Heading4"/>
      </w:pPr>
      <w:r w:rsidRPr="000675C6">
        <w:t xml:space="preserve">Every year, while developing </w:t>
      </w:r>
      <w:commentRangeStart w:id="516"/>
      <w:r w:rsidRPr="000675C6">
        <w:t>the IGCEP</w:t>
      </w:r>
      <w:r w:rsidR="00905A71">
        <w:t>,</w:t>
      </w:r>
      <w:r w:rsidRPr="000675C6">
        <w:t xml:space="preserve"> as </w:t>
      </w:r>
      <w:r w:rsidR="00905A71">
        <w:t xml:space="preserve">stipulated in </w:t>
      </w:r>
      <w:r w:rsidRPr="000675C6">
        <w:t xml:space="preserve">the Grid Code, the </w:t>
      </w:r>
      <w:r w:rsidR="000F60B6">
        <w:t>System Operator</w:t>
      </w:r>
      <w:commentRangeEnd w:id="516"/>
      <w:r w:rsidR="001A7E54">
        <w:rPr>
          <w:rStyle w:val="CommentReference"/>
          <w:rFonts w:eastAsiaTheme="minorHAnsi" w:cstheme="minorBidi"/>
          <w:bCs w:val="0"/>
          <w:iCs w:val="0"/>
          <w:color w:val="1C1C1C"/>
        </w:rPr>
        <w:commentReference w:id="516"/>
      </w:r>
      <w:r w:rsidRPr="000675C6">
        <w:t xml:space="preserve"> shall determine: </w:t>
      </w:r>
    </w:p>
    <w:p w14:paraId="51D5848A" w14:textId="18E46C0E" w:rsidR="000675C6" w:rsidRPr="000675C6" w:rsidRDefault="00905A71" w:rsidP="000675C6">
      <w:pPr>
        <w:pStyle w:val="Heading5"/>
      </w:pPr>
      <w:r>
        <w:lastRenderedPageBreak/>
        <w:t>t</w:t>
      </w:r>
      <w:r w:rsidR="000675C6" w:rsidRPr="000675C6">
        <w:t>he efficient level of reserve</w:t>
      </w:r>
      <w:r>
        <w:t>s required for the system</w:t>
      </w:r>
      <w:r w:rsidR="000675C6" w:rsidRPr="000675C6">
        <w:t xml:space="preserve">; and </w:t>
      </w:r>
    </w:p>
    <w:p w14:paraId="18A28C75" w14:textId="65D0C31E" w:rsidR="000675C6" w:rsidRDefault="00905A71" w:rsidP="000675C6">
      <w:pPr>
        <w:pStyle w:val="Heading5"/>
      </w:pPr>
      <w:r>
        <w:t>t</w:t>
      </w:r>
      <w:r w:rsidR="000675C6" w:rsidRPr="000675C6">
        <w:t>he unitary price for the Capacity</w:t>
      </w:r>
      <w:r>
        <w:t xml:space="preserve"> expressed in </w:t>
      </w:r>
      <w:r w:rsidR="00F66D93">
        <w:t>PKR/MW-year</w:t>
      </w:r>
      <w:r w:rsidR="000675C6" w:rsidRPr="000675C6">
        <w:t xml:space="preserve">, which will be used </w:t>
      </w:r>
      <w:r>
        <w:t>for</w:t>
      </w:r>
      <w:r w:rsidR="000675C6" w:rsidRPr="000675C6">
        <w:t xml:space="preserve"> the Balancing Mechanism for Capacity.</w:t>
      </w:r>
    </w:p>
    <w:p w14:paraId="4101C2A2" w14:textId="45C59675" w:rsidR="00EC25F6" w:rsidRDefault="00EC25F6" w:rsidP="005B295A">
      <w:pPr>
        <w:pStyle w:val="Heading4"/>
      </w:pPr>
      <w:r>
        <w:t xml:space="preserve">The efficient level of reserves </w:t>
      </w:r>
      <w:r w:rsidR="005122AC">
        <w:t xml:space="preserve">is </w:t>
      </w:r>
      <w:r>
        <w:t xml:space="preserve">the </w:t>
      </w:r>
      <w:r w:rsidR="005122AC">
        <w:t>Capacity</w:t>
      </w:r>
      <w:r>
        <w:t xml:space="preserve"> </w:t>
      </w:r>
      <w:r w:rsidR="00F66D93">
        <w:t>that is required to be installed in the system</w:t>
      </w:r>
      <w:r w:rsidR="005122AC">
        <w:t xml:space="preserve"> above the peak load</w:t>
      </w:r>
      <w:r>
        <w:t xml:space="preserve">, </w:t>
      </w:r>
      <w:r w:rsidR="00F66D93">
        <w:t>on long term basis</w:t>
      </w:r>
      <w:r>
        <w:t xml:space="preserve">, </w:t>
      </w:r>
      <w:r w:rsidR="00F66D93">
        <w:t xml:space="preserve">in order </w:t>
      </w:r>
      <w:r>
        <w:t xml:space="preserve">to </w:t>
      </w:r>
      <w:r w:rsidR="00D439DD">
        <w:t>minimize the</w:t>
      </w:r>
      <w:r>
        <w:t xml:space="preserve"> total system costs</w:t>
      </w:r>
      <w:r w:rsidR="00F66D93">
        <w:t>. The total system costs shall include:</w:t>
      </w:r>
      <w:r>
        <w:t xml:space="preserve"> </w:t>
      </w:r>
    </w:p>
    <w:p w14:paraId="21DD07F8" w14:textId="0B340EC3" w:rsidR="00EC25F6" w:rsidRDefault="00F66D93" w:rsidP="00D439DD">
      <w:pPr>
        <w:pStyle w:val="Heading5"/>
      </w:pPr>
      <w:r>
        <w:t>t</w:t>
      </w:r>
      <w:r w:rsidR="00EC25F6">
        <w:t xml:space="preserve">he investment costs; </w:t>
      </w:r>
    </w:p>
    <w:p w14:paraId="1D44A7B8" w14:textId="60511AEC" w:rsidR="00EC25F6" w:rsidRDefault="00F66D93" w:rsidP="00D439DD">
      <w:pPr>
        <w:pStyle w:val="Heading5"/>
      </w:pPr>
      <w:r>
        <w:t>t</w:t>
      </w:r>
      <w:r w:rsidR="00EC25F6">
        <w:t xml:space="preserve">he operational costs; </w:t>
      </w:r>
    </w:p>
    <w:p w14:paraId="11D53856" w14:textId="2282B26B" w:rsidR="00D439DD" w:rsidRDefault="00F66D93" w:rsidP="00D439DD">
      <w:pPr>
        <w:pStyle w:val="Heading5"/>
      </w:pPr>
      <w:r>
        <w:t>t</w:t>
      </w:r>
      <w:r w:rsidR="00EC25F6">
        <w:t xml:space="preserve">he </w:t>
      </w:r>
      <w:r w:rsidR="00D439DD">
        <w:t>cost of the energy not supplied.</w:t>
      </w:r>
    </w:p>
    <w:p w14:paraId="016E8D15" w14:textId="567BA9A0" w:rsidR="00BD795C" w:rsidRDefault="00D439DD" w:rsidP="005B295A">
      <w:pPr>
        <w:pStyle w:val="Heading4"/>
      </w:pPr>
      <w:bookmarkStart w:id="517" w:name="_Ref68872670"/>
      <w:r>
        <w:t>The efficient level of reserves shall be calculated</w:t>
      </w:r>
      <w:r w:rsidR="00BD795C">
        <w:t xml:space="preserve"> as the total </w:t>
      </w:r>
      <w:r w:rsidR="00672E71">
        <w:t>I</w:t>
      </w:r>
      <w:r w:rsidR="00BD795C">
        <w:t xml:space="preserve">nstalled </w:t>
      </w:r>
      <w:r w:rsidR="00672E71">
        <w:t>C</w:t>
      </w:r>
      <w:r w:rsidR="00BD795C">
        <w:t>apacity</w:t>
      </w:r>
      <w:r w:rsidR="00F66D93">
        <w:t xml:space="preserve"> </w:t>
      </w:r>
      <w:r w:rsidR="002A68D6">
        <w:t xml:space="preserve">divided by the peak load of the system </w:t>
      </w:r>
      <w:r w:rsidR="00F66D93">
        <w:t xml:space="preserve">included in the end period of the </w:t>
      </w:r>
      <w:r w:rsidR="00BD795C">
        <w:t>IGCEP, expressed in percent:</w:t>
      </w:r>
      <w:bookmarkEnd w:id="517"/>
      <w:r w:rsidR="00BD795C">
        <w:t xml:space="preserve"> </w:t>
      </w:r>
    </w:p>
    <w:p w14:paraId="306D4F9B" w14:textId="3AF773ED" w:rsidR="00BD795C" w:rsidRPr="00BD795C" w:rsidRDefault="00BD795C" w:rsidP="0080360A">
      <w:pPr>
        <w:rPr>
          <w:rFonts w:eastAsiaTheme="majorEastAsia" w:cstheme="majorBidi"/>
        </w:rPr>
      </w:pPr>
      <m:oMathPara>
        <m:oMath>
          <m:r>
            <w:rPr>
              <w:rFonts w:ascii="Cambria Math" w:hAnsi="Cambria Math"/>
            </w:rPr>
            <m:t>RE</m:t>
          </m:r>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y</m:t>
                  </m:r>
                </m:sub>
                <m:sup/>
                <m:e>
                  <m:d>
                    <m:dPr>
                      <m:ctrlPr>
                        <w:rPr>
                          <w:rFonts w:ascii="Cambria Math" w:eastAsiaTheme="majorEastAsia" w:hAnsi="Cambria Math" w:cstheme="majorBidi"/>
                          <w:bCs/>
                          <w:iCs/>
                          <w:color w:val="000000" w:themeColor="text1"/>
                          <w:szCs w:val="24"/>
                        </w:rPr>
                      </m:ctrlPr>
                    </m:dPr>
                    <m:e>
                      <m:f>
                        <m:fPr>
                          <m:ctrlPr>
                            <w:rPr>
                              <w:rFonts w:ascii="Cambria Math" w:eastAsiaTheme="majorEastAsia" w:hAnsi="Cambria Math" w:cstheme="majorBidi"/>
                              <w:bCs/>
                              <w:iCs/>
                              <w:color w:val="000000" w:themeColor="text1"/>
                              <w:szCs w:val="24"/>
                            </w:rPr>
                          </m:ctrlPr>
                        </m:fPr>
                        <m:num>
                          <m:sSub>
                            <m:sSubPr>
                              <m:ctrlPr>
                                <w:rPr>
                                  <w:rFonts w:ascii="Cambria Math" w:eastAsiaTheme="majorEastAsia" w:hAnsi="Cambria Math" w:cstheme="majorBidi"/>
                                  <w:bCs/>
                                  <w:iCs/>
                                  <w:color w:val="000000" w:themeColor="text1"/>
                                  <w:szCs w:val="24"/>
                                </w:rPr>
                              </m:ctrlPr>
                            </m:sSubPr>
                            <m:e>
                              <m:r>
                                <w:rPr>
                                  <w:rFonts w:ascii="Cambria Math" w:hAnsi="Cambria Math"/>
                                </w:rPr>
                                <m:t>TIC</m:t>
                              </m:r>
                            </m:e>
                            <m:sub>
                              <m:r>
                                <w:rPr>
                                  <w:rFonts w:ascii="Cambria Math" w:hAnsi="Cambria Math"/>
                                </w:rPr>
                                <m:t>y</m:t>
                              </m:r>
                            </m:sub>
                          </m:sSub>
                        </m:num>
                        <m:den>
                          <m:sSub>
                            <m:sSubPr>
                              <m:ctrlPr>
                                <w:rPr>
                                  <w:rFonts w:ascii="Cambria Math" w:eastAsiaTheme="majorEastAsia" w:hAnsi="Cambria Math" w:cstheme="majorBidi"/>
                                  <w:bCs/>
                                  <w:iCs/>
                                  <w:color w:val="000000" w:themeColor="text1"/>
                                  <w:szCs w:val="24"/>
                                </w:rPr>
                              </m:ctrlPr>
                            </m:sSubPr>
                            <m:e>
                              <m:r>
                                <w:rPr>
                                  <w:rFonts w:ascii="Cambria Math" w:hAnsi="Cambria Math"/>
                                </w:rPr>
                                <m:t>PL</m:t>
                              </m:r>
                            </m:e>
                            <m:sub>
                              <m:r>
                                <w:rPr>
                                  <w:rFonts w:ascii="Cambria Math" w:hAnsi="Cambria Math"/>
                                </w:rPr>
                                <m:t>y</m:t>
                              </m:r>
                            </m:sub>
                          </m:sSub>
                        </m:den>
                      </m:f>
                      <m:r>
                        <w:rPr>
                          <w:rFonts w:ascii="Cambria Math" w:eastAsiaTheme="majorEastAsia" w:hAnsi="Cambria Math" w:cstheme="majorBidi"/>
                          <w:color w:val="000000" w:themeColor="text1"/>
                          <w:szCs w:val="24"/>
                        </w:rPr>
                        <m:t>-1</m:t>
                      </m:r>
                    </m:e>
                  </m:d>
                  <m:r>
                    <m:rPr>
                      <m:sty m:val="p"/>
                    </m:rPr>
                    <w:rPr>
                      <w:rFonts w:ascii="Cambria Math" w:hAnsi="Cambria Math"/>
                    </w:rPr>
                    <m:t>*100</m:t>
                  </m:r>
                </m:e>
              </m:nary>
            </m:num>
            <m:den>
              <m:r>
                <w:rPr>
                  <w:rFonts w:ascii="Cambria Math" w:hAnsi="Cambria Math"/>
                </w:rPr>
                <m:t>n</m:t>
              </m:r>
            </m:den>
          </m:f>
        </m:oMath>
      </m:oMathPara>
    </w:p>
    <w:p w14:paraId="15722A38" w14:textId="758EB5EC" w:rsidR="00BD795C" w:rsidRDefault="00BD795C" w:rsidP="0080360A">
      <w:pPr>
        <w:pStyle w:val="BodyText"/>
        <w:ind w:left="3544" w:hanging="992"/>
      </w:pPr>
      <w:commentRangeStart w:id="518"/>
      <w:r>
        <w:t>Where</w:t>
      </w:r>
      <w:r w:rsidR="0080360A">
        <w:t>:</w:t>
      </w:r>
      <w:commentRangeEnd w:id="518"/>
      <w:r w:rsidR="00DA6321">
        <w:rPr>
          <w:rStyle w:val="CommentReference"/>
        </w:rPr>
        <w:commentReference w:id="518"/>
      </w:r>
    </w:p>
    <w:p w14:paraId="2F0B0EBC" w14:textId="1FCF8BF0" w:rsidR="002A68D6" w:rsidRDefault="002A68D6" w:rsidP="0080360A">
      <w:pPr>
        <w:pStyle w:val="BodyText"/>
        <w:ind w:left="3544" w:hanging="992"/>
        <w:rPr>
          <w:i/>
          <w:iCs/>
        </w:rPr>
      </w:pPr>
      <w:r>
        <w:rPr>
          <w:i/>
          <w:iCs/>
        </w:rPr>
        <w:t>RE</w:t>
      </w:r>
      <w:r>
        <w:t xml:space="preserve"> </w:t>
      </w:r>
      <w:r>
        <w:tab/>
        <w:t>is the efficient level of reserves expressed in percentage;</w:t>
      </w:r>
    </w:p>
    <w:p w14:paraId="699944BB" w14:textId="71C1085E" w:rsidR="00BD795C" w:rsidRPr="00266399" w:rsidRDefault="00BD795C" w:rsidP="0080360A">
      <w:pPr>
        <w:pStyle w:val="BodyText"/>
        <w:ind w:left="3544" w:hanging="992"/>
      </w:pPr>
      <w:r w:rsidRPr="0080360A">
        <w:rPr>
          <w:i/>
          <w:iCs/>
        </w:rPr>
        <w:t>TIC</w:t>
      </w:r>
      <w:r w:rsidRPr="0080360A">
        <w:rPr>
          <w:i/>
          <w:iCs/>
          <w:vertAlign w:val="subscript"/>
        </w:rPr>
        <w:t>y</w:t>
      </w:r>
      <w:r>
        <w:t xml:space="preserve"> </w:t>
      </w:r>
      <w:r w:rsidR="0080360A">
        <w:tab/>
      </w:r>
      <w:r>
        <w:t xml:space="preserve">is the total </w:t>
      </w:r>
      <w:r w:rsidR="00672E71">
        <w:t>I</w:t>
      </w:r>
      <w:r>
        <w:t xml:space="preserve">nstalled </w:t>
      </w:r>
      <w:r w:rsidR="00672E71">
        <w:t>C</w:t>
      </w:r>
      <w:r>
        <w:t xml:space="preserve">apacity in year </w:t>
      </w:r>
      <w:r w:rsidR="0080360A">
        <w:t xml:space="preserve">“y”, which minimizes the total costs of the system, calculated by the </w:t>
      </w:r>
      <w:r w:rsidR="00DD391F" w:rsidRPr="00B03C4A">
        <w:t>System Operator</w:t>
      </w:r>
      <w:r w:rsidR="0080360A" w:rsidRPr="00B03C4A">
        <w:t xml:space="preserve"> </w:t>
      </w:r>
      <w:r w:rsidR="0080360A" w:rsidRPr="00266399">
        <w:t>in the IGCEP;</w:t>
      </w:r>
    </w:p>
    <w:p w14:paraId="076BBA06" w14:textId="156AED0C" w:rsidR="0080360A" w:rsidRDefault="005122AC" w:rsidP="0080360A">
      <w:pPr>
        <w:pStyle w:val="BodyText"/>
        <w:ind w:left="3544" w:hanging="992"/>
      </w:pPr>
      <w:r w:rsidRPr="00266399">
        <w:rPr>
          <w:i/>
          <w:iCs/>
        </w:rPr>
        <w:t>PL</w:t>
      </w:r>
      <w:r w:rsidR="0080360A" w:rsidRPr="00266399">
        <w:rPr>
          <w:i/>
          <w:iCs/>
          <w:vertAlign w:val="subscript"/>
        </w:rPr>
        <w:t>y</w:t>
      </w:r>
      <w:r w:rsidR="0080360A" w:rsidRPr="00266399">
        <w:t xml:space="preserve"> </w:t>
      </w:r>
      <w:r w:rsidR="0080360A" w:rsidRPr="00266399">
        <w:tab/>
        <w:t xml:space="preserve">is the </w:t>
      </w:r>
      <w:r w:rsidRPr="00266399">
        <w:t xml:space="preserve">peak load </w:t>
      </w:r>
      <w:r w:rsidR="0080360A" w:rsidRPr="00266399">
        <w:t xml:space="preserve">of the system in year “y”, including transmission losses, which has been used by the </w:t>
      </w:r>
      <w:r w:rsidR="00DD391F" w:rsidRPr="00B03C4A">
        <w:t>System Operator</w:t>
      </w:r>
      <w:r w:rsidR="0080360A" w:rsidRPr="00266399">
        <w:t xml:space="preserve"> in </w:t>
      </w:r>
      <w:r w:rsidR="002A68D6" w:rsidRPr="00266399">
        <w:t xml:space="preserve">preparation of </w:t>
      </w:r>
      <w:r w:rsidR="0080360A" w:rsidRPr="00266399">
        <w:t>the IGCEP;</w:t>
      </w:r>
    </w:p>
    <w:p w14:paraId="600DBD8E" w14:textId="4214923E" w:rsidR="0080360A" w:rsidRDefault="0080360A" w:rsidP="0080360A">
      <w:pPr>
        <w:pStyle w:val="BodyText"/>
        <w:ind w:left="3544" w:hanging="992"/>
      </w:pPr>
      <w:r>
        <w:t xml:space="preserve">n </w:t>
      </w:r>
      <w:r>
        <w:tab/>
        <w:t>are the total number of years used in the determination of the efficient reserve</w:t>
      </w:r>
      <w:r w:rsidR="002A68D6">
        <w:t>.</w:t>
      </w:r>
      <w:r>
        <w:t xml:space="preserve"> </w:t>
      </w:r>
    </w:p>
    <w:p w14:paraId="5498FB8B" w14:textId="03240D62" w:rsidR="00CF4EA3" w:rsidRDefault="00CF4EA3" w:rsidP="005B295A">
      <w:pPr>
        <w:pStyle w:val="Heading4"/>
      </w:pPr>
      <w:r>
        <w:t>Till such time the System Operator determines the efficient level of reserve</w:t>
      </w:r>
      <w:r w:rsidRPr="009A3724">
        <w:t xml:space="preserve">, the </w:t>
      </w:r>
      <w:r>
        <w:t xml:space="preserve">value provided in </w:t>
      </w:r>
      <w:r w:rsidRPr="009A3724">
        <w:t xml:space="preserve">Clause </w:t>
      </w:r>
      <w:r>
        <w:fldChar w:fldCharType="begin"/>
      </w:r>
      <w:r>
        <w:instrText xml:space="preserve"> REF _Ref76909729 \w \h </w:instrText>
      </w:r>
      <w:r>
        <w:fldChar w:fldCharType="separate"/>
      </w:r>
      <w:r>
        <w:t>19.2.8</w:t>
      </w:r>
      <w:r>
        <w:fldChar w:fldCharType="end"/>
      </w:r>
      <w:r>
        <w:t xml:space="preserve"> shall apply.</w:t>
      </w:r>
    </w:p>
    <w:p w14:paraId="45D6848C" w14:textId="04674FCE" w:rsidR="00D7798A" w:rsidRPr="00CE48A1" w:rsidRDefault="00D7798A" w:rsidP="005B295A">
      <w:pPr>
        <w:pStyle w:val="Heading4"/>
      </w:pPr>
      <w:r w:rsidRPr="005122AC">
        <w:t xml:space="preserve">The </w:t>
      </w:r>
      <w:r w:rsidR="005122AC" w:rsidRPr="005122AC">
        <w:t>unitary cost</w:t>
      </w:r>
      <w:r w:rsidRPr="005122AC">
        <w:t xml:space="preserve"> of the Capacity</w:t>
      </w:r>
      <w:r w:rsidR="0047558B" w:rsidRPr="005122AC">
        <w:t xml:space="preserve">,  </w:t>
      </w:r>
      <w:r w:rsidR="005122AC" w:rsidRPr="005122AC">
        <w:t>is the investment</w:t>
      </w:r>
      <w:r w:rsidR="0047558B" w:rsidRPr="005122AC">
        <w:t xml:space="preserve"> </w:t>
      </w:r>
      <w:r w:rsidRPr="00CE48A1">
        <w:t xml:space="preserve">cost of the most economic Generation Unit, capable to provide 1 MW of Firm Capacity </w:t>
      </w:r>
      <w:r w:rsidR="002A68D6">
        <w:t>during</w:t>
      </w:r>
      <w:r w:rsidR="002A68D6" w:rsidRPr="00CE48A1">
        <w:t xml:space="preserve"> </w:t>
      </w:r>
      <w:r w:rsidRPr="00CE48A1">
        <w:t xml:space="preserve">the Critical Hours. </w:t>
      </w:r>
    </w:p>
    <w:p w14:paraId="6C1C81A9" w14:textId="35253E2A" w:rsidR="005122AC" w:rsidRPr="00CE48A1" w:rsidRDefault="005122AC" w:rsidP="005B295A">
      <w:pPr>
        <w:pStyle w:val="Heading4"/>
      </w:pPr>
      <w:r w:rsidRPr="00CF4EA3">
        <w:t xml:space="preserve">The </w:t>
      </w:r>
      <w:r w:rsidR="00DD391F" w:rsidRPr="00B03C4A">
        <w:t>System Operator</w:t>
      </w:r>
      <w:r w:rsidRPr="00CF4EA3">
        <w:t xml:space="preserve"> shall</w:t>
      </w:r>
      <w:r w:rsidRPr="00CE48A1">
        <w:t xml:space="preserve"> determine the </w:t>
      </w:r>
      <w:r w:rsidR="00D7798A" w:rsidRPr="00CE48A1">
        <w:t xml:space="preserve">unitary </w:t>
      </w:r>
      <w:r w:rsidRPr="00CE48A1">
        <w:t xml:space="preserve">cost of the </w:t>
      </w:r>
      <w:r w:rsidR="00D7798A" w:rsidRPr="00CE48A1">
        <w:t>Capacity</w:t>
      </w:r>
      <w:r w:rsidRPr="00CE48A1">
        <w:t xml:space="preserve">, </w:t>
      </w:r>
      <w:r w:rsidR="00D7798A" w:rsidRPr="00CE48A1">
        <w:t xml:space="preserve"> </w:t>
      </w:r>
      <w:commentRangeStart w:id="519"/>
      <w:r w:rsidRPr="00CE48A1">
        <w:t>when developing the IGCEP</w:t>
      </w:r>
      <w:commentRangeEnd w:id="519"/>
      <w:r w:rsidR="001A7E54">
        <w:rPr>
          <w:rStyle w:val="CommentReference"/>
          <w:rFonts w:eastAsiaTheme="minorHAnsi" w:cstheme="minorBidi"/>
          <w:bCs w:val="0"/>
          <w:iCs w:val="0"/>
          <w:color w:val="1C1C1C"/>
        </w:rPr>
        <w:commentReference w:id="519"/>
      </w:r>
      <w:r w:rsidRPr="00CE48A1">
        <w:t>, considering different generation technologie</w:t>
      </w:r>
      <w:r w:rsidR="002A68D6">
        <w:t>s, and</w:t>
      </w:r>
      <w:r w:rsidRPr="00CE48A1">
        <w:t xml:space="preserve"> calculating for each of them</w:t>
      </w:r>
      <w:r w:rsidR="002A68D6">
        <w:t>,</w:t>
      </w:r>
      <w:r w:rsidRPr="00CE48A1">
        <w:t xml:space="preserve"> the levelized investment cost and the revenues that this project would obtain during the “</w:t>
      </w:r>
      <w:r w:rsidR="00DD391F">
        <w:t>C</w:t>
      </w:r>
      <w:r w:rsidRPr="00CE48A1">
        <w:t xml:space="preserve">ritical </w:t>
      </w:r>
      <w:r w:rsidR="00DD391F">
        <w:t>H</w:t>
      </w:r>
      <w:r w:rsidRPr="00CE48A1">
        <w:t>ours” if it had been operating in the market.</w:t>
      </w:r>
      <w:r w:rsidR="00CE48A1" w:rsidRPr="00CE48A1">
        <w:t xml:space="preserve"> Only technologies capable to provide controllable Capacity shall be considered. </w:t>
      </w:r>
    </w:p>
    <w:p w14:paraId="2DB4223A" w14:textId="70CE9FEE" w:rsidR="00D7798A" w:rsidRPr="00CE48A1" w:rsidRDefault="005122AC" w:rsidP="005B295A">
      <w:pPr>
        <w:pStyle w:val="Heading4"/>
      </w:pPr>
      <w:r w:rsidRPr="00CE48A1">
        <w:t>The e</w:t>
      </w:r>
      <w:r w:rsidR="00D7798A" w:rsidRPr="00CE48A1">
        <w:t>stimated investment cost</w:t>
      </w:r>
      <w:r w:rsidRPr="00CE48A1">
        <w:t xml:space="preserve">s, for each technology </w:t>
      </w:r>
      <w:r w:rsidR="00CE48A1" w:rsidRPr="00CE48A1">
        <w:t xml:space="preserve">shall include: </w:t>
      </w:r>
      <w:r w:rsidR="00D7798A" w:rsidRPr="00CE48A1">
        <w:t> </w:t>
      </w:r>
    </w:p>
    <w:p w14:paraId="7291C98F" w14:textId="41DA6306" w:rsidR="00D7798A" w:rsidRPr="00CE48A1" w:rsidRDefault="00CF4EA3" w:rsidP="00D7798A">
      <w:pPr>
        <w:pStyle w:val="Heading5"/>
      </w:pPr>
      <w:r>
        <w:t>t</w:t>
      </w:r>
      <w:r w:rsidR="00D7798A" w:rsidRPr="00CE48A1">
        <w:t xml:space="preserve">he costs of the project may include, among other inputs: </w:t>
      </w:r>
    </w:p>
    <w:p w14:paraId="5DEE5F85" w14:textId="7215B6DE" w:rsidR="00D7798A" w:rsidRPr="00CE48A1" w:rsidRDefault="00CF4EA3" w:rsidP="00CF7164">
      <w:pPr>
        <w:pStyle w:val="Heading6"/>
      </w:pPr>
      <w:r>
        <w:t>e</w:t>
      </w:r>
      <w:r w:rsidR="00D7798A" w:rsidRPr="00CE48A1">
        <w:t xml:space="preserve">quipment costs; </w:t>
      </w:r>
    </w:p>
    <w:p w14:paraId="1CD352CD" w14:textId="46154CBF" w:rsidR="00D7798A" w:rsidRPr="00CE48A1" w:rsidRDefault="00CF4EA3" w:rsidP="00CF7164">
      <w:pPr>
        <w:pStyle w:val="Heading6"/>
      </w:pPr>
      <w:r>
        <w:t>s</w:t>
      </w:r>
      <w:r w:rsidR="00D7798A" w:rsidRPr="00CE48A1">
        <w:t>ite acquisition costs (land);</w:t>
      </w:r>
    </w:p>
    <w:p w14:paraId="721C4202" w14:textId="3A2E1D05" w:rsidR="00D7798A" w:rsidRPr="00CE48A1" w:rsidRDefault="00CF4EA3" w:rsidP="00CF7164">
      <w:pPr>
        <w:pStyle w:val="Heading6"/>
      </w:pPr>
      <w:r>
        <w:t>e</w:t>
      </w:r>
      <w:r w:rsidR="00D7798A" w:rsidRPr="00CE48A1">
        <w:t>ngineering, procurement, project management and construction costs;</w:t>
      </w:r>
    </w:p>
    <w:p w14:paraId="411D4821" w14:textId="161C164C" w:rsidR="00D7798A" w:rsidRPr="00CE48A1" w:rsidRDefault="00CF4EA3" w:rsidP="00CF7164">
      <w:pPr>
        <w:pStyle w:val="Heading6"/>
      </w:pPr>
      <w:r>
        <w:t>l</w:t>
      </w:r>
      <w:r w:rsidR="00D7798A" w:rsidRPr="00CE48A1">
        <w:t>egal costs;</w:t>
      </w:r>
    </w:p>
    <w:p w14:paraId="1B64E824" w14:textId="4E900E0B" w:rsidR="00D7798A" w:rsidRPr="00CE48A1" w:rsidRDefault="00CF4EA3" w:rsidP="00CF7164">
      <w:pPr>
        <w:pStyle w:val="Heading6"/>
      </w:pPr>
      <w:r>
        <w:t>i</w:t>
      </w:r>
      <w:r w:rsidR="00D7798A" w:rsidRPr="00CE48A1">
        <w:t xml:space="preserve">nterconnection costs of the </w:t>
      </w:r>
      <w:r w:rsidR="00DD391F">
        <w:t>t</w:t>
      </w:r>
      <w:r w:rsidR="00D7798A" w:rsidRPr="00CE48A1">
        <w:t xml:space="preserve">ransmission </w:t>
      </w:r>
      <w:r w:rsidR="00DD391F">
        <w:t>system</w:t>
      </w:r>
      <w:r w:rsidR="00D7798A" w:rsidRPr="00CE48A1">
        <w:t xml:space="preserve">; </w:t>
      </w:r>
    </w:p>
    <w:p w14:paraId="092A71DE" w14:textId="07778AD3" w:rsidR="00D7798A" w:rsidRPr="00CE48A1" w:rsidRDefault="00CF4EA3" w:rsidP="00CF7164">
      <w:pPr>
        <w:pStyle w:val="Heading6"/>
      </w:pPr>
      <w:r>
        <w:lastRenderedPageBreak/>
        <w:t>c</w:t>
      </w:r>
      <w:r w:rsidR="00D7798A" w:rsidRPr="00CE48A1">
        <w:t>onstruction costs and interconnection of fuel pipelines, if applicable; and</w:t>
      </w:r>
    </w:p>
    <w:p w14:paraId="3C5EFB62" w14:textId="229361F9" w:rsidR="00D7798A" w:rsidRPr="00CE48A1" w:rsidRDefault="00CF4EA3" w:rsidP="00CF7164">
      <w:pPr>
        <w:pStyle w:val="Heading6"/>
      </w:pPr>
      <w:r>
        <w:t>m</w:t>
      </w:r>
      <w:r w:rsidR="00D7798A" w:rsidRPr="00CE48A1">
        <w:t>obilization and contingent costs</w:t>
      </w:r>
      <w:r>
        <w:t>;</w:t>
      </w:r>
    </w:p>
    <w:p w14:paraId="22DEBF1C" w14:textId="0B224AFA" w:rsidR="00D7798A" w:rsidRPr="00CE48A1" w:rsidRDefault="00CF4EA3" w:rsidP="00D7798A">
      <w:pPr>
        <w:pStyle w:val="Heading5"/>
      </w:pPr>
      <w:r>
        <w:t>e</w:t>
      </w:r>
      <w:r w:rsidR="00D7798A" w:rsidRPr="00CE48A1">
        <w:t>stimated financial costs of the project</w:t>
      </w:r>
      <w:r>
        <w:t>;</w:t>
      </w:r>
    </w:p>
    <w:p w14:paraId="56566D36" w14:textId="74FC3643" w:rsidR="00D7798A" w:rsidRPr="00C02069" w:rsidRDefault="00CF4EA3" w:rsidP="00D7798A">
      <w:pPr>
        <w:pStyle w:val="Heading5"/>
      </w:pPr>
      <w:r>
        <w:t>t</w:t>
      </w:r>
      <w:r w:rsidR="00D7798A" w:rsidRPr="00CE48A1">
        <w:t xml:space="preserve">he assumed </w:t>
      </w:r>
      <w:r w:rsidR="00D7798A" w:rsidRPr="00C02069">
        <w:t xml:space="preserve">economic </w:t>
      </w:r>
      <w:r w:rsidR="00111CDE">
        <w:t>operational</w:t>
      </w:r>
      <w:r w:rsidR="00111CDE" w:rsidRPr="00C02069">
        <w:t xml:space="preserve"> </w:t>
      </w:r>
      <w:r w:rsidR="00D7798A" w:rsidRPr="00C02069">
        <w:t xml:space="preserve">life of the </w:t>
      </w:r>
      <w:r w:rsidR="004D4EF4">
        <w:t>project</w:t>
      </w:r>
      <w:r w:rsidR="00D7798A" w:rsidRPr="00C02069">
        <w:t xml:space="preserve">, considering the salvage value after that </w:t>
      </w:r>
      <w:r w:rsidR="00111CDE">
        <w:t>operational</w:t>
      </w:r>
      <w:r w:rsidR="00111CDE" w:rsidRPr="00C02069">
        <w:t xml:space="preserve"> </w:t>
      </w:r>
      <w:r w:rsidR="00D7798A" w:rsidRPr="00C02069">
        <w:t>life</w:t>
      </w:r>
      <w:r>
        <w:t>;</w:t>
      </w:r>
    </w:p>
    <w:p w14:paraId="4CA89ADD" w14:textId="1A168BA5" w:rsidR="00D7798A" w:rsidRPr="00C02069" w:rsidRDefault="00CF4EA3" w:rsidP="00D7798A">
      <w:pPr>
        <w:pStyle w:val="Heading5"/>
      </w:pPr>
      <w:r>
        <w:t>a</w:t>
      </w:r>
      <w:r w:rsidR="00D7798A" w:rsidRPr="00C02069">
        <w:t xml:space="preserve">n appropriate discount rate, which shall be </w:t>
      </w:r>
      <w:r w:rsidR="00CE48A1" w:rsidRPr="00C02069">
        <w:t xml:space="preserve">determined by </w:t>
      </w:r>
      <w:r w:rsidR="00CE48A1" w:rsidRPr="00CF4EA3">
        <w:t xml:space="preserve">the </w:t>
      </w:r>
      <w:r w:rsidR="00DD391F" w:rsidRPr="00B03C4A">
        <w:t>System Operator</w:t>
      </w:r>
      <w:r w:rsidR="00CE48A1" w:rsidRPr="00CF4EA3">
        <w:t>,</w:t>
      </w:r>
      <w:r w:rsidR="00CE48A1" w:rsidRPr="00C02069">
        <w:t xml:space="preserve"> properly documented in the reports attached </w:t>
      </w:r>
      <w:r w:rsidR="00111CDE">
        <w:t>with</w:t>
      </w:r>
      <w:r w:rsidR="00111CDE" w:rsidRPr="00C02069">
        <w:t xml:space="preserve"> </w:t>
      </w:r>
      <w:r w:rsidR="00CE48A1" w:rsidRPr="00C02069">
        <w:t>the IGCEP</w:t>
      </w:r>
      <w:r>
        <w:t>;</w:t>
      </w:r>
      <w:r w:rsidR="00D7798A" w:rsidRPr="00C02069">
        <w:t xml:space="preserve"> </w:t>
      </w:r>
    </w:p>
    <w:p w14:paraId="7B49FFDA" w14:textId="04BFAA1F" w:rsidR="00D7798A" w:rsidRPr="00C02069" w:rsidRDefault="00CE48A1" w:rsidP="005B295A">
      <w:pPr>
        <w:pStyle w:val="Heading4"/>
      </w:pPr>
      <w:r w:rsidRPr="00C02069">
        <w:t>The e</w:t>
      </w:r>
      <w:r w:rsidR="00D7798A" w:rsidRPr="00C02069">
        <w:t xml:space="preserve">stimated </w:t>
      </w:r>
      <w:r w:rsidRPr="00C02069">
        <w:t>r</w:t>
      </w:r>
      <w:r w:rsidR="00D7798A" w:rsidRPr="00C02069">
        <w:t>evenues</w:t>
      </w:r>
      <w:r w:rsidRPr="00C02069">
        <w:t xml:space="preserve"> for each technology shall </w:t>
      </w:r>
      <w:r w:rsidR="00D7798A" w:rsidRPr="00C02069">
        <w:t xml:space="preserve">be calculated by </w:t>
      </w:r>
      <w:r w:rsidRPr="00C02069">
        <w:t xml:space="preserve">the </w:t>
      </w:r>
      <w:commentRangeStart w:id="520"/>
      <w:r w:rsidR="00C66DA9" w:rsidRPr="00C66DA9">
        <w:rPr>
          <w:highlight w:val="yellow"/>
        </w:rPr>
        <w:t>System Operator</w:t>
      </w:r>
      <w:commentRangeEnd w:id="520"/>
      <w:r w:rsidR="001A7E54">
        <w:rPr>
          <w:rStyle w:val="CommentReference"/>
          <w:rFonts w:eastAsiaTheme="minorHAnsi" w:cstheme="minorBidi"/>
          <w:bCs w:val="0"/>
          <w:iCs w:val="0"/>
          <w:color w:val="1C1C1C"/>
        </w:rPr>
        <w:commentReference w:id="520"/>
      </w:r>
      <w:r w:rsidRPr="00C02069">
        <w:t>, as the difference between</w:t>
      </w:r>
      <w:r w:rsidR="00D7798A" w:rsidRPr="00C02069">
        <w:t xml:space="preserve"> the </w:t>
      </w:r>
      <w:r w:rsidRPr="00C02069">
        <w:t>estimated S</w:t>
      </w:r>
      <w:r w:rsidR="00D7798A" w:rsidRPr="00C02069">
        <w:t xml:space="preserve">ystem </w:t>
      </w:r>
      <w:r w:rsidRPr="00C02069">
        <w:t>M</w:t>
      </w:r>
      <w:r w:rsidR="00D7798A" w:rsidRPr="00C02069">
        <w:t xml:space="preserve">arginal </w:t>
      </w:r>
      <w:r w:rsidRPr="00C02069">
        <w:t>P</w:t>
      </w:r>
      <w:r w:rsidR="00D7798A" w:rsidRPr="00C02069">
        <w:t xml:space="preserve">rices at the </w:t>
      </w:r>
      <w:r w:rsidRPr="00C02069">
        <w:t>expected</w:t>
      </w:r>
      <w:r w:rsidR="00D7798A" w:rsidRPr="00C02069">
        <w:t xml:space="preserve"> </w:t>
      </w:r>
      <w:r w:rsidRPr="00C02069">
        <w:t>C</w:t>
      </w:r>
      <w:r w:rsidR="00D7798A" w:rsidRPr="00C02069">
        <w:t xml:space="preserve">ritical </w:t>
      </w:r>
      <w:r w:rsidRPr="00C02069">
        <w:t>H</w:t>
      </w:r>
      <w:r w:rsidR="00D7798A" w:rsidRPr="00C02069">
        <w:t xml:space="preserve">ours and the variable cost of the technologies evaluated. </w:t>
      </w:r>
    </w:p>
    <w:p w14:paraId="60E939CA" w14:textId="6DF7F914" w:rsidR="00D7798A" w:rsidRPr="00C02069" w:rsidRDefault="00D7798A" w:rsidP="005B295A">
      <w:pPr>
        <w:pStyle w:val="Heading4"/>
      </w:pPr>
      <w:bookmarkStart w:id="521" w:name="_Ref68512814"/>
      <w:r w:rsidRPr="00C02069">
        <w:t xml:space="preserve">The levelized fixed cost of the technologies evaluated </w:t>
      </w:r>
      <w:r w:rsidR="00111CDE">
        <w:t>shall</w:t>
      </w:r>
      <w:r w:rsidR="00111CDE" w:rsidRPr="00C02069">
        <w:t xml:space="preserve"> </w:t>
      </w:r>
      <w:r w:rsidRPr="00C02069">
        <w:t>be calculated as:</w:t>
      </w:r>
      <w:bookmarkEnd w:id="521"/>
      <w:r w:rsidRPr="00C02069">
        <w:t xml:space="preserve"> </w:t>
      </w:r>
    </w:p>
    <w:p w14:paraId="6E5AF44A" w14:textId="77777777" w:rsidR="00D7798A" w:rsidRPr="00C02069" w:rsidRDefault="00D7798A" w:rsidP="00D7798A">
      <w:pPr>
        <w:pStyle w:val="BodyText"/>
        <w:rPr>
          <w:rFonts w:asciiTheme="minorHAnsi" w:eastAsiaTheme="minorEastAsia" w:hAnsiTheme="minorHAnsi"/>
        </w:rPr>
      </w:pPr>
      <m:oMathPara>
        <m:oMath>
          <m:r>
            <w:rPr>
              <w:rFonts w:ascii="Cambria Math" w:hAnsi="Cambria Math"/>
            </w:rPr>
            <m:t>LFT</m:t>
          </m:r>
          <m:r>
            <m:rPr>
              <m:sty m:val="p"/>
            </m:rPr>
            <w:rPr>
              <w:rFonts w:ascii="Cambria Math" w:hAnsi="Cambria Math"/>
            </w:rPr>
            <m:t>=</m:t>
          </m:r>
          <m:r>
            <w:rPr>
              <w:rFonts w:ascii="Cambria Math" w:hAnsi="Cambria Math"/>
            </w:rPr>
            <m:t>LIC</m:t>
          </m:r>
          <m:r>
            <m:rPr>
              <m:sty m:val="p"/>
            </m:rPr>
            <w:rPr>
              <w:rFonts w:ascii="Cambria Math" w:hAnsi="Cambria Math"/>
            </w:rPr>
            <m:t>-</m:t>
          </m:r>
          <m:r>
            <w:rPr>
              <w:rFonts w:ascii="Cambria Math" w:hAnsi="Cambria Math"/>
            </w:rPr>
            <m:t>RevMarket</m:t>
          </m:r>
        </m:oMath>
      </m:oMathPara>
    </w:p>
    <w:p w14:paraId="325AA907" w14:textId="77777777" w:rsidR="00D7798A" w:rsidRPr="00C02069" w:rsidRDefault="00D7798A" w:rsidP="00D7798A">
      <w:pPr>
        <w:pStyle w:val="BodyText"/>
      </w:pPr>
      <w:r w:rsidRPr="00C02069">
        <w:t>Where:</w:t>
      </w:r>
    </w:p>
    <w:p w14:paraId="5B134BFB" w14:textId="400D266E" w:rsidR="00D7798A" w:rsidRPr="00C02069" w:rsidRDefault="00D7798A" w:rsidP="00B03C4A">
      <w:pPr>
        <w:pStyle w:val="BodyText"/>
        <w:numPr>
          <w:ilvl w:val="0"/>
          <w:numId w:val="50"/>
        </w:numPr>
      </w:pPr>
      <w:r w:rsidRPr="00C02069">
        <w:rPr>
          <w:i/>
          <w:iCs/>
        </w:rPr>
        <w:t xml:space="preserve">LFT </w:t>
      </w:r>
      <w:r w:rsidRPr="00C02069">
        <w:t xml:space="preserve">is the levelized fixed cost of the technology being evaluated; </w:t>
      </w:r>
    </w:p>
    <w:p w14:paraId="0E56BF3E" w14:textId="77777777" w:rsidR="00D7798A" w:rsidRPr="00C02069" w:rsidRDefault="00D7798A" w:rsidP="00B03C4A">
      <w:pPr>
        <w:pStyle w:val="BodyText"/>
        <w:numPr>
          <w:ilvl w:val="0"/>
          <w:numId w:val="50"/>
        </w:numPr>
      </w:pPr>
      <w:r w:rsidRPr="00C02069">
        <w:rPr>
          <w:i/>
          <w:iCs/>
        </w:rPr>
        <w:t xml:space="preserve">LIC </w:t>
      </w:r>
      <w:r w:rsidRPr="00C02069">
        <w:t>is the levelized investment cost; and</w:t>
      </w:r>
    </w:p>
    <w:p w14:paraId="30F365F2" w14:textId="4291D633" w:rsidR="00D7798A" w:rsidRPr="00C02069" w:rsidRDefault="00D7798A" w:rsidP="00B03C4A">
      <w:pPr>
        <w:pStyle w:val="BodyText"/>
        <w:numPr>
          <w:ilvl w:val="0"/>
          <w:numId w:val="50"/>
        </w:numPr>
      </w:pPr>
      <w:r w:rsidRPr="00C02069">
        <w:rPr>
          <w:i/>
          <w:iCs/>
        </w:rPr>
        <w:t xml:space="preserve">RevMarket </w:t>
      </w:r>
      <w:r w:rsidRPr="00C02069">
        <w:t xml:space="preserve">are the simulated revenues </w:t>
      </w:r>
      <w:r w:rsidR="00CE48A1" w:rsidRPr="00C02069">
        <w:t xml:space="preserve">that </w:t>
      </w:r>
      <w:r w:rsidRPr="00C02069">
        <w:t xml:space="preserve">this technology would have obtained in the </w:t>
      </w:r>
      <w:r w:rsidR="00CE48A1" w:rsidRPr="00C02069">
        <w:t>CTBCM</w:t>
      </w:r>
      <w:r w:rsidR="00C02069" w:rsidRPr="00C02069">
        <w:t xml:space="preserve"> during the 50 Critical Hours</w:t>
      </w:r>
      <w:r w:rsidRPr="00C02069">
        <w:t xml:space="preserve">. </w:t>
      </w:r>
    </w:p>
    <w:p w14:paraId="049AC624" w14:textId="7ABFEF89" w:rsidR="00D7798A" w:rsidRDefault="00D7798A" w:rsidP="005B295A">
      <w:pPr>
        <w:pStyle w:val="Heading4"/>
      </w:pPr>
      <w:bookmarkStart w:id="522" w:name="_Ref68872180"/>
      <w:r w:rsidRPr="00C02069">
        <w:t xml:space="preserve">The </w:t>
      </w:r>
      <w:r w:rsidR="004D4EF4">
        <w:t>R</w:t>
      </w:r>
      <w:r w:rsidRPr="00C02069">
        <w:t xml:space="preserve">eference </w:t>
      </w:r>
      <w:r w:rsidR="004D4EF4">
        <w:t>T</w:t>
      </w:r>
      <w:r w:rsidRPr="00C02069">
        <w:t xml:space="preserve">echnology will be </w:t>
      </w:r>
      <w:r w:rsidR="00CE48A1" w:rsidRPr="00C02069">
        <w:t xml:space="preserve">the technology </w:t>
      </w:r>
      <w:r w:rsidR="00C02069" w:rsidRPr="00C02069">
        <w:t>which</w:t>
      </w:r>
      <w:r w:rsidR="00CE48A1" w:rsidRPr="00C02069">
        <w:t xml:space="preserve"> </w:t>
      </w:r>
      <w:r w:rsidR="00C02069" w:rsidRPr="00C02069">
        <w:t>minimizes the</w:t>
      </w:r>
      <w:r w:rsidR="00EB3DAF">
        <w:t>i</w:t>
      </w:r>
      <w:r w:rsidRPr="00C02069">
        <w:t>r levelized fixed costs</w:t>
      </w:r>
      <w:r w:rsidR="00C02069" w:rsidRPr="00C02069">
        <w:t>, determined pursuant</w:t>
      </w:r>
      <w:r w:rsidR="00111CDE">
        <w:t xml:space="preserve"> to</w:t>
      </w:r>
      <w:r w:rsidR="00C02069" w:rsidRPr="00C02069">
        <w:t xml:space="preserve"> Clause </w:t>
      </w:r>
      <w:r w:rsidR="00C02069" w:rsidRPr="00C02069">
        <w:fldChar w:fldCharType="begin"/>
      </w:r>
      <w:r w:rsidR="00C02069" w:rsidRPr="00C02069">
        <w:instrText xml:space="preserve"> REF _Ref68512814 \r \h </w:instrText>
      </w:r>
      <w:r w:rsidR="00C02069">
        <w:instrText xml:space="preserve"> \* MERGEFORMAT </w:instrText>
      </w:r>
      <w:r w:rsidR="00C02069" w:rsidRPr="00C02069">
        <w:fldChar w:fldCharType="separate"/>
      </w:r>
      <w:r w:rsidR="00251DBF">
        <w:t>10.2.6.8</w:t>
      </w:r>
      <w:r w:rsidR="00C02069" w:rsidRPr="00C02069">
        <w:fldChar w:fldCharType="end"/>
      </w:r>
      <w:r w:rsidRPr="00C02069">
        <w:t>.</w:t>
      </w:r>
      <w:r w:rsidR="00C02069" w:rsidRPr="00C02069">
        <w:t xml:space="preserve"> The unitary cost of the Capacity shall be equal to the levelized investment cost of the reference technology. </w:t>
      </w:r>
      <w:r w:rsidRPr="00C02069">
        <w:t xml:space="preserve"> </w:t>
      </w:r>
      <w:bookmarkEnd w:id="522"/>
    </w:p>
    <w:p w14:paraId="10ADADA4" w14:textId="1613A281" w:rsidR="00C02069" w:rsidRPr="009A3724" w:rsidRDefault="00C02069" w:rsidP="005B295A">
      <w:pPr>
        <w:pStyle w:val="Heading4"/>
      </w:pPr>
      <w:r w:rsidRPr="00CF4EA3">
        <w:t xml:space="preserve">The </w:t>
      </w:r>
      <w:r w:rsidR="00C66DA9" w:rsidRPr="00B03C4A">
        <w:t>System Operator</w:t>
      </w:r>
      <w:r w:rsidRPr="00CF4EA3">
        <w:t xml:space="preserve"> shall</w:t>
      </w:r>
      <w:r>
        <w:t xml:space="preserve"> </w:t>
      </w:r>
      <w:r w:rsidR="00111CDE">
        <w:t xml:space="preserve">provide to the Market Operator, </w:t>
      </w:r>
      <w:r>
        <w:t>the detailed methodolog</w:t>
      </w:r>
      <w:r w:rsidR="00111CDE">
        <w:t>y which was</w:t>
      </w:r>
      <w:r>
        <w:t xml:space="preserve"> utilized for determining the efficient reserve and the unitary cost of the Capacity. </w:t>
      </w:r>
      <w:r w:rsidR="00111CDE">
        <w:t xml:space="preserve">Till such time </w:t>
      </w:r>
      <w:r w:rsidR="004D4EF4">
        <w:t xml:space="preserve">this </w:t>
      </w:r>
      <w:r w:rsidR="004D4EF4" w:rsidRPr="009A3724">
        <w:t>methodology is developed by the System Operator, the unitary cost of the Capacity shall be</w:t>
      </w:r>
      <w:r w:rsidR="00111CDE">
        <w:t xml:space="preserve"> determined</w:t>
      </w:r>
      <w:r w:rsidR="004D4EF4" w:rsidRPr="009A3724">
        <w:t xml:space="preserve"> as per Clause </w:t>
      </w:r>
      <w:r w:rsidR="009A3724" w:rsidRPr="009A3724">
        <w:fldChar w:fldCharType="begin"/>
      </w:r>
      <w:r w:rsidR="009A3724" w:rsidRPr="009A3724">
        <w:instrText xml:space="preserve"> REF _Ref70279988 \r \h </w:instrText>
      </w:r>
      <w:r w:rsidR="009A3724">
        <w:instrText xml:space="preserve"> \* MERGEFORMAT </w:instrText>
      </w:r>
      <w:r w:rsidR="009A3724" w:rsidRPr="009A3724">
        <w:fldChar w:fldCharType="separate"/>
      </w:r>
      <w:r w:rsidR="009A3724" w:rsidRPr="009A3724">
        <w:t>19.2.8.1</w:t>
      </w:r>
      <w:r w:rsidR="009A3724" w:rsidRPr="009A3724">
        <w:fldChar w:fldCharType="end"/>
      </w:r>
      <w:r w:rsidR="002D698F">
        <w:t xml:space="preserve"> and the efficient reserve level shall be determined as per Clause </w:t>
      </w:r>
      <w:r w:rsidR="00277945">
        <w:rPr>
          <w:highlight w:val="yellow"/>
        </w:rPr>
        <w:fldChar w:fldCharType="begin"/>
      </w:r>
      <w:r w:rsidR="00277945">
        <w:instrText xml:space="preserve"> REF _Ref77152809 \n \h </w:instrText>
      </w:r>
      <w:r w:rsidR="00277945">
        <w:rPr>
          <w:highlight w:val="yellow"/>
        </w:rPr>
      </w:r>
      <w:r w:rsidR="00277945">
        <w:rPr>
          <w:highlight w:val="yellow"/>
        </w:rPr>
        <w:fldChar w:fldCharType="separate"/>
      </w:r>
      <w:r w:rsidR="00277945">
        <w:t>19.2.9.1</w:t>
      </w:r>
      <w:r w:rsidR="00277945">
        <w:rPr>
          <w:highlight w:val="yellow"/>
        </w:rPr>
        <w:fldChar w:fldCharType="end"/>
      </w:r>
      <w:r w:rsidR="00111CDE">
        <w:t>.</w:t>
      </w:r>
    </w:p>
    <w:p w14:paraId="210915B9" w14:textId="77777777" w:rsidR="002F3BA1" w:rsidRPr="00D36A91" w:rsidRDefault="00C02069" w:rsidP="005B295A">
      <w:pPr>
        <w:pStyle w:val="Heading4"/>
        <w:rPr>
          <w:strike/>
        </w:rPr>
      </w:pPr>
      <w:commentRangeStart w:id="523"/>
      <w:r w:rsidRPr="00D36A91">
        <w:rPr>
          <w:strike/>
        </w:rPr>
        <w:t>The Authority shall approve the values of the efficient reserve and the unitary cost of the Capacity when approving the I</w:t>
      </w:r>
      <w:r w:rsidR="003C4A2F" w:rsidRPr="00D36A91">
        <w:rPr>
          <w:strike/>
        </w:rPr>
        <w:t>GCEP. The approved values will be</w:t>
      </w:r>
      <w:r w:rsidRPr="00D36A91">
        <w:rPr>
          <w:strike/>
        </w:rPr>
        <w:t xml:space="preserve"> notified </w:t>
      </w:r>
      <w:r w:rsidR="003C4A2F" w:rsidRPr="00D36A91">
        <w:rPr>
          <w:strike/>
        </w:rPr>
        <w:t xml:space="preserve">by the Authority to the </w:t>
      </w:r>
      <w:r w:rsidRPr="00D36A91">
        <w:rPr>
          <w:strike/>
        </w:rPr>
        <w:t>Market Operator</w:t>
      </w:r>
      <w:r w:rsidR="003C4A2F" w:rsidRPr="00D36A91">
        <w:rPr>
          <w:strike/>
        </w:rPr>
        <w:t xml:space="preserve">. These values will remain valid until the Authority notifies to the Market Operator new </w:t>
      </w:r>
      <w:r w:rsidR="002F3BA1" w:rsidRPr="00D36A91">
        <w:rPr>
          <w:strike/>
        </w:rPr>
        <w:t>values.</w:t>
      </w:r>
      <w:commentRangeEnd w:id="523"/>
      <w:r w:rsidR="00D36A91">
        <w:rPr>
          <w:rStyle w:val="CommentReference"/>
          <w:rFonts w:eastAsiaTheme="minorHAnsi" w:cstheme="minorBidi"/>
          <w:bCs w:val="0"/>
          <w:iCs w:val="0"/>
          <w:color w:val="1C1C1C"/>
        </w:rPr>
        <w:commentReference w:id="523"/>
      </w:r>
    </w:p>
    <w:p w14:paraId="4D234AE2" w14:textId="21C45E09" w:rsidR="00293F8F" w:rsidRDefault="00823D63" w:rsidP="00C173D0">
      <w:pPr>
        <w:pStyle w:val="Heading3"/>
      </w:pPr>
      <w:bookmarkStart w:id="524" w:name="_Ref68520125"/>
      <w:r>
        <w:t xml:space="preserve">Step </w:t>
      </w:r>
      <w:r w:rsidR="002F3BA1">
        <w:t>7</w:t>
      </w:r>
      <w:r>
        <w:t xml:space="preserve">: </w:t>
      </w:r>
      <w:r w:rsidR="00293F8F">
        <w:t xml:space="preserve">Determination of the Capacity </w:t>
      </w:r>
      <w:r w:rsidR="00114174">
        <w:t xml:space="preserve">Price </w:t>
      </w:r>
      <w:commentRangeStart w:id="525"/>
      <w:r w:rsidR="00114174">
        <w:t>for the BMC</w:t>
      </w:r>
      <w:bookmarkEnd w:id="524"/>
      <w:commentRangeEnd w:id="525"/>
      <w:r w:rsidR="00D82BB9">
        <w:rPr>
          <w:rStyle w:val="CommentReference"/>
          <w:rFonts w:eastAsiaTheme="minorHAnsi" w:cstheme="minorBidi"/>
          <w:smallCaps w:val="0"/>
          <w:color w:val="1C1C1C"/>
        </w:rPr>
        <w:commentReference w:id="525"/>
      </w:r>
    </w:p>
    <w:p w14:paraId="25400EA7" w14:textId="18B0FBDF" w:rsidR="00C34833" w:rsidRPr="0026179B" w:rsidRDefault="00C34833" w:rsidP="005B295A">
      <w:pPr>
        <w:pStyle w:val="Heading4"/>
      </w:pPr>
      <w:r w:rsidRPr="0026179B">
        <w:t xml:space="preserve">The Market Operator </w:t>
      </w:r>
      <w:r w:rsidR="00EF593B" w:rsidRPr="0026179B">
        <w:t xml:space="preserve">shall </w:t>
      </w:r>
      <w:r w:rsidRPr="0026179B">
        <w:t xml:space="preserve">determine the </w:t>
      </w:r>
      <w:r w:rsidR="00EF593B" w:rsidRPr="0026179B">
        <w:t xml:space="preserve">Capacity </w:t>
      </w:r>
      <w:r w:rsidRPr="0026179B">
        <w:t xml:space="preserve">price </w:t>
      </w:r>
      <w:r w:rsidR="00114174">
        <w:t>to b</w:t>
      </w:r>
      <w:r w:rsidR="00EF593B" w:rsidRPr="0026179B">
        <w:t xml:space="preserve">e </w:t>
      </w:r>
      <w:r w:rsidR="00114174">
        <w:t xml:space="preserve">used in the </w:t>
      </w:r>
      <w:r w:rsidR="00EF593B" w:rsidRPr="0026179B">
        <w:t xml:space="preserve">Balancing Mechanism for Capacity </w:t>
      </w:r>
      <w:r w:rsidR="00D36A91">
        <w:t>through</w:t>
      </w:r>
      <w:r w:rsidRPr="0026179B">
        <w:t xml:space="preserve"> two curves: A supply curve and a demand curve</w:t>
      </w:r>
      <w:r w:rsidR="00EF593B" w:rsidRPr="0026179B">
        <w:t xml:space="preserve">, as </w:t>
      </w:r>
      <w:r w:rsidR="00D36A91">
        <w:t>demonstrated in</w:t>
      </w:r>
      <w:r w:rsidR="00D36A91" w:rsidRPr="0026179B">
        <w:t xml:space="preserve"> </w:t>
      </w:r>
      <w:r w:rsidRPr="0026179B">
        <w:t>Figure 1</w:t>
      </w:r>
      <w:r w:rsidR="00D36A91">
        <w:t xml:space="preserve"> below</w:t>
      </w:r>
      <w:r w:rsidRPr="0026179B">
        <w:t xml:space="preserve">. </w:t>
      </w:r>
    </w:p>
    <w:p w14:paraId="257EEA4C" w14:textId="58BB54C1" w:rsidR="00C34833" w:rsidRPr="0026179B" w:rsidRDefault="00CF4EA3" w:rsidP="0026179B">
      <w:pPr>
        <w:pStyle w:val="Heading5"/>
      </w:pPr>
      <w:r>
        <w:t>T</w:t>
      </w:r>
      <w:r w:rsidR="00C34833" w:rsidRPr="0026179B">
        <w:t>he supply curve</w:t>
      </w:r>
      <w:r w:rsidR="00EF593B" w:rsidRPr="0026179B">
        <w:t xml:space="preserve"> represents the </w:t>
      </w:r>
      <w:r w:rsidR="0046412E" w:rsidRPr="0026179B">
        <w:t>Capacity</w:t>
      </w:r>
      <w:r w:rsidR="00C34833" w:rsidRPr="0026179B">
        <w:t xml:space="preserve"> “offered” </w:t>
      </w:r>
      <w:r w:rsidR="00EF593B" w:rsidRPr="0026179B">
        <w:t>by the Market Participants. It shall be calculated as the</w:t>
      </w:r>
      <w:r w:rsidR="00C34833" w:rsidRPr="0026179B">
        <w:t xml:space="preserve"> sum of the </w:t>
      </w:r>
      <w:r w:rsidR="0046412E" w:rsidRPr="0026179B">
        <w:t>Capacity</w:t>
      </w:r>
      <w:r w:rsidR="00C34833" w:rsidRPr="0026179B">
        <w:t xml:space="preserve"> </w:t>
      </w:r>
      <w:r w:rsidR="00EF593B" w:rsidRPr="0026179B">
        <w:t xml:space="preserve">Balances </w:t>
      </w:r>
      <w:r w:rsidR="00C34833" w:rsidRPr="0026179B">
        <w:t xml:space="preserve">of all </w:t>
      </w:r>
      <w:r w:rsidR="00136176" w:rsidRPr="0026179B">
        <w:t xml:space="preserve">Market Participants </w:t>
      </w:r>
      <w:r w:rsidR="00EF593B" w:rsidRPr="0026179B">
        <w:t xml:space="preserve">which have </w:t>
      </w:r>
      <w:r w:rsidR="00C34833" w:rsidRPr="0026179B">
        <w:t xml:space="preserve">a positive </w:t>
      </w:r>
      <w:r w:rsidR="00EF593B" w:rsidRPr="0026179B">
        <w:t>Capacity Balance</w:t>
      </w:r>
      <w:r w:rsidR="00C34833" w:rsidRPr="0026179B">
        <w:t xml:space="preserve"> (</w:t>
      </w:r>
      <w:r w:rsidR="0046412E" w:rsidRPr="0026179B">
        <w:t>Capacity</w:t>
      </w:r>
      <w:r w:rsidR="00C34833" w:rsidRPr="0026179B">
        <w:t xml:space="preserve"> surplus). This </w:t>
      </w:r>
      <w:r w:rsidR="0046412E" w:rsidRPr="0026179B">
        <w:t>Capacity</w:t>
      </w:r>
      <w:r w:rsidR="00C34833" w:rsidRPr="0026179B">
        <w:t xml:space="preserve"> is considered </w:t>
      </w:r>
      <w:r w:rsidR="00EF593B" w:rsidRPr="0026179B">
        <w:t xml:space="preserve">to be </w:t>
      </w:r>
      <w:r w:rsidR="00C34833" w:rsidRPr="0026179B">
        <w:t xml:space="preserve">offered in the </w:t>
      </w:r>
      <w:r w:rsidR="00EF593B" w:rsidRPr="0026179B">
        <w:t xml:space="preserve">Balancing Mechanism for Capacity, </w:t>
      </w:r>
      <w:r w:rsidR="00C34833" w:rsidRPr="0026179B">
        <w:t xml:space="preserve">as a price taker. </w:t>
      </w:r>
    </w:p>
    <w:p w14:paraId="10EF1FFB" w14:textId="77777777" w:rsidR="00C34833" w:rsidRDefault="00C34833" w:rsidP="00B03234">
      <w:pPr>
        <w:pStyle w:val="Heading5"/>
      </w:pPr>
      <w:r>
        <w:t xml:space="preserve">The demand curve: The demand curve will have two sections. The mandatory part and the efficient part. </w:t>
      </w:r>
    </w:p>
    <w:p w14:paraId="40AAA6C4" w14:textId="530ACC69" w:rsidR="00C34833" w:rsidRDefault="00C34833" w:rsidP="005B295A">
      <w:pPr>
        <w:pStyle w:val="Heading4"/>
      </w:pPr>
      <w:r>
        <w:lastRenderedPageBreak/>
        <w:t xml:space="preserve">The “mandatory” </w:t>
      </w:r>
      <w:r w:rsidR="00EC3E04">
        <w:t xml:space="preserve">part </w:t>
      </w:r>
      <w:r>
        <w:t xml:space="preserve">will start at point A, which corresponds to a </w:t>
      </w:r>
      <w:r w:rsidR="0046412E">
        <w:t>Capacity</w:t>
      </w:r>
      <w:r>
        <w:t xml:space="preserve"> of zero and a price </w:t>
      </w:r>
      <w:commentRangeStart w:id="526"/>
      <w:r>
        <w:t xml:space="preserve">equal to two times the levelized fixed costs of </w:t>
      </w:r>
      <w:r w:rsidRPr="002D58BB">
        <w:t xml:space="preserve">the </w:t>
      </w:r>
      <w:r w:rsidR="00110D23" w:rsidRPr="002D58BB">
        <w:t>R</w:t>
      </w:r>
      <w:r w:rsidRPr="002D58BB">
        <w:t xml:space="preserve">eference </w:t>
      </w:r>
      <w:r w:rsidR="00110D23" w:rsidRPr="002D58BB">
        <w:t>T</w:t>
      </w:r>
      <w:r w:rsidRPr="002D58BB">
        <w:t>echnology</w:t>
      </w:r>
      <w:commentRangeEnd w:id="526"/>
      <w:r w:rsidR="004D1B98">
        <w:rPr>
          <w:rStyle w:val="CommentReference"/>
          <w:rFonts w:eastAsiaTheme="minorHAnsi" w:cstheme="minorBidi"/>
          <w:bCs w:val="0"/>
          <w:iCs w:val="0"/>
          <w:color w:val="1C1C1C"/>
        </w:rPr>
        <w:commentReference w:id="526"/>
      </w:r>
      <w:r w:rsidR="000505B1">
        <w:t xml:space="preserve"> or any other value as may be decided by </w:t>
      </w:r>
      <w:commentRangeStart w:id="527"/>
      <w:r w:rsidR="000505B1">
        <w:t>the Market Operator</w:t>
      </w:r>
      <w:commentRangeEnd w:id="527"/>
      <w:r w:rsidR="002D698F">
        <w:rPr>
          <w:rStyle w:val="CommentReference"/>
          <w:rFonts w:eastAsiaTheme="minorHAnsi" w:cstheme="minorBidi"/>
          <w:bCs w:val="0"/>
          <w:iCs w:val="0"/>
          <w:color w:val="1C1C1C"/>
        </w:rPr>
        <w:commentReference w:id="527"/>
      </w:r>
      <w:r w:rsidRPr="002D58BB">
        <w:t>, and</w:t>
      </w:r>
      <w:r>
        <w:t xml:space="preserve"> extends horizontally to point B, which corresponds to the sum of the </w:t>
      </w:r>
      <w:r w:rsidR="0046412E">
        <w:t>Capacity</w:t>
      </w:r>
      <w:r>
        <w:t xml:space="preserve"> </w:t>
      </w:r>
      <w:r w:rsidR="00110D23">
        <w:t>B</w:t>
      </w:r>
      <w:r>
        <w:t xml:space="preserve">alances of all </w:t>
      </w:r>
      <w:r w:rsidR="00136176">
        <w:t xml:space="preserve">Market Participants </w:t>
      </w:r>
      <w:r>
        <w:t xml:space="preserve">with a negative </w:t>
      </w:r>
      <w:r w:rsidR="00EC3E04">
        <w:t>Capacity B</w:t>
      </w:r>
      <w:r>
        <w:t>alance value (</w:t>
      </w:r>
      <w:r w:rsidR="0046412E">
        <w:t>Capacity</w:t>
      </w:r>
      <w:r>
        <w:t xml:space="preserve"> deficit).</w:t>
      </w:r>
    </w:p>
    <w:p w14:paraId="5B00BBAF" w14:textId="6050CAB5" w:rsidR="00C34833" w:rsidRDefault="00C34833" w:rsidP="005B295A">
      <w:pPr>
        <w:pStyle w:val="Heading4"/>
      </w:pPr>
      <w:r>
        <w:t xml:space="preserve">The “efficient” section will start at point B and it will extend to point C. This point will be determined by the intersection of the levelized fixed cost of the reference </w:t>
      </w:r>
      <w:r w:rsidR="00CF4EA3">
        <w:t>technology,</w:t>
      </w:r>
      <w:r>
        <w:t xml:space="preserve"> and the “efficient” demand level calculated as: </w:t>
      </w:r>
    </w:p>
    <w:p w14:paraId="462D099B" w14:textId="3338FD41" w:rsidR="00C34833" w:rsidRDefault="004D6075" w:rsidP="00A22D29">
      <w:pPr>
        <w:pStyle w:val="BodyText"/>
        <w:rPr>
          <w:rFonts w:asciiTheme="minorHAnsi" w:hAnsiTheme="minorHAnsi"/>
        </w:rPr>
      </w:pPr>
      <m:oMathPara>
        <m:oMath>
          <m:sSub>
            <m:sSubPr>
              <m:ctrlPr>
                <w:rPr>
                  <w:rFonts w:ascii="Cambria Math" w:hAnsi="Cambria Math"/>
                  <w:i/>
                </w:rPr>
              </m:ctrlPr>
            </m:sSubPr>
            <m:e>
              <m:r>
                <w:rPr>
                  <w:rFonts w:ascii="Cambria Math" w:hAnsi="Cambria Math"/>
                </w:rPr>
                <m:t>EDL</m:t>
              </m:r>
            </m:e>
            <m:sub>
              <m:r>
                <w:rPr>
                  <w:rFonts w:ascii="Cambria Math" w:hAnsi="Cambria Math"/>
                </w:rPr>
                <m:t>y</m:t>
              </m:r>
            </m:sub>
          </m:sSub>
          <m:r>
            <m:rPr>
              <m:sty m:val="p"/>
            </m:rPr>
            <w:rPr>
              <w:rFonts w:ascii="Cambria Math" w:hAnsi="Cambria Math"/>
            </w:rPr>
            <m:t xml:space="preserve">= </m:t>
          </m:r>
          <m:nary>
            <m:naryPr>
              <m:chr m:val="∑"/>
              <m:limLoc m:val="undOvr"/>
              <m:supHide m:val="1"/>
              <m:ctrlPr>
                <w:rPr>
                  <w:rFonts w:ascii="Cambria Math" w:hAnsi="Cambria Math"/>
                  <w:iCs/>
                </w:rPr>
              </m:ctrlPr>
            </m:naryPr>
            <m:sub>
              <m:r>
                <w:rPr>
                  <w:rFonts w:ascii="Cambria Math" w:hAnsi="Cambria Math"/>
                </w:rPr>
                <m:t>∀i ∈ neg</m:t>
              </m:r>
            </m:sub>
            <m:sup/>
            <m:e>
              <m:sSub>
                <m:sSubPr>
                  <m:ctrlPr>
                    <w:rPr>
                      <w:rFonts w:ascii="Cambria Math" w:hAnsi="Cambria Math"/>
                      <w:iCs/>
                    </w:rPr>
                  </m:ctrlPr>
                </m:sSubPr>
                <m:e>
                  <m:r>
                    <w:rPr>
                      <w:rFonts w:ascii="Cambria Math" w:hAnsi="Cambria Math"/>
                    </w:rPr>
                    <m:t>CB</m:t>
                  </m:r>
                </m:e>
                <m:sub>
                  <m:r>
                    <w:rPr>
                      <w:rFonts w:ascii="Cambria Math" w:hAnsi="Cambria Math"/>
                    </w:rPr>
                    <m:t>i</m:t>
                  </m:r>
                  <m:r>
                    <m:rPr>
                      <m:sty m:val="p"/>
                    </m:rPr>
                    <w:rPr>
                      <w:rFonts w:ascii="Cambria Math" w:hAnsi="Cambria Math"/>
                    </w:rPr>
                    <m:t>,y</m:t>
                  </m:r>
                </m:sub>
              </m:sSub>
            </m:e>
          </m:nary>
          <m:r>
            <m:rPr>
              <m:sty m:val="p"/>
            </m:rPr>
            <w:rPr>
              <w:rFonts w:ascii="Cambria Math" w:hAnsi="Cambria Math"/>
            </w:rPr>
            <m:t>*</m:t>
          </m:r>
          <m:f>
            <m:fPr>
              <m:ctrlPr>
                <w:rPr>
                  <w:rFonts w:ascii="Cambria Math" w:hAnsi="Cambria Math"/>
                </w:rPr>
              </m:ctrlPr>
            </m:fPr>
            <m:num>
              <m:r>
                <m:rPr>
                  <m:sty m:val="p"/>
                </m:rPr>
                <w:rPr>
                  <w:rFonts w:ascii="Cambria Math" w:hAnsi="Cambria Math"/>
                </w:rPr>
                <m:t>1+</m:t>
              </m:r>
              <m:r>
                <w:rPr>
                  <w:rFonts w:ascii="Cambria Math" w:hAnsi="Cambria Math"/>
                </w:rPr>
                <m:t>RE</m:t>
              </m:r>
            </m:num>
            <m:den>
              <m:r>
                <m:rPr>
                  <m:sty m:val="p"/>
                </m:rPr>
                <w:rPr>
                  <w:rFonts w:ascii="Cambria Math" w:hAnsi="Cambria Math"/>
                </w:rPr>
                <m:t>1+</m:t>
              </m:r>
              <m:r>
                <w:rPr>
                  <w:rFonts w:ascii="Cambria Math" w:hAnsi="Cambria Math"/>
                </w:rPr>
                <m:t>RM</m:t>
              </m:r>
            </m:den>
          </m:f>
        </m:oMath>
      </m:oMathPara>
    </w:p>
    <w:p w14:paraId="48D661C4" w14:textId="77777777" w:rsidR="00C34833" w:rsidRDefault="00C34833" w:rsidP="00A22D29">
      <w:pPr>
        <w:pStyle w:val="BodyText"/>
      </w:pPr>
      <w:r>
        <w:t>Where:</w:t>
      </w:r>
    </w:p>
    <w:p w14:paraId="6371699A" w14:textId="4D198ECD" w:rsidR="00C34833" w:rsidRDefault="00C34833" w:rsidP="00B03C4A">
      <w:pPr>
        <w:pStyle w:val="BodyText"/>
        <w:numPr>
          <w:ilvl w:val="0"/>
          <w:numId w:val="49"/>
        </w:numPr>
      </w:pPr>
      <w:r>
        <w:rPr>
          <w:i/>
          <w:iCs/>
        </w:rPr>
        <w:t>EDL</w:t>
      </w:r>
      <w:r>
        <w:t xml:space="preserve"> is the efficient demand level</w:t>
      </w:r>
      <w:r w:rsidR="00607C3C">
        <w:t>;</w:t>
      </w:r>
    </w:p>
    <w:p w14:paraId="10ED2B24" w14:textId="167D778B" w:rsidR="00C34833" w:rsidRDefault="00C34833" w:rsidP="00B03C4A">
      <w:pPr>
        <w:pStyle w:val="BodyText"/>
        <w:numPr>
          <w:ilvl w:val="0"/>
          <w:numId w:val="49"/>
        </w:numPr>
      </w:pPr>
      <w:r>
        <w:rPr>
          <w:i/>
          <w:iCs/>
        </w:rPr>
        <w:t>CB</w:t>
      </w:r>
      <w:r w:rsidR="00231577" w:rsidRPr="00231577">
        <w:rPr>
          <w:i/>
          <w:iCs/>
          <w:vertAlign w:val="subscript"/>
        </w:rPr>
        <w:t>i,y</w:t>
      </w:r>
      <w:r>
        <w:rPr>
          <w:i/>
          <w:iCs/>
        </w:rPr>
        <w:t xml:space="preserve"> </w:t>
      </w:r>
      <w:r>
        <w:t>is the total</w:t>
      </w:r>
      <w:r>
        <w:rPr>
          <w:i/>
          <w:iCs/>
        </w:rPr>
        <w:t xml:space="preserve"> </w:t>
      </w:r>
      <w:r>
        <w:t xml:space="preserve">amount of </w:t>
      </w:r>
      <w:r w:rsidR="0046412E">
        <w:t>Capacity</w:t>
      </w:r>
      <w:r>
        <w:t xml:space="preserve"> required by the </w:t>
      </w:r>
      <w:r w:rsidR="00136176">
        <w:t>M</w:t>
      </w:r>
      <w:r>
        <w:t xml:space="preserve">arket </w:t>
      </w:r>
      <w:r w:rsidR="00136176">
        <w:t xml:space="preserve">Participants </w:t>
      </w:r>
      <w:r w:rsidR="00231577">
        <w:t xml:space="preserve">“i” </w:t>
      </w:r>
      <w:r>
        <w:t>w</w:t>
      </w:r>
      <w:r w:rsidR="00231577">
        <w:t>hich has a negative value of the Capacity Balance, calculated pursuant</w:t>
      </w:r>
      <w:r w:rsidR="00EC3E04">
        <w:t xml:space="preserve"> to</w:t>
      </w:r>
      <w:r w:rsidR="00231577">
        <w:t xml:space="preserve"> Clause </w:t>
      </w:r>
      <w:r w:rsidR="00231577">
        <w:fldChar w:fldCharType="begin"/>
      </w:r>
      <w:r w:rsidR="00231577">
        <w:instrText xml:space="preserve"> REF _Ref68513993 \r \h </w:instrText>
      </w:r>
      <w:r w:rsidR="00231577">
        <w:fldChar w:fldCharType="separate"/>
      </w:r>
      <w:r w:rsidR="00251DBF">
        <w:t>10.2.5.2</w:t>
      </w:r>
      <w:r w:rsidR="00231577">
        <w:fldChar w:fldCharType="end"/>
      </w:r>
      <w:r w:rsidR="00607C3C">
        <w:t>;</w:t>
      </w:r>
      <w:r>
        <w:t xml:space="preserve"> </w:t>
      </w:r>
    </w:p>
    <w:p w14:paraId="759CB0A8" w14:textId="4CB2BD63" w:rsidR="00C34833" w:rsidRDefault="00C34833" w:rsidP="00B03C4A">
      <w:pPr>
        <w:pStyle w:val="BodyText"/>
        <w:numPr>
          <w:ilvl w:val="0"/>
          <w:numId w:val="49"/>
        </w:numPr>
      </w:pPr>
      <w:r>
        <w:rPr>
          <w:i/>
          <w:iCs/>
        </w:rPr>
        <w:t>RE</w:t>
      </w:r>
      <w:r>
        <w:t xml:space="preserve"> is the efficient level of reserve </w:t>
      </w:r>
      <w:r w:rsidR="00037DD0">
        <w:t xml:space="preserve">calculated as per Clause </w:t>
      </w:r>
      <w:r w:rsidR="00037DD0">
        <w:fldChar w:fldCharType="begin"/>
      </w:r>
      <w:r w:rsidR="00037DD0">
        <w:instrText xml:space="preserve"> REF _Ref68872670 \r \h </w:instrText>
      </w:r>
      <w:r w:rsidR="00037DD0">
        <w:fldChar w:fldCharType="separate"/>
      </w:r>
      <w:r w:rsidR="00251DBF">
        <w:t>10.2.6.3</w:t>
      </w:r>
      <w:r w:rsidR="00037DD0">
        <w:fldChar w:fldCharType="end"/>
      </w:r>
      <w:r w:rsidR="00607C3C">
        <w:t>;</w:t>
      </w:r>
    </w:p>
    <w:p w14:paraId="17322029" w14:textId="00185643" w:rsidR="00C34833" w:rsidRDefault="00C34833" w:rsidP="00B03C4A">
      <w:pPr>
        <w:pStyle w:val="BodyText"/>
        <w:numPr>
          <w:ilvl w:val="0"/>
          <w:numId w:val="49"/>
        </w:numPr>
        <w:rPr>
          <w:i/>
          <w:iCs/>
        </w:rPr>
      </w:pPr>
      <w:r>
        <w:rPr>
          <w:i/>
          <w:iCs/>
        </w:rPr>
        <w:t xml:space="preserve">RM </w:t>
      </w:r>
      <w:r>
        <w:t xml:space="preserve">is </w:t>
      </w:r>
      <w:r w:rsidR="00037DD0">
        <w:t xml:space="preserve">the </w:t>
      </w:r>
      <w:r w:rsidR="002D58BB">
        <w:t>Operational Reserve Margin</w:t>
      </w:r>
      <w:r w:rsidR="00607C3C">
        <w:t>.</w:t>
      </w:r>
    </w:p>
    <w:p w14:paraId="5446AE76" w14:textId="665FD7A6" w:rsidR="00C34833" w:rsidRDefault="00C34833" w:rsidP="005B295A">
      <w:pPr>
        <w:pStyle w:val="Heading4"/>
      </w:pPr>
      <w:r>
        <w:t xml:space="preserve">The “efficient” section of the demand curve will extend, with the same slope, up to point D, which corresponds to 80% of the levelized fixed costs of the reference technology. The </w:t>
      </w:r>
      <w:r w:rsidR="0046412E">
        <w:t>Capacity</w:t>
      </w:r>
      <w:r>
        <w:t xml:space="preserve"> prices will be capped at such level. </w:t>
      </w:r>
    </w:p>
    <w:p w14:paraId="369FB99D" w14:textId="77777777" w:rsidR="00C34833" w:rsidRDefault="00C34833" w:rsidP="00C34833">
      <w:pPr>
        <w:spacing w:after="0" w:line="240" w:lineRule="auto"/>
        <w:rPr>
          <w:rFonts w:asciiTheme="minorHAnsi" w:eastAsia="Times New Roman" w:hAnsiTheme="minorHAnsi" w:cstheme="minorHAnsi"/>
          <w:color w:val="000000"/>
          <w:sz w:val="17"/>
          <w:szCs w:val="17"/>
        </w:rPr>
      </w:pPr>
    </w:p>
    <w:p w14:paraId="70E0FA2A" w14:textId="3A42223E" w:rsidR="00813F92" w:rsidRDefault="00813F92" w:rsidP="00813F92">
      <w:pPr>
        <w:pStyle w:val="Caption"/>
        <w:ind w:left="709"/>
      </w:pPr>
      <w:bookmarkStart w:id="528" w:name="_Ref68520305"/>
      <w:r>
        <w:t xml:space="preserve">Figure </w:t>
      </w:r>
      <w:fldSimple w:instr=" SEQ Figure \* ARABIC ">
        <w:r w:rsidR="00251DBF">
          <w:rPr>
            <w:noProof/>
          </w:rPr>
          <w:t>1</w:t>
        </w:r>
      </w:fldSimple>
      <w:bookmarkEnd w:id="528"/>
      <w:r>
        <w:t>:</w:t>
      </w:r>
      <w:r w:rsidRPr="00813F92">
        <w:t xml:space="preserve"> </w:t>
      </w:r>
      <w:r>
        <w:t xml:space="preserve">Demand and Supply Curves for the Capacity </w:t>
      </w:r>
      <w:commentRangeStart w:id="529"/>
      <w:r>
        <w:t>Balancing Mechanism</w:t>
      </w:r>
      <w:commentRangeEnd w:id="529"/>
      <w:r w:rsidR="00D82BB9">
        <w:rPr>
          <w:rStyle w:val="CommentReference"/>
          <w:b w:val="0"/>
          <w:iCs w:val="0"/>
          <w:color w:val="1C1C1C"/>
        </w:rPr>
        <w:commentReference w:id="529"/>
      </w:r>
    </w:p>
    <w:p w14:paraId="28A08039" w14:textId="77777777" w:rsidR="00C34833" w:rsidRDefault="00C34833" w:rsidP="00C34833">
      <w:pPr>
        <w:spacing w:after="0" w:line="240" w:lineRule="auto"/>
        <w:jc w:val="center"/>
        <w:rPr>
          <w:rFonts w:asciiTheme="minorHAnsi" w:eastAsia="Times New Roman" w:hAnsiTheme="minorHAnsi" w:cstheme="minorHAnsi"/>
          <w:color w:val="000000"/>
          <w:sz w:val="17"/>
          <w:szCs w:val="17"/>
        </w:rPr>
      </w:pPr>
      <w:r>
        <w:rPr>
          <w:rFonts w:asciiTheme="minorHAnsi" w:hAnsiTheme="minorHAnsi" w:cstheme="minorHAnsi"/>
          <w:noProof/>
        </w:rPr>
        <w:drawing>
          <wp:inline distT="0" distB="0" distL="0" distR="0" wp14:anchorId="2E199D12" wp14:editId="14267AE8">
            <wp:extent cx="4364997" cy="2438600"/>
            <wp:effectExtent l="19050" t="19050" r="1651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0895" cy="2441895"/>
                    </a:xfrm>
                    <a:prstGeom prst="rect">
                      <a:avLst/>
                    </a:prstGeom>
                    <a:noFill/>
                    <a:ln w="9525" cmpd="sng">
                      <a:solidFill>
                        <a:srgbClr val="000000"/>
                      </a:solidFill>
                      <a:miter lim="800000"/>
                      <a:headEnd/>
                      <a:tailEnd/>
                    </a:ln>
                    <a:effectLst/>
                  </pic:spPr>
                </pic:pic>
              </a:graphicData>
            </a:graphic>
          </wp:inline>
        </w:drawing>
      </w:r>
    </w:p>
    <w:p w14:paraId="7F330F58" w14:textId="77777777" w:rsidR="00C34833" w:rsidRDefault="00C34833" w:rsidP="00A22D29">
      <w:pPr>
        <w:pStyle w:val="BodyText"/>
      </w:pPr>
    </w:p>
    <w:p w14:paraId="64E09E60" w14:textId="6B5989CB" w:rsidR="00C34833" w:rsidRDefault="00C34833" w:rsidP="005B295A">
      <w:pPr>
        <w:pStyle w:val="Heading4"/>
      </w:pPr>
      <w:bookmarkStart w:id="530" w:name="_Ref68556378"/>
      <w:r>
        <w:t xml:space="preserve">The </w:t>
      </w:r>
      <w:r w:rsidR="0046412E">
        <w:t>Capacity</w:t>
      </w:r>
      <w:r>
        <w:t xml:space="preserve"> price, which will be used in the Capacity Balancing Mechanism will be the intersection of the demand and supply curves.</w:t>
      </w:r>
      <w:bookmarkEnd w:id="530"/>
      <w:r>
        <w:t xml:space="preserve"> </w:t>
      </w:r>
    </w:p>
    <w:p w14:paraId="650817FF" w14:textId="2FAF4F99" w:rsidR="00231577" w:rsidRDefault="00231577" w:rsidP="00231577">
      <w:pPr>
        <w:pStyle w:val="Heading3"/>
      </w:pPr>
      <w:r>
        <w:lastRenderedPageBreak/>
        <w:t>Step 8: Determination of the Amounts Sold and Purchased by Each Market Participant</w:t>
      </w:r>
    </w:p>
    <w:p w14:paraId="738D63B7" w14:textId="13E00A6E" w:rsidR="00EB3DAF" w:rsidRDefault="00EB3DAF" w:rsidP="005B295A">
      <w:pPr>
        <w:pStyle w:val="Heading4"/>
      </w:pPr>
      <w:bookmarkStart w:id="531" w:name="_Ref68556171"/>
      <w:r>
        <w:t xml:space="preserve">The amount </w:t>
      </w:r>
      <w:r w:rsidR="00B039F6">
        <w:t xml:space="preserve">of Capacity sold and </w:t>
      </w:r>
      <w:r>
        <w:t xml:space="preserve">purchased by each Market </w:t>
      </w:r>
      <w:r w:rsidRPr="00607C3C">
        <w:t>Participant</w:t>
      </w:r>
      <w:r w:rsidR="004D1B98" w:rsidRPr="00607C3C">
        <w:t xml:space="preserve"> </w:t>
      </w:r>
      <w:r w:rsidR="004D1B98" w:rsidRPr="00B03C4A">
        <w:t>in BMC</w:t>
      </w:r>
      <w:r>
        <w:t xml:space="preserve"> </w:t>
      </w:r>
      <w:r w:rsidR="00607C3C">
        <w:t xml:space="preserve">shall </w:t>
      </w:r>
      <w:r>
        <w:t xml:space="preserve">be calculated </w:t>
      </w:r>
      <w:r w:rsidR="00EC3E04">
        <w:t xml:space="preserve">according to the procedure given below, </w:t>
      </w:r>
      <w:r>
        <w:t xml:space="preserve">depending on the crossing point between the </w:t>
      </w:r>
      <w:r w:rsidRPr="0026179B">
        <w:t>supply and demand curve</w:t>
      </w:r>
      <w:r>
        <w:t xml:space="preserve">s, determined pursuant </w:t>
      </w:r>
      <w:r w:rsidR="00EC3E04">
        <w:t xml:space="preserve">to </w:t>
      </w:r>
      <w:r w:rsidR="008C02F7">
        <w:t>Sub-Section</w:t>
      </w:r>
      <w:r>
        <w:t xml:space="preserve"> </w:t>
      </w:r>
      <w:r>
        <w:fldChar w:fldCharType="begin"/>
      </w:r>
      <w:r>
        <w:instrText xml:space="preserve"> REF _Ref68520125 \r \h </w:instrText>
      </w:r>
      <w:r>
        <w:fldChar w:fldCharType="separate"/>
      </w:r>
      <w:r w:rsidR="00251DBF">
        <w:t>10.2.7</w:t>
      </w:r>
      <w:r>
        <w:fldChar w:fldCharType="end"/>
      </w:r>
      <w:r w:rsidR="0059129C">
        <w:t>:</w:t>
      </w:r>
      <w:bookmarkEnd w:id="531"/>
    </w:p>
    <w:p w14:paraId="28DB5269" w14:textId="14FCDCD4" w:rsidR="0059129C" w:rsidRDefault="0059129C" w:rsidP="00397422">
      <w:pPr>
        <w:pStyle w:val="Heading5"/>
      </w:pPr>
      <w:bookmarkStart w:id="532" w:name="_Ref68559196"/>
      <w:r>
        <w:t xml:space="preserve">If the supply curve crosses the demand curve in the segment delimited by the points A and B of </w:t>
      </w:r>
      <w:r>
        <w:fldChar w:fldCharType="begin"/>
      </w:r>
      <w:r>
        <w:instrText xml:space="preserve"> REF _Ref68520305 \h </w:instrText>
      </w:r>
      <w:r w:rsidR="00397422">
        <w:instrText xml:space="preserve"> \* MERGEFORMAT </w:instrText>
      </w:r>
      <w:r>
        <w:fldChar w:fldCharType="separate"/>
      </w:r>
      <w:r w:rsidR="00251DBF">
        <w:t xml:space="preserve">Figure </w:t>
      </w:r>
      <w:r w:rsidR="00251DBF">
        <w:rPr>
          <w:noProof/>
        </w:rPr>
        <w:t>1</w:t>
      </w:r>
      <w:r>
        <w:fldChar w:fldCharType="end"/>
      </w:r>
      <w:r>
        <w:t xml:space="preserve">, it implies that the sum of </w:t>
      </w:r>
      <w:r w:rsidRPr="007B2E23">
        <w:t xml:space="preserve">the Capacity </w:t>
      </w:r>
      <w:r w:rsidR="00110D23" w:rsidRPr="007B2E23">
        <w:t>B</w:t>
      </w:r>
      <w:r w:rsidRPr="007B2E23">
        <w:t>alances of Market</w:t>
      </w:r>
      <w:r>
        <w:t xml:space="preserve"> Participants with positive balances (Capacity </w:t>
      </w:r>
      <w:r w:rsidR="00607C3C">
        <w:t>S</w:t>
      </w:r>
      <w:r>
        <w:t>urplus) is not enough for covering the sum of Market Participants with negative balances. In this case:</w:t>
      </w:r>
      <w:bookmarkEnd w:id="532"/>
      <w:r>
        <w:t xml:space="preserve"> </w:t>
      </w:r>
    </w:p>
    <w:p w14:paraId="1A30828F" w14:textId="43B073B4" w:rsidR="00397422" w:rsidRDefault="00607C3C" w:rsidP="00397422">
      <w:pPr>
        <w:pStyle w:val="Heading6"/>
      </w:pPr>
      <w:r>
        <w:t>t</w:t>
      </w:r>
      <w:r w:rsidR="0059129C">
        <w:t>he Market Participants with positive balances will sell all their</w:t>
      </w:r>
      <w:r w:rsidR="00397422">
        <w:t xml:space="preserve"> surplus of C</w:t>
      </w:r>
      <w:r w:rsidR="0059129C">
        <w:t>apacity</w:t>
      </w:r>
      <w:r w:rsidR="00397422">
        <w:t>:</w:t>
      </w:r>
    </w:p>
    <w:p w14:paraId="69417C2D" w14:textId="5629A20B" w:rsidR="00397422" w:rsidRDefault="004D6075" w:rsidP="00397422">
      <w:pPr>
        <w:pStyle w:val="BodyText"/>
        <w:jc w:val="center"/>
      </w:pPr>
      <m:oMathPara>
        <m:oMath>
          <m:sSub>
            <m:sSubPr>
              <m:ctrlPr>
                <w:rPr>
                  <w:rFonts w:ascii="Cambria Math" w:hAnsi="Cambria Math"/>
                  <w:i/>
                </w:rPr>
              </m:ctrlPr>
            </m:sSubPr>
            <m:e>
              <m:r>
                <w:rPr>
                  <w:rFonts w:ascii="Cambria Math" w:hAnsi="Cambria Math"/>
                </w:rPr>
                <m:t>CS</m:t>
              </m:r>
            </m:e>
            <m:sub>
              <m:r>
                <w:rPr>
                  <w:rFonts w:ascii="Cambria Math" w:hAnsi="Cambria Math"/>
                </w:rPr>
                <m:t>i,y</m:t>
              </m:r>
            </m:sub>
          </m:sSub>
          <m:r>
            <w:rPr>
              <w:rFonts w:ascii="Cambria Math" w:hAnsi="Cambria Math"/>
            </w:rPr>
            <m:t xml:space="preserve">= </m:t>
          </m:r>
          <m:sSub>
            <m:sSubPr>
              <m:ctrlPr>
                <w:rPr>
                  <w:rFonts w:ascii="Cambria Math" w:hAnsi="Cambria Math"/>
                  <w:iCs/>
                </w:rPr>
              </m:ctrlPr>
            </m:sSubPr>
            <m:e>
              <m:r>
                <w:rPr>
                  <w:rFonts w:ascii="Cambria Math" w:hAnsi="Cambria Math"/>
                </w:rPr>
                <m:t>CB</m:t>
              </m:r>
            </m:e>
            <m:sub>
              <m:r>
                <w:rPr>
                  <w:rFonts w:ascii="Cambria Math" w:hAnsi="Cambria Math"/>
                </w:rPr>
                <m:t>i,y</m:t>
              </m:r>
            </m:sub>
          </m:sSub>
        </m:oMath>
      </m:oMathPara>
    </w:p>
    <w:p w14:paraId="37FADCB7" w14:textId="77777777" w:rsidR="00397422" w:rsidRDefault="00397422" w:rsidP="00397422">
      <w:pPr>
        <w:pStyle w:val="BodyText"/>
        <w:ind w:left="2552"/>
      </w:pPr>
      <w:r>
        <w:t>Where:</w:t>
      </w:r>
    </w:p>
    <w:p w14:paraId="358EBD2B" w14:textId="63538D31" w:rsidR="00397422" w:rsidRPr="00397422" w:rsidRDefault="00397422" w:rsidP="00397422">
      <w:pPr>
        <w:pStyle w:val="BodyText"/>
        <w:ind w:left="3544" w:hanging="992"/>
        <w:rPr>
          <w:i/>
          <w:iCs/>
        </w:rPr>
      </w:pPr>
      <w:r>
        <w:rPr>
          <w:i/>
          <w:iCs/>
        </w:rPr>
        <w:t>CS</w:t>
      </w:r>
      <w:r w:rsidRPr="00666B10">
        <w:rPr>
          <w:i/>
          <w:iCs/>
          <w:vertAlign w:val="subscript"/>
        </w:rPr>
        <w:t>i,y</w:t>
      </w:r>
      <w:r>
        <w:rPr>
          <w:i/>
          <w:iCs/>
        </w:rPr>
        <w:t xml:space="preserve"> </w:t>
      </w:r>
      <w:r>
        <w:rPr>
          <w:i/>
          <w:iCs/>
        </w:rPr>
        <w:tab/>
      </w:r>
      <w:r w:rsidRPr="00397422">
        <w:t>is the total amount of Capacity sold by the Market Participant</w:t>
      </w:r>
      <w:r w:rsidRPr="00397422">
        <w:rPr>
          <w:i/>
          <w:iCs/>
        </w:rPr>
        <w:t xml:space="preserve"> “i”</w:t>
      </w:r>
      <w:r>
        <w:rPr>
          <w:i/>
          <w:iCs/>
        </w:rPr>
        <w:t xml:space="preserve"> </w:t>
      </w:r>
      <w:r w:rsidRPr="00397422">
        <w:t>with positive value of Capacity Balance, in year</w:t>
      </w:r>
      <w:r w:rsidRPr="00397422">
        <w:rPr>
          <w:i/>
          <w:iCs/>
        </w:rPr>
        <w:t xml:space="preserve"> “y”</w:t>
      </w:r>
      <w:r w:rsidR="00607C3C">
        <w:rPr>
          <w:i/>
          <w:iCs/>
        </w:rPr>
        <w:t>;</w:t>
      </w:r>
    </w:p>
    <w:p w14:paraId="3FC6425B" w14:textId="69DEE4E9" w:rsidR="00397422" w:rsidRPr="00397422" w:rsidRDefault="00397422" w:rsidP="00397422">
      <w:pPr>
        <w:pStyle w:val="BodyText"/>
        <w:ind w:left="3544" w:hanging="992"/>
      </w:pPr>
      <w:r>
        <w:rPr>
          <w:i/>
          <w:iCs/>
        </w:rPr>
        <w:t>CB</w:t>
      </w:r>
      <w:r w:rsidRPr="00666B10">
        <w:rPr>
          <w:i/>
          <w:iCs/>
          <w:vertAlign w:val="subscript"/>
        </w:rPr>
        <w:t>i,y</w:t>
      </w:r>
      <w:r>
        <w:rPr>
          <w:i/>
          <w:iCs/>
        </w:rPr>
        <w:t xml:space="preserve"> </w:t>
      </w:r>
      <w:r>
        <w:rPr>
          <w:i/>
          <w:iCs/>
        </w:rPr>
        <w:tab/>
      </w:r>
      <w:r w:rsidRPr="00397422">
        <w:t>is the total amount of Capacity offered by the Market Participant</w:t>
      </w:r>
      <w:r w:rsidRPr="00397422">
        <w:rPr>
          <w:i/>
          <w:iCs/>
        </w:rPr>
        <w:t xml:space="preserve"> “i”, </w:t>
      </w:r>
      <w:r w:rsidRPr="00397422">
        <w:t xml:space="preserve">in year </w:t>
      </w:r>
      <w:r w:rsidRPr="00397422">
        <w:rPr>
          <w:i/>
          <w:iCs/>
        </w:rPr>
        <w:t xml:space="preserve">“y”, </w:t>
      </w:r>
      <w:r>
        <w:rPr>
          <w:i/>
          <w:iCs/>
        </w:rPr>
        <w:t xml:space="preserve"> </w:t>
      </w:r>
      <w:r w:rsidRPr="00397422">
        <w:rPr>
          <w:i/>
          <w:iCs/>
        </w:rPr>
        <w:t xml:space="preserve"> </w:t>
      </w:r>
      <w:r w:rsidRPr="00397422">
        <w:t xml:space="preserve">which has a positive value of the Capacity Balance, calculated pursuant </w:t>
      </w:r>
      <w:r w:rsidR="00EC3E04">
        <w:t xml:space="preserve">to </w:t>
      </w:r>
      <w:r w:rsidRPr="00397422">
        <w:t xml:space="preserve">Clause </w:t>
      </w:r>
      <w:r w:rsidRPr="00397422">
        <w:fldChar w:fldCharType="begin"/>
      </w:r>
      <w:r w:rsidRPr="00397422">
        <w:instrText xml:space="preserve"> REF _Ref68513993 \r \h  \* MERGEFORMAT </w:instrText>
      </w:r>
      <w:r w:rsidRPr="00397422">
        <w:fldChar w:fldCharType="separate"/>
      </w:r>
      <w:r w:rsidR="00251DBF">
        <w:t>10.2.5.2</w:t>
      </w:r>
      <w:r w:rsidRPr="00397422">
        <w:fldChar w:fldCharType="end"/>
      </w:r>
      <w:r w:rsidR="00607C3C">
        <w:t>.</w:t>
      </w:r>
      <w:r w:rsidRPr="00397422">
        <w:t xml:space="preserve"> </w:t>
      </w:r>
    </w:p>
    <w:p w14:paraId="02704BF4" w14:textId="3C0FD379" w:rsidR="0059129C" w:rsidRDefault="00607C3C" w:rsidP="00397422">
      <w:pPr>
        <w:pStyle w:val="Heading6"/>
      </w:pPr>
      <w:r>
        <w:t>t</w:t>
      </w:r>
      <w:r w:rsidR="0059129C">
        <w:t xml:space="preserve">he Market Participants with negative balances will purchase only a </w:t>
      </w:r>
      <w:r w:rsidR="00037DD0">
        <w:t>share</w:t>
      </w:r>
      <w:r w:rsidR="0059129C">
        <w:t xml:space="preserve"> of their </w:t>
      </w:r>
      <w:r w:rsidR="00397422">
        <w:t>C</w:t>
      </w:r>
      <w:r w:rsidR="0059129C">
        <w:t xml:space="preserve">apacity </w:t>
      </w:r>
      <w:r w:rsidR="00EC3E04">
        <w:t>Requirement</w:t>
      </w:r>
      <w:r w:rsidR="0059129C">
        <w:t xml:space="preserve">, </w:t>
      </w:r>
      <w:r w:rsidR="00EC3E04">
        <w:t xml:space="preserve">on </w:t>
      </w:r>
      <w:r w:rsidR="0059129C">
        <w:t>a proportional basis</w:t>
      </w:r>
      <w:r w:rsidR="00397422">
        <w:t>:</w:t>
      </w:r>
    </w:p>
    <w:p w14:paraId="1BBD75E6" w14:textId="48D96D22" w:rsidR="0059129C" w:rsidRPr="0059129C" w:rsidRDefault="004D6075" w:rsidP="0059129C">
      <w:pPr>
        <w:pStyle w:val="BodyText"/>
        <w:rPr>
          <w:rFonts w:eastAsiaTheme="minorEastAsia"/>
          <w:iCs/>
        </w:rPr>
      </w:pPr>
      <m:oMathPara>
        <m:oMath>
          <m:sSub>
            <m:sSubPr>
              <m:ctrlPr>
                <w:rPr>
                  <w:rFonts w:ascii="Cambria Math" w:hAnsi="Cambria Math"/>
                  <w:i/>
                </w:rPr>
              </m:ctrlPr>
            </m:sSubPr>
            <m:e>
              <m:r>
                <w:rPr>
                  <w:rFonts w:ascii="Cambria Math" w:hAnsi="Cambria Math"/>
                </w:rPr>
                <m:t>CP</m:t>
              </m:r>
            </m:e>
            <m:sub>
              <m:r>
                <w:rPr>
                  <w:rFonts w:ascii="Cambria Math" w:hAnsi="Cambria Math"/>
                </w:rPr>
                <m:t>j,y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CB</m:t>
                  </m:r>
                </m:e>
                <m:sub>
                  <m:r>
                    <w:rPr>
                      <w:rFonts w:ascii="Cambria Math" w:hAnsi="Cambria Math"/>
                    </w:rPr>
                    <m:t>j,y</m:t>
                  </m:r>
                </m:sub>
              </m:sSub>
            </m:num>
            <m:den>
              <m:nary>
                <m:naryPr>
                  <m:chr m:val="∑"/>
                  <m:limLoc m:val="undOvr"/>
                  <m:supHide m:val="1"/>
                  <m:ctrlPr>
                    <w:rPr>
                      <w:rFonts w:ascii="Cambria Math" w:hAnsi="Cambria Math"/>
                      <w:i/>
                      <w:iCs/>
                    </w:rPr>
                  </m:ctrlPr>
                </m:naryPr>
                <m:sub>
                  <m:r>
                    <w:rPr>
                      <w:rFonts w:ascii="Cambria Math" w:hAnsi="Cambria Math"/>
                    </w:rPr>
                    <m:t>j</m:t>
                  </m:r>
                </m:sub>
                <m:sup/>
                <m:e>
                  <m:sSub>
                    <m:sSubPr>
                      <m:ctrlPr>
                        <w:rPr>
                          <w:rFonts w:ascii="Cambria Math" w:hAnsi="Cambria Math"/>
                          <w:i/>
                          <w:iCs/>
                        </w:rPr>
                      </m:ctrlPr>
                    </m:sSubPr>
                    <m:e>
                      <m:r>
                        <w:rPr>
                          <w:rFonts w:ascii="Cambria Math" w:hAnsi="Cambria Math"/>
                        </w:rPr>
                        <m:t>CB</m:t>
                      </m:r>
                    </m:e>
                    <m:sub>
                      <m:r>
                        <w:rPr>
                          <w:rFonts w:ascii="Cambria Math" w:hAnsi="Cambria Math"/>
                        </w:rPr>
                        <m:t>j,y</m:t>
                      </m:r>
                    </m:sub>
                  </m:sSub>
                </m:e>
              </m:nary>
            </m:den>
          </m:f>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i</m:t>
              </m:r>
            </m:sub>
            <m:sup/>
            <m:e>
              <m:sSub>
                <m:sSubPr>
                  <m:ctrlPr>
                    <w:rPr>
                      <w:rFonts w:ascii="Cambria Math" w:hAnsi="Cambria Math"/>
                      <w:i/>
                      <w:iCs/>
                    </w:rPr>
                  </m:ctrlPr>
                </m:sSubPr>
                <m:e>
                  <m:r>
                    <w:rPr>
                      <w:rFonts w:ascii="Cambria Math" w:hAnsi="Cambria Math"/>
                    </w:rPr>
                    <m:t>CB</m:t>
                  </m:r>
                </m:e>
                <m:sub>
                  <m:r>
                    <w:rPr>
                      <w:rFonts w:ascii="Cambria Math" w:hAnsi="Cambria Math"/>
                    </w:rPr>
                    <m:t>i,y</m:t>
                  </m:r>
                </m:sub>
              </m:sSub>
            </m:e>
          </m:nary>
        </m:oMath>
      </m:oMathPara>
    </w:p>
    <w:p w14:paraId="1BF2FC22" w14:textId="22E65B62" w:rsidR="00397422" w:rsidRDefault="00397422" w:rsidP="00397422">
      <w:pPr>
        <w:pStyle w:val="BodyText"/>
        <w:ind w:left="2552"/>
      </w:pPr>
      <w:r>
        <w:t>Where:</w:t>
      </w:r>
    </w:p>
    <w:p w14:paraId="5327A5D4" w14:textId="583C80A0" w:rsidR="00666B10" w:rsidRPr="00397422" w:rsidRDefault="00666B10" w:rsidP="00666B10">
      <w:pPr>
        <w:pStyle w:val="BodyText"/>
        <w:ind w:left="3544" w:hanging="992"/>
        <w:rPr>
          <w:i/>
          <w:iCs/>
        </w:rPr>
      </w:pPr>
      <w:r>
        <w:rPr>
          <w:i/>
          <w:iCs/>
        </w:rPr>
        <w:t>CP</w:t>
      </w:r>
      <w:r w:rsidRPr="00666B10">
        <w:rPr>
          <w:i/>
          <w:iCs/>
          <w:vertAlign w:val="subscript"/>
        </w:rPr>
        <w:t>j,y</w:t>
      </w:r>
      <w:r>
        <w:rPr>
          <w:i/>
          <w:iCs/>
        </w:rPr>
        <w:t xml:space="preserve"> </w:t>
      </w:r>
      <w:r>
        <w:rPr>
          <w:i/>
          <w:iCs/>
        </w:rPr>
        <w:tab/>
      </w:r>
      <w:r w:rsidRPr="00397422">
        <w:t xml:space="preserve">is the total amount of Capacity </w:t>
      </w:r>
      <w:r>
        <w:t>purchased</w:t>
      </w:r>
      <w:r w:rsidRPr="00397422">
        <w:t xml:space="preserve"> by the Market Participant</w:t>
      </w:r>
      <w:r w:rsidRPr="00397422">
        <w:rPr>
          <w:i/>
          <w:iCs/>
        </w:rPr>
        <w:t xml:space="preserve"> “</w:t>
      </w:r>
      <w:r>
        <w:rPr>
          <w:i/>
          <w:iCs/>
        </w:rPr>
        <w:t>j</w:t>
      </w:r>
      <w:r w:rsidRPr="00397422">
        <w:rPr>
          <w:i/>
          <w:iCs/>
        </w:rPr>
        <w:t>”</w:t>
      </w:r>
      <w:r>
        <w:rPr>
          <w:i/>
          <w:iCs/>
        </w:rPr>
        <w:t xml:space="preserve"> </w:t>
      </w:r>
      <w:r w:rsidRPr="00397422">
        <w:t xml:space="preserve">with </w:t>
      </w:r>
      <w:r>
        <w:t>negative</w:t>
      </w:r>
      <w:r w:rsidRPr="00397422">
        <w:t xml:space="preserve"> value of Capacity Balance, in year</w:t>
      </w:r>
      <w:r w:rsidRPr="00397422">
        <w:rPr>
          <w:i/>
          <w:iCs/>
        </w:rPr>
        <w:t xml:space="preserve"> “y”</w:t>
      </w:r>
      <w:r w:rsidR="00607C3C">
        <w:rPr>
          <w:i/>
          <w:iCs/>
        </w:rPr>
        <w:t>;</w:t>
      </w:r>
    </w:p>
    <w:p w14:paraId="3311A237" w14:textId="61E7B0C3" w:rsidR="00666B10" w:rsidRDefault="00666B10" w:rsidP="00666B10">
      <w:pPr>
        <w:pStyle w:val="BodyText"/>
        <w:ind w:left="3544" w:hanging="992"/>
      </w:pPr>
      <w:r>
        <w:rPr>
          <w:i/>
          <w:iCs/>
        </w:rPr>
        <w:t>CBj</w:t>
      </w:r>
      <w:r w:rsidRPr="00397422">
        <w:rPr>
          <w:i/>
          <w:iCs/>
        </w:rPr>
        <w:t>,y</w:t>
      </w:r>
      <w:r>
        <w:rPr>
          <w:i/>
          <w:iCs/>
        </w:rPr>
        <w:t xml:space="preserve"> </w:t>
      </w:r>
      <w:r>
        <w:rPr>
          <w:i/>
          <w:iCs/>
        </w:rPr>
        <w:tab/>
      </w:r>
      <w:r w:rsidRPr="00397422">
        <w:t xml:space="preserve">is the total amount of Capacity </w:t>
      </w:r>
      <w:r w:rsidR="00EC3E04">
        <w:t>Requirement</w:t>
      </w:r>
      <w:r w:rsidR="00EC3E04" w:rsidRPr="00397422">
        <w:t xml:space="preserve"> </w:t>
      </w:r>
      <w:r w:rsidRPr="00397422">
        <w:t>by the Market Participant</w:t>
      </w:r>
      <w:r w:rsidRPr="00397422">
        <w:rPr>
          <w:i/>
          <w:iCs/>
        </w:rPr>
        <w:t xml:space="preserve"> “</w:t>
      </w:r>
      <w:r>
        <w:rPr>
          <w:i/>
          <w:iCs/>
        </w:rPr>
        <w:t>j</w:t>
      </w:r>
      <w:r w:rsidRPr="00397422">
        <w:rPr>
          <w:i/>
          <w:iCs/>
        </w:rPr>
        <w:t xml:space="preserve">”, </w:t>
      </w:r>
      <w:r w:rsidRPr="00397422">
        <w:t xml:space="preserve">in year </w:t>
      </w:r>
      <w:r w:rsidRPr="00397422">
        <w:rPr>
          <w:i/>
          <w:iCs/>
        </w:rPr>
        <w:t xml:space="preserve">“y”, </w:t>
      </w:r>
      <w:r>
        <w:rPr>
          <w:i/>
          <w:iCs/>
        </w:rPr>
        <w:t xml:space="preserve"> </w:t>
      </w:r>
      <w:r w:rsidRPr="00397422">
        <w:rPr>
          <w:i/>
          <w:iCs/>
        </w:rPr>
        <w:t xml:space="preserve"> </w:t>
      </w:r>
      <w:r w:rsidRPr="00397422">
        <w:t xml:space="preserve">which has a </w:t>
      </w:r>
      <w:r>
        <w:t>negative</w:t>
      </w:r>
      <w:r w:rsidRPr="00397422">
        <w:t xml:space="preserve"> value of the Capacity Balance, calculated pursuant </w:t>
      </w:r>
      <w:r w:rsidR="00EC3E04">
        <w:t xml:space="preserve">to </w:t>
      </w:r>
      <w:r w:rsidRPr="00397422">
        <w:t xml:space="preserve">Clause </w:t>
      </w:r>
      <w:r w:rsidRPr="00397422">
        <w:fldChar w:fldCharType="begin"/>
      </w:r>
      <w:r w:rsidRPr="00397422">
        <w:instrText xml:space="preserve"> REF _Ref68513993 \r \h  \* MERGEFORMAT </w:instrText>
      </w:r>
      <w:r w:rsidRPr="00397422">
        <w:fldChar w:fldCharType="separate"/>
      </w:r>
      <w:r w:rsidR="00251DBF">
        <w:t>10.2.5.2</w:t>
      </w:r>
      <w:r w:rsidRPr="00397422">
        <w:fldChar w:fldCharType="end"/>
      </w:r>
      <w:r w:rsidR="00607C3C">
        <w:t>;</w:t>
      </w:r>
      <w:r w:rsidRPr="00397422">
        <w:t xml:space="preserve"> </w:t>
      </w:r>
    </w:p>
    <w:p w14:paraId="2ED1BF2A" w14:textId="7E7C8440" w:rsidR="00666B10" w:rsidRDefault="00BC5811" w:rsidP="00666B10">
      <w:pPr>
        <w:pStyle w:val="BodyText"/>
        <w:ind w:left="3544" w:hanging="992"/>
      </w:pPr>
      <w:r w:rsidRPr="00666B10">
        <w:rPr>
          <w:noProof/>
        </w:rPr>
        <w:drawing>
          <wp:anchor distT="0" distB="0" distL="114300" distR="114300" simplePos="0" relativeHeight="251721728" behindDoc="0" locked="0" layoutInCell="1" allowOverlap="1" wp14:anchorId="69C714F3" wp14:editId="6985F343">
            <wp:simplePos x="0" y="0"/>
            <wp:positionH relativeFrom="column">
              <wp:posOffset>1652270</wp:posOffset>
            </wp:positionH>
            <wp:positionV relativeFrom="paragraph">
              <wp:posOffset>563245</wp:posOffset>
            </wp:positionV>
            <wp:extent cx="206304" cy="431800"/>
            <wp:effectExtent l="0" t="0" r="3810" b="0"/>
            <wp:wrapThrough wrapText="bothSides">
              <wp:wrapPolygon edited="0">
                <wp:start x="0" y="953"/>
                <wp:lineTo x="0" y="8576"/>
                <wp:lineTo x="2000" y="16200"/>
                <wp:lineTo x="4000" y="18106"/>
                <wp:lineTo x="14000" y="18106"/>
                <wp:lineTo x="20000" y="12388"/>
                <wp:lineTo x="20000" y="953"/>
                <wp:lineTo x="0" y="953"/>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44789" r="50615"/>
                    <a:stretch/>
                  </pic:blipFill>
                  <pic:spPr bwMode="auto">
                    <a:xfrm>
                      <a:off x="0" y="0"/>
                      <a:ext cx="206304" cy="431800"/>
                    </a:xfrm>
                    <a:prstGeom prst="rect">
                      <a:avLst/>
                    </a:prstGeom>
                    <a:noFill/>
                    <a:ln>
                      <a:noFill/>
                    </a:ln>
                    <a:extLst>
                      <a:ext uri="{53640926-AAD7-44D8-BBD7-CCE9431645EC}">
                        <a14:shadowObscured xmlns:a14="http://schemas.microsoft.com/office/drawing/2010/main"/>
                      </a:ext>
                    </a:extLst>
                  </pic:spPr>
                </pic:pic>
              </a:graphicData>
            </a:graphic>
          </wp:anchor>
        </w:drawing>
      </w:r>
      <w:r w:rsidR="00666B10">
        <w:rPr>
          <w:i/>
          <w:iCs/>
        </w:rPr>
        <w:t>CB</w:t>
      </w:r>
      <w:r w:rsidR="00666B10" w:rsidRPr="00666B10">
        <w:rPr>
          <w:i/>
          <w:iCs/>
          <w:vertAlign w:val="subscript"/>
        </w:rPr>
        <w:t>i,y</w:t>
      </w:r>
      <w:r w:rsidR="00666B10">
        <w:rPr>
          <w:i/>
          <w:iCs/>
        </w:rPr>
        <w:t xml:space="preserve"> </w:t>
      </w:r>
      <w:r w:rsidR="00666B10">
        <w:rPr>
          <w:i/>
          <w:iCs/>
        </w:rPr>
        <w:tab/>
      </w:r>
      <w:r w:rsidR="00666B10" w:rsidRPr="00397422">
        <w:t>is the total amount of Capacity offered by the Market Participant</w:t>
      </w:r>
      <w:r w:rsidR="00666B10" w:rsidRPr="00397422">
        <w:rPr>
          <w:i/>
          <w:iCs/>
        </w:rPr>
        <w:t xml:space="preserve"> “i”, </w:t>
      </w:r>
      <w:r w:rsidR="00666B10" w:rsidRPr="00397422">
        <w:t xml:space="preserve">in year </w:t>
      </w:r>
      <w:r w:rsidR="00666B10" w:rsidRPr="00397422">
        <w:rPr>
          <w:i/>
          <w:iCs/>
        </w:rPr>
        <w:t xml:space="preserve">“y”, </w:t>
      </w:r>
      <w:r w:rsidR="00666B10">
        <w:rPr>
          <w:i/>
          <w:iCs/>
        </w:rPr>
        <w:t xml:space="preserve"> </w:t>
      </w:r>
      <w:r w:rsidR="00666B10" w:rsidRPr="00397422">
        <w:rPr>
          <w:i/>
          <w:iCs/>
        </w:rPr>
        <w:t xml:space="preserve"> </w:t>
      </w:r>
      <w:r w:rsidR="00666B10" w:rsidRPr="00397422">
        <w:t>which has a positive value of the Capacity Balance, calculated pursuant</w:t>
      </w:r>
      <w:r w:rsidR="00EC3E04">
        <w:t xml:space="preserve"> to</w:t>
      </w:r>
      <w:r w:rsidR="00666B10" w:rsidRPr="00397422">
        <w:t xml:space="preserve"> Clause </w:t>
      </w:r>
      <w:r w:rsidR="00666B10" w:rsidRPr="00397422">
        <w:fldChar w:fldCharType="begin"/>
      </w:r>
      <w:r w:rsidR="00666B10" w:rsidRPr="00397422">
        <w:instrText xml:space="preserve"> REF _Ref68513993 \r \h  \* MERGEFORMAT </w:instrText>
      </w:r>
      <w:r w:rsidR="00666B10" w:rsidRPr="00397422">
        <w:fldChar w:fldCharType="separate"/>
      </w:r>
      <w:r w:rsidR="00251DBF">
        <w:t>10.2.5.2</w:t>
      </w:r>
      <w:r w:rsidR="00666B10" w:rsidRPr="00397422">
        <w:fldChar w:fldCharType="end"/>
      </w:r>
      <w:r w:rsidR="00607C3C">
        <w:t>;</w:t>
      </w:r>
    </w:p>
    <w:p w14:paraId="76EDA35F" w14:textId="10750EF8" w:rsidR="00666B10" w:rsidRDefault="00666B10" w:rsidP="00666B10">
      <w:pPr>
        <w:pStyle w:val="BodyText"/>
        <w:ind w:left="3544" w:hanging="992"/>
      </w:pPr>
      <w:r w:rsidRPr="00397422">
        <w:t xml:space="preserve"> </w:t>
      </w:r>
      <w:r w:rsidR="00BC5811">
        <w:tab/>
      </w:r>
      <w:r>
        <w:t xml:space="preserve">means the </w:t>
      </w:r>
      <w:r w:rsidR="00EC3E04">
        <w:t xml:space="preserve">sum </w:t>
      </w:r>
      <w:r w:rsidR="00BC5811">
        <w:t xml:space="preserve">of </w:t>
      </w:r>
      <w:r>
        <w:t xml:space="preserve">all Market Participants </w:t>
      </w:r>
      <w:r w:rsidR="00BC5811">
        <w:t>with negative Capacity Balance</w:t>
      </w:r>
      <w:r w:rsidR="00607C3C">
        <w:t>;</w:t>
      </w:r>
    </w:p>
    <w:p w14:paraId="73F1CB34" w14:textId="75CC09AC" w:rsidR="00BC5811" w:rsidRPr="00397422" w:rsidRDefault="00BC5811" w:rsidP="00BC5811">
      <w:pPr>
        <w:pStyle w:val="BodyText"/>
        <w:ind w:left="3544" w:hanging="992"/>
      </w:pPr>
      <w:r w:rsidRPr="00BC5811">
        <w:rPr>
          <w:noProof/>
        </w:rPr>
        <w:drawing>
          <wp:anchor distT="0" distB="0" distL="114300" distR="114300" simplePos="0" relativeHeight="251722752" behindDoc="0" locked="0" layoutInCell="1" allowOverlap="1" wp14:anchorId="6977FF4F" wp14:editId="1A380F9A">
            <wp:simplePos x="0" y="0"/>
            <wp:positionH relativeFrom="column">
              <wp:posOffset>1652270</wp:posOffset>
            </wp:positionH>
            <wp:positionV relativeFrom="paragraph">
              <wp:posOffset>6985</wp:posOffset>
            </wp:positionV>
            <wp:extent cx="223448" cy="432000"/>
            <wp:effectExtent l="0" t="0" r="5715" b="0"/>
            <wp:wrapThrough wrapText="bothSides">
              <wp:wrapPolygon edited="0">
                <wp:start x="1846" y="953"/>
                <wp:lineTo x="0" y="10482"/>
                <wp:lineTo x="7385" y="18106"/>
                <wp:lineTo x="16615" y="18106"/>
                <wp:lineTo x="20308" y="12388"/>
                <wp:lineTo x="20308" y="953"/>
                <wp:lineTo x="1846" y="953"/>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l="44682" r="50507"/>
                    <a:stretch/>
                  </pic:blipFill>
                  <pic:spPr bwMode="auto">
                    <a:xfrm>
                      <a:off x="0" y="0"/>
                      <a:ext cx="223448" cy="43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t xml:space="preserve">means the </w:t>
      </w:r>
      <w:r w:rsidR="00EC3E04">
        <w:t xml:space="preserve">sum </w:t>
      </w:r>
      <w:r>
        <w:t>of all Market Participants with positive Capacity Balance.</w:t>
      </w:r>
    </w:p>
    <w:p w14:paraId="1DCEAF20" w14:textId="2F9BF390" w:rsidR="00BC5811" w:rsidRDefault="00BC5811" w:rsidP="00BC5811">
      <w:pPr>
        <w:pStyle w:val="Heading5"/>
      </w:pPr>
      <w:bookmarkStart w:id="533" w:name="_Ref76059487"/>
      <w:r>
        <w:t xml:space="preserve">If the supply curve crosses the demand curve to the right of B of </w:t>
      </w:r>
      <w:r>
        <w:fldChar w:fldCharType="begin"/>
      </w:r>
      <w:r>
        <w:instrText xml:space="preserve"> REF _Ref68520305 \h  \* MERGEFORMAT </w:instrText>
      </w:r>
      <w:r>
        <w:fldChar w:fldCharType="separate"/>
      </w:r>
      <w:r w:rsidR="00251DBF">
        <w:t xml:space="preserve">Figure </w:t>
      </w:r>
      <w:r w:rsidR="00251DBF">
        <w:rPr>
          <w:noProof/>
        </w:rPr>
        <w:t>1</w:t>
      </w:r>
      <w:r>
        <w:fldChar w:fldCharType="end"/>
      </w:r>
      <w:r>
        <w:t>, it implies that the sum of the Capacity balances of Market Participants with positive balances (</w:t>
      </w:r>
      <w:r w:rsidRPr="00607C3C">
        <w:t xml:space="preserve">Capacity </w:t>
      </w:r>
      <w:r w:rsidR="00607C3C" w:rsidRPr="00B03C4A">
        <w:t>S</w:t>
      </w:r>
      <w:r w:rsidRPr="00B03C4A">
        <w:t>urplus</w:t>
      </w:r>
      <w:r w:rsidRPr="00607C3C">
        <w:t>)</w:t>
      </w:r>
      <w:r>
        <w:t xml:space="preserve"> is sufficient or in excess of the requirements of all Market Participants with negative balances. In this case:</w:t>
      </w:r>
      <w:bookmarkEnd w:id="533"/>
      <w:r>
        <w:t xml:space="preserve"> </w:t>
      </w:r>
    </w:p>
    <w:p w14:paraId="1D211134" w14:textId="5FBC5923" w:rsidR="00BC5811" w:rsidRDefault="00607C3C" w:rsidP="00BC5811">
      <w:pPr>
        <w:pStyle w:val="Heading6"/>
      </w:pPr>
      <w:r>
        <w:t>t</w:t>
      </w:r>
      <w:r w:rsidR="00BC5811">
        <w:t xml:space="preserve">he Market Participants with negative balances will purchase all their </w:t>
      </w:r>
      <w:r w:rsidR="00EC3E04">
        <w:t xml:space="preserve">deficit </w:t>
      </w:r>
      <w:r w:rsidR="00BC5811">
        <w:t>of Capacity:</w:t>
      </w:r>
    </w:p>
    <w:p w14:paraId="63D9318F" w14:textId="65EAB920" w:rsidR="009E2D09" w:rsidRDefault="004D6075" w:rsidP="009E2D09">
      <w:pPr>
        <w:pStyle w:val="BodyText"/>
        <w:jc w:val="center"/>
      </w:pPr>
      <m:oMathPara>
        <m:oMath>
          <m:sSub>
            <m:sSubPr>
              <m:ctrlPr>
                <w:rPr>
                  <w:rFonts w:ascii="Cambria Math" w:hAnsi="Cambria Math"/>
                  <w:i/>
                </w:rPr>
              </m:ctrlPr>
            </m:sSubPr>
            <m:e>
              <m:r>
                <w:rPr>
                  <w:rFonts w:ascii="Cambria Math" w:hAnsi="Cambria Math"/>
                </w:rPr>
                <m:t>CP</m:t>
              </m:r>
            </m:e>
            <m:sub>
              <m:r>
                <w:rPr>
                  <w:rFonts w:ascii="Cambria Math" w:hAnsi="Cambria Math"/>
                </w:rPr>
                <m:t>j,y</m:t>
              </m:r>
            </m:sub>
          </m:sSub>
          <m:r>
            <w:rPr>
              <w:rFonts w:ascii="Cambria Math" w:hAnsi="Cambria Math"/>
            </w:rPr>
            <m:t xml:space="preserve">= </m:t>
          </m:r>
          <m:sSub>
            <m:sSubPr>
              <m:ctrlPr>
                <w:rPr>
                  <w:rFonts w:ascii="Cambria Math" w:hAnsi="Cambria Math"/>
                  <w:iCs/>
                </w:rPr>
              </m:ctrlPr>
            </m:sSubPr>
            <m:e>
              <m:r>
                <w:rPr>
                  <w:rFonts w:ascii="Cambria Math" w:hAnsi="Cambria Math"/>
                </w:rPr>
                <m:t>-CB</m:t>
              </m:r>
            </m:e>
            <m:sub>
              <m:r>
                <w:rPr>
                  <w:rFonts w:ascii="Cambria Math" w:hAnsi="Cambria Math"/>
                </w:rPr>
                <m:t>j,y</m:t>
              </m:r>
            </m:sub>
          </m:sSub>
        </m:oMath>
      </m:oMathPara>
    </w:p>
    <w:p w14:paraId="1E4F2F64" w14:textId="77777777" w:rsidR="009E2D09" w:rsidRDefault="009E2D09" w:rsidP="009E2D09">
      <w:pPr>
        <w:pStyle w:val="BodyText"/>
        <w:ind w:left="2552"/>
      </w:pPr>
      <w:r>
        <w:t>Where:</w:t>
      </w:r>
    </w:p>
    <w:p w14:paraId="5ED9CD24" w14:textId="57B47EA3" w:rsidR="009E2D09" w:rsidRPr="00397422" w:rsidRDefault="009E2D09" w:rsidP="009E2D09">
      <w:pPr>
        <w:pStyle w:val="BodyText"/>
        <w:ind w:left="3544" w:hanging="992"/>
        <w:rPr>
          <w:i/>
          <w:iCs/>
        </w:rPr>
      </w:pPr>
      <w:r>
        <w:rPr>
          <w:i/>
          <w:iCs/>
        </w:rPr>
        <w:lastRenderedPageBreak/>
        <w:t>CP</w:t>
      </w:r>
      <w:r>
        <w:rPr>
          <w:i/>
          <w:iCs/>
          <w:vertAlign w:val="subscript"/>
        </w:rPr>
        <w:t>j</w:t>
      </w:r>
      <w:r w:rsidRPr="00666B10">
        <w:rPr>
          <w:i/>
          <w:iCs/>
          <w:vertAlign w:val="subscript"/>
        </w:rPr>
        <w:t>,y</w:t>
      </w:r>
      <w:r>
        <w:rPr>
          <w:i/>
          <w:iCs/>
        </w:rPr>
        <w:t xml:space="preserve"> </w:t>
      </w:r>
      <w:r>
        <w:rPr>
          <w:i/>
          <w:iCs/>
        </w:rPr>
        <w:tab/>
      </w:r>
      <w:r w:rsidRPr="00397422">
        <w:t xml:space="preserve">is the total amount of Capacity </w:t>
      </w:r>
      <w:r>
        <w:t xml:space="preserve">purchased </w:t>
      </w:r>
      <w:r w:rsidRPr="00397422">
        <w:t>by the Market Participant</w:t>
      </w:r>
      <w:r w:rsidRPr="00397422">
        <w:rPr>
          <w:i/>
          <w:iCs/>
        </w:rPr>
        <w:t xml:space="preserve"> “</w:t>
      </w:r>
      <w:r>
        <w:rPr>
          <w:i/>
          <w:iCs/>
        </w:rPr>
        <w:t>j</w:t>
      </w:r>
      <w:r w:rsidRPr="00397422">
        <w:rPr>
          <w:i/>
          <w:iCs/>
        </w:rPr>
        <w:t>”</w:t>
      </w:r>
      <w:r>
        <w:rPr>
          <w:i/>
          <w:iCs/>
        </w:rPr>
        <w:t xml:space="preserve"> </w:t>
      </w:r>
      <w:r w:rsidRPr="00397422">
        <w:t xml:space="preserve">with </w:t>
      </w:r>
      <w:r>
        <w:t>negative</w:t>
      </w:r>
      <w:r w:rsidRPr="00397422">
        <w:t xml:space="preserve"> value of Capacity Balance, in year</w:t>
      </w:r>
      <w:r w:rsidRPr="00397422">
        <w:rPr>
          <w:i/>
          <w:iCs/>
        </w:rPr>
        <w:t xml:space="preserve"> “y”</w:t>
      </w:r>
      <w:r w:rsidR="00607C3C">
        <w:rPr>
          <w:i/>
          <w:iCs/>
        </w:rPr>
        <w:t>;</w:t>
      </w:r>
    </w:p>
    <w:p w14:paraId="007A6E9A" w14:textId="42FC7DC4" w:rsidR="00BC5811" w:rsidRPr="00397422" w:rsidRDefault="009E2D09" w:rsidP="009E2D09">
      <w:pPr>
        <w:pStyle w:val="BodyText"/>
        <w:ind w:left="3544" w:hanging="992"/>
      </w:pPr>
      <w:r>
        <w:rPr>
          <w:i/>
          <w:iCs/>
        </w:rPr>
        <w:t>CB</w:t>
      </w:r>
      <w:r w:rsidRPr="00666B10">
        <w:rPr>
          <w:i/>
          <w:iCs/>
          <w:vertAlign w:val="subscript"/>
        </w:rPr>
        <w:t>i,y</w:t>
      </w:r>
      <w:r>
        <w:rPr>
          <w:i/>
          <w:iCs/>
        </w:rPr>
        <w:t xml:space="preserve"> </w:t>
      </w:r>
      <w:r>
        <w:rPr>
          <w:i/>
          <w:iCs/>
        </w:rPr>
        <w:tab/>
      </w:r>
      <w:r w:rsidRPr="00397422">
        <w:t xml:space="preserve">is the total amount of Capacity </w:t>
      </w:r>
      <w:r>
        <w:t>required</w:t>
      </w:r>
      <w:r w:rsidRPr="00397422">
        <w:t xml:space="preserve"> by the Market Participant</w:t>
      </w:r>
      <w:r w:rsidRPr="00397422">
        <w:rPr>
          <w:i/>
          <w:iCs/>
        </w:rPr>
        <w:t xml:space="preserve"> “</w:t>
      </w:r>
      <w:r>
        <w:rPr>
          <w:i/>
          <w:iCs/>
        </w:rPr>
        <w:t>j</w:t>
      </w:r>
      <w:r w:rsidRPr="00397422">
        <w:rPr>
          <w:i/>
          <w:iCs/>
        </w:rPr>
        <w:t xml:space="preserve">”, </w:t>
      </w:r>
      <w:r w:rsidRPr="00397422">
        <w:t xml:space="preserve">in year </w:t>
      </w:r>
      <w:r w:rsidRPr="00397422">
        <w:rPr>
          <w:i/>
          <w:iCs/>
        </w:rPr>
        <w:t xml:space="preserve">“y”, </w:t>
      </w:r>
      <w:r>
        <w:rPr>
          <w:i/>
          <w:iCs/>
        </w:rPr>
        <w:t xml:space="preserve"> </w:t>
      </w:r>
      <w:r w:rsidRPr="00397422">
        <w:rPr>
          <w:i/>
          <w:iCs/>
        </w:rPr>
        <w:t xml:space="preserve"> </w:t>
      </w:r>
      <w:r w:rsidRPr="00397422">
        <w:t xml:space="preserve">which has a </w:t>
      </w:r>
      <w:r>
        <w:t>negative</w:t>
      </w:r>
      <w:r w:rsidRPr="00397422">
        <w:t xml:space="preserve"> value of the Capacity Balance, calculated pursuant</w:t>
      </w:r>
      <w:r w:rsidR="00EC3E04">
        <w:t xml:space="preserve"> to</w:t>
      </w:r>
      <w:r w:rsidRPr="00397422">
        <w:t xml:space="preserve"> Clause </w:t>
      </w:r>
      <w:r w:rsidRPr="00397422">
        <w:fldChar w:fldCharType="begin"/>
      </w:r>
      <w:r w:rsidRPr="00397422">
        <w:instrText xml:space="preserve"> REF _Ref68513993 \r \h  \* MERGEFORMAT </w:instrText>
      </w:r>
      <w:r w:rsidRPr="00397422">
        <w:fldChar w:fldCharType="separate"/>
      </w:r>
      <w:r w:rsidR="00251DBF">
        <w:t>10.2.5.2</w:t>
      </w:r>
      <w:r w:rsidRPr="00397422">
        <w:fldChar w:fldCharType="end"/>
      </w:r>
      <w:r w:rsidR="00607C3C">
        <w:t>.</w:t>
      </w:r>
    </w:p>
    <w:p w14:paraId="172E074D" w14:textId="2108B670" w:rsidR="009E2D09" w:rsidRDefault="00607C3C" w:rsidP="009E2D09">
      <w:pPr>
        <w:pStyle w:val="Heading6"/>
      </w:pPr>
      <w:r>
        <w:t>t</w:t>
      </w:r>
      <w:r w:rsidR="009E2D09">
        <w:t xml:space="preserve">he Market Participants with positive balances will sell a portion of their Capacity surplus, </w:t>
      </w:r>
      <w:r w:rsidR="00EC3E04">
        <w:t xml:space="preserve">on </w:t>
      </w:r>
      <w:r w:rsidR="009E2D09">
        <w:t>a proportional basis:</w:t>
      </w:r>
    </w:p>
    <w:p w14:paraId="238DCDD9" w14:textId="6EF97E95" w:rsidR="006C4F2B" w:rsidRPr="006C4F2B" w:rsidRDefault="004D6075" w:rsidP="009E2D09">
      <w:pPr>
        <w:pStyle w:val="BodyText"/>
        <w:rPr>
          <w:rFonts w:eastAsia="Times New Roman" w:cs="Times New Roman"/>
        </w:rPr>
      </w:pPr>
      <m:oMathPara>
        <m:oMath>
          <m:sSub>
            <m:sSubPr>
              <m:ctrlPr>
                <w:rPr>
                  <w:rFonts w:ascii="Cambria Math" w:hAnsi="Cambria Math"/>
                  <w:i/>
                </w:rPr>
              </m:ctrlPr>
            </m:sSubPr>
            <m:e>
              <m:r>
                <w:rPr>
                  <w:rFonts w:ascii="Cambria Math" w:hAnsi="Cambria Math"/>
                </w:rPr>
                <m:t>CS</m:t>
              </m:r>
            </m:e>
            <m:sub>
              <m:r>
                <w:rPr>
                  <w:rFonts w:ascii="Cambria Math" w:hAnsi="Cambria Math"/>
                </w:rPr>
                <m:t>i,y</m:t>
              </m:r>
            </m:sub>
          </m:sSub>
          <m:r>
            <w:rPr>
              <w:rFonts w:ascii="Cambria Math" w:hAnsi="Cambria Math"/>
            </w:rPr>
            <m:t>=-</m:t>
          </m:r>
          <m:f>
            <m:fPr>
              <m:ctrlPr>
                <w:rPr>
                  <w:rFonts w:ascii="Cambria Math" w:hAnsi="Cambria Math"/>
                  <w:i/>
                </w:rPr>
              </m:ctrlPr>
            </m:fPr>
            <m:num>
              <m:sSub>
                <m:sSubPr>
                  <m:ctrlPr>
                    <w:rPr>
                      <w:rFonts w:ascii="Cambria Math" w:hAnsi="Cambria Math"/>
                      <w:iCs/>
                    </w:rPr>
                  </m:ctrlPr>
                </m:sSubPr>
                <m:e>
                  <m:r>
                    <w:rPr>
                      <w:rFonts w:ascii="Cambria Math" w:hAnsi="Cambria Math"/>
                    </w:rPr>
                    <m:t>CB</m:t>
                  </m:r>
                </m:e>
                <m:sub>
                  <m:r>
                    <w:rPr>
                      <w:rFonts w:ascii="Cambria Math" w:hAnsi="Cambria Math"/>
                    </w:rPr>
                    <m:t>i,y</m:t>
                  </m:r>
                </m:sub>
              </m:sSub>
            </m:num>
            <m:den>
              <m:nary>
                <m:naryPr>
                  <m:chr m:val="∑"/>
                  <m:limLoc m:val="undOvr"/>
                  <m:supHide m:val="1"/>
                  <m:ctrlPr>
                    <w:rPr>
                      <w:rFonts w:ascii="Cambria Math" w:hAnsi="Cambria Math"/>
                      <w:i/>
                      <w:iCs/>
                    </w:rPr>
                  </m:ctrlPr>
                </m:naryPr>
                <m:sub>
                  <m:r>
                    <w:rPr>
                      <w:rFonts w:ascii="Cambria Math" w:hAnsi="Cambria Math"/>
                    </w:rPr>
                    <m:t>i</m:t>
                  </m:r>
                </m:sub>
                <m:sup/>
                <m:e>
                  <m:sSub>
                    <m:sSubPr>
                      <m:ctrlPr>
                        <w:rPr>
                          <w:rFonts w:ascii="Cambria Math" w:hAnsi="Cambria Math"/>
                          <w:i/>
                          <w:iCs/>
                        </w:rPr>
                      </m:ctrlPr>
                    </m:sSubPr>
                    <m:e>
                      <m:r>
                        <w:rPr>
                          <w:rFonts w:ascii="Cambria Math" w:hAnsi="Cambria Math"/>
                        </w:rPr>
                        <m:t>CB</m:t>
                      </m:r>
                    </m:e>
                    <m:sub>
                      <m:r>
                        <w:rPr>
                          <w:rFonts w:ascii="Cambria Math" w:hAnsi="Cambria Math"/>
                        </w:rPr>
                        <m:t>i,y</m:t>
                      </m:r>
                    </m:sub>
                  </m:sSub>
                </m:e>
              </m:nary>
            </m:den>
          </m:f>
          <m:r>
            <w:rPr>
              <w:rFonts w:ascii="Cambria Math" w:hAnsi="Cambria Math"/>
            </w:rPr>
            <m:t xml:space="preserve"> * </m:t>
          </m:r>
          <m:nary>
            <m:naryPr>
              <m:chr m:val="∑"/>
              <m:limLoc m:val="undOvr"/>
              <m:supHide m:val="1"/>
              <m:ctrlPr>
                <w:rPr>
                  <w:rFonts w:ascii="Cambria Math" w:hAnsi="Cambria Math"/>
                  <w:i/>
                  <w:iCs/>
                </w:rPr>
              </m:ctrlPr>
            </m:naryPr>
            <m:sub>
              <m:r>
                <w:rPr>
                  <w:rFonts w:ascii="Cambria Math" w:hAnsi="Cambria Math"/>
                </w:rPr>
                <m:t>j</m:t>
              </m:r>
            </m:sub>
            <m:sup/>
            <m:e>
              <m:sSub>
                <m:sSubPr>
                  <m:ctrlPr>
                    <w:rPr>
                      <w:rFonts w:ascii="Cambria Math" w:hAnsi="Cambria Math"/>
                      <w:i/>
                      <w:iCs/>
                    </w:rPr>
                  </m:ctrlPr>
                </m:sSubPr>
                <m:e>
                  <m:r>
                    <w:rPr>
                      <w:rFonts w:ascii="Cambria Math" w:hAnsi="Cambria Math"/>
                    </w:rPr>
                    <m:t>CB</m:t>
                  </m:r>
                </m:e>
                <m:sub>
                  <m:r>
                    <w:rPr>
                      <w:rFonts w:ascii="Cambria Math" w:hAnsi="Cambria Math"/>
                    </w:rPr>
                    <m:t>j,y</m:t>
                  </m:r>
                </m:sub>
              </m:sSub>
            </m:e>
          </m:nary>
        </m:oMath>
      </m:oMathPara>
    </w:p>
    <w:p w14:paraId="5BDADBDA" w14:textId="0F714023" w:rsidR="009E2D09" w:rsidRPr="0059129C" w:rsidRDefault="009E2D09" w:rsidP="009E2D09">
      <w:pPr>
        <w:pStyle w:val="BodyText"/>
        <w:rPr>
          <w:rFonts w:eastAsiaTheme="minorEastAsia"/>
          <w:iCs/>
        </w:rPr>
      </w:pPr>
    </w:p>
    <w:p w14:paraId="763133F3" w14:textId="77777777" w:rsidR="009E2D09" w:rsidRDefault="009E2D09" w:rsidP="009E2D09">
      <w:pPr>
        <w:pStyle w:val="BodyText"/>
        <w:ind w:left="2552"/>
      </w:pPr>
      <w:r>
        <w:t>Where:</w:t>
      </w:r>
    </w:p>
    <w:p w14:paraId="58A2F7D9" w14:textId="06B63E56" w:rsidR="009E2D09" w:rsidRPr="00397422" w:rsidRDefault="009E2D09" w:rsidP="009E2D09">
      <w:pPr>
        <w:pStyle w:val="BodyText"/>
        <w:ind w:left="3544" w:hanging="992"/>
        <w:rPr>
          <w:i/>
          <w:iCs/>
        </w:rPr>
      </w:pPr>
      <w:r>
        <w:rPr>
          <w:i/>
          <w:iCs/>
        </w:rPr>
        <w:t>CS</w:t>
      </w:r>
      <w:r w:rsidRPr="00666B10">
        <w:rPr>
          <w:i/>
          <w:iCs/>
          <w:vertAlign w:val="subscript"/>
        </w:rPr>
        <w:t>j,y</w:t>
      </w:r>
      <w:r>
        <w:rPr>
          <w:i/>
          <w:iCs/>
        </w:rPr>
        <w:t xml:space="preserve"> </w:t>
      </w:r>
      <w:r>
        <w:rPr>
          <w:i/>
          <w:iCs/>
        </w:rPr>
        <w:tab/>
      </w:r>
      <w:r w:rsidRPr="00397422">
        <w:t xml:space="preserve">is the total amount of Capacity </w:t>
      </w:r>
      <w:r>
        <w:t>sold</w:t>
      </w:r>
      <w:r w:rsidRPr="00397422">
        <w:t xml:space="preserve"> by the Market Participant</w:t>
      </w:r>
      <w:r w:rsidRPr="00397422">
        <w:rPr>
          <w:i/>
          <w:iCs/>
        </w:rPr>
        <w:t xml:space="preserve"> “</w:t>
      </w:r>
      <w:r>
        <w:rPr>
          <w:i/>
          <w:iCs/>
        </w:rPr>
        <w:t>i</w:t>
      </w:r>
      <w:r w:rsidRPr="00397422">
        <w:rPr>
          <w:i/>
          <w:iCs/>
        </w:rPr>
        <w:t>”</w:t>
      </w:r>
      <w:r>
        <w:rPr>
          <w:i/>
          <w:iCs/>
        </w:rPr>
        <w:t xml:space="preserve"> </w:t>
      </w:r>
      <w:r w:rsidRPr="00397422">
        <w:t xml:space="preserve">with </w:t>
      </w:r>
      <w:r>
        <w:t>positive</w:t>
      </w:r>
      <w:r w:rsidRPr="00397422">
        <w:t xml:space="preserve"> value of Capacity Balance, in year</w:t>
      </w:r>
      <w:r w:rsidRPr="00397422">
        <w:rPr>
          <w:i/>
          <w:iCs/>
        </w:rPr>
        <w:t xml:space="preserve"> “y”</w:t>
      </w:r>
      <w:r w:rsidR="00607C3C">
        <w:rPr>
          <w:i/>
          <w:iCs/>
        </w:rPr>
        <w:t>;</w:t>
      </w:r>
    </w:p>
    <w:p w14:paraId="7F0B225C" w14:textId="26748D09" w:rsidR="009E2D09" w:rsidRDefault="009E2D09" w:rsidP="009E2D09">
      <w:pPr>
        <w:pStyle w:val="BodyText"/>
        <w:ind w:left="3544" w:hanging="992"/>
      </w:pPr>
      <w:r>
        <w:rPr>
          <w:i/>
          <w:iCs/>
        </w:rPr>
        <w:t>CBi</w:t>
      </w:r>
      <w:r w:rsidRPr="00397422">
        <w:rPr>
          <w:i/>
          <w:iCs/>
        </w:rPr>
        <w:t>,y</w:t>
      </w:r>
      <w:r>
        <w:rPr>
          <w:i/>
          <w:iCs/>
        </w:rPr>
        <w:t xml:space="preserve"> </w:t>
      </w:r>
      <w:r>
        <w:rPr>
          <w:i/>
          <w:iCs/>
        </w:rPr>
        <w:tab/>
      </w:r>
      <w:r w:rsidRPr="00397422">
        <w:t xml:space="preserve">is the total amount of Capacity </w:t>
      </w:r>
      <w:r>
        <w:t>required</w:t>
      </w:r>
      <w:r w:rsidRPr="00397422">
        <w:t xml:space="preserve"> by the Market Participant</w:t>
      </w:r>
      <w:r w:rsidRPr="00397422">
        <w:rPr>
          <w:i/>
          <w:iCs/>
        </w:rPr>
        <w:t xml:space="preserve"> “</w:t>
      </w:r>
      <w:r>
        <w:rPr>
          <w:i/>
          <w:iCs/>
        </w:rPr>
        <w:t>j</w:t>
      </w:r>
      <w:r w:rsidRPr="00397422">
        <w:rPr>
          <w:i/>
          <w:iCs/>
        </w:rPr>
        <w:t xml:space="preserve">”, </w:t>
      </w:r>
      <w:r w:rsidRPr="00397422">
        <w:t xml:space="preserve">in year </w:t>
      </w:r>
      <w:r w:rsidRPr="00397422">
        <w:rPr>
          <w:i/>
          <w:iCs/>
        </w:rPr>
        <w:t xml:space="preserve">“y”, </w:t>
      </w:r>
      <w:r>
        <w:rPr>
          <w:i/>
          <w:iCs/>
        </w:rPr>
        <w:t xml:space="preserve"> </w:t>
      </w:r>
      <w:r w:rsidRPr="00397422">
        <w:rPr>
          <w:i/>
          <w:iCs/>
        </w:rPr>
        <w:t xml:space="preserve"> </w:t>
      </w:r>
      <w:r w:rsidRPr="00397422">
        <w:t xml:space="preserve">which has a </w:t>
      </w:r>
      <w:r>
        <w:t>negative</w:t>
      </w:r>
      <w:r w:rsidRPr="00397422">
        <w:t xml:space="preserve"> value of the Capacity Balance, calculated pursuant</w:t>
      </w:r>
      <w:r w:rsidR="00EC3E04">
        <w:t xml:space="preserve"> to</w:t>
      </w:r>
      <w:r w:rsidRPr="00397422">
        <w:t xml:space="preserve"> Clause </w:t>
      </w:r>
      <w:r w:rsidRPr="00397422">
        <w:fldChar w:fldCharType="begin"/>
      </w:r>
      <w:r w:rsidRPr="00397422">
        <w:instrText xml:space="preserve"> REF _Ref68513993 \r \h  \* MERGEFORMAT </w:instrText>
      </w:r>
      <w:r w:rsidRPr="00397422">
        <w:fldChar w:fldCharType="separate"/>
      </w:r>
      <w:r w:rsidR="00251DBF">
        <w:t>10.2.5.2</w:t>
      </w:r>
      <w:r w:rsidRPr="00397422">
        <w:fldChar w:fldCharType="end"/>
      </w:r>
      <w:r w:rsidR="00607C3C">
        <w:t>;</w:t>
      </w:r>
      <w:r w:rsidRPr="00397422">
        <w:t xml:space="preserve"> </w:t>
      </w:r>
    </w:p>
    <w:p w14:paraId="69321E27" w14:textId="605347D7" w:rsidR="009E2D09" w:rsidRDefault="009E2D09" w:rsidP="009E2D09">
      <w:pPr>
        <w:pStyle w:val="BodyText"/>
        <w:ind w:left="3544" w:hanging="992"/>
      </w:pPr>
      <w:r w:rsidRPr="00666B10">
        <w:rPr>
          <w:noProof/>
        </w:rPr>
        <w:drawing>
          <wp:anchor distT="0" distB="0" distL="114300" distR="114300" simplePos="0" relativeHeight="251724800" behindDoc="0" locked="0" layoutInCell="1" allowOverlap="1" wp14:anchorId="58A6E2B4" wp14:editId="1553FACB">
            <wp:simplePos x="0" y="0"/>
            <wp:positionH relativeFrom="column">
              <wp:posOffset>1652270</wp:posOffset>
            </wp:positionH>
            <wp:positionV relativeFrom="paragraph">
              <wp:posOffset>563245</wp:posOffset>
            </wp:positionV>
            <wp:extent cx="206304" cy="431800"/>
            <wp:effectExtent l="0" t="0" r="3810" b="0"/>
            <wp:wrapThrough wrapText="bothSides">
              <wp:wrapPolygon edited="0">
                <wp:start x="0" y="953"/>
                <wp:lineTo x="0" y="8576"/>
                <wp:lineTo x="2000" y="16200"/>
                <wp:lineTo x="4000" y="18106"/>
                <wp:lineTo x="14000" y="18106"/>
                <wp:lineTo x="20000" y="12388"/>
                <wp:lineTo x="20000" y="953"/>
                <wp:lineTo x="0" y="953"/>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44789" r="50615"/>
                    <a:stretch/>
                  </pic:blipFill>
                  <pic:spPr bwMode="auto">
                    <a:xfrm>
                      <a:off x="0" y="0"/>
                      <a:ext cx="206304" cy="431800"/>
                    </a:xfrm>
                    <a:prstGeom prst="rect">
                      <a:avLst/>
                    </a:prstGeom>
                    <a:noFill/>
                    <a:ln>
                      <a:noFill/>
                    </a:ln>
                    <a:extLst>
                      <a:ext uri="{53640926-AAD7-44D8-BBD7-CCE9431645EC}">
                        <a14:shadowObscured xmlns:a14="http://schemas.microsoft.com/office/drawing/2010/main"/>
                      </a:ext>
                    </a:extLst>
                  </pic:spPr>
                </pic:pic>
              </a:graphicData>
            </a:graphic>
          </wp:anchor>
        </w:drawing>
      </w:r>
      <w:r>
        <w:rPr>
          <w:i/>
          <w:iCs/>
        </w:rPr>
        <w:t>CB</w:t>
      </w:r>
      <w:r w:rsidRPr="00666B10">
        <w:rPr>
          <w:i/>
          <w:iCs/>
          <w:vertAlign w:val="subscript"/>
        </w:rPr>
        <w:t>i,y</w:t>
      </w:r>
      <w:r>
        <w:rPr>
          <w:i/>
          <w:iCs/>
        </w:rPr>
        <w:t xml:space="preserve"> </w:t>
      </w:r>
      <w:r>
        <w:rPr>
          <w:i/>
          <w:iCs/>
        </w:rPr>
        <w:tab/>
      </w:r>
      <w:r w:rsidRPr="00397422">
        <w:t>is the total amount of Capacity offered by the Market Participant</w:t>
      </w:r>
      <w:r w:rsidRPr="00397422">
        <w:rPr>
          <w:i/>
          <w:iCs/>
        </w:rPr>
        <w:t xml:space="preserve"> “i”, </w:t>
      </w:r>
      <w:r w:rsidRPr="00397422">
        <w:t xml:space="preserve">in year </w:t>
      </w:r>
      <w:r w:rsidRPr="00397422">
        <w:rPr>
          <w:i/>
          <w:iCs/>
        </w:rPr>
        <w:t xml:space="preserve">“y”, </w:t>
      </w:r>
      <w:r>
        <w:rPr>
          <w:i/>
          <w:iCs/>
        </w:rPr>
        <w:t xml:space="preserve"> </w:t>
      </w:r>
      <w:r w:rsidRPr="00397422">
        <w:rPr>
          <w:i/>
          <w:iCs/>
        </w:rPr>
        <w:t xml:space="preserve"> </w:t>
      </w:r>
      <w:r w:rsidRPr="00397422">
        <w:t>which has a positive value of the Capacity Balance, calculated pursuant</w:t>
      </w:r>
      <w:r w:rsidR="00EC3E04">
        <w:t xml:space="preserve"> to</w:t>
      </w:r>
      <w:r w:rsidRPr="00397422">
        <w:t xml:space="preserve"> Clause </w:t>
      </w:r>
      <w:r w:rsidRPr="00397422">
        <w:fldChar w:fldCharType="begin"/>
      </w:r>
      <w:r w:rsidRPr="00397422">
        <w:instrText xml:space="preserve"> REF _Ref68513993 \r \h  \* MERGEFORMAT </w:instrText>
      </w:r>
      <w:r w:rsidRPr="00397422">
        <w:fldChar w:fldCharType="separate"/>
      </w:r>
      <w:r w:rsidR="00251DBF">
        <w:t>10.2.5.2</w:t>
      </w:r>
      <w:r w:rsidRPr="00397422">
        <w:fldChar w:fldCharType="end"/>
      </w:r>
      <w:r w:rsidR="00607C3C">
        <w:t>;</w:t>
      </w:r>
    </w:p>
    <w:p w14:paraId="42BBAC63" w14:textId="18821587" w:rsidR="009E2D09" w:rsidRDefault="009E2D09" w:rsidP="009E2D09">
      <w:pPr>
        <w:pStyle w:val="BodyText"/>
        <w:ind w:left="3544" w:hanging="992"/>
      </w:pPr>
      <w:r w:rsidRPr="00397422">
        <w:t xml:space="preserve"> </w:t>
      </w:r>
      <w:r>
        <w:tab/>
        <w:t xml:space="preserve">means the </w:t>
      </w:r>
      <w:r w:rsidR="00EC3E04">
        <w:t xml:space="preserve">sum </w:t>
      </w:r>
      <w:r>
        <w:t>of all Market Participants with negative Capacity Balance</w:t>
      </w:r>
      <w:r w:rsidR="00607C3C">
        <w:t>;</w:t>
      </w:r>
    </w:p>
    <w:p w14:paraId="34D13339" w14:textId="51809CEE" w:rsidR="009E2D09" w:rsidRPr="00397422" w:rsidRDefault="009E2D09" w:rsidP="009E2D09">
      <w:pPr>
        <w:pStyle w:val="BodyText"/>
        <w:ind w:left="3544" w:hanging="992"/>
      </w:pPr>
      <w:r w:rsidRPr="00BC5811">
        <w:rPr>
          <w:noProof/>
        </w:rPr>
        <w:drawing>
          <wp:anchor distT="0" distB="0" distL="114300" distR="114300" simplePos="0" relativeHeight="251725824" behindDoc="0" locked="0" layoutInCell="1" allowOverlap="1" wp14:anchorId="51C90AB2" wp14:editId="28AC3D69">
            <wp:simplePos x="0" y="0"/>
            <wp:positionH relativeFrom="column">
              <wp:posOffset>1652270</wp:posOffset>
            </wp:positionH>
            <wp:positionV relativeFrom="paragraph">
              <wp:posOffset>6985</wp:posOffset>
            </wp:positionV>
            <wp:extent cx="223448" cy="432000"/>
            <wp:effectExtent l="0" t="0" r="5715" b="0"/>
            <wp:wrapThrough wrapText="bothSides">
              <wp:wrapPolygon edited="0">
                <wp:start x="1846" y="953"/>
                <wp:lineTo x="0" y="10482"/>
                <wp:lineTo x="7385" y="18106"/>
                <wp:lineTo x="16615" y="18106"/>
                <wp:lineTo x="20308" y="12388"/>
                <wp:lineTo x="20308" y="953"/>
                <wp:lineTo x="1846" y="953"/>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l="44682" r="50507"/>
                    <a:stretch/>
                  </pic:blipFill>
                  <pic:spPr bwMode="auto">
                    <a:xfrm>
                      <a:off x="0" y="0"/>
                      <a:ext cx="223448" cy="43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t xml:space="preserve">means the </w:t>
      </w:r>
      <w:r w:rsidR="00EC3E04">
        <w:t xml:space="preserve">sum </w:t>
      </w:r>
      <w:r>
        <w:t>of all Market Participants with positive Capacity Balance.</w:t>
      </w:r>
    </w:p>
    <w:p w14:paraId="3983234A" w14:textId="77777777" w:rsidR="00666B10" w:rsidRPr="00397422" w:rsidRDefault="00666B10" w:rsidP="00666B10">
      <w:pPr>
        <w:pStyle w:val="BodyText"/>
        <w:ind w:left="3544" w:hanging="992"/>
      </w:pPr>
    </w:p>
    <w:p w14:paraId="69EDB182" w14:textId="09D7B595" w:rsidR="00113DA6" w:rsidRDefault="007F46B5" w:rsidP="00113DA6">
      <w:pPr>
        <w:pStyle w:val="Heading2"/>
      </w:pPr>
      <w:bookmarkStart w:id="534" w:name="_Toc69477000"/>
      <w:r>
        <w:t xml:space="preserve">Determination of the </w:t>
      </w:r>
      <w:r w:rsidR="00D04CBD">
        <w:t xml:space="preserve">Preliminary </w:t>
      </w:r>
      <w:r>
        <w:t>Receivable and Payable amounts</w:t>
      </w:r>
      <w:bookmarkEnd w:id="534"/>
    </w:p>
    <w:p w14:paraId="7629E5F6" w14:textId="01BE1057" w:rsidR="00113DA6" w:rsidRPr="00F00720" w:rsidRDefault="00113DA6" w:rsidP="00113DA6">
      <w:pPr>
        <w:pStyle w:val="Heading3"/>
      </w:pPr>
      <w:bookmarkStart w:id="535" w:name="_Ref68562944"/>
      <w:r>
        <w:t xml:space="preserve">Calculation of </w:t>
      </w:r>
      <w:r w:rsidR="00942FBE">
        <w:t xml:space="preserve">the </w:t>
      </w:r>
      <w:r w:rsidR="00D04CBD">
        <w:t xml:space="preserve">Preliminary </w:t>
      </w:r>
      <w:r>
        <w:t>Receivable / Payable amounts</w:t>
      </w:r>
      <w:bookmarkEnd w:id="535"/>
    </w:p>
    <w:p w14:paraId="72BECBE3" w14:textId="0578A37E" w:rsidR="00113DA6" w:rsidRDefault="00113DA6" w:rsidP="003D1EC4">
      <w:pPr>
        <w:pStyle w:val="Heading4"/>
      </w:pPr>
      <w:r>
        <w:t>Within</w:t>
      </w:r>
      <w:r w:rsidR="0086641F">
        <w:t xml:space="preserve"> forty</w:t>
      </w:r>
      <w:r>
        <w:t xml:space="preserve"> five [45] </w:t>
      </w:r>
      <w:r w:rsidR="003D1EC4">
        <w:t>Business Days</w:t>
      </w:r>
      <w:r>
        <w:t xml:space="preserve"> immediately after the end of </w:t>
      </w:r>
      <w:r w:rsidR="003D1EC4">
        <w:t xml:space="preserve">each </w:t>
      </w:r>
      <w:r>
        <w:t xml:space="preserve">Calendar Year, the Market Operator shall </w:t>
      </w:r>
      <w:r w:rsidR="003D1EC4">
        <w:t xml:space="preserve">preliminarily determine </w:t>
      </w:r>
      <w:r>
        <w:t xml:space="preserve">the Amounts Payable and Amounts Receivable </w:t>
      </w:r>
      <w:r w:rsidR="003D1EC4">
        <w:t xml:space="preserve">by </w:t>
      </w:r>
      <w:r>
        <w:t>each Market Participant</w:t>
      </w:r>
      <w:r w:rsidR="003D1EC4">
        <w:t xml:space="preserve"> as under:</w:t>
      </w:r>
      <w:r>
        <w:t xml:space="preserve">  </w:t>
      </w:r>
    </w:p>
    <w:p w14:paraId="1CA0BA01" w14:textId="4D9937C1" w:rsidR="00113DA6" w:rsidRPr="00E111BC" w:rsidRDefault="004D6075" w:rsidP="00E111BC">
      <w:pPr>
        <w:pStyle w:val="BodyText"/>
        <w:ind w:left="426"/>
        <w:rPr>
          <w:rFonts w:eastAsiaTheme="minorEastAsia"/>
        </w:rPr>
      </w:pPr>
      <m:oMathPara>
        <m:oMath>
          <m:sSub>
            <m:sSubPr>
              <m:ctrlPr>
                <w:rPr>
                  <w:rFonts w:ascii="Cambria Math" w:hAnsi="Cambria Math"/>
                </w:rPr>
              </m:ctrlPr>
            </m:sSubPr>
            <m:e>
              <m:r>
                <w:rPr>
                  <w:rFonts w:ascii="Cambria Math" w:hAnsi="Cambria Math"/>
                </w:rPr>
                <m:t>AR</m:t>
              </m:r>
            </m:e>
            <m:sub>
              <m:r>
                <w:rPr>
                  <w:rFonts w:ascii="Cambria Math" w:hAnsi="Cambria Math"/>
                </w:rPr>
                <m:t>i</m:t>
              </m:r>
              <m:r>
                <m:rPr>
                  <m:sty m:val="p"/>
                </m:rPr>
                <w:rPr>
                  <w:rFonts w:ascii="Cambria Math" w:hAnsi="Cambria Math"/>
                </w:rPr>
                <m:t>,</m:t>
              </m:r>
              <m:r>
                <w:rPr>
                  <w:rFonts w:ascii="Cambria Math" w:hAnsi="Cambria Math"/>
                </w:rPr>
                <m:t>y</m:t>
              </m:r>
            </m:sub>
          </m:sSub>
          <m:r>
            <m:rPr>
              <m:sty m:val="p"/>
            </m:rPr>
            <w:rPr>
              <w:rFonts w:ascii="Cambria Math" w:hAnsi="Cambria Math"/>
            </w:rPr>
            <m:t>[</m:t>
          </m:r>
          <m:r>
            <w:rPr>
              <w:rFonts w:ascii="Cambria Math" w:hAnsi="Cambria Math"/>
            </w:rPr>
            <m:t>PKR</m:t>
          </m:r>
          <m:r>
            <m:rPr>
              <m:sty m:val="p"/>
            </m:rPr>
            <w:rPr>
              <w:rFonts w:ascii="Cambria Math" w:hAnsi="Cambria Math"/>
            </w:rPr>
            <m:t>]=</m:t>
          </m:r>
          <m:sSub>
            <m:sSubPr>
              <m:ctrlPr>
                <w:rPr>
                  <w:rFonts w:ascii="Cambria Math" w:hAnsi="Cambria Math"/>
                </w:rPr>
              </m:ctrlPr>
            </m:sSubPr>
            <m:e>
              <m:r>
                <w:rPr>
                  <w:rFonts w:ascii="Cambria Math" w:hAnsi="Cambria Math"/>
                </w:rPr>
                <m:t>CS</m:t>
              </m:r>
            </m:e>
            <m:sub>
              <m:r>
                <w:rPr>
                  <w:rFonts w:ascii="Cambria Math" w:hAnsi="Cambria Math"/>
                </w:rPr>
                <m:t>i</m:t>
              </m:r>
              <m:r>
                <m:rPr>
                  <m:sty m:val="p"/>
                </m:rPr>
                <w:rPr>
                  <w:rFonts w:ascii="Cambria Math" w:hAnsi="Cambria Math"/>
                </w:rPr>
                <m:t>,</m:t>
              </m:r>
              <m:r>
                <w:rPr>
                  <w:rFonts w:ascii="Cambria Math" w:hAnsi="Cambria Math"/>
                </w:rPr>
                <m:t>y</m:t>
              </m:r>
            </m:sub>
          </m:sSub>
          <m:r>
            <m:rPr>
              <m:sty m:val="p"/>
            </m:rPr>
            <w:rPr>
              <w:rFonts w:ascii="Cambria Math" w:hAnsi="Cambria Math"/>
            </w:rPr>
            <m:t>[</m:t>
          </m:r>
          <m:r>
            <w:rPr>
              <w:rFonts w:ascii="Cambria Math" w:hAnsi="Cambria Math"/>
            </w:rPr>
            <m:t>MW</m:t>
          </m:r>
          <m:r>
            <m:rPr>
              <m:sty m:val="p"/>
            </m:rPr>
            <w:rPr>
              <w:rFonts w:ascii="Cambria Math" w:hAnsi="Cambria Math"/>
            </w:rPr>
            <m:t>]*</m:t>
          </m:r>
          <m:sSub>
            <m:sSubPr>
              <m:ctrlPr>
                <w:rPr>
                  <w:rFonts w:ascii="Cambria Math" w:hAnsi="Cambria Math"/>
                </w:rPr>
              </m:ctrlPr>
            </m:sSubPr>
            <m:e>
              <m:r>
                <w:rPr>
                  <w:rFonts w:ascii="Cambria Math" w:hAnsi="Cambria Math"/>
                </w:rPr>
                <m:t>Cap_price</m:t>
              </m:r>
            </m:e>
            <m:sub>
              <m:r>
                <w:rPr>
                  <w:rFonts w:ascii="Cambria Math" w:hAnsi="Cambria Math"/>
                </w:rPr>
                <m:t>y</m:t>
              </m:r>
            </m:sub>
          </m:sSub>
          <m:d>
            <m:dPr>
              <m:begChr m:val="["/>
              <m:endChr m:val="]"/>
              <m:ctrlPr>
                <w:rPr>
                  <w:rFonts w:ascii="Cambria Math" w:hAnsi="Cambria Math"/>
                  <w:i/>
                </w:rPr>
              </m:ctrlPr>
            </m:dPr>
            <m:e>
              <m:r>
                <w:rPr>
                  <w:rFonts w:ascii="Cambria Math" w:hAnsi="Cambria Math"/>
                </w:rPr>
                <m:t>PKR/MW</m:t>
              </m:r>
            </m:e>
          </m:d>
        </m:oMath>
      </m:oMathPara>
    </w:p>
    <w:p w14:paraId="5456E79D" w14:textId="77777777" w:rsidR="00E111BC" w:rsidRPr="00163DB4" w:rsidRDefault="004D6075" w:rsidP="00E111BC">
      <w:pPr>
        <w:pStyle w:val="BodyText"/>
        <w:ind w:left="426"/>
      </w:pPr>
      <m:oMathPara>
        <m:oMath>
          <m:sSub>
            <m:sSubPr>
              <m:ctrlPr>
                <w:rPr>
                  <w:rFonts w:ascii="Cambria Math" w:hAnsi="Cambria Math"/>
                </w:rPr>
              </m:ctrlPr>
            </m:sSubPr>
            <m:e>
              <m:r>
                <w:rPr>
                  <w:rFonts w:ascii="Cambria Math" w:hAnsi="Cambria Math"/>
                </w:rPr>
                <m:t>AP</m:t>
              </m:r>
            </m:e>
            <m:sub>
              <m:r>
                <w:rPr>
                  <w:rFonts w:ascii="Cambria Math" w:hAnsi="Cambria Math"/>
                </w:rPr>
                <m:t>j</m:t>
              </m:r>
              <m:r>
                <m:rPr>
                  <m:sty m:val="p"/>
                </m:rPr>
                <w:rPr>
                  <w:rFonts w:ascii="Cambria Math" w:hAnsi="Cambria Math"/>
                </w:rPr>
                <m:t>,</m:t>
              </m:r>
              <m:r>
                <w:rPr>
                  <w:rFonts w:ascii="Cambria Math" w:hAnsi="Cambria Math"/>
                </w:rPr>
                <m:t>y</m:t>
              </m:r>
            </m:sub>
          </m:sSub>
          <m:r>
            <m:rPr>
              <m:sty m:val="p"/>
            </m:rPr>
            <w:rPr>
              <w:rFonts w:ascii="Cambria Math" w:hAnsi="Cambria Math"/>
            </w:rPr>
            <m:t>[</m:t>
          </m:r>
          <m:r>
            <w:rPr>
              <w:rFonts w:ascii="Cambria Math" w:hAnsi="Cambria Math"/>
            </w:rPr>
            <m:t>PKR</m:t>
          </m:r>
          <m:r>
            <m:rPr>
              <m:sty m:val="p"/>
            </m:rPr>
            <w:rPr>
              <w:rFonts w:ascii="Cambria Math" w:hAnsi="Cambria Math"/>
            </w:rPr>
            <m:t>]=</m:t>
          </m:r>
          <m:sSub>
            <m:sSubPr>
              <m:ctrlPr>
                <w:rPr>
                  <w:rFonts w:ascii="Cambria Math" w:hAnsi="Cambria Math"/>
                </w:rPr>
              </m:ctrlPr>
            </m:sSubPr>
            <m:e>
              <m:r>
                <w:rPr>
                  <w:rFonts w:ascii="Cambria Math" w:hAnsi="Cambria Math"/>
                </w:rPr>
                <m:t>CP</m:t>
              </m:r>
            </m:e>
            <m:sub>
              <m:r>
                <w:rPr>
                  <w:rFonts w:ascii="Cambria Math" w:hAnsi="Cambria Math"/>
                </w:rPr>
                <m:t>j</m:t>
              </m:r>
              <m:r>
                <m:rPr>
                  <m:sty m:val="p"/>
                </m:rPr>
                <w:rPr>
                  <w:rFonts w:ascii="Cambria Math" w:hAnsi="Cambria Math"/>
                </w:rPr>
                <m:t>,</m:t>
              </m:r>
              <m:r>
                <w:rPr>
                  <w:rFonts w:ascii="Cambria Math" w:hAnsi="Cambria Math"/>
                </w:rPr>
                <m:t>y</m:t>
              </m:r>
            </m:sub>
          </m:sSub>
          <m:r>
            <m:rPr>
              <m:sty m:val="p"/>
            </m:rPr>
            <w:rPr>
              <w:rFonts w:ascii="Cambria Math" w:hAnsi="Cambria Math"/>
            </w:rPr>
            <m:t>[</m:t>
          </m:r>
          <m:r>
            <w:rPr>
              <w:rFonts w:ascii="Cambria Math" w:hAnsi="Cambria Math"/>
            </w:rPr>
            <m:t>MW</m:t>
          </m:r>
          <m:r>
            <m:rPr>
              <m:sty m:val="p"/>
            </m:rPr>
            <w:rPr>
              <w:rFonts w:ascii="Cambria Math" w:hAnsi="Cambria Math"/>
            </w:rPr>
            <m:t>]*</m:t>
          </m:r>
          <m:sSub>
            <m:sSubPr>
              <m:ctrlPr>
                <w:rPr>
                  <w:rFonts w:ascii="Cambria Math" w:hAnsi="Cambria Math"/>
                </w:rPr>
              </m:ctrlPr>
            </m:sSubPr>
            <m:e>
              <m:r>
                <w:rPr>
                  <w:rFonts w:ascii="Cambria Math" w:hAnsi="Cambria Math"/>
                </w:rPr>
                <m:t>Cap_price</m:t>
              </m:r>
            </m:e>
            <m:sub>
              <m:r>
                <w:rPr>
                  <w:rFonts w:ascii="Cambria Math" w:hAnsi="Cambria Math"/>
                </w:rPr>
                <m:t>y</m:t>
              </m:r>
            </m:sub>
          </m:sSub>
          <m:d>
            <m:dPr>
              <m:begChr m:val="["/>
              <m:endChr m:val="]"/>
              <m:ctrlPr>
                <w:rPr>
                  <w:rFonts w:ascii="Cambria Math" w:hAnsi="Cambria Math"/>
                  <w:i/>
                </w:rPr>
              </m:ctrlPr>
            </m:dPr>
            <m:e>
              <m:r>
                <w:rPr>
                  <w:rFonts w:ascii="Cambria Math" w:hAnsi="Cambria Math"/>
                </w:rPr>
                <m:t>PKR/MW</m:t>
              </m:r>
            </m:e>
          </m:d>
        </m:oMath>
      </m:oMathPara>
    </w:p>
    <w:p w14:paraId="5D0C79A0" w14:textId="77777777" w:rsidR="00113DA6" w:rsidRPr="00D312FE" w:rsidRDefault="00113DA6" w:rsidP="00113DA6">
      <w:pPr>
        <w:ind w:left="1276"/>
        <w:rPr>
          <w:rFonts w:eastAsiaTheme="minorEastAsia" w:cstheme="minorHAnsi"/>
        </w:rPr>
      </w:pPr>
      <w:r w:rsidRPr="00D312FE">
        <w:rPr>
          <w:rFonts w:eastAsiaTheme="minorEastAsia" w:cstheme="minorHAnsi"/>
        </w:rPr>
        <w:t xml:space="preserve">Where: </w:t>
      </w:r>
    </w:p>
    <w:p w14:paraId="42A2D0FB" w14:textId="0024BC5E" w:rsidR="00113DA6" w:rsidRPr="00D312FE" w:rsidRDefault="00E111BC" w:rsidP="00113DA6">
      <w:pPr>
        <w:pStyle w:val="ListParagraph"/>
        <w:numPr>
          <w:ilvl w:val="0"/>
          <w:numId w:val="23"/>
        </w:numPr>
        <w:rPr>
          <w:rFonts w:eastAsiaTheme="minorEastAsia" w:cstheme="minorHAnsi"/>
          <w:i/>
          <w:iCs/>
        </w:rPr>
      </w:pPr>
      <w:r>
        <w:rPr>
          <w:rFonts w:eastAsiaTheme="minorEastAsia" w:cstheme="minorHAnsi"/>
          <w:i/>
          <w:iCs/>
        </w:rPr>
        <w:t>AR</w:t>
      </w:r>
      <w:r>
        <w:rPr>
          <w:rFonts w:eastAsiaTheme="minorEastAsia" w:cstheme="minorHAnsi"/>
          <w:i/>
          <w:iCs/>
          <w:vertAlign w:val="subscript"/>
        </w:rPr>
        <w:t>i</w:t>
      </w:r>
      <w:r w:rsidR="00113DA6" w:rsidRPr="00D312FE">
        <w:rPr>
          <w:rFonts w:eastAsiaTheme="minorEastAsia" w:cstheme="minorHAnsi"/>
          <w:i/>
          <w:iCs/>
          <w:vertAlign w:val="subscript"/>
        </w:rPr>
        <w:t>,</w:t>
      </w:r>
      <w:r>
        <w:rPr>
          <w:rFonts w:eastAsiaTheme="minorEastAsia" w:cstheme="minorHAnsi"/>
          <w:i/>
          <w:iCs/>
          <w:vertAlign w:val="subscript"/>
        </w:rPr>
        <w:t>y</w:t>
      </w:r>
      <w:r w:rsidR="00113DA6" w:rsidRPr="00D312FE">
        <w:rPr>
          <w:rFonts w:eastAsiaTheme="minorEastAsia" w:cstheme="minorHAnsi"/>
          <w:i/>
          <w:iCs/>
        </w:rPr>
        <w:t xml:space="preserve"> </w:t>
      </w:r>
      <w:r w:rsidR="00113DA6" w:rsidRPr="00D312FE">
        <w:rPr>
          <w:rFonts w:eastAsiaTheme="minorEastAsia" w:cstheme="minorHAnsi"/>
        </w:rPr>
        <w:t xml:space="preserve">is the </w:t>
      </w:r>
      <w:r>
        <w:rPr>
          <w:rFonts w:eastAsiaTheme="minorEastAsia" w:cstheme="minorHAnsi"/>
        </w:rPr>
        <w:t xml:space="preserve">Amount Receivable </w:t>
      </w:r>
      <w:r w:rsidR="003D1EC4">
        <w:rPr>
          <w:rFonts w:eastAsiaTheme="minorEastAsia" w:cstheme="minorHAnsi"/>
        </w:rPr>
        <w:t>by a</w:t>
      </w:r>
      <w:r w:rsidR="003D1EC4" w:rsidRPr="00D312FE">
        <w:rPr>
          <w:rFonts w:eastAsiaTheme="minorEastAsia" w:cstheme="minorHAnsi"/>
        </w:rPr>
        <w:t xml:space="preserve"> </w:t>
      </w:r>
      <w:r w:rsidR="00113DA6" w:rsidRPr="00D312FE">
        <w:rPr>
          <w:rFonts w:eastAsiaTheme="minorEastAsia" w:cstheme="minorHAnsi"/>
        </w:rPr>
        <w:t xml:space="preserve">Market Participant </w:t>
      </w:r>
      <w:r>
        <w:rPr>
          <w:rFonts w:eastAsiaTheme="minorEastAsia" w:cstheme="minorHAnsi"/>
        </w:rPr>
        <w:t>“</w:t>
      </w:r>
      <w:r>
        <w:rPr>
          <w:rFonts w:eastAsiaTheme="minorEastAsia" w:cstheme="minorHAnsi"/>
          <w:i/>
          <w:iCs/>
        </w:rPr>
        <w:t>i”</w:t>
      </w:r>
      <w:r w:rsidR="00113DA6" w:rsidRPr="00D312FE">
        <w:rPr>
          <w:rFonts w:eastAsiaTheme="minorEastAsia" w:cstheme="minorHAnsi"/>
        </w:rPr>
        <w:t xml:space="preserve"> for the settlement </w:t>
      </w:r>
      <w:r>
        <w:rPr>
          <w:rFonts w:eastAsiaTheme="minorEastAsia" w:cstheme="minorHAnsi"/>
        </w:rPr>
        <w:t>year</w:t>
      </w:r>
      <w:r w:rsidR="00113DA6" w:rsidRPr="00D312FE">
        <w:rPr>
          <w:rFonts w:eastAsiaTheme="minorEastAsia" w:cstheme="minorHAnsi"/>
        </w:rPr>
        <w:t xml:space="preserve"> </w:t>
      </w:r>
      <w:r w:rsidRPr="00E111BC">
        <w:rPr>
          <w:rFonts w:eastAsiaTheme="minorEastAsia" w:cstheme="minorHAnsi"/>
          <w:i/>
          <w:iCs/>
        </w:rPr>
        <w:t>“y”</w:t>
      </w:r>
      <w:r w:rsidR="00113DA6" w:rsidRPr="00D312FE">
        <w:rPr>
          <w:rFonts w:eastAsiaTheme="minorEastAsia" w:cstheme="minorHAnsi"/>
        </w:rPr>
        <w:t xml:space="preserve">, for </w:t>
      </w:r>
      <w:r>
        <w:rPr>
          <w:rFonts w:eastAsiaTheme="minorEastAsia" w:cstheme="minorHAnsi"/>
        </w:rPr>
        <w:t xml:space="preserve">the Capacity sold </w:t>
      </w:r>
      <w:r w:rsidR="00113DA6" w:rsidRPr="00D312FE">
        <w:rPr>
          <w:rFonts w:eastAsiaTheme="minorEastAsia" w:cstheme="minorHAnsi"/>
        </w:rPr>
        <w:t>in the Balancing Mechanism for Energy</w:t>
      </w:r>
    </w:p>
    <w:p w14:paraId="3DF46E28" w14:textId="2BE43E67" w:rsidR="00E111BC" w:rsidRPr="00D312FE" w:rsidRDefault="00E111BC" w:rsidP="00E111BC">
      <w:pPr>
        <w:pStyle w:val="ListParagraph"/>
        <w:numPr>
          <w:ilvl w:val="0"/>
          <w:numId w:val="23"/>
        </w:numPr>
        <w:rPr>
          <w:rFonts w:eastAsiaTheme="minorEastAsia" w:cstheme="minorHAnsi"/>
          <w:i/>
          <w:iCs/>
        </w:rPr>
      </w:pPr>
      <w:r>
        <w:rPr>
          <w:rFonts w:eastAsiaTheme="minorEastAsia" w:cstheme="minorHAnsi"/>
          <w:i/>
          <w:iCs/>
        </w:rPr>
        <w:t>AP</w:t>
      </w:r>
      <w:r>
        <w:rPr>
          <w:rFonts w:eastAsiaTheme="minorEastAsia" w:cstheme="minorHAnsi"/>
          <w:i/>
          <w:iCs/>
          <w:vertAlign w:val="subscript"/>
        </w:rPr>
        <w:t>j</w:t>
      </w:r>
      <w:r w:rsidRPr="00D312FE">
        <w:rPr>
          <w:rFonts w:eastAsiaTheme="minorEastAsia" w:cstheme="minorHAnsi"/>
          <w:i/>
          <w:iCs/>
          <w:vertAlign w:val="subscript"/>
        </w:rPr>
        <w:t>,</w:t>
      </w:r>
      <w:r>
        <w:rPr>
          <w:rFonts w:eastAsiaTheme="minorEastAsia" w:cstheme="minorHAnsi"/>
          <w:i/>
          <w:iCs/>
          <w:vertAlign w:val="subscript"/>
        </w:rPr>
        <w:t>y</w:t>
      </w:r>
      <w:r w:rsidRPr="00D312FE">
        <w:rPr>
          <w:rFonts w:eastAsiaTheme="minorEastAsia" w:cstheme="minorHAnsi"/>
          <w:i/>
          <w:iCs/>
        </w:rPr>
        <w:t xml:space="preserve"> </w:t>
      </w:r>
      <w:r w:rsidRPr="00D312FE">
        <w:rPr>
          <w:rFonts w:eastAsiaTheme="minorEastAsia" w:cstheme="minorHAnsi"/>
        </w:rPr>
        <w:t xml:space="preserve">is the </w:t>
      </w:r>
      <w:r>
        <w:rPr>
          <w:rFonts w:eastAsiaTheme="minorEastAsia" w:cstheme="minorHAnsi"/>
        </w:rPr>
        <w:t>Amount Payable by</w:t>
      </w:r>
      <w:r w:rsidRPr="00D312FE">
        <w:rPr>
          <w:rFonts w:eastAsiaTheme="minorEastAsia" w:cstheme="minorHAnsi"/>
        </w:rPr>
        <w:t xml:space="preserve"> Market Participant </w:t>
      </w:r>
      <w:r>
        <w:rPr>
          <w:rFonts w:eastAsiaTheme="minorEastAsia" w:cstheme="minorHAnsi"/>
        </w:rPr>
        <w:t>“</w:t>
      </w:r>
      <w:r>
        <w:rPr>
          <w:rFonts w:eastAsiaTheme="minorEastAsia" w:cstheme="minorHAnsi"/>
          <w:i/>
          <w:iCs/>
        </w:rPr>
        <w:t>j”</w:t>
      </w:r>
      <w:r w:rsidRPr="00D312FE">
        <w:rPr>
          <w:rFonts w:eastAsiaTheme="minorEastAsia" w:cstheme="minorHAnsi"/>
        </w:rPr>
        <w:t xml:space="preserve"> for the settlement </w:t>
      </w:r>
      <w:r>
        <w:rPr>
          <w:rFonts w:eastAsiaTheme="minorEastAsia" w:cstheme="minorHAnsi"/>
        </w:rPr>
        <w:t>year</w:t>
      </w:r>
      <w:r w:rsidRPr="00D312FE">
        <w:rPr>
          <w:rFonts w:eastAsiaTheme="minorEastAsia" w:cstheme="minorHAnsi"/>
        </w:rPr>
        <w:t xml:space="preserve"> </w:t>
      </w:r>
      <w:r w:rsidRPr="00E111BC">
        <w:rPr>
          <w:rFonts w:eastAsiaTheme="minorEastAsia" w:cstheme="minorHAnsi"/>
          <w:i/>
          <w:iCs/>
        </w:rPr>
        <w:t>“y”</w:t>
      </w:r>
      <w:r w:rsidRPr="00D312FE">
        <w:rPr>
          <w:rFonts w:eastAsiaTheme="minorEastAsia" w:cstheme="minorHAnsi"/>
        </w:rPr>
        <w:t xml:space="preserve">, for </w:t>
      </w:r>
      <w:r>
        <w:rPr>
          <w:rFonts w:eastAsiaTheme="minorEastAsia" w:cstheme="minorHAnsi"/>
        </w:rPr>
        <w:t xml:space="preserve">the Capacity purchased </w:t>
      </w:r>
      <w:r w:rsidRPr="00D312FE">
        <w:rPr>
          <w:rFonts w:eastAsiaTheme="minorEastAsia" w:cstheme="minorHAnsi"/>
        </w:rPr>
        <w:t>in the Balancing Mechanism for Energy</w:t>
      </w:r>
    </w:p>
    <w:p w14:paraId="7B380F90" w14:textId="1C5B2057" w:rsidR="00113DA6" w:rsidRDefault="00E111BC" w:rsidP="00113DA6">
      <w:pPr>
        <w:pStyle w:val="ListParagraph"/>
        <w:numPr>
          <w:ilvl w:val="0"/>
          <w:numId w:val="23"/>
        </w:numPr>
        <w:rPr>
          <w:rFonts w:eastAsiaTheme="minorEastAsia" w:cstheme="minorHAnsi"/>
        </w:rPr>
      </w:pPr>
      <w:r>
        <w:rPr>
          <w:rFonts w:eastAsiaTheme="minorEastAsia" w:cstheme="minorHAnsi"/>
          <w:i/>
          <w:iCs/>
        </w:rPr>
        <w:t>C</w:t>
      </w:r>
      <w:r w:rsidR="00B039F6">
        <w:rPr>
          <w:rFonts w:eastAsiaTheme="minorEastAsia" w:cstheme="minorHAnsi"/>
          <w:i/>
          <w:iCs/>
        </w:rPr>
        <w:t>P</w:t>
      </w:r>
      <w:r w:rsidR="00B039F6">
        <w:rPr>
          <w:rFonts w:eastAsiaTheme="minorEastAsia" w:cstheme="minorHAnsi"/>
          <w:i/>
          <w:iCs/>
          <w:vertAlign w:val="subscript"/>
        </w:rPr>
        <w:t>i</w:t>
      </w:r>
      <w:r w:rsidR="00113DA6" w:rsidRPr="00D312FE">
        <w:rPr>
          <w:rFonts w:eastAsiaTheme="minorEastAsia" w:cstheme="minorHAnsi"/>
          <w:i/>
          <w:iCs/>
          <w:vertAlign w:val="subscript"/>
        </w:rPr>
        <w:t>,</w:t>
      </w:r>
      <w:r>
        <w:rPr>
          <w:rFonts w:eastAsiaTheme="minorEastAsia" w:cstheme="minorHAnsi"/>
          <w:i/>
          <w:iCs/>
          <w:vertAlign w:val="subscript"/>
        </w:rPr>
        <w:t>y</w:t>
      </w:r>
      <w:r w:rsidR="00113DA6" w:rsidRPr="00D312FE">
        <w:rPr>
          <w:rFonts w:eastAsiaTheme="minorEastAsia" w:cstheme="minorHAnsi"/>
        </w:rPr>
        <w:t xml:space="preserve"> is the </w:t>
      </w:r>
      <w:r>
        <w:rPr>
          <w:rFonts w:eastAsiaTheme="minorEastAsia" w:cstheme="minorHAnsi"/>
        </w:rPr>
        <w:t xml:space="preserve">Capacity </w:t>
      </w:r>
      <w:r w:rsidR="00B039F6">
        <w:rPr>
          <w:rFonts w:eastAsiaTheme="minorEastAsia" w:cstheme="minorHAnsi"/>
        </w:rPr>
        <w:t>purchased</w:t>
      </w:r>
      <w:r>
        <w:rPr>
          <w:rFonts w:eastAsiaTheme="minorEastAsia" w:cstheme="minorHAnsi"/>
        </w:rPr>
        <w:t xml:space="preserve"> by </w:t>
      </w:r>
      <w:r w:rsidR="003D1EC4">
        <w:rPr>
          <w:rFonts w:eastAsiaTheme="minorEastAsia" w:cstheme="minorHAnsi"/>
        </w:rPr>
        <w:t xml:space="preserve">a </w:t>
      </w:r>
      <w:r w:rsidR="00113DA6" w:rsidRPr="00D312FE">
        <w:rPr>
          <w:rFonts w:eastAsiaTheme="minorEastAsia" w:cstheme="minorHAnsi"/>
        </w:rPr>
        <w:t xml:space="preserve">Market Participant </w:t>
      </w:r>
      <w:r>
        <w:rPr>
          <w:rFonts w:eastAsiaTheme="minorEastAsia" w:cstheme="minorHAnsi"/>
          <w:i/>
          <w:iCs/>
        </w:rPr>
        <w:t>“</w:t>
      </w:r>
      <w:r w:rsidR="00B039F6">
        <w:rPr>
          <w:rFonts w:eastAsiaTheme="minorEastAsia" w:cstheme="minorHAnsi"/>
          <w:i/>
          <w:iCs/>
        </w:rPr>
        <w:t>i</w:t>
      </w:r>
      <w:r>
        <w:rPr>
          <w:rFonts w:eastAsiaTheme="minorEastAsia" w:cstheme="minorHAnsi"/>
          <w:i/>
          <w:iCs/>
        </w:rPr>
        <w:t>”</w:t>
      </w:r>
      <w:r w:rsidR="00113DA6" w:rsidRPr="00D312FE">
        <w:rPr>
          <w:rFonts w:eastAsiaTheme="minorEastAsia" w:cstheme="minorHAnsi"/>
        </w:rPr>
        <w:t xml:space="preserve"> </w:t>
      </w:r>
      <w:r>
        <w:rPr>
          <w:rFonts w:eastAsiaTheme="minorEastAsia" w:cstheme="minorHAnsi"/>
        </w:rPr>
        <w:t xml:space="preserve">in the settlement year </w:t>
      </w:r>
      <w:r w:rsidRPr="00E111BC">
        <w:rPr>
          <w:rFonts w:eastAsiaTheme="minorEastAsia" w:cstheme="minorHAnsi"/>
          <w:i/>
          <w:iCs/>
        </w:rPr>
        <w:t>“y”</w:t>
      </w:r>
      <w:r w:rsidR="00113DA6" w:rsidRPr="00D312FE">
        <w:rPr>
          <w:rFonts w:eastAsiaTheme="minorEastAsia" w:cstheme="minorHAnsi"/>
        </w:rPr>
        <w:t xml:space="preserve"> calculated </w:t>
      </w:r>
      <w:r w:rsidR="003D1EC4">
        <w:rPr>
          <w:rFonts w:eastAsiaTheme="minorEastAsia" w:cstheme="minorHAnsi"/>
        </w:rPr>
        <w:t>pursuant to</w:t>
      </w:r>
      <w:r w:rsidR="00113DA6" w:rsidRPr="00D312FE">
        <w:rPr>
          <w:rFonts w:eastAsiaTheme="minorEastAsia" w:cstheme="minorHAnsi"/>
        </w:rPr>
        <w:t xml:space="preserve"> Clause </w:t>
      </w:r>
      <w:r w:rsidR="00B039F6">
        <w:rPr>
          <w:rFonts w:eastAsiaTheme="minorEastAsia" w:cstheme="minorHAnsi"/>
        </w:rPr>
        <w:fldChar w:fldCharType="begin"/>
      </w:r>
      <w:r w:rsidR="00B039F6">
        <w:rPr>
          <w:rFonts w:eastAsiaTheme="minorEastAsia" w:cstheme="minorHAnsi"/>
        </w:rPr>
        <w:instrText xml:space="preserve"> REF _Ref68556171 \r \h </w:instrText>
      </w:r>
      <w:r w:rsidR="00B039F6">
        <w:rPr>
          <w:rFonts w:eastAsiaTheme="minorEastAsia" w:cstheme="minorHAnsi"/>
        </w:rPr>
      </w:r>
      <w:r w:rsidR="00B039F6">
        <w:rPr>
          <w:rFonts w:eastAsiaTheme="minorEastAsia" w:cstheme="minorHAnsi"/>
        </w:rPr>
        <w:fldChar w:fldCharType="separate"/>
      </w:r>
      <w:r w:rsidR="00251DBF">
        <w:rPr>
          <w:rFonts w:eastAsiaTheme="minorEastAsia" w:cstheme="minorHAnsi"/>
        </w:rPr>
        <w:t>10.2.8.1</w:t>
      </w:r>
      <w:r w:rsidR="00B039F6">
        <w:rPr>
          <w:rFonts w:eastAsiaTheme="minorEastAsia" w:cstheme="minorHAnsi"/>
        </w:rPr>
        <w:fldChar w:fldCharType="end"/>
      </w:r>
    </w:p>
    <w:p w14:paraId="1C66B511" w14:textId="6EF47A4D" w:rsidR="00B039F6" w:rsidRDefault="00B039F6" w:rsidP="00B039F6">
      <w:pPr>
        <w:pStyle w:val="ListParagraph"/>
        <w:numPr>
          <w:ilvl w:val="0"/>
          <w:numId w:val="23"/>
        </w:numPr>
        <w:rPr>
          <w:rFonts w:eastAsiaTheme="minorEastAsia" w:cstheme="minorHAnsi"/>
        </w:rPr>
      </w:pPr>
      <w:r>
        <w:rPr>
          <w:rFonts w:eastAsiaTheme="minorEastAsia" w:cstheme="minorHAnsi"/>
          <w:i/>
          <w:iCs/>
        </w:rPr>
        <w:t>CS</w:t>
      </w:r>
      <w:r>
        <w:rPr>
          <w:rFonts w:eastAsiaTheme="minorEastAsia" w:cstheme="minorHAnsi"/>
          <w:i/>
          <w:iCs/>
          <w:vertAlign w:val="subscript"/>
        </w:rPr>
        <w:t>j</w:t>
      </w:r>
      <w:r w:rsidRPr="00D312FE">
        <w:rPr>
          <w:rFonts w:eastAsiaTheme="minorEastAsia" w:cstheme="minorHAnsi"/>
          <w:i/>
          <w:iCs/>
          <w:vertAlign w:val="subscript"/>
        </w:rPr>
        <w:t>,</w:t>
      </w:r>
      <w:r>
        <w:rPr>
          <w:rFonts w:eastAsiaTheme="minorEastAsia" w:cstheme="minorHAnsi"/>
          <w:i/>
          <w:iCs/>
          <w:vertAlign w:val="subscript"/>
        </w:rPr>
        <w:t>y</w:t>
      </w:r>
      <w:r w:rsidRPr="00D312FE">
        <w:rPr>
          <w:rFonts w:eastAsiaTheme="minorEastAsia" w:cstheme="minorHAnsi"/>
        </w:rPr>
        <w:t xml:space="preserve"> is the </w:t>
      </w:r>
      <w:r>
        <w:rPr>
          <w:rFonts w:eastAsiaTheme="minorEastAsia" w:cstheme="minorHAnsi"/>
        </w:rPr>
        <w:t>Capacity sold by</w:t>
      </w:r>
      <w:r w:rsidR="003D1EC4">
        <w:rPr>
          <w:rFonts w:eastAsiaTheme="minorEastAsia" w:cstheme="minorHAnsi"/>
        </w:rPr>
        <w:t xml:space="preserve"> a</w:t>
      </w:r>
      <w:r>
        <w:rPr>
          <w:rFonts w:eastAsiaTheme="minorEastAsia" w:cstheme="minorHAnsi"/>
        </w:rPr>
        <w:t xml:space="preserve"> </w:t>
      </w:r>
      <w:r w:rsidRPr="00D312FE">
        <w:rPr>
          <w:rFonts w:eastAsiaTheme="minorEastAsia" w:cstheme="minorHAnsi"/>
        </w:rPr>
        <w:t xml:space="preserve">Market Participant </w:t>
      </w:r>
      <w:r>
        <w:rPr>
          <w:rFonts w:eastAsiaTheme="minorEastAsia" w:cstheme="minorHAnsi"/>
          <w:i/>
          <w:iCs/>
        </w:rPr>
        <w:t>“j”</w:t>
      </w:r>
      <w:r w:rsidRPr="00D312FE">
        <w:rPr>
          <w:rFonts w:eastAsiaTheme="minorEastAsia" w:cstheme="minorHAnsi"/>
        </w:rPr>
        <w:t xml:space="preserve"> </w:t>
      </w:r>
      <w:r>
        <w:rPr>
          <w:rFonts w:eastAsiaTheme="minorEastAsia" w:cstheme="minorHAnsi"/>
        </w:rPr>
        <w:t xml:space="preserve">in the settlement year </w:t>
      </w:r>
      <w:r w:rsidRPr="00E111BC">
        <w:rPr>
          <w:rFonts w:eastAsiaTheme="minorEastAsia" w:cstheme="minorHAnsi"/>
          <w:i/>
          <w:iCs/>
        </w:rPr>
        <w:t>“y”</w:t>
      </w:r>
      <w:r w:rsidRPr="00D312FE">
        <w:rPr>
          <w:rFonts w:eastAsiaTheme="minorEastAsia" w:cstheme="minorHAnsi"/>
        </w:rPr>
        <w:t xml:space="preserve"> calculated </w:t>
      </w:r>
      <w:r w:rsidR="003D1EC4">
        <w:rPr>
          <w:rFonts w:eastAsiaTheme="minorEastAsia" w:cstheme="minorHAnsi"/>
        </w:rPr>
        <w:t xml:space="preserve">pursuant to </w:t>
      </w:r>
      <w:r w:rsidRPr="00D312FE">
        <w:rPr>
          <w:rFonts w:eastAsiaTheme="minorEastAsia" w:cstheme="minorHAnsi"/>
        </w:rPr>
        <w:t xml:space="preserve">Clause </w:t>
      </w:r>
      <w:r>
        <w:rPr>
          <w:rFonts w:eastAsiaTheme="minorEastAsia" w:cstheme="minorHAnsi"/>
        </w:rPr>
        <w:fldChar w:fldCharType="begin"/>
      </w:r>
      <w:r>
        <w:rPr>
          <w:rFonts w:eastAsiaTheme="minorEastAsia" w:cstheme="minorHAnsi"/>
        </w:rPr>
        <w:instrText xml:space="preserve"> REF _Ref68556171 \r \h </w:instrText>
      </w:r>
      <w:r>
        <w:rPr>
          <w:rFonts w:eastAsiaTheme="minorEastAsia" w:cstheme="minorHAnsi"/>
        </w:rPr>
      </w:r>
      <w:r>
        <w:rPr>
          <w:rFonts w:eastAsiaTheme="minorEastAsia" w:cstheme="minorHAnsi"/>
        </w:rPr>
        <w:fldChar w:fldCharType="separate"/>
      </w:r>
      <w:r w:rsidR="00251DBF">
        <w:rPr>
          <w:rFonts w:eastAsiaTheme="minorEastAsia" w:cstheme="minorHAnsi"/>
        </w:rPr>
        <w:t>10.2.8.1</w:t>
      </w:r>
      <w:r>
        <w:rPr>
          <w:rFonts w:eastAsiaTheme="minorEastAsia" w:cstheme="minorHAnsi"/>
        </w:rPr>
        <w:fldChar w:fldCharType="end"/>
      </w:r>
    </w:p>
    <w:p w14:paraId="0144FCAB" w14:textId="3404DC40" w:rsidR="00B039F6" w:rsidRPr="00B03C4A" w:rsidRDefault="00B039F6" w:rsidP="00113DA6">
      <w:pPr>
        <w:pStyle w:val="ListParagraph"/>
        <w:numPr>
          <w:ilvl w:val="0"/>
          <w:numId w:val="23"/>
        </w:numPr>
        <w:rPr>
          <w:rFonts w:eastAsiaTheme="minorEastAsia" w:cstheme="minorHAnsi"/>
          <w:i/>
          <w:iCs/>
        </w:rPr>
      </w:pPr>
      <w:r w:rsidRPr="00B039F6">
        <w:rPr>
          <w:rFonts w:eastAsiaTheme="minorEastAsia" w:cstheme="minorHAnsi"/>
          <w:i/>
          <w:iCs/>
        </w:rPr>
        <w:lastRenderedPageBreak/>
        <w:t>Cap_price</w:t>
      </w:r>
      <w:r w:rsidRPr="00B039F6">
        <w:rPr>
          <w:rFonts w:eastAsiaTheme="minorEastAsia" w:cstheme="minorHAnsi"/>
          <w:i/>
          <w:iCs/>
          <w:vertAlign w:val="subscript"/>
        </w:rPr>
        <w:t>y</w:t>
      </w:r>
      <w:r>
        <w:rPr>
          <w:rFonts w:eastAsiaTheme="minorEastAsia" w:cstheme="minorHAnsi"/>
        </w:rPr>
        <w:t xml:space="preserve"> is the unitary price of Capacity, corresponding to the Fiscal Year </w:t>
      </w:r>
      <w:r w:rsidRPr="00B039F6">
        <w:rPr>
          <w:rFonts w:eastAsiaTheme="minorEastAsia" w:cstheme="minorHAnsi"/>
          <w:i/>
          <w:iCs/>
        </w:rPr>
        <w:t>“y”</w:t>
      </w:r>
      <w:r>
        <w:rPr>
          <w:rFonts w:eastAsiaTheme="minorEastAsia" w:cstheme="minorHAnsi"/>
        </w:rPr>
        <w:t xml:space="preserve">, calculated </w:t>
      </w:r>
      <w:r w:rsidR="003D1EC4">
        <w:rPr>
          <w:rFonts w:eastAsiaTheme="minorEastAsia" w:cstheme="minorHAnsi"/>
        </w:rPr>
        <w:t xml:space="preserve">pursuant to </w:t>
      </w:r>
      <w:r>
        <w:rPr>
          <w:rFonts w:eastAsiaTheme="minorEastAsia" w:cstheme="minorHAnsi"/>
        </w:rPr>
        <w:t xml:space="preserve">Clause </w:t>
      </w:r>
      <w:r>
        <w:rPr>
          <w:rFonts w:eastAsiaTheme="minorEastAsia" w:cstheme="minorHAnsi"/>
        </w:rPr>
        <w:fldChar w:fldCharType="begin"/>
      </w:r>
      <w:r>
        <w:rPr>
          <w:rFonts w:eastAsiaTheme="minorEastAsia" w:cstheme="minorHAnsi"/>
        </w:rPr>
        <w:instrText xml:space="preserve"> REF _Ref68556378 \r \h </w:instrText>
      </w:r>
      <w:r>
        <w:rPr>
          <w:rFonts w:eastAsiaTheme="minorEastAsia" w:cstheme="minorHAnsi"/>
        </w:rPr>
      </w:r>
      <w:r>
        <w:rPr>
          <w:rFonts w:eastAsiaTheme="minorEastAsia" w:cstheme="minorHAnsi"/>
        </w:rPr>
        <w:fldChar w:fldCharType="separate"/>
      </w:r>
      <w:r w:rsidR="00251DBF">
        <w:rPr>
          <w:rFonts w:eastAsiaTheme="minorEastAsia" w:cstheme="minorHAnsi"/>
        </w:rPr>
        <w:t>10.2.7.5</w:t>
      </w:r>
      <w:r>
        <w:rPr>
          <w:rFonts w:eastAsiaTheme="minorEastAsia" w:cstheme="minorHAnsi"/>
        </w:rPr>
        <w:fldChar w:fldCharType="end"/>
      </w:r>
      <w:r>
        <w:rPr>
          <w:rFonts w:eastAsiaTheme="minorEastAsia" w:cstheme="minorHAnsi"/>
        </w:rPr>
        <w:t>.</w:t>
      </w:r>
    </w:p>
    <w:p w14:paraId="09717419" w14:textId="02936D3E" w:rsidR="008130B2" w:rsidRDefault="008130B2" w:rsidP="008130B2">
      <w:pPr>
        <w:pStyle w:val="Heading4"/>
      </w:pPr>
      <w:r w:rsidRPr="00B03C4A">
        <w:rPr>
          <w:highlight w:val="yellow"/>
        </w:rPr>
        <w:t>The Amounts Payable shall be recovered from the relevant Market Participants in [six] equal monthly instalments and the Amounts Payable shall be paid to the relevant Market Participants in same manner</w:t>
      </w:r>
      <w:r>
        <w:t xml:space="preserve">. </w:t>
      </w:r>
    </w:p>
    <w:p w14:paraId="51863CFF" w14:textId="39825BE4" w:rsidR="00D04CBD" w:rsidRPr="00D04CBD" w:rsidRDefault="0073538F" w:rsidP="00913296">
      <w:pPr>
        <w:pStyle w:val="Heading3"/>
      </w:pPr>
      <w:r>
        <w:t xml:space="preserve">Intimation </w:t>
      </w:r>
      <w:r w:rsidR="00D04CBD">
        <w:t>to the Market Participants</w:t>
      </w:r>
    </w:p>
    <w:p w14:paraId="4534615E" w14:textId="590C0F18" w:rsidR="00913296" w:rsidRDefault="00D04CBD" w:rsidP="005B295A">
      <w:pPr>
        <w:pStyle w:val="Heading4"/>
      </w:pPr>
      <w:bookmarkStart w:id="536" w:name="_Ref68560911"/>
      <w:r>
        <w:t xml:space="preserve">The Market Operator shall </w:t>
      </w:r>
      <w:r w:rsidR="0073538F">
        <w:t xml:space="preserve">intimate </w:t>
      </w:r>
      <w:r>
        <w:t>to each Market Participant</w:t>
      </w:r>
      <w:r w:rsidR="00913296">
        <w:t>:</w:t>
      </w:r>
      <w:bookmarkEnd w:id="536"/>
      <w:r>
        <w:t xml:space="preserve"> </w:t>
      </w:r>
    </w:p>
    <w:p w14:paraId="7C44E2CE" w14:textId="516AB398" w:rsidR="00913296" w:rsidRDefault="00913296" w:rsidP="00913296">
      <w:pPr>
        <w:pStyle w:val="Heading5"/>
      </w:pPr>
      <w:r>
        <w:t xml:space="preserve">The preliminary values of the </w:t>
      </w:r>
      <w:r w:rsidR="00D04CBD">
        <w:t xml:space="preserve">Amounts Payable or the Amounts Receivable, as the case may be, </w:t>
      </w:r>
      <w:r w:rsidR="00D303F9">
        <w:t xml:space="preserve">of all Market Participants, in the </w:t>
      </w:r>
      <w:r w:rsidR="00D04CBD">
        <w:t>Balancing Mechanism for Capacity</w:t>
      </w:r>
      <w:r>
        <w:t>;</w:t>
      </w:r>
    </w:p>
    <w:p w14:paraId="73E21C77" w14:textId="0AEEDF7A" w:rsidR="00913296" w:rsidRDefault="00913296" w:rsidP="00913296">
      <w:pPr>
        <w:pStyle w:val="Heading5"/>
      </w:pPr>
      <w:r>
        <w:t xml:space="preserve">The date </w:t>
      </w:r>
      <w:r w:rsidR="00D303F9">
        <w:t>for determination of the final Amounts Payable or the Amounts Receivable, as the case may be, of all Market Participants, in the Balancing Mechanism for Capacity</w:t>
      </w:r>
      <w:r>
        <w:t>;</w:t>
      </w:r>
    </w:p>
    <w:p w14:paraId="26CF3542" w14:textId="7B669A1A" w:rsidR="000534E9" w:rsidRDefault="00D303F9" w:rsidP="00913296">
      <w:pPr>
        <w:pStyle w:val="Heading5"/>
      </w:pPr>
      <w:r>
        <w:t>the amount</w:t>
      </w:r>
      <w:r w:rsidR="00913296" w:rsidRPr="00913296">
        <w:t xml:space="preserve"> </w:t>
      </w:r>
      <w:r w:rsidR="00B27096">
        <w:t xml:space="preserve">of </w:t>
      </w:r>
      <w:r w:rsidR="00913296" w:rsidRPr="00913296">
        <w:t>Security Covers</w:t>
      </w:r>
      <w:r w:rsidR="00913296">
        <w:t xml:space="preserve"> for an amount not lower than</w:t>
      </w:r>
      <w:r w:rsidR="00F24854">
        <w:t xml:space="preserve"> </w:t>
      </w:r>
      <w:r w:rsidR="004D1B98" w:rsidRPr="00B03C4A">
        <w:rPr>
          <w:highlight w:val="yellow"/>
        </w:rPr>
        <w:t>[</w:t>
      </w:r>
      <w:r w:rsidR="008130B2" w:rsidRPr="00B03C4A">
        <w:rPr>
          <w:highlight w:val="yellow"/>
        </w:rPr>
        <w:t>2</w:t>
      </w:r>
      <w:r w:rsidR="004D1B98" w:rsidRPr="00B03C4A">
        <w:rPr>
          <w:highlight w:val="yellow"/>
        </w:rPr>
        <w:t>]</w:t>
      </w:r>
      <w:r w:rsidR="00F24854" w:rsidRPr="00B03C4A">
        <w:rPr>
          <w:highlight w:val="yellow"/>
        </w:rPr>
        <w:t xml:space="preserve"> </w:t>
      </w:r>
      <w:r w:rsidR="008130B2" w:rsidRPr="00B03C4A">
        <w:rPr>
          <w:highlight w:val="yellow"/>
        </w:rPr>
        <w:t xml:space="preserve">monthly </w:t>
      </w:r>
      <w:r w:rsidR="008130B2" w:rsidRPr="008130B2">
        <w:rPr>
          <w:highlight w:val="yellow"/>
        </w:rPr>
        <w:t>instalments</w:t>
      </w:r>
      <w:r w:rsidR="008130B2">
        <w:t xml:space="preserve"> </w:t>
      </w:r>
      <w:r w:rsidR="00F24854">
        <w:t>of</w:t>
      </w:r>
      <w:r w:rsidR="00913296">
        <w:t xml:space="preserve"> the value of the notified Amounts Payable</w:t>
      </w:r>
      <w:r w:rsidR="000634A8">
        <w:t xml:space="preserve">, and the last date </w:t>
      </w:r>
      <w:r>
        <w:t xml:space="preserve">for the provision of  </w:t>
      </w:r>
      <w:r w:rsidR="00913296">
        <w:t>Security Cover</w:t>
      </w:r>
      <w:r w:rsidR="000534E9">
        <w:t>; and</w:t>
      </w:r>
    </w:p>
    <w:p w14:paraId="5AD8F53C" w14:textId="4F7F1BB4" w:rsidR="00D04CBD" w:rsidRDefault="000534E9" w:rsidP="000534E9">
      <w:pPr>
        <w:pStyle w:val="Heading5"/>
      </w:pPr>
      <w:r>
        <w:t xml:space="preserve">A clear </w:t>
      </w:r>
      <w:r w:rsidR="00D303F9">
        <w:t xml:space="preserve">warning </w:t>
      </w:r>
      <w:r>
        <w:t xml:space="preserve">that </w:t>
      </w:r>
      <w:r w:rsidR="00D303F9">
        <w:t>failure to provide the</w:t>
      </w:r>
      <w:r>
        <w:t xml:space="preserve"> necessary Security Cover on time will automatically exclude such Market Participant </w:t>
      </w:r>
      <w:r w:rsidR="00D303F9">
        <w:t xml:space="preserve">from participation </w:t>
      </w:r>
      <w:r>
        <w:t xml:space="preserve">in the Balancing Mechanism for Capacity, </w:t>
      </w:r>
      <w:r w:rsidR="00D303F9">
        <w:t>and</w:t>
      </w:r>
      <w:r>
        <w:t xml:space="preserve"> </w:t>
      </w:r>
      <w:r w:rsidR="00D303F9">
        <w:t xml:space="preserve">will also </w:t>
      </w:r>
      <w:r>
        <w:t xml:space="preserve">result in </w:t>
      </w:r>
      <w:r w:rsidR="00337D5B">
        <w:t>n</w:t>
      </w:r>
      <w:r>
        <w:t>on-</w:t>
      </w:r>
      <w:r w:rsidR="00337D5B">
        <w:t>c</w:t>
      </w:r>
      <w:r>
        <w:t xml:space="preserve">ompliance with its Capacity Obligations. </w:t>
      </w:r>
    </w:p>
    <w:p w14:paraId="7E59E17C" w14:textId="4A97D6EA" w:rsidR="000534E9" w:rsidRDefault="000534E9" w:rsidP="005B295A">
      <w:pPr>
        <w:pStyle w:val="Heading4"/>
      </w:pPr>
      <w:r>
        <w:t>In case a Market</w:t>
      </w:r>
      <w:r w:rsidRPr="003858A9">
        <w:t xml:space="preserve"> Participant c</w:t>
      </w:r>
      <w:r>
        <w:t xml:space="preserve">onsiders that </w:t>
      </w:r>
      <w:r w:rsidRPr="003858A9">
        <w:t xml:space="preserve">an error or discrepancy exists </w:t>
      </w:r>
      <w:r>
        <w:t xml:space="preserve">either </w:t>
      </w:r>
      <w:r w:rsidRPr="003858A9">
        <w:t xml:space="preserve">in the </w:t>
      </w:r>
      <w:r>
        <w:t>determination of the Amounts Payable or Amount</w:t>
      </w:r>
      <w:r w:rsidR="00D303F9">
        <w:t>s</w:t>
      </w:r>
      <w:r>
        <w:t xml:space="preserve"> Receivable </w:t>
      </w:r>
      <w:r w:rsidR="00D303F9">
        <w:t xml:space="preserve">intimated </w:t>
      </w:r>
      <w:r>
        <w:t>by the Market Operator</w:t>
      </w:r>
      <w:r w:rsidR="00D303F9">
        <w:t>,</w:t>
      </w:r>
      <w:r>
        <w:t xml:space="preserve"> or in the calculations performed</w:t>
      </w:r>
      <w:r w:rsidR="00D303F9">
        <w:t>,</w:t>
      </w:r>
      <w:r>
        <w:t xml:space="preserve"> or in the parameters used to perform such calculations, it shall </w:t>
      </w:r>
      <w:r w:rsidR="003B44FA">
        <w:t xml:space="preserve">submit to </w:t>
      </w:r>
      <w:r>
        <w:t xml:space="preserve">the Market Operator a written </w:t>
      </w:r>
      <w:r w:rsidR="008B666F">
        <w:t>Review Request</w:t>
      </w:r>
      <w:r>
        <w:t xml:space="preserve"> </w:t>
      </w:r>
      <w:r w:rsidRPr="003858A9">
        <w:t xml:space="preserve">within </w:t>
      </w:r>
      <w:r>
        <w:t>[ten</w:t>
      </w:r>
      <w:r w:rsidRPr="003858A9">
        <w:t xml:space="preserve"> (</w:t>
      </w:r>
      <w:r>
        <w:t>10</w:t>
      </w:r>
      <w:r w:rsidRPr="003858A9">
        <w:t>)</w:t>
      </w:r>
      <w:r>
        <w:t>]</w:t>
      </w:r>
      <w:r w:rsidRPr="003858A9">
        <w:t xml:space="preserve"> </w:t>
      </w:r>
      <w:r w:rsidR="0073538F">
        <w:t>Business Days</w:t>
      </w:r>
      <w:r w:rsidR="0073538F" w:rsidRPr="003858A9">
        <w:t xml:space="preserve"> </w:t>
      </w:r>
      <w:r>
        <w:t xml:space="preserve">of receipt of </w:t>
      </w:r>
      <w:r w:rsidRPr="003858A9">
        <w:t xml:space="preserve">the </w:t>
      </w:r>
      <w:r w:rsidR="003B44FA">
        <w:t xml:space="preserve">intimation as provided </w:t>
      </w:r>
      <w:r>
        <w:t xml:space="preserve">in Clause </w:t>
      </w:r>
      <w:r>
        <w:fldChar w:fldCharType="begin"/>
      </w:r>
      <w:r>
        <w:instrText xml:space="preserve"> REF _Ref68560911 \w \h </w:instrText>
      </w:r>
      <w:r>
        <w:fldChar w:fldCharType="separate"/>
      </w:r>
      <w:r w:rsidR="00251DBF">
        <w:t>10.3.2.1</w:t>
      </w:r>
      <w:r>
        <w:fldChar w:fldCharType="end"/>
      </w:r>
      <w:r>
        <w:t xml:space="preserve">. </w:t>
      </w:r>
    </w:p>
    <w:p w14:paraId="57926A9A" w14:textId="21F92DCB" w:rsidR="000534E9" w:rsidRDefault="000534E9" w:rsidP="005B295A">
      <w:pPr>
        <w:pStyle w:val="Heading4"/>
      </w:pPr>
      <w:r>
        <w:t xml:space="preserve">The </w:t>
      </w:r>
      <w:r w:rsidR="008B666F">
        <w:t>Review Request</w:t>
      </w:r>
      <w:r>
        <w:t xml:space="preserve"> shall clearly state the item or items claimed, the reasons for the claim, the amount claimed,  </w:t>
      </w:r>
      <w:r w:rsidR="00184E12">
        <w:t>and shall be accompanies</w:t>
      </w:r>
      <w:r w:rsidR="003B44FA">
        <w:t xml:space="preserve"> with all the supporting documents</w:t>
      </w:r>
      <w:r>
        <w:t>.</w:t>
      </w:r>
    </w:p>
    <w:p w14:paraId="774395FF" w14:textId="50CCA4CF" w:rsidR="00184E12" w:rsidRDefault="00184E12" w:rsidP="005B295A">
      <w:pPr>
        <w:pStyle w:val="Heading4"/>
      </w:pPr>
      <w:bookmarkStart w:id="537" w:name="_Ref68598583"/>
      <w:r>
        <w:t xml:space="preserve">After receipt of the </w:t>
      </w:r>
      <w:r w:rsidR="008B666F">
        <w:t>Review Request</w:t>
      </w:r>
      <w:r>
        <w:t xml:space="preserve">, </w:t>
      </w:r>
      <w:r w:rsidR="008B666F">
        <w:t>t</w:t>
      </w:r>
      <w:r>
        <w:t xml:space="preserve">he Market Operator shall review the </w:t>
      </w:r>
      <w:r w:rsidR="008B666F">
        <w:t>request</w:t>
      </w:r>
      <w:r>
        <w:t xml:space="preserve"> and decide whether there is any error or discrepancy in the calculations it has made and if required, it may hold a meeting with the relevant Market Participant to settle the matter. If the Market Operator does not agree with the </w:t>
      </w:r>
      <w:r w:rsidR="008B666F">
        <w:t>Review Request</w:t>
      </w:r>
      <w:r>
        <w:t>, it shall intimate the same to the relevant Market Participants along with reasons thereof.</w:t>
      </w:r>
      <w:r w:rsidRPr="003858A9" w:rsidDel="00184E12">
        <w:t xml:space="preserve"> </w:t>
      </w:r>
    </w:p>
    <w:p w14:paraId="30E0E71E" w14:textId="37B6A56B" w:rsidR="007C6884" w:rsidRDefault="00184E12" w:rsidP="005B295A">
      <w:pPr>
        <w:pStyle w:val="Heading4"/>
      </w:pPr>
      <w:bookmarkStart w:id="538" w:name="_Ref81303394"/>
      <w:r>
        <w:t xml:space="preserve">Where the market operator, after review of the calculations it has performed, finds that there is an error or discrepancy as claimed by the relevant Market Participant, it shall rectify the error and </w:t>
      </w:r>
      <w:r w:rsidR="007C6884">
        <w:t xml:space="preserve">shall issue new </w:t>
      </w:r>
      <w:r w:rsidR="00D55573">
        <w:t xml:space="preserve">intimations </w:t>
      </w:r>
      <w:r w:rsidR="007C6884">
        <w:t xml:space="preserve">to all Market Participants, </w:t>
      </w:r>
      <w:r w:rsidR="00607C3C">
        <w:t>informing</w:t>
      </w:r>
      <w:r w:rsidR="00D55573">
        <w:t xml:space="preserve"> </w:t>
      </w:r>
      <w:r w:rsidR="007C6884">
        <w:t>at least:</w:t>
      </w:r>
      <w:bookmarkEnd w:id="537"/>
      <w:bookmarkEnd w:id="538"/>
      <w:r w:rsidR="007C6884">
        <w:t xml:space="preserve"> </w:t>
      </w:r>
    </w:p>
    <w:p w14:paraId="7F1F2BBA" w14:textId="74F4C03A" w:rsidR="007C6884" w:rsidRDefault="00D55573" w:rsidP="007C6884">
      <w:pPr>
        <w:pStyle w:val="Heading5"/>
      </w:pPr>
      <w:r>
        <w:t>t</w:t>
      </w:r>
      <w:r w:rsidR="007C6884">
        <w:t>he corrections made and the new values for the preliminary Amounts Payable and Amounts Receivable;</w:t>
      </w:r>
    </w:p>
    <w:p w14:paraId="6AA1817D" w14:textId="6C7F6069" w:rsidR="007C6884" w:rsidRDefault="00D55573" w:rsidP="007C6884">
      <w:pPr>
        <w:pStyle w:val="Heading5"/>
      </w:pPr>
      <w:r>
        <w:t>t</w:t>
      </w:r>
      <w:r w:rsidR="007C6884">
        <w:t>he new values for the Security Covers to be provided; and</w:t>
      </w:r>
    </w:p>
    <w:p w14:paraId="56FF6407" w14:textId="11E1D941" w:rsidR="007C6884" w:rsidRDefault="00607C3C" w:rsidP="007C6884">
      <w:pPr>
        <w:pStyle w:val="Heading5"/>
      </w:pPr>
      <w:r>
        <w:t>i</w:t>
      </w:r>
      <w:r w:rsidR="007C6884">
        <w:t xml:space="preserve">f it is considered appropriate, a new date for the </w:t>
      </w:r>
      <w:r w:rsidR="00D55573">
        <w:t xml:space="preserve">final implementation </w:t>
      </w:r>
      <w:r w:rsidR="007C6884">
        <w:t xml:space="preserve">of the Balancing Mechanism for Capacity.  </w:t>
      </w:r>
    </w:p>
    <w:p w14:paraId="38D191F3" w14:textId="4E29A197" w:rsidR="00D04CBD" w:rsidRDefault="000634A8" w:rsidP="000634A8">
      <w:pPr>
        <w:pStyle w:val="Heading2"/>
      </w:pPr>
      <w:bookmarkStart w:id="539" w:name="_Toc69477001"/>
      <w:r w:rsidRPr="00CD73C4">
        <w:lastRenderedPageBreak/>
        <w:t>Execution</w:t>
      </w:r>
      <w:r>
        <w:t xml:space="preserve"> of the </w:t>
      </w:r>
      <w:commentRangeStart w:id="540"/>
      <w:r>
        <w:t>Balancing Mechanism for Capacity</w:t>
      </w:r>
      <w:bookmarkEnd w:id="539"/>
      <w:commentRangeEnd w:id="540"/>
      <w:r w:rsidR="00AC41FC">
        <w:rPr>
          <w:rStyle w:val="CommentReference"/>
          <w:rFonts w:eastAsiaTheme="minorHAnsi" w:cstheme="minorBidi"/>
          <w:b w:val="0"/>
          <w:bCs w:val="0"/>
          <w:smallCaps w:val="0"/>
          <w:color w:val="1C1C1C"/>
          <w:u w:val="none"/>
        </w:rPr>
        <w:commentReference w:id="540"/>
      </w:r>
    </w:p>
    <w:p w14:paraId="2E29008A" w14:textId="205E4491" w:rsidR="000634A8" w:rsidRDefault="000634A8" w:rsidP="000634A8">
      <w:pPr>
        <w:pStyle w:val="Heading3"/>
      </w:pPr>
      <w:r>
        <w:t>Verification of the Security Covers</w:t>
      </w:r>
    </w:p>
    <w:p w14:paraId="57F92D66" w14:textId="5F28C2C9" w:rsidR="000634A8" w:rsidRDefault="003B44FA" w:rsidP="005B295A">
      <w:pPr>
        <w:pStyle w:val="Heading4"/>
      </w:pPr>
      <w:r>
        <w:t xml:space="preserve">Prior to final </w:t>
      </w:r>
      <w:r w:rsidR="00D55573">
        <w:t>implementation</w:t>
      </w:r>
      <w:r>
        <w:t xml:space="preserve"> </w:t>
      </w:r>
      <w:r w:rsidR="000634A8">
        <w:t xml:space="preserve">of the Balancing Mechanism for Capacity, the Market Operator shall </w:t>
      </w:r>
      <w:r>
        <w:t xml:space="preserve">examine and </w:t>
      </w:r>
      <w:r w:rsidR="000634A8">
        <w:t xml:space="preserve">verify the Security Covers provided by each Market Participant, both in their form and the </w:t>
      </w:r>
      <w:r>
        <w:t>required amounts</w:t>
      </w:r>
      <w:r w:rsidR="000634A8">
        <w:t>.</w:t>
      </w:r>
    </w:p>
    <w:p w14:paraId="22E7428B" w14:textId="561F6CF8" w:rsidR="00581D15" w:rsidRDefault="000634A8" w:rsidP="005B295A">
      <w:pPr>
        <w:pStyle w:val="Heading4"/>
      </w:pPr>
      <w:bookmarkStart w:id="541" w:name="_Ref69391348"/>
      <w:r>
        <w:t xml:space="preserve">In case a Market Participant </w:t>
      </w:r>
      <w:r w:rsidR="003B44FA">
        <w:t>fails</w:t>
      </w:r>
      <w:r>
        <w:t xml:space="preserve"> to provide the Security Cover</w:t>
      </w:r>
      <w:r w:rsidR="004909BB">
        <w:t xml:space="preserve"> in the requisite form</w:t>
      </w:r>
      <w:r>
        <w:t xml:space="preserve">, </w:t>
      </w:r>
      <w:r w:rsidR="00581D15">
        <w:t xml:space="preserve">the </w:t>
      </w:r>
      <w:r w:rsidR="003B44FA">
        <w:t xml:space="preserve">concerned </w:t>
      </w:r>
      <w:r w:rsidR="00581D15">
        <w:t xml:space="preserve">Market Participant </w:t>
      </w:r>
      <w:r w:rsidR="003B44FA">
        <w:t xml:space="preserve">shall </w:t>
      </w:r>
      <w:r w:rsidR="00581D15">
        <w:t xml:space="preserve">be excluded </w:t>
      </w:r>
      <w:r w:rsidR="003B44FA">
        <w:t xml:space="preserve">from </w:t>
      </w:r>
      <w:r w:rsidR="00581D15">
        <w:t>participati</w:t>
      </w:r>
      <w:r w:rsidR="003B44FA">
        <w:t>on</w:t>
      </w:r>
      <w:r w:rsidR="00581D15">
        <w:t xml:space="preserve"> in the Balancing Mechanism for Capacity.</w:t>
      </w:r>
      <w:bookmarkEnd w:id="541"/>
      <w:r w:rsidR="00581D15">
        <w:t xml:space="preserve"> </w:t>
      </w:r>
    </w:p>
    <w:p w14:paraId="2462D753" w14:textId="0E7D2067" w:rsidR="00BC6406" w:rsidRDefault="003B44FA" w:rsidP="00D666CF">
      <w:pPr>
        <w:pStyle w:val="Heading4"/>
      </w:pPr>
      <w:bookmarkStart w:id="542" w:name="_Ref69734550"/>
      <w:r>
        <w:t xml:space="preserve">Where a </w:t>
      </w:r>
      <w:r w:rsidR="00BF4990">
        <w:t>Market Participant has provided a Security Cover</w:t>
      </w:r>
      <w:r w:rsidR="004909BB">
        <w:t xml:space="preserve"> in the requisite form, however,</w:t>
      </w:r>
      <w:r>
        <w:t xml:space="preserve"> for an amount less than the requisite amount</w:t>
      </w:r>
      <w:r w:rsidR="00BF4990">
        <w:t xml:space="preserve">, the </w:t>
      </w:r>
      <w:r>
        <w:t xml:space="preserve">concerned </w:t>
      </w:r>
      <w:r w:rsidR="00BF4990">
        <w:t xml:space="preserve">Market Participant </w:t>
      </w:r>
      <w:r>
        <w:t xml:space="preserve">may </w:t>
      </w:r>
      <w:r w:rsidR="00BF4990">
        <w:t xml:space="preserve">be </w:t>
      </w:r>
      <w:r>
        <w:t xml:space="preserve">allowed, on case to case basis, </w:t>
      </w:r>
      <w:r w:rsidR="00BC6406">
        <w:t>to participate i</w:t>
      </w:r>
      <w:r w:rsidR="00BF4990">
        <w:t>n the Balancing Mechanism for Capacity</w:t>
      </w:r>
      <w:r w:rsidR="00BC6406">
        <w:t>, limited up to the amount for which it has provided the Security Cover.</w:t>
      </w:r>
      <w:bookmarkEnd w:id="542"/>
    </w:p>
    <w:p w14:paraId="708529F8" w14:textId="421835F7" w:rsidR="00D666CF" w:rsidRDefault="00D666CF" w:rsidP="00D666CF">
      <w:pPr>
        <w:pStyle w:val="Heading4"/>
      </w:pPr>
      <w:r>
        <w:t xml:space="preserve">In case of insufficient Capacity as per Clause </w:t>
      </w:r>
      <w:r>
        <w:fldChar w:fldCharType="begin"/>
      </w:r>
      <w:r>
        <w:instrText xml:space="preserve"> REF _Ref68559196 \r \h </w:instrText>
      </w:r>
      <w:r>
        <w:fldChar w:fldCharType="separate"/>
      </w:r>
      <w:r>
        <w:t>10.2.8.1.a)</w:t>
      </w:r>
      <w:r>
        <w:fldChar w:fldCharType="end"/>
      </w:r>
      <w:r>
        <w:t xml:space="preserve">, the Capacity allocated to </w:t>
      </w:r>
      <w:r w:rsidR="00BC6406">
        <w:t xml:space="preserve">a </w:t>
      </w:r>
      <w:r>
        <w:t xml:space="preserve"> Market Participant, which has been excluded from the BMC as per Clause </w:t>
      </w:r>
      <w:r>
        <w:fldChar w:fldCharType="begin"/>
      </w:r>
      <w:r>
        <w:instrText xml:space="preserve"> REF _Ref69391348 \r \h </w:instrText>
      </w:r>
      <w:r>
        <w:fldChar w:fldCharType="separate"/>
      </w:r>
      <w:r>
        <w:t>10.4.1.2</w:t>
      </w:r>
      <w:r>
        <w:fldChar w:fldCharType="end"/>
      </w:r>
      <w:r>
        <w:t xml:space="preserve">, </w:t>
      </w:r>
      <w:r w:rsidR="00BC6406">
        <w:t xml:space="preserve">or whose participation has been limited as per Clause  </w:t>
      </w:r>
      <w:r w:rsidR="00BC6406">
        <w:fldChar w:fldCharType="begin"/>
      </w:r>
      <w:r w:rsidR="00BC6406">
        <w:instrText xml:space="preserve"> REF _Ref69734550 \w \h </w:instrText>
      </w:r>
      <w:r w:rsidR="00BC6406">
        <w:fldChar w:fldCharType="separate"/>
      </w:r>
      <w:r w:rsidR="00BC6406">
        <w:t>10.4.1.3</w:t>
      </w:r>
      <w:r w:rsidR="00BC6406">
        <w:fldChar w:fldCharType="end"/>
      </w:r>
      <w:r w:rsidR="00BC6406">
        <w:t xml:space="preserve"> ,</w:t>
      </w:r>
      <w:r>
        <w:t>will be redistributed among the other Market Participants</w:t>
      </w:r>
      <w:r w:rsidR="009B5427">
        <w:t xml:space="preserve"> with negative Capacity Balances</w:t>
      </w:r>
      <w:r>
        <w:t xml:space="preserve"> on pro-rata basis. </w:t>
      </w:r>
    </w:p>
    <w:p w14:paraId="320B3A65" w14:textId="3EA8F5BC" w:rsidR="00D55573" w:rsidRDefault="00D55573" w:rsidP="00D55573">
      <w:pPr>
        <w:pStyle w:val="Heading4"/>
      </w:pPr>
      <w:r>
        <w:t xml:space="preserve">In case of sufficient Capacity as per Clause </w:t>
      </w:r>
      <w:r w:rsidR="00703861">
        <w:rPr>
          <w:highlight w:val="yellow"/>
        </w:rPr>
        <w:fldChar w:fldCharType="begin"/>
      </w:r>
      <w:r w:rsidR="00703861">
        <w:instrText xml:space="preserve"> REF _Ref76059487 \w \h </w:instrText>
      </w:r>
      <w:r w:rsidR="00703861">
        <w:rPr>
          <w:highlight w:val="yellow"/>
        </w:rPr>
      </w:r>
      <w:r w:rsidR="00703861">
        <w:rPr>
          <w:highlight w:val="yellow"/>
        </w:rPr>
        <w:fldChar w:fldCharType="separate"/>
      </w:r>
      <w:r w:rsidR="00703861">
        <w:t>10.2.8.1.b)</w:t>
      </w:r>
      <w:r w:rsidR="00703861">
        <w:rPr>
          <w:highlight w:val="yellow"/>
        </w:rPr>
        <w:fldChar w:fldCharType="end"/>
      </w:r>
      <w:r>
        <w:t>, the Capacity sold by all Market Participants shall be recalculated</w:t>
      </w:r>
      <w:r w:rsidR="00703861">
        <w:t>, reducing it on pro-rata basis</w:t>
      </w:r>
      <w:r>
        <w:t xml:space="preserve">. </w:t>
      </w:r>
    </w:p>
    <w:p w14:paraId="35DB1D99" w14:textId="77777777" w:rsidR="00D55573" w:rsidRPr="00D55573" w:rsidRDefault="00D55573" w:rsidP="00D55573">
      <w:pPr>
        <w:pStyle w:val="BodyText"/>
      </w:pPr>
    </w:p>
    <w:p w14:paraId="77B983F8" w14:textId="77777777" w:rsidR="00581D15" w:rsidRDefault="00581D15" w:rsidP="00581D15">
      <w:pPr>
        <w:pStyle w:val="Heading3"/>
      </w:pPr>
      <w:r>
        <w:t xml:space="preserve">Execution of the Balancing Mechanism for Capacity </w:t>
      </w:r>
    </w:p>
    <w:p w14:paraId="1BB51E3C" w14:textId="7150B541" w:rsidR="00581D15" w:rsidRDefault="004909BB" w:rsidP="005B295A">
      <w:pPr>
        <w:pStyle w:val="Heading4"/>
      </w:pPr>
      <w:r>
        <w:t xml:space="preserve">After fulfilling the above referred requirements, the Market Operator shall determine the final Amounts Payable and Amounts Receivable by all Market Participants, which will be used in the Yearly Settlement Statements, as provided in </w:t>
      </w:r>
      <w:r>
        <w:fldChar w:fldCharType="begin"/>
      </w:r>
      <w:r>
        <w:instrText xml:space="preserve"> REF _Ref68562800 \w \h </w:instrText>
      </w:r>
      <w:r>
        <w:fldChar w:fldCharType="separate"/>
      </w:r>
      <w:r>
        <w:t>Chapter 12</w:t>
      </w:r>
      <w:r>
        <w:fldChar w:fldCharType="end"/>
      </w:r>
      <w:r>
        <w:t xml:space="preserve"> and make payments accordingly</w:t>
      </w:r>
      <w:r w:rsidR="000634A8">
        <w:t>.</w:t>
      </w:r>
    </w:p>
    <w:p w14:paraId="0D110373" w14:textId="3832FE0A" w:rsidR="00BC6406" w:rsidRDefault="00CD6BD3" w:rsidP="005B295A">
      <w:pPr>
        <w:pStyle w:val="Heading4"/>
      </w:pPr>
      <w:r>
        <w:t xml:space="preserve">The methodology and procedures to be used to determine the final Amounts Payable and Amounts Receivable of each Market Participant shall be the same </w:t>
      </w:r>
      <w:r w:rsidR="004B1C83">
        <w:t>as</w:t>
      </w:r>
      <w:r>
        <w:t xml:space="preserve"> the procedure </w:t>
      </w:r>
      <w:r w:rsidR="004909BB">
        <w:t xml:space="preserve">set out </w:t>
      </w:r>
      <w:r>
        <w:t xml:space="preserve">in </w:t>
      </w:r>
      <w:r w:rsidR="008C02F7">
        <w:t>Sub-Section</w:t>
      </w:r>
      <w:r>
        <w:t xml:space="preserve"> </w:t>
      </w:r>
      <w:r>
        <w:fldChar w:fldCharType="begin"/>
      </w:r>
      <w:r>
        <w:instrText xml:space="preserve"> REF _Ref68562944 \w \h </w:instrText>
      </w:r>
      <w:r>
        <w:fldChar w:fldCharType="separate"/>
      </w:r>
      <w:r w:rsidR="00251DBF">
        <w:t>10.3.1</w:t>
      </w:r>
      <w:r>
        <w:fldChar w:fldCharType="end"/>
      </w:r>
      <w:r>
        <w:t>, except that</w:t>
      </w:r>
      <w:r w:rsidR="004A3AD4">
        <w:t>:</w:t>
      </w:r>
      <w:r>
        <w:t xml:space="preserve"> </w:t>
      </w:r>
    </w:p>
    <w:p w14:paraId="6038AD1F" w14:textId="00D82F3E" w:rsidR="00CD6BD3" w:rsidRDefault="00CD6BD3" w:rsidP="004A3AD4">
      <w:pPr>
        <w:pStyle w:val="Heading5"/>
      </w:pPr>
      <w:r>
        <w:t xml:space="preserve">the Capacity purchased by the Market Participants which have been excluded </w:t>
      </w:r>
      <w:r w:rsidR="004909BB">
        <w:t xml:space="preserve">from participation </w:t>
      </w:r>
      <w:r>
        <w:t xml:space="preserve">in the Balancing Mechanism for Capacity shall be set </w:t>
      </w:r>
      <w:r w:rsidR="004909BB">
        <w:t xml:space="preserve">at </w:t>
      </w:r>
      <w:r>
        <w:t>zero [0.0]</w:t>
      </w:r>
      <w:r w:rsidR="004A3AD4">
        <w:t>;</w:t>
      </w:r>
      <w:r w:rsidR="00BC6406">
        <w:t xml:space="preserve"> </w:t>
      </w:r>
      <w:r w:rsidR="004A3AD4">
        <w:t xml:space="preserve"> and </w:t>
      </w:r>
    </w:p>
    <w:p w14:paraId="105D7958" w14:textId="25E4D89D" w:rsidR="004A3AD4" w:rsidRPr="004A3AD4" w:rsidRDefault="004909BB" w:rsidP="004A3AD4">
      <w:pPr>
        <w:pStyle w:val="Heading5"/>
      </w:pPr>
      <w:r>
        <w:rPr>
          <w:bCs/>
          <w:iCs/>
        </w:rPr>
        <w:t>t</w:t>
      </w:r>
      <w:r w:rsidR="004A3AD4">
        <w:rPr>
          <w:bCs/>
          <w:iCs/>
        </w:rPr>
        <w:t>he Capacity purchased by the Market Participants</w:t>
      </w:r>
      <w:r w:rsidR="007D4B9F">
        <w:rPr>
          <w:bCs/>
          <w:iCs/>
        </w:rPr>
        <w:t>,</w:t>
      </w:r>
      <w:r w:rsidR="004A3AD4">
        <w:rPr>
          <w:bCs/>
          <w:iCs/>
        </w:rPr>
        <w:t xml:space="preserve"> </w:t>
      </w:r>
      <w:r w:rsidR="007D4B9F">
        <w:rPr>
          <w:bCs/>
          <w:iCs/>
        </w:rPr>
        <w:t xml:space="preserve">whose </w:t>
      </w:r>
      <w:r w:rsidR="004A3AD4">
        <w:rPr>
          <w:bCs/>
          <w:iCs/>
        </w:rPr>
        <w:t xml:space="preserve">participation has been limited </w:t>
      </w:r>
      <w:r w:rsidR="007D4B9F">
        <w:rPr>
          <w:bCs/>
          <w:iCs/>
        </w:rPr>
        <w:t>under</w:t>
      </w:r>
      <w:r w:rsidR="004A3AD4">
        <w:rPr>
          <w:bCs/>
          <w:iCs/>
        </w:rPr>
        <w:t xml:space="preserve"> Clause </w:t>
      </w:r>
      <w:r w:rsidR="004A3AD4">
        <w:fldChar w:fldCharType="begin"/>
      </w:r>
      <w:r w:rsidR="004A3AD4">
        <w:instrText xml:space="preserve"> REF _Ref69734550 \w \h  \* MERGEFORMAT </w:instrText>
      </w:r>
      <w:r w:rsidR="004A3AD4">
        <w:fldChar w:fldCharType="separate"/>
      </w:r>
      <w:r w:rsidR="004A3AD4">
        <w:t>10.4.1.3</w:t>
      </w:r>
      <w:r w:rsidR="004A3AD4">
        <w:fldChar w:fldCharType="end"/>
      </w:r>
      <w:r w:rsidR="007D4B9F">
        <w:t xml:space="preserve">, </w:t>
      </w:r>
      <w:r w:rsidR="004A3AD4">
        <w:t>will be capped to such limit.</w:t>
      </w:r>
    </w:p>
    <w:p w14:paraId="5CC588DF" w14:textId="02C81FCA" w:rsidR="00CD6BD3" w:rsidRPr="00F00720" w:rsidRDefault="00CD6BD3" w:rsidP="00CD6BD3">
      <w:pPr>
        <w:pStyle w:val="Heading3"/>
      </w:pPr>
      <w:r>
        <w:t>Publications of BM</w:t>
      </w:r>
      <w:r w:rsidR="004B1C83">
        <w:t>C</w:t>
      </w:r>
      <w:r>
        <w:t xml:space="preserve"> Results</w:t>
      </w:r>
    </w:p>
    <w:p w14:paraId="2120A9EE" w14:textId="6BAD314A" w:rsidR="00CD6BD3" w:rsidRDefault="00CD6BD3" w:rsidP="005B295A">
      <w:pPr>
        <w:pStyle w:val="Heading4"/>
      </w:pPr>
      <w:r>
        <w:t xml:space="preserve">The Market Operator </w:t>
      </w:r>
      <w:r w:rsidR="00B34A5F">
        <w:t xml:space="preserve">shall </w:t>
      </w:r>
      <w:r>
        <w:t xml:space="preserve">publish, </w:t>
      </w:r>
      <w:r w:rsidR="00B34A5F">
        <w:t xml:space="preserve">on the </w:t>
      </w:r>
      <w:r w:rsidR="00BE0BB2">
        <w:t xml:space="preserve">MO </w:t>
      </w:r>
      <w:r>
        <w:t xml:space="preserve">Website, </w:t>
      </w:r>
      <w:r w:rsidR="00B34A5F">
        <w:t xml:space="preserve">the </w:t>
      </w:r>
      <w:r>
        <w:t xml:space="preserve">following information: </w:t>
      </w:r>
    </w:p>
    <w:p w14:paraId="7D23DDE8" w14:textId="79ED9991" w:rsidR="00CD6BD3" w:rsidRDefault="00607C3C" w:rsidP="00CD6BD3">
      <w:pPr>
        <w:pStyle w:val="Heading5"/>
      </w:pPr>
      <w:r>
        <w:t>t</w:t>
      </w:r>
      <w:r w:rsidR="00CD6BD3">
        <w:t>he 50 Critical Hours that were used to determine the Capacity Balances;</w:t>
      </w:r>
    </w:p>
    <w:p w14:paraId="6405144D" w14:textId="136DDAFA" w:rsidR="00CD6BD3" w:rsidRDefault="00607C3C" w:rsidP="00CD6BD3">
      <w:pPr>
        <w:pStyle w:val="Heading5"/>
      </w:pPr>
      <w:r>
        <w:t>t</w:t>
      </w:r>
      <w:r w:rsidR="00CD6BD3">
        <w:t xml:space="preserve">he Capacity </w:t>
      </w:r>
      <w:r w:rsidR="00B34A5F">
        <w:t xml:space="preserve">Requirement of </w:t>
      </w:r>
      <w:r w:rsidR="00CD6BD3">
        <w:t xml:space="preserve">each Market Participant; </w:t>
      </w:r>
    </w:p>
    <w:p w14:paraId="31E8B41A" w14:textId="6F13290A" w:rsidR="00CD6BD3" w:rsidRDefault="00607C3C" w:rsidP="00CD6BD3">
      <w:pPr>
        <w:pStyle w:val="Heading5"/>
      </w:pPr>
      <w:r>
        <w:t>t</w:t>
      </w:r>
      <w:r w:rsidR="00CD6BD3">
        <w:t xml:space="preserve">he </w:t>
      </w:r>
      <w:r w:rsidR="00B34A5F">
        <w:t xml:space="preserve">Credited </w:t>
      </w:r>
      <w:r w:rsidR="00CD6BD3">
        <w:t xml:space="preserve">Capacity </w:t>
      </w:r>
      <w:r w:rsidR="00B34A5F">
        <w:t>of</w:t>
      </w:r>
      <w:r w:rsidR="00CD6BD3">
        <w:t xml:space="preserve"> each Market Participant; </w:t>
      </w:r>
    </w:p>
    <w:p w14:paraId="47521306" w14:textId="4D1A4F41" w:rsidR="00CD6BD3" w:rsidRDefault="00607C3C" w:rsidP="00CD6BD3">
      <w:pPr>
        <w:pStyle w:val="Heading5"/>
      </w:pPr>
      <w:r>
        <w:t>t</w:t>
      </w:r>
      <w:r w:rsidR="00CD6BD3">
        <w:t xml:space="preserve">he resulting Capacity </w:t>
      </w:r>
      <w:r w:rsidR="004B1C83">
        <w:t>B</w:t>
      </w:r>
      <w:r w:rsidR="00CD6BD3">
        <w:t xml:space="preserve">alance of each Market Participant; </w:t>
      </w:r>
    </w:p>
    <w:p w14:paraId="32B0B542" w14:textId="055F5CBD" w:rsidR="00CD6BD3" w:rsidRDefault="00607C3C" w:rsidP="00CD6BD3">
      <w:pPr>
        <w:pStyle w:val="Heading5"/>
      </w:pPr>
      <w:r>
        <w:t>t</w:t>
      </w:r>
      <w:r w:rsidR="00CD6BD3">
        <w:t xml:space="preserve">he Capacity price for the corresponding settlement year, along with a report justifying the calculations performed and the parameters used in such calculations. </w:t>
      </w:r>
    </w:p>
    <w:p w14:paraId="402663EB" w14:textId="36757642" w:rsidR="00CD6BD3" w:rsidRDefault="00CD6BD3" w:rsidP="00CD6BD3">
      <w:pPr>
        <w:pStyle w:val="Heading5"/>
      </w:pPr>
      <w:r>
        <w:lastRenderedPageBreak/>
        <w:t xml:space="preserve"> </w:t>
      </w:r>
      <w:r w:rsidR="00607C3C">
        <w:t>t</w:t>
      </w:r>
      <w:commentRangeStart w:id="543"/>
      <w:r>
        <w:t>he</w:t>
      </w:r>
      <w:r w:rsidR="004B1C83">
        <w:t xml:space="preserve"> A</w:t>
      </w:r>
      <w:r>
        <w:t xml:space="preserve">mounts </w:t>
      </w:r>
      <w:r w:rsidR="004B1C83">
        <w:t>P</w:t>
      </w:r>
      <w:r>
        <w:t xml:space="preserve">ayable and </w:t>
      </w:r>
      <w:r w:rsidR="004B1C83">
        <w:t>the Amounts R</w:t>
      </w:r>
      <w:r>
        <w:t>eceivable of each Market Participant; and</w:t>
      </w:r>
      <w:commentRangeEnd w:id="543"/>
      <w:r w:rsidR="00B34A5F">
        <w:rPr>
          <w:rStyle w:val="CommentReference"/>
          <w:rFonts w:eastAsiaTheme="minorHAnsi" w:cstheme="minorBidi"/>
          <w:color w:val="1C1C1C"/>
        </w:rPr>
        <w:commentReference w:id="543"/>
      </w:r>
    </w:p>
    <w:p w14:paraId="0EC214F3" w14:textId="0BABE62A" w:rsidR="00CD6BD3" w:rsidRDefault="00607C3C" w:rsidP="00CD6BD3">
      <w:pPr>
        <w:pStyle w:val="Heading5"/>
      </w:pPr>
      <w:r>
        <w:t>t</w:t>
      </w:r>
      <w:r w:rsidR="00CD6BD3">
        <w:t>he list of Market Participants which have been excluded</w:t>
      </w:r>
      <w:r w:rsidR="00B34A5F">
        <w:t xml:space="preserve"> from participation</w:t>
      </w:r>
      <w:r w:rsidR="00CD6BD3">
        <w:t xml:space="preserve"> in the Balancing Mechanism for Capacity due to their failure </w:t>
      </w:r>
      <w:r w:rsidR="00B34A5F">
        <w:t xml:space="preserve">to provide the requisite </w:t>
      </w:r>
      <w:r w:rsidR="00CD6BD3">
        <w:t xml:space="preserve">Security Covers </w:t>
      </w:r>
    </w:p>
    <w:p w14:paraId="1BD3F807" w14:textId="0235C5EB" w:rsidR="00CD6BD3" w:rsidRPr="00F00720" w:rsidRDefault="00607C3C" w:rsidP="00CD6BD3">
      <w:pPr>
        <w:pStyle w:val="Heading5"/>
      </w:pPr>
      <w:r>
        <w:t>a</w:t>
      </w:r>
      <w:r w:rsidR="00CD6BD3">
        <w:t xml:space="preserve">ny </w:t>
      </w:r>
      <w:r w:rsidR="00B34A5F">
        <w:t>other information the Market Operator deems appropriate</w:t>
      </w:r>
      <w:r w:rsidR="00CD6BD3">
        <w:t xml:space="preserve">.  </w:t>
      </w:r>
    </w:p>
    <w:p w14:paraId="2DDEED3A" w14:textId="0D709649" w:rsidR="00CD6BD3" w:rsidRDefault="00CD6BD3" w:rsidP="005B295A">
      <w:pPr>
        <w:pStyle w:val="Heading4"/>
      </w:pPr>
      <w:r>
        <w:t xml:space="preserve">Following information shall be </w:t>
      </w:r>
      <w:r w:rsidR="00B34A5F">
        <w:t xml:space="preserve">made </w:t>
      </w:r>
      <w:r>
        <w:t xml:space="preserve">available to each </w:t>
      </w:r>
      <w:r w:rsidR="00B34A5F">
        <w:t xml:space="preserve">relevant </w:t>
      </w:r>
      <w:r>
        <w:t xml:space="preserve">Market </w:t>
      </w:r>
      <w:r w:rsidR="00B34A5F">
        <w:t>Participant:</w:t>
      </w:r>
    </w:p>
    <w:p w14:paraId="5C3F84E3" w14:textId="2672A3F2" w:rsidR="00CD6BD3" w:rsidRDefault="00607C3C" w:rsidP="00CD6BD3">
      <w:pPr>
        <w:pStyle w:val="Heading5"/>
      </w:pPr>
      <w:r>
        <w:t>t</w:t>
      </w:r>
      <w:r w:rsidR="00CD6BD3">
        <w:t xml:space="preserve">he details of the Capacity </w:t>
      </w:r>
      <w:r w:rsidR="00B34A5F">
        <w:t xml:space="preserve">Requirement </w:t>
      </w:r>
      <w:r w:rsidR="00CD6BD3">
        <w:t xml:space="preserve">at each of the Critical Hours, and the </w:t>
      </w:r>
      <w:r w:rsidR="00B34A5F">
        <w:t>metering data</w:t>
      </w:r>
      <w:r w:rsidR="00CD6BD3">
        <w:t xml:space="preserve"> that was used for determining the Capacity </w:t>
      </w:r>
      <w:r w:rsidR="00B34A5F">
        <w:t xml:space="preserve">Requirement </w:t>
      </w:r>
      <w:r w:rsidR="00CD6BD3">
        <w:t>of such Market Participant;</w:t>
      </w:r>
    </w:p>
    <w:p w14:paraId="0BD9E8DC" w14:textId="44A47B3B" w:rsidR="00CD6BD3" w:rsidRDefault="00607C3C" w:rsidP="00CD6BD3">
      <w:pPr>
        <w:pStyle w:val="Heading5"/>
      </w:pPr>
      <w:r>
        <w:t>t</w:t>
      </w:r>
      <w:r w:rsidR="00CD6BD3">
        <w:t xml:space="preserve">he details of the </w:t>
      </w:r>
      <w:r w:rsidR="00B34A5F">
        <w:t xml:space="preserve">Credited </w:t>
      </w:r>
      <w:r w:rsidR="00CD6BD3">
        <w:t>Capacity at each of the Critical Hours</w:t>
      </w:r>
      <w:r w:rsidR="00B34A5F">
        <w:t>,</w:t>
      </w:r>
      <w:r w:rsidR="00CD6BD3">
        <w:t xml:space="preserve"> and the </w:t>
      </w:r>
      <w:r w:rsidR="00B34A5F">
        <w:t xml:space="preserve">availability of </w:t>
      </w:r>
      <w:r w:rsidR="00CD6BD3">
        <w:t xml:space="preserve">Generation Units </w:t>
      </w:r>
      <w:r w:rsidR="004A3AD4">
        <w:t>or the actual Generation, as the case may be,</w:t>
      </w:r>
      <w:r w:rsidR="00CD6BD3">
        <w:t xml:space="preserve"> </w:t>
      </w:r>
      <w:r w:rsidR="004A3AD4">
        <w:t xml:space="preserve">communicated by the System Operator </w:t>
      </w:r>
      <w:r w:rsidR="00CD6BD3">
        <w:t xml:space="preserve">that was used for determining the </w:t>
      </w:r>
      <w:r w:rsidR="004B1C83">
        <w:t xml:space="preserve">Credited </w:t>
      </w:r>
      <w:r w:rsidR="00CD6BD3">
        <w:t xml:space="preserve">Capacity </w:t>
      </w:r>
      <w:r w:rsidR="00CF30B9">
        <w:t>of</w:t>
      </w:r>
      <w:r w:rsidR="00CD6BD3">
        <w:t xml:space="preserve"> such Market Participant.</w:t>
      </w:r>
    </w:p>
    <w:p w14:paraId="3806E6D6" w14:textId="0C4EC387" w:rsidR="008F1827" w:rsidRDefault="008F1827" w:rsidP="00CD6BD3">
      <w:pPr>
        <w:pStyle w:val="Heading2"/>
      </w:pPr>
      <w:bookmarkStart w:id="544" w:name="_Toc69477002"/>
      <w:r>
        <w:t>Actions after Execution of the BMC</w:t>
      </w:r>
      <w:bookmarkEnd w:id="544"/>
    </w:p>
    <w:p w14:paraId="00FF2957" w14:textId="751863B7" w:rsidR="00CD6BD3" w:rsidRPr="00EB1EBE" w:rsidRDefault="008F1827" w:rsidP="008F1827">
      <w:pPr>
        <w:pStyle w:val="Heading3"/>
      </w:pPr>
      <w:r>
        <w:t xml:space="preserve">Verification </w:t>
      </w:r>
      <w:r w:rsidR="00B34A5F">
        <w:t xml:space="preserve">of </w:t>
      </w:r>
      <w:r w:rsidR="00CD6BD3" w:rsidRPr="009C0BF8">
        <w:t xml:space="preserve">Compliance with </w:t>
      </w:r>
      <w:r w:rsidR="00CD6BD3">
        <w:t xml:space="preserve">the </w:t>
      </w:r>
      <w:r w:rsidR="00CD6BD3" w:rsidRPr="00EB1EBE">
        <w:t xml:space="preserve">Ex-Post Capacity Obligations </w:t>
      </w:r>
    </w:p>
    <w:p w14:paraId="0D115D4A" w14:textId="63948381" w:rsidR="00224826" w:rsidRDefault="002F5F15" w:rsidP="005B295A">
      <w:pPr>
        <w:pStyle w:val="Heading4"/>
      </w:pPr>
      <w:r>
        <w:t>After closing of the Balancing Mechanism for Capacity in a year, t</w:t>
      </w:r>
      <w:r w:rsidR="00CD6BD3" w:rsidRPr="00D04CBD">
        <w:t>he Market Operator shall verify compliance</w:t>
      </w:r>
      <w:r>
        <w:t xml:space="preserve"> of all Market Participants</w:t>
      </w:r>
      <w:r w:rsidR="00CD6BD3" w:rsidRPr="00D04CBD">
        <w:t xml:space="preserve"> with the ex-post Capacity Obligations. </w:t>
      </w:r>
    </w:p>
    <w:p w14:paraId="0325930F" w14:textId="5385D630" w:rsidR="00CD6BD3" w:rsidRPr="00D04CBD" w:rsidRDefault="00CD6BD3" w:rsidP="005B295A">
      <w:pPr>
        <w:pStyle w:val="Heading4"/>
      </w:pPr>
      <w:bookmarkStart w:id="545" w:name="_Ref76910548"/>
      <w:r w:rsidRPr="00D04CBD">
        <w:t xml:space="preserve">Non-compliance with </w:t>
      </w:r>
      <w:r w:rsidR="002F5F15">
        <w:t>the Capacity Obligations</w:t>
      </w:r>
      <w:r w:rsidRPr="00D04CBD">
        <w:t xml:space="preserve"> may arise due to any of the following reasons:</w:t>
      </w:r>
      <w:bookmarkEnd w:id="545"/>
      <w:r w:rsidRPr="00D04CBD">
        <w:t xml:space="preserve"> </w:t>
      </w:r>
    </w:p>
    <w:p w14:paraId="5387665D" w14:textId="332FA4BA" w:rsidR="00CD6BD3" w:rsidRPr="00224826" w:rsidRDefault="00CD6BD3" w:rsidP="00CD6BD3">
      <w:pPr>
        <w:pStyle w:val="Heading5"/>
      </w:pPr>
      <w:r w:rsidRPr="00224826">
        <w:t xml:space="preserve">The </w:t>
      </w:r>
      <w:r w:rsidR="004A3AD4" w:rsidRPr="00224826">
        <w:t>Balancing Mechanism</w:t>
      </w:r>
      <w:r w:rsidRPr="00224826">
        <w:t xml:space="preserve"> for Capacity closed with a total amount of Capacity sold and purchased</w:t>
      </w:r>
      <w:r w:rsidR="002F5F15">
        <w:t>,</w:t>
      </w:r>
      <w:r w:rsidRPr="00224826">
        <w:t xml:space="preserve"> which was not enough to cover the Capacity </w:t>
      </w:r>
      <w:r w:rsidR="002F5F15">
        <w:t>R</w:t>
      </w:r>
      <w:r w:rsidRPr="00224826">
        <w:t>equirement</w:t>
      </w:r>
      <w:r w:rsidR="002F5F15">
        <w:t>s</w:t>
      </w:r>
      <w:r w:rsidRPr="00224826">
        <w:t xml:space="preserve"> of the Market Participants with negative Capacity </w:t>
      </w:r>
      <w:r w:rsidR="00CF30B9">
        <w:t>B</w:t>
      </w:r>
      <w:r w:rsidRPr="00224826">
        <w:t xml:space="preserve">alances, as </w:t>
      </w:r>
      <w:r w:rsidR="002F5F15">
        <w:t>set out</w:t>
      </w:r>
      <w:r w:rsidR="002F5F15" w:rsidRPr="00224826">
        <w:t xml:space="preserve"> </w:t>
      </w:r>
      <w:r w:rsidRPr="00224826">
        <w:t xml:space="preserve">in Clause </w:t>
      </w:r>
      <w:r w:rsidRPr="00224826">
        <w:fldChar w:fldCharType="begin"/>
      </w:r>
      <w:r w:rsidRPr="00224826">
        <w:instrText xml:space="preserve"> REF _Ref68559196 \w \h  \* MERGEFORMAT </w:instrText>
      </w:r>
      <w:r w:rsidRPr="00224826">
        <w:fldChar w:fldCharType="separate"/>
      </w:r>
      <w:r w:rsidR="00251DBF">
        <w:t>10.2.8.1.a)</w:t>
      </w:r>
      <w:r w:rsidRPr="00224826">
        <w:fldChar w:fldCharType="end"/>
      </w:r>
      <w:r w:rsidRPr="00224826">
        <w:t>;</w:t>
      </w:r>
    </w:p>
    <w:p w14:paraId="0C6ED54F" w14:textId="399DAC10" w:rsidR="00CD6BD3" w:rsidRDefault="00CD6BD3" w:rsidP="004A3AD4">
      <w:pPr>
        <w:pStyle w:val="Heading5"/>
      </w:pPr>
      <w:r w:rsidRPr="00224826">
        <w:t xml:space="preserve">A Market Participant, with negative Capacity </w:t>
      </w:r>
      <w:r w:rsidR="00CF30B9">
        <w:t>B</w:t>
      </w:r>
      <w:r w:rsidRPr="00224826">
        <w:t xml:space="preserve">alance, was excluded to participate in the Balancing Mechanism for Capacity due to failure </w:t>
      </w:r>
      <w:r w:rsidR="002F5F15">
        <w:t>to provide the requisite</w:t>
      </w:r>
      <w:r w:rsidRPr="00224826">
        <w:t xml:space="preserve"> Security Cover </w:t>
      </w:r>
      <w:r w:rsidR="002F5F15">
        <w:t>as required</w:t>
      </w:r>
      <w:r w:rsidR="002F5F15" w:rsidRPr="00224826">
        <w:t xml:space="preserve"> </w:t>
      </w:r>
      <w:r w:rsidRPr="00224826">
        <w:t>by the Market Operator.</w:t>
      </w:r>
    </w:p>
    <w:p w14:paraId="3B524971" w14:textId="30B89449" w:rsidR="004A3AD4" w:rsidRDefault="004A3AD4" w:rsidP="004A3AD4">
      <w:pPr>
        <w:pStyle w:val="Heading5"/>
      </w:pPr>
      <w:r w:rsidRPr="00224826">
        <w:t xml:space="preserve">A Market Participant, with negative Capacity </w:t>
      </w:r>
      <w:r>
        <w:t>B</w:t>
      </w:r>
      <w:r w:rsidRPr="00224826">
        <w:t xml:space="preserve">alance, </w:t>
      </w:r>
      <w:r w:rsidR="002F5F15">
        <w:t xml:space="preserve">whose participation in </w:t>
      </w:r>
      <w:r w:rsidRPr="00224826">
        <w:t xml:space="preserve">the Balancing Mechanism for Capacity </w:t>
      </w:r>
      <w:r w:rsidR="002F5F15">
        <w:t xml:space="preserve">was limited </w:t>
      </w:r>
      <w:r w:rsidRPr="00224826">
        <w:t xml:space="preserve">due to failure in </w:t>
      </w:r>
      <w:r w:rsidR="002F5F15">
        <w:t>providing</w:t>
      </w:r>
      <w:r w:rsidR="002F5F15" w:rsidRPr="00224826">
        <w:t xml:space="preserve"> </w:t>
      </w:r>
      <w:r w:rsidRPr="00224826">
        <w:t xml:space="preserve">the </w:t>
      </w:r>
      <w:r>
        <w:t>full amount of</w:t>
      </w:r>
      <w:r w:rsidRPr="00224826">
        <w:t xml:space="preserve"> Security Cover </w:t>
      </w:r>
      <w:r w:rsidR="002F5F15">
        <w:t>as required</w:t>
      </w:r>
      <w:r w:rsidR="002F5F15" w:rsidRPr="00224826">
        <w:t xml:space="preserve"> </w:t>
      </w:r>
      <w:r w:rsidRPr="00224826">
        <w:t>by the Market Operator</w:t>
      </w:r>
      <w:r>
        <w:t>.</w:t>
      </w:r>
    </w:p>
    <w:p w14:paraId="7271DF3C" w14:textId="097C5785" w:rsidR="00544F73" w:rsidRPr="003018FA" w:rsidRDefault="00544F73" w:rsidP="00B03C4A">
      <w:pPr>
        <w:pStyle w:val="Heading4"/>
      </w:pPr>
      <w:r>
        <w:t xml:space="preserve">Any Non-compliance with the ex-post Capacity Obligations as per Clause </w:t>
      </w:r>
      <w:r>
        <w:fldChar w:fldCharType="begin"/>
      </w:r>
      <w:r>
        <w:instrText xml:space="preserve"> REF _Ref76910548 \w \h </w:instrText>
      </w:r>
      <w:r>
        <w:fldChar w:fldCharType="separate"/>
      </w:r>
      <w:r>
        <w:t>10.5.1.2</w:t>
      </w:r>
      <w:r>
        <w:fldChar w:fldCharType="end"/>
      </w:r>
      <w:r>
        <w:t xml:space="preserve"> shall be dealt in accordance with the provisions of Clause </w:t>
      </w:r>
      <w:r>
        <w:fldChar w:fldCharType="begin"/>
      </w:r>
      <w:r>
        <w:instrText xml:space="preserve"> REF _Ref76910777 \w \h </w:instrText>
      </w:r>
      <w:r>
        <w:fldChar w:fldCharType="separate"/>
      </w:r>
      <w:r>
        <w:t>11.4.4.6</w:t>
      </w:r>
      <w:r>
        <w:fldChar w:fldCharType="end"/>
      </w:r>
      <w:r>
        <w:t>.</w:t>
      </w:r>
    </w:p>
    <w:p w14:paraId="12F9E1D0" w14:textId="341D82E5" w:rsidR="00CD6BD3" w:rsidRPr="00224826" w:rsidRDefault="00224826" w:rsidP="005B295A">
      <w:pPr>
        <w:pStyle w:val="Heading4"/>
      </w:pPr>
      <w:r w:rsidRPr="00224826">
        <w:t xml:space="preserve">In </w:t>
      </w:r>
      <w:r w:rsidR="002F5F15">
        <w:t xml:space="preserve">all </w:t>
      </w:r>
      <w:r w:rsidRPr="00224826">
        <w:t>cases</w:t>
      </w:r>
      <w:r w:rsidR="002F5F15">
        <w:t xml:space="preserve"> other than as provided in Clause </w:t>
      </w:r>
      <w:r w:rsidR="00607C3C">
        <w:fldChar w:fldCharType="begin"/>
      </w:r>
      <w:r w:rsidR="00607C3C">
        <w:instrText xml:space="preserve"> REF _Ref76910548 \w \h </w:instrText>
      </w:r>
      <w:r w:rsidR="00607C3C">
        <w:fldChar w:fldCharType="separate"/>
      </w:r>
      <w:r w:rsidR="00607C3C">
        <w:t>10.5.1.2</w:t>
      </w:r>
      <w:r w:rsidR="00607C3C">
        <w:fldChar w:fldCharType="end"/>
      </w:r>
      <w:r w:rsidR="00607C3C">
        <w:t xml:space="preserve"> </w:t>
      </w:r>
      <w:r w:rsidR="002F5F15">
        <w:t>above,</w:t>
      </w:r>
      <w:r w:rsidRPr="00224826">
        <w:t xml:space="preserve"> compliance</w:t>
      </w:r>
      <w:r w:rsidR="002F5F15">
        <w:t xml:space="preserve"> of all Market Participants</w:t>
      </w:r>
      <w:r w:rsidRPr="00224826">
        <w:t xml:space="preserve"> with Ex-post Capacity Obligations shall be considered fulfilled.</w:t>
      </w:r>
    </w:p>
    <w:p w14:paraId="0E36CC8F" w14:textId="77777777" w:rsidR="00CD6BD3" w:rsidRPr="00350A8C" w:rsidRDefault="00CD6BD3" w:rsidP="00CD6BD3">
      <w:pPr>
        <w:pStyle w:val="Heading3"/>
      </w:pPr>
      <w:r w:rsidRPr="00350A8C">
        <w:t>Update of the Status of Firm Capacity Certificates</w:t>
      </w:r>
    </w:p>
    <w:p w14:paraId="7832058E" w14:textId="45C4E6F7" w:rsidR="008A05F3" w:rsidRPr="00350A8C" w:rsidRDefault="007010C5" w:rsidP="005B295A">
      <w:pPr>
        <w:pStyle w:val="Heading4"/>
      </w:pPr>
      <w:r>
        <w:t xml:space="preserve">After </w:t>
      </w:r>
      <w:r w:rsidR="00703861">
        <w:t>closing</w:t>
      </w:r>
      <w:r>
        <w:t xml:space="preserve"> of the Balancing Mechanism for Capacity, the </w:t>
      </w:r>
      <w:r w:rsidR="008F1827" w:rsidRPr="00350A8C">
        <w:t xml:space="preserve">Market Operator shall </w:t>
      </w:r>
      <w:r w:rsidR="00703861">
        <w:t xml:space="preserve">make an adjustment </w:t>
      </w:r>
      <w:r w:rsidR="00E505B2">
        <w:t xml:space="preserve">in </w:t>
      </w:r>
      <w:r w:rsidR="008F1827" w:rsidRPr="00350A8C">
        <w:t>the Firm Capacity Certificates</w:t>
      </w:r>
      <w:r w:rsidR="008A05F3" w:rsidRPr="00350A8C">
        <w:t xml:space="preserve">, which </w:t>
      </w:r>
      <w:r w:rsidR="00703861">
        <w:t>were</w:t>
      </w:r>
      <w:r w:rsidR="008A05F3" w:rsidRPr="00350A8C">
        <w:t xml:space="preserve"> blocked for backing </w:t>
      </w:r>
      <w:r w:rsidR="00703861">
        <w:t xml:space="preserve">a </w:t>
      </w:r>
      <w:r>
        <w:t xml:space="preserve">Load Following or Customized Contract </w:t>
      </w:r>
      <w:r w:rsidR="008A05F3" w:rsidRPr="00350A8C">
        <w:t xml:space="preserve">with </w:t>
      </w:r>
      <w:r w:rsidR="00703861">
        <w:t xml:space="preserve">a </w:t>
      </w:r>
      <w:r w:rsidR="008A05F3" w:rsidRPr="00350A8C">
        <w:t xml:space="preserve">BPC. </w:t>
      </w:r>
    </w:p>
    <w:p w14:paraId="67523960" w14:textId="229FAFC6" w:rsidR="00CD6BD3" w:rsidRPr="00350A8C" w:rsidRDefault="008A05F3" w:rsidP="005B295A">
      <w:pPr>
        <w:pStyle w:val="Heading4"/>
      </w:pPr>
      <w:r w:rsidRPr="00350A8C">
        <w:t xml:space="preserve">To </w:t>
      </w:r>
      <w:r w:rsidR="00703861">
        <w:t xml:space="preserve">make this </w:t>
      </w:r>
      <w:r w:rsidRPr="00350A8C">
        <w:t xml:space="preserve">adjustment, the Market Operator shall: </w:t>
      </w:r>
    </w:p>
    <w:p w14:paraId="58701740" w14:textId="6D15F88D" w:rsidR="00CD6BD3" w:rsidRPr="00350A8C" w:rsidRDefault="00277945" w:rsidP="00CD6BD3">
      <w:pPr>
        <w:pStyle w:val="Heading5"/>
      </w:pPr>
      <w:r>
        <w:t xml:space="preserve">upon request of the concerned Market Participant, </w:t>
      </w:r>
      <w:r w:rsidR="00703861">
        <w:t>c</w:t>
      </w:r>
      <w:r w:rsidR="00CD6BD3" w:rsidRPr="00350A8C">
        <w:t xml:space="preserve">hange the </w:t>
      </w:r>
      <w:r w:rsidR="00703861">
        <w:t>s</w:t>
      </w:r>
      <w:r w:rsidR="00CD6BD3" w:rsidRPr="00350A8C">
        <w:t>tatus of the Firm Capacity Certificates</w:t>
      </w:r>
      <w:r w:rsidR="00703861">
        <w:t>,</w:t>
      </w:r>
      <w:r w:rsidR="00CD6BD3" w:rsidRPr="00350A8C">
        <w:t xml:space="preserve"> which </w:t>
      </w:r>
      <w:r w:rsidR="00703861">
        <w:t>were</w:t>
      </w:r>
      <w:r w:rsidR="00CD6BD3" w:rsidRPr="00350A8C">
        <w:t xml:space="preserve"> used to back </w:t>
      </w:r>
      <w:r w:rsidR="008A05F3" w:rsidRPr="00350A8C">
        <w:t xml:space="preserve"> up</w:t>
      </w:r>
      <w:r w:rsidR="00CD6BD3" w:rsidRPr="00350A8C">
        <w:t xml:space="preserve"> </w:t>
      </w:r>
      <w:r w:rsidR="00703861">
        <w:t xml:space="preserve">a </w:t>
      </w:r>
      <w:r w:rsidR="007C52CC">
        <w:t xml:space="preserve">Standardized </w:t>
      </w:r>
      <w:r w:rsidR="00CD6BD3" w:rsidRPr="00350A8C">
        <w:t xml:space="preserve">Load Following Supply Contract or </w:t>
      </w:r>
      <w:r w:rsidR="00703861">
        <w:t xml:space="preserve">a </w:t>
      </w:r>
      <w:r w:rsidR="00CD6BD3" w:rsidRPr="00350A8C">
        <w:t>Customized Contract pursuant</w:t>
      </w:r>
      <w:r w:rsidR="00703861">
        <w:t xml:space="preserve"> to </w:t>
      </w:r>
      <w:r w:rsidR="00CD6BD3" w:rsidRPr="00350A8C">
        <w:t xml:space="preserve"> Clauses </w:t>
      </w:r>
      <w:r w:rsidR="00CD6BD3" w:rsidRPr="00350A8C">
        <w:fldChar w:fldCharType="begin"/>
      </w:r>
      <w:r w:rsidR="00CD6BD3" w:rsidRPr="00350A8C">
        <w:instrText xml:space="preserve"> REF _Ref55044370 \w \h  \* MERGEFORMAT </w:instrText>
      </w:r>
      <w:r w:rsidR="00CD6BD3" w:rsidRPr="00350A8C">
        <w:fldChar w:fldCharType="separate"/>
      </w:r>
      <w:r w:rsidR="00251DBF">
        <w:t>4.3.3.3.c)</w:t>
      </w:r>
      <w:r w:rsidR="00CD6BD3" w:rsidRPr="00350A8C">
        <w:fldChar w:fldCharType="end"/>
      </w:r>
      <w:r w:rsidR="00CD6BD3" w:rsidRPr="00350A8C">
        <w:t xml:space="preserve"> or </w:t>
      </w:r>
      <w:r w:rsidR="00CD6BD3" w:rsidRPr="00350A8C">
        <w:fldChar w:fldCharType="begin"/>
      </w:r>
      <w:r w:rsidR="00CD6BD3" w:rsidRPr="00350A8C">
        <w:instrText xml:space="preserve"> REF _Ref55046308 \w \h  \* MERGEFORMAT </w:instrText>
      </w:r>
      <w:r w:rsidR="00CD6BD3" w:rsidRPr="00350A8C">
        <w:fldChar w:fldCharType="separate"/>
      </w:r>
      <w:r w:rsidR="00251DBF">
        <w:t>4.4.3.4</w:t>
      </w:r>
      <w:r w:rsidR="00CD6BD3" w:rsidRPr="00350A8C">
        <w:fldChar w:fldCharType="end"/>
      </w:r>
      <w:r w:rsidR="00CD6BD3" w:rsidRPr="00350A8C">
        <w:t xml:space="preserve">, </w:t>
      </w:r>
      <w:r w:rsidR="00CD6BD3" w:rsidRPr="00350A8C">
        <w:lastRenderedPageBreak/>
        <w:t xml:space="preserve">as </w:t>
      </w:r>
      <w:r w:rsidR="00703861">
        <w:t>the case may be</w:t>
      </w:r>
      <w:r w:rsidR="00CD6BD3" w:rsidRPr="00350A8C">
        <w:t>,</w:t>
      </w:r>
      <w:r w:rsidR="00A83BAF">
        <w:t xml:space="preserve"> from “Blocked” </w:t>
      </w:r>
      <w:r w:rsidR="00A83BAF" w:rsidRPr="00350A8C">
        <w:t>to “Available”</w:t>
      </w:r>
      <w:r w:rsidR="00CD6BD3" w:rsidRPr="00350A8C">
        <w:t>;</w:t>
      </w:r>
    </w:p>
    <w:p w14:paraId="6651ACD3" w14:textId="195E98A8" w:rsidR="008A05F3" w:rsidRPr="00350A8C" w:rsidRDefault="00AE6888" w:rsidP="00CD6BD3">
      <w:pPr>
        <w:pStyle w:val="Heading5"/>
      </w:pPr>
      <w:bookmarkStart w:id="546" w:name="_Ref76060694"/>
      <w:r>
        <w:t>determine</w:t>
      </w:r>
      <w:r w:rsidR="00CD6BD3" w:rsidRPr="00350A8C">
        <w:t xml:space="preserve"> the </w:t>
      </w:r>
      <w:r>
        <w:t xml:space="preserve">requisite number of </w:t>
      </w:r>
      <w:r w:rsidR="00CD6BD3" w:rsidRPr="00350A8C">
        <w:t xml:space="preserve">Firm Capacity Certificates that </w:t>
      </w:r>
      <w:r w:rsidR="008A05F3" w:rsidRPr="00350A8C">
        <w:t xml:space="preserve">the Competitive </w:t>
      </w:r>
      <w:r w:rsidR="00BF564D">
        <w:t>Electric Power Supplier</w:t>
      </w:r>
      <w:r w:rsidR="008A05F3" w:rsidRPr="00350A8C">
        <w:t xml:space="preserve"> </w:t>
      </w:r>
      <w:r>
        <w:t xml:space="preserve">needs </w:t>
      </w:r>
      <w:r w:rsidR="008A05F3" w:rsidRPr="00350A8C">
        <w:t xml:space="preserve">to back up the </w:t>
      </w:r>
      <w:r w:rsidR="00A83BAF">
        <w:t xml:space="preserve">registered </w:t>
      </w:r>
      <w:r w:rsidR="008A05F3" w:rsidRPr="00350A8C">
        <w:t xml:space="preserve">Contracts, </w:t>
      </w:r>
      <w:r>
        <w:t>wherein</w:t>
      </w:r>
      <w:r w:rsidR="008A05F3" w:rsidRPr="00350A8C">
        <w:t xml:space="preserve"> the Capacity sold is depend</w:t>
      </w:r>
      <w:r w:rsidR="00311415" w:rsidRPr="00350A8C">
        <w:t>a</w:t>
      </w:r>
      <w:r w:rsidR="008A05F3" w:rsidRPr="00350A8C">
        <w:t xml:space="preserve">nt </w:t>
      </w:r>
      <w:r>
        <w:t>on</w:t>
      </w:r>
      <w:r w:rsidRPr="00350A8C">
        <w:t xml:space="preserve"> </w:t>
      </w:r>
      <w:r w:rsidR="008A05F3" w:rsidRPr="00350A8C">
        <w:t>the Capacity demanded by the BPC</w:t>
      </w:r>
      <w:r>
        <w:t>s</w:t>
      </w:r>
      <w:r w:rsidR="008A05F3" w:rsidRPr="00350A8C">
        <w:t xml:space="preserve">. </w:t>
      </w:r>
      <w:r w:rsidR="00311415" w:rsidRPr="00350A8C">
        <w:t xml:space="preserve">The Market Operator shall determine such </w:t>
      </w:r>
      <w:r>
        <w:t>number</w:t>
      </w:r>
      <w:r w:rsidRPr="00350A8C">
        <w:t xml:space="preserve"> </w:t>
      </w:r>
      <w:r w:rsidR="00311415" w:rsidRPr="00350A8C">
        <w:t>as</w:t>
      </w:r>
      <w:r w:rsidR="00466559">
        <w:t>:</w:t>
      </w:r>
      <w:bookmarkEnd w:id="546"/>
      <w:r w:rsidR="00311415" w:rsidRPr="00350A8C">
        <w:t xml:space="preserve"> </w:t>
      </w:r>
    </w:p>
    <w:p w14:paraId="78608E3D" w14:textId="12EF51BF" w:rsidR="00311415" w:rsidRPr="003A3854" w:rsidRDefault="004D6075" w:rsidP="00311415">
      <w:pPr>
        <w:ind w:left="1276"/>
        <w:jc w:val="center"/>
        <w:rPr>
          <w:rFonts w:eastAsia="Times New Roman" w:cs="Times New Roman"/>
        </w:rPr>
      </w:pPr>
      <m:oMathPara>
        <m:oMath>
          <m:sSub>
            <m:sSubPr>
              <m:ctrlPr>
                <w:rPr>
                  <w:rFonts w:ascii="Cambria Math" w:hAnsi="Cambria Math"/>
                  <w:i/>
                </w:rPr>
              </m:ctrlPr>
            </m:sSubPr>
            <m:e>
              <m:r>
                <w:rPr>
                  <w:rFonts w:ascii="Cambria Math" w:hAnsi="Cambria Math"/>
                </w:rPr>
                <m:t>CS_CR</m:t>
              </m:r>
            </m:e>
            <m:sub>
              <m:r>
                <w:rPr>
                  <w:rFonts w:ascii="Cambria Math" w:hAnsi="Cambria Math"/>
                </w:rPr>
                <m:t>j</m:t>
              </m:r>
            </m:sub>
          </m:sSub>
          <m:d>
            <m:dPr>
              <m:begChr m:val="["/>
              <m:endChr m:val="]"/>
              <m:ctrlPr>
                <w:rPr>
                  <w:rFonts w:ascii="Cambria Math" w:hAnsi="Cambria Math"/>
                  <w:i/>
                </w:rPr>
              </m:ctrlPr>
            </m:dPr>
            <m:e>
              <m:r>
                <w:rPr>
                  <w:rFonts w:ascii="Cambria Math" w:hAnsi="Cambria Math"/>
                </w:rPr>
                <m:t>MW</m:t>
              </m:r>
            </m:e>
          </m:d>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∀h∈SPH</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BPC</m:t>
                      </m:r>
                    </m:e>
                    <m:sub>
                      <m:r>
                        <w:rPr>
                          <w:rFonts w:ascii="Cambria Math" w:hAnsi="Cambria Math"/>
                        </w:rPr>
                        <m:t>i,j</m:t>
                      </m:r>
                    </m:sub>
                  </m:sSub>
                </m:sub>
                <m:sup/>
                <m:e>
                  <m:sSub>
                    <m:sSubPr>
                      <m:ctrlPr>
                        <w:rPr>
                          <w:rFonts w:ascii="Cambria Math" w:hAnsi="Cambria Math"/>
                        </w:rPr>
                      </m:ctrlPr>
                    </m:sSubPr>
                    <m:e>
                      <m:r>
                        <w:rPr>
                          <w:rFonts w:ascii="Cambria Math" w:hAnsi="Cambria Math"/>
                          <w:lang w:val="en-US"/>
                        </w:rPr>
                        <m:t>Act</m:t>
                      </m:r>
                      <m:r>
                        <m:rPr>
                          <m:sty m:val="p"/>
                        </m:rPr>
                        <w:rPr>
                          <w:rFonts w:ascii="Cambria Math" w:hAnsi="Cambria Math"/>
                          <w:lang w:val="en-US"/>
                        </w:rPr>
                        <m:t>_</m:t>
                      </m:r>
                      <m:r>
                        <w:rPr>
                          <w:rFonts w:ascii="Cambria Math" w:hAnsi="Cambria Math"/>
                        </w:rPr>
                        <m:t>E</m:t>
                      </m:r>
                    </m:e>
                    <m:sub>
                      <m:r>
                        <w:rPr>
                          <w:rFonts w:ascii="Cambria Math" w:hAnsi="Cambria Math"/>
                        </w:rPr>
                        <m:t>i</m:t>
                      </m:r>
                      <m:r>
                        <m:rPr>
                          <m:sty m:val="p"/>
                        </m:rPr>
                        <w:rPr>
                          <w:rFonts w:ascii="Cambria Math" w:hAnsi="Cambria Math"/>
                          <w:lang w:val="en-US"/>
                        </w:rPr>
                        <m:t>,j,</m:t>
                      </m:r>
                      <m:r>
                        <w:rPr>
                          <w:rFonts w:ascii="Cambria Math" w:hAnsi="Cambria Math"/>
                          <w:lang w:val="en-US"/>
                        </w:rPr>
                        <m:t>h</m:t>
                      </m:r>
                    </m:sub>
                  </m:sSub>
                </m:e>
              </m:nary>
            </m:e>
          </m:d>
        </m:oMath>
      </m:oMathPara>
    </w:p>
    <w:p w14:paraId="2B3DBCB0" w14:textId="77777777" w:rsidR="00311415" w:rsidRPr="003A3854" w:rsidRDefault="00311415" w:rsidP="00311415">
      <w:pPr>
        <w:pStyle w:val="BodyText"/>
        <w:ind w:left="3544" w:hanging="992"/>
      </w:pPr>
      <w:r w:rsidRPr="003A3854">
        <w:t xml:space="preserve">Where: </w:t>
      </w:r>
    </w:p>
    <w:p w14:paraId="7A7C6F98" w14:textId="31303486" w:rsidR="00311415" w:rsidRPr="003A3854" w:rsidRDefault="00311415" w:rsidP="008625E9">
      <w:pPr>
        <w:pStyle w:val="BodyText"/>
        <w:ind w:left="3686" w:hanging="1134"/>
      </w:pPr>
      <w:r w:rsidRPr="003A3854">
        <w:rPr>
          <w:i/>
          <w:iCs/>
        </w:rPr>
        <w:t>CS_CR</w:t>
      </w:r>
      <w:r w:rsidRPr="003A3854">
        <w:rPr>
          <w:i/>
          <w:iCs/>
          <w:vertAlign w:val="subscript"/>
        </w:rPr>
        <w:t>j</w:t>
      </w:r>
      <w:r w:rsidRPr="003A3854">
        <w:rPr>
          <w:i/>
          <w:iCs/>
        </w:rPr>
        <w:tab/>
      </w:r>
      <w:r w:rsidRPr="003A3854">
        <w:t xml:space="preserve">is the amount of Capacity required by the Competitive </w:t>
      </w:r>
      <w:r w:rsidR="00BF564D">
        <w:t>Electric Power Supplier</w:t>
      </w:r>
      <w:r w:rsidRPr="003A3854">
        <w:t xml:space="preserve"> “i” to back up the Contracts with BPCs, </w:t>
      </w:r>
      <w:r w:rsidR="00A83BAF">
        <w:t>in which</w:t>
      </w:r>
      <w:r w:rsidRPr="003A3854">
        <w:t xml:space="preserve"> the Capacity sold is dependant </w:t>
      </w:r>
      <w:r w:rsidR="00A83BAF">
        <w:t>on</w:t>
      </w:r>
      <w:r w:rsidR="00A83BAF" w:rsidRPr="003A3854">
        <w:t xml:space="preserve"> </w:t>
      </w:r>
      <w:r w:rsidRPr="003A3854">
        <w:t xml:space="preserve">the Capacity </w:t>
      </w:r>
      <w:r w:rsidR="00A83BAF">
        <w:t>taken</w:t>
      </w:r>
      <w:r w:rsidR="00A83BAF" w:rsidRPr="003A3854">
        <w:t xml:space="preserve"> </w:t>
      </w:r>
      <w:r w:rsidRPr="003A3854">
        <w:t>by the BPC, in MW;</w:t>
      </w:r>
    </w:p>
    <w:p w14:paraId="30C465B9" w14:textId="570A73A1" w:rsidR="00311415" w:rsidRPr="003A3854" w:rsidRDefault="00311415" w:rsidP="008625E9">
      <w:pPr>
        <w:pStyle w:val="BodyText"/>
        <w:ind w:left="3686" w:hanging="1134"/>
      </w:pPr>
      <w:r w:rsidRPr="003A3854">
        <w:rPr>
          <w:i/>
          <w:iCs/>
        </w:rPr>
        <w:t>Act_E</w:t>
      </w:r>
      <w:r w:rsidRPr="003A3854">
        <w:rPr>
          <w:i/>
          <w:iCs/>
          <w:vertAlign w:val="subscript"/>
        </w:rPr>
        <w:t>i,j,h</w:t>
      </w:r>
      <w:r w:rsidRPr="003A3854">
        <w:rPr>
          <w:i/>
          <w:iCs/>
        </w:rPr>
        <w:t xml:space="preserve"> </w:t>
      </w:r>
      <w:r w:rsidR="008625E9">
        <w:rPr>
          <w:i/>
          <w:iCs/>
        </w:rPr>
        <w:tab/>
      </w:r>
      <w:r w:rsidRPr="003A3854">
        <w:rPr>
          <w:i/>
          <w:iCs/>
        </w:rPr>
        <w:t>is</w:t>
      </w:r>
      <w:r w:rsidRPr="003A3854">
        <w:t xml:space="preserve"> the total Energy supplied by the Competitive </w:t>
      </w:r>
      <w:r w:rsidR="00BF564D">
        <w:t>Electric Power Supplier</w:t>
      </w:r>
      <w:r w:rsidRPr="003A3854">
        <w:t xml:space="preserve"> </w:t>
      </w:r>
      <w:r w:rsidRPr="003A3854">
        <w:rPr>
          <w:i/>
          <w:iCs/>
        </w:rPr>
        <w:t>“j”</w:t>
      </w:r>
      <w:r w:rsidRPr="003A3854">
        <w:t xml:space="preserve">, to BPC </w:t>
      </w:r>
      <w:r w:rsidRPr="003A3854">
        <w:rPr>
          <w:i/>
          <w:iCs/>
        </w:rPr>
        <w:t>“i”</w:t>
      </w:r>
      <w:r w:rsidRPr="003A3854">
        <w:t xml:space="preserve"> in hour </w:t>
      </w:r>
      <w:r w:rsidRPr="003A3854">
        <w:rPr>
          <w:i/>
          <w:iCs/>
        </w:rPr>
        <w:t>“h”</w:t>
      </w:r>
      <w:r w:rsidR="00AE6888">
        <w:rPr>
          <w:i/>
          <w:iCs/>
        </w:rPr>
        <w:t xml:space="preserve"> </w:t>
      </w:r>
      <w:r w:rsidR="00AE6888" w:rsidRPr="00AE6888">
        <w:t>included in “Critical Hours”</w:t>
      </w:r>
      <w:r w:rsidRPr="003A3854">
        <w:rPr>
          <w:i/>
          <w:iCs/>
        </w:rPr>
        <w:t xml:space="preserve">, </w:t>
      </w:r>
      <w:r w:rsidRPr="003A3854">
        <w:rPr>
          <w:iCs/>
        </w:rPr>
        <w:t xml:space="preserve">calculated pursuant </w:t>
      </w:r>
      <w:r w:rsidR="00A83BAF">
        <w:rPr>
          <w:iCs/>
        </w:rPr>
        <w:t xml:space="preserve">to </w:t>
      </w:r>
      <w:r w:rsidRPr="003A3854">
        <w:t xml:space="preserve">Clause </w:t>
      </w:r>
      <w:r w:rsidRPr="003A3854">
        <w:fldChar w:fldCharType="begin"/>
      </w:r>
      <w:r w:rsidRPr="003A3854">
        <w:instrText xml:space="preserve"> REF _Ref59456858 \r \h  \* MERGEFORMAT </w:instrText>
      </w:r>
      <w:r w:rsidRPr="003A3854">
        <w:fldChar w:fldCharType="separate"/>
      </w:r>
      <w:r w:rsidR="00251DBF">
        <w:t>6.3.3.3</w:t>
      </w:r>
      <w:r w:rsidRPr="003A3854">
        <w:fldChar w:fldCharType="end"/>
      </w:r>
      <w:r w:rsidRPr="003A3854">
        <w:t>, in MWh</w:t>
      </w:r>
    </w:p>
    <w:p w14:paraId="797F3655" w14:textId="02CFCB78" w:rsidR="00311415" w:rsidRPr="003A3854" w:rsidRDefault="004D6075" w:rsidP="008625E9">
      <w:pPr>
        <w:pStyle w:val="BodyText"/>
        <w:ind w:left="3686" w:hanging="1134"/>
        <w:rPr>
          <w:rFonts w:eastAsiaTheme="minorEastAsia"/>
          <w:sz w:val="24"/>
          <w:szCs w:val="24"/>
        </w:rPr>
      </w:pPr>
      <m:oMath>
        <m:nary>
          <m:naryPr>
            <m:chr m:val="∑"/>
            <m:limLoc m:val="undOvr"/>
            <m:supHide m:val="1"/>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BPC</m:t>
                </m:r>
              </m:e>
              <m:sub>
                <m:r>
                  <w:rPr>
                    <w:rFonts w:ascii="Cambria Math" w:hAnsi="Cambria Math"/>
                  </w:rPr>
                  <m:t>i,j</m:t>
                </m:r>
              </m:sub>
            </m:sSub>
          </m:sub>
          <m:sup/>
          <m:e/>
        </m:nary>
      </m:oMath>
      <w:r w:rsidR="00311415" w:rsidRPr="003A3854">
        <w:rPr>
          <w:rFonts w:ascii="Cambria Math" w:eastAsiaTheme="minorEastAsia" w:hAnsi="Cambria Math"/>
          <w:sz w:val="24"/>
          <w:szCs w:val="24"/>
        </w:rPr>
        <w:tab/>
      </w:r>
      <w:r w:rsidR="00311415" w:rsidRPr="003A3854">
        <w:rPr>
          <w:rFonts w:eastAsiaTheme="minorEastAsia"/>
          <w:sz w:val="24"/>
          <w:szCs w:val="24"/>
        </w:rPr>
        <w:t xml:space="preserve">means the </w:t>
      </w:r>
      <w:r w:rsidR="00AE6888">
        <w:rPr>
          <w:rFonts w:eastAsiaTheme="minorEastAsia"/>
          <w:sz w:val="24"/>
          <w:szCs w:val="24"/>
        </w:rPr>
        <w:t>sum</w:t>
      </w:r>
      <w:r w:rsidR="00AE6888" w:rsidRPr="003A3854">
        <w:rPr>
          <w:rFonts w:eastAsiaTheme="minorEastAsia"/>
          <w:sz w:val="24"/>
          <w:szCs w:val="24"/>
        </w:rPr>
        <w:t xml:space="preserve"> </w:t>
      </w:r>
      <w:r w:rsidR="00311415" w:rsidRPr="003A3854">
        <w:rPr>
          <w:rFonts w:eastAsiaTheme="minorEastAsia"/>
          <w:sz w:val="24"/>
          <w:szCs w:val="24"/>
        </w:rPr>
        <w:t xml:space="preserve">over all BPCs </w:t>
      </w:r>
      <w:r w:rsidR="00311415" w:rsidRPr="003A3854">
        <w:rPr>
          <w:rFonts w:eastAsiaTheme="minorEastAsia"/>
          <w:i/>
          <w:iCs/>
          <w:sz w:val="24"/>
          <w:szCs w:val="24"/>
        </w:rPr>
        <w:t>“i”</w:t>
      </w:r>
      <w:r w:rsidR="00311415" w:rsidRPr="003A3854">
        <w:rPr>
          <w:rFonts w:eastAsiaTheme="minorEastAsia"/>
          <w:sz w:val="24"/>
          <w:szCs w:val="24"/>
        </w:rPr>
        <w:t xml:space="preserve"> which have Contracts with the Competitive </w:t>
      </w:r>
      <w:r w:rsidR="00BF564D">
        <w:rPr>
          <w:rFonts w:eastAsiaTheme="minorEastAsia"/>
          <w:sz w:val="24"/>
          <w:szCs w:val="24"/>
        </w:rPr>
        <w:t>Electric Power Supplier</w:t>
      </w:r>
      <w:r w:rsidR="00311415" w:rsidRPr="003A3854">
        <w:rPr>
          <w:rFonts w:eastAsiaTheme="minorEastAsia"/>
          <w:sz w:val="24"/>
          <w:szCs w:val="24"/>
        </w:rPr>
        <w:t xml:space="preserve"> </w:t>
      </w:r>
      <w:r w:rsidR="00311415" w:rsidRPr="003A3854">
        <w:rPr>
          <w:rFonts w:eastAsiaTheme="minorEastAsia"/>
          <w:i/>
          <w:iCs/>
          <w:sz w:val="24"/>
          <w:szCs w:val="24"/>
        </w:rPr>
        <w:t>“j”,</w:t>
      </w:r>
      <w:r w:rsidR="00311415" w:rsidRPr="003A3854">
        <w:rPr>
          <w:rFonts w:eastAsiaTheme="minorEastAsia"/>
          <w:sz w:val="24"/>
          <w:szCs w:val="24"/>
        </w:rPr>
        <w:t xml:space="preserve"> </w:t>
      </w:r>
      <w:r w:rsidR="00A83BAF">
        <w:t>in which</w:t>
      </w:r>
      <w:r w:rsidR="00A83BAF" w:rsidRPr="003A3854">
        <w:t xml:space="preserve"> the Capacity sold is dependant </w:t>
      </w:r>
      <w:r w:rsidR="00A83BAF">
        <w:t>on</w:t>
      </w:r>
      <w:r w:rsidR="00A83BAF" w:rsidRPr="003A3854">
        <w:t xml:space="preserve"> the Capacity </w:t>
      </w:r>
      <w:r w:rsidR="00A83BAF">
        <w:t>taken</w:t>
      </w:r>
      <w:r w:rsidR="00A83BAF" w:rsidRPr="003A3854">
        <w:t xml:space="preserve"> by the BPC</w:t>
      </w:r>
    </w:p>
    <w:p w14:paraId="5C9C2461" w14:textId="55E20E0F" w:rsidR="00311415" w:rsidRPr="003A3854" w:rsidRDefault="008625E9" w:rsidP="008625E9">
      <w:pPr>
        <w:pStyle w:val="BodyText"/>
        <w:ind w:left="3686" w:hanging="1134"/>
      </w:pPr>
      <w:r w:rsidRPr="008625E9">
        <w:rPr>
          <w:rFonts w:eastAsiaTheme="minorEastAsia"/>
          <w:i/>
          <w:sz w:val="24"/>
          <w:szCs w:val="24"/>
        </w:rPr>
        <w:t>max</w:t>
      </w:r>
      <w:r w:rsidRPr="008625E9">
        <w:rPr>
          <w:rFonts w:eastAsiaTheme="minorEastAsia"/>
          <w:i/>
          <w:sz w:val="24"/>
          <w:szCs w:val="24"/>
          <w:vertAlign w:val="subscript"/>
        </w:rPr>
        <w:sym w:font="Symbol" w:char="F022"/>
      </w:r>
      <w:r w:rsidRPr="008625E9">
        <w:rPr>
          <w:rFonts w:eastAsiaTheme="minorEastAsia"/>
          <w:i/>
          <w:sz w:val="24"/>
          <w:szCs w:val="24"/>
          <w:vertAlign w:val="subscript"/>
        </w:rPr>
        <w:t>h</w:t>
      </w:r>
      <w:r w:rsidRPr="008625E9">
        <w:rPr>
          <w:rFonts w:eastAsiaTheme="minorEastAsia"/>
          <w:i/>
          <w:sz w:val="24"/>
          <w:szCs w:val="24"/>
          <w:vertAlign w:val="subscript"/>
        </w:rPr>
        <w:sym w:font="Symbol" w:char="F0CE"/>
      </w:r>
      <w:r w:rsidRPr="008625E9">
        <w:rPr>
          <w:rFonts w:eastAsiaTheme="minorEastAsia"/>
          <w:i/>
          <w:sz w:val="24"/>
          <w:szCs w:val="24"/>
          <w:vertAlign w:val="subscript"/>
        </w:rPr>
        <w:t>SPH</w:t>
      </w:r>
      <w:r w:rsidR="00311415" w:rsidRPr="003A3854">
        <w:rPr>
          <w:i/>
          <w:iCs/>
          <w:vertAlign w:val="subscript"/>
        </w:rPr>
        <w:tab/>
      </w:r>
      <w:r w:rsidR="00311415" w:rsidRPr="003A3854">
        <w:t xml:space="preserve">means the </w:t>
      </w:r>
      <w:r>
        <w:t xml:space="preserve">maximum value occurred during the System Peak Hours of the </w:t>
      </w:r>
      <w:r w:rsidR="00350A8C" w:rsidRPr="003A3854">
        <w:t xml:space="preserve">previous </w:t>
      </w:r>
      <w:r w:rsidR="00311415" w:rsidRPr="003A3854">
        <w:t>Fiscal Year</w:t>
      </w:r>
      <w:r w:rsidR="00350A8C" w:rsidRPr="003A3854">
        <w:t xml:space="preserve">. </w:t>
      </w:r>
    </w:p>
    <w:p w14:paraId="5F38EA5C" w14:textId="09D74B6E" w:rsidR="00CD6BD3" w:rsidRPr="003A3854" w:rsidRDefault="00544F73" w:rsidP="00CD6BD3">
      <w:pPr>
        <w:pStyle w:val="Heading5"/>
      </w:pPr>
      <w:bookmarkStart w:id="547" w:name="_Ref70289496"/>
      <w:r>
        <w:t>d</w:t>
      </w:r>
      <w:r w:rsidR="00CA0F03">
        <w:t>etermine the</w:t>
      </w:r>
      <w:r w:rsidR="00350A8C" w:rsidRPr="003A3854">
        <w:t xml:space="preserve"> number of Firm Capacity Certificates</w:t>
      </w:r>
      <w:r w:rsidR="005B6E6A">
        <w:t>,</w:t>
      </w:r>
      <w:r w:rsidR="00350A8C" w:rsidRPr="003A3854">
        <w:t xml:space="preserve"> which shall be blocked</w:t>
      </w:r>
      <w:r w:rsidR="005B6E6A">
        <w:t>,</w:t>
      </w:r>
      <w:r w:rsidR="00350A8C" w:rsidRPr="003A3854">
        <w:t xml:space="preserve"> </w:t>
      </w:r>
      <w:r w:rsidR="00CD6BD3" w:rsidRPr="003A3854">
        <w:t>as</w:t>
      </w:r>
      <w:r w:rsidR="005B6E6A">
        <w:t xml:space="preserve"> under</w:t>
      </w:r>
      <w:r w:rsidR="00350A8C" w:rsidRPr="003A3854">
        <w:t>:</w:t>
      </w:r>
      <w:bookmarkEnd w:id="547"/>
    </w:p>
    <w:p w14:paraId="2583ABC8" w14:textId="49DDA646" w:rsidR="00CD6BD3" w:rsidRPr="003A3854" w:rsidRDefault="004D6075" w:rsidP="00CD6BD3">
      <w:pPr>
        <w:pStyle w:val="BodyText"/>
        <w:rPr>
          <w:rFonts w:eastAsiaTheme="minorEastAsia"/>
        </w:rPr>
      </w:pPr>
      <m:oMathPara>
        <m:oMath>
          <m:sSub>
            <m:sSubPr>
              <m:ctrlPr>
                <w:rPr>
                  <w:rFonts w:ascii="Cambria Math" w:hAnsi="Cambria Math"/>
                </w:rPr>
              </m:ctrlPr>
            </m:sSubPr>
            <m:e>
              <m:r>
                <m:rPr>
                  <m:sty m:val="p"/>
                </m:rPr>
                <w:rPr>
                  <w:rFonts w:ascii="Cambria Math" w:hAnsi="Cambria Math"/>
                </w:rPr>
                <m:t>#</m:t>
              </m:r>
              <m:r>
                <w:rPr>
                  <w:rFonts w:ascii="Cambria Math" w:hAnsi="Cambria Math"/>
                </w:rPr>
                <m:t>Block</m:t>
              </m:r>
              <m:r>
                <m:rPr>
                  <m:sty m:val="p"/>
                </m:rPr>
                <w:rPr>
                  <w:rFonts w:ascii="Cambria Math" w:hAnsi="Cambria Math"/>
                </w:rPr>
                <m:t>_</m:t>
              </m:r>
              <m:r>
                <w:rPr>
                  <w:rFonts w:ascii="Cambria Math" w:hAnsi="Cambria Math"/>
                </w:rPr>
                <m:t>FCC</m:t>
              </m:r>
            </m:e>
            <m:sub>
              <m:r>
                <w:rPr>
                  <w:rFonts w:ascii="Cambria Math" w:hAnsi="Cambria Math"/>
                </w:rPr>
                <m:t>CSj</m:t>
              </m:r>
            </m:sub>
          </m:sSub>
          <m:r>
            <m:rPr>
              <m:sty m:val="p"/>
            </m:rPr>
            <w:rPr>
              <w:rFonts w:ascii="Cambria Math" w:hAnsi="Cambria Math"/>
            </w:rPr>
            <m:t>=</m:t>
          </m:r>
          <m:sSub>
            <m:sSubPr>
              <m:ctrlPr>
                <w:rPr>
                  <w:rFonts w:ascii="Cambria Math" w:hAnsi="Cambria Math"/>
                  <w:i/>
                </w:rPr>
              </m:ctrlPr>
            </m:sSubPr>
            <m:e>
              <m:r>
                <w:rPr>
                  <w:rFonts w:ascii="Cambria Math" w:hAnsi="Cambria Math"/>
                </w:rPr>
                <m:t>CS_CR</m:t>
              </m:r>
            </m:e>
            <m:sub>
              <m:r>
                <w:rPr>
                  <w:rFonts w:ascii="Cambria Math" w:hAnsi="Cambria Math"/>
                </w:rPr>
                <m:t>j</m:t>
              </m:r>
            </m:sub>
          </m:sSub>
          <m:r>
            <m:rPr>
              <m:sty m:val="p"/>
            </m:rPr>
            <w:rPr>
              <w:rFonts w:ascii="Cambria Math" w:hAnsi="Cambria Math"/>
            </w:rPr>
            <m:t>*10</m:t>
          </m:r>
        </m:oMath>
      </m:oMathPara>
    </w:p>
    <w:p w14:paraId="36BD264B" w14:textId="77777777" w:rsidR="00350A8C" w:rsidRPr="003A3854" w:rsidRDefault="00350A8C" w:rsidP="00350A8C">
      <w:pPr>
        <w:pStyle w:val="BodyText"/>
        <w:ind w:left="3544" w:hanging="992"/>
      </w:pPr>
      <w:r w:rsidRPr="003A3854">
        <w:t xml:space="preserve">Where: </w:t>
      </w:r>
    </w:p>
    <w:p w14:paraId="111EC1F8" w14:textId="4056038A" w:rsidR="00CD6BD3" w:rsidRPr="003A3854" w:rsidRDefault="00CD6BD3" w:rsidP="00350A8C">
      <w:pPr>
        <w:pStyle w:val="BodyText"/>
        <w:ind w:left="3969" w:hanging="1417"/>
      </w:pPr>
      <w:r w:rsidRPr="003A3854">
        <w:rPr>
          <w:i/>
          <w:iCs/>
        </w:rPr>
        <w:t>#</w:t>
      </w:r>
      <w:r w:rsidR="00350A8C" w:rsidRPr="003A3854">
        <w:rPr>
          <w:i/>
          <w:iCs/>
        </w:rPr>
        <w:t>Block</w:t>
      </w:r>
      <w:r w:rsidRPr="003A3854">
        <w:rPr>
          <w:i/>
          <w:iCs/>
        </w:rPr>
        <w:t>_FCC</w:t>
      </w:r>
      <w:r w:rsidRPr="003A3854">
        <w:rPr>
          <w:i/>
          <w:iCs/>
          <w:vertAlign w:val="subscript"/>
        </w:rPr>
        <w:t>CS,j</w:t>
      </w:r>
      <w:r w:rsidRPr="003A3854">
        <w:t xml:space="preserve"> </w:t>
      </w:r>
      <w:r w:rsidR="00350A8C" w:rsidRPr="003A3854">
        <w:tab/>
      </w:r>
      <w:r w:rsidRPr="003A3854">
        <w:t xml:space="preserve">is the number of Firm Capacity Certificates of the Competitive </w:t>
      </w:r>
      <w:r w:rsidR="00BF564D">
        <w:t>Electric Power Supplier</w:t>
      </w:r>
      <w:r w:rsidRPr="003A3854">
        <w:t xml:space="preserve"> </w:t>
      </w:r>
      <w:r w:rsidRPr="003A3854">
        <w:rPr>
          <w:i/>
          <w:iCs/>
        </w:rPr>
        <w:t>“j”</w:t>
      </w:r>
      <w:r w:rsidRPr="003A3854">
        <w:t xml:space="preserve"> that should be blocked to back </w:t>
      </w:r>
      <w:r w:rsidR="00350A8C" w:rsidRPr="003A3854">
        <w:t>up the</w:t>
      </w:r>
      <w:r w:rsidRPr="003A3854">
        <w:t xml:space="preserve"> </w:t>
      </w:r>
      <w:r w:rsidR="00466559">
        <w:t xml:space="preserve">registered Contracts </w:t>
      </w:r>
      <w:r w:rsidR="00350A8C" w:rsidRPr="003A3854">
        <w:t xml:space="preserve">in which the Capacity sold is dependant </w:t>
      </w:r>
      <w:r w:rsidR="005B6E6A">
        <w:t>on</w:t>
      </w:r>
      <w:r w:rsidR="005B6E6A" w:rsidRPr="003A3854">
        <w:t xml:space="preserve"> </w:t>
      </w:r>
      <w:r w:rsidR="00350A8C" w:rsidRPr="003A3854">
        <w:t>the Capacity demanded by the BPC</w:t>
      </w:r>
      <w:r w:rsidR="005B6E6A">
        <w:t>s</w:t>
      </w:r>
      <w:r w:rsidRPr="003A3854">
        <w:t xml:space="preserve">. </w:t>
      </w:r>
    </w:p>
    <w:p w14:paraId="4E016F8C" w14:textId="4532B5F2" w:rsidR="00350A8C" w:rsidRPr="003A3854" w:rsidRDefault="00350A8C" w:rsidP="00350A8C">
      <w:pPr>
        <w:pStyle w:val="BodyText"/>
        <w:ind w:left="3969" w:hanging="1417"/>
      </w:pPr>
      <w:r w:rsidRPr="003A3854">
        <w:rPr>
          <w:i/>
          <w:iCs/>
        </w:rPr>
        <w:t>CS_CR</w:t>
      </w:r>
      <w:r w:rsidRPr="003A3854">
        <w:rPr>
          <w:i/>
          <w:iCs/>
          <w:vertAlign w:val="subscript"/>
        </w:rPr>
        <w:t>j</w:t>
      </w:r>
      <w:r w:rsidRPr="003A3854">
        <w:rPr>
          <w:i/>
          <w:iCs/>
        </w:rPr>
        <w:tab/>
      </w:r>
      <w:r w:rsidRPr="003A3854">
        <w:t xml:space="preserve">is the amount of Capacity required by the Competitive </w:t>
      </w:r>
      <w:r w:rsidR="00BF564D">
        <w:t>Electric Power Supplier</w:t>
      </w:r>
      <w:r w:rsidRPr="003A3854">
        <w:t xml:space="preserve"> “i” to back up the Contracts with BPCs, calculated pursuant </w:t>
      </w:r>
      <w:r w:rsidR="005B6E6A">
        <w:t>to clause</w:t>
      </w:r>
      <w:r w:rsidR="005B6E6A" w:rsidRPr="003A3854">
        <w:t xml:space="preserve"> </w:t>
      </w:r>
      <w:r w:rsidR="00466559">
        <w:fldChar w:fldCharType="begin"/>
      </w:r>
      <w:r w:rsidR="00466559">
        <w:instrText xml:space="preserve"> REF _Ref76060694 \w \h </w:instrText>
      </w:r>
      <w:r w:rsidR="00466559">
        <w:fldChar w:fldCharType="separate"/>
      </w:r>
      <w:r w:rsidR="00466559">
        <w:t>10.5.2.2.b)</w:t>
      </w:r>
      <w:r w:rsidR="00466559">
        <w:fldChar w:fldCharType="end"/>
      </w:r>
      <w:r w:rsidRPr="003A3854">
        <w:t xml:space="preserve"> above, in MW. </w:t>
      </w:r>
    </w:p>
    <w:p w14:paraId="0AD56081" w14:textId="457AF17C" w:rsidR="00CD6BD3" w:rsidRPr="003A3854" w:rsidRDefault="00CD6BD3" w:rsidP="00466559">
      <w:pPr>
        <w:pStyle w:val="Heading4"/>
      </w:pPr>
      <w:r w:rsidRPr="003A3854">
        <w:t>The value of</w:t>
      </w:r>
      <w:r w:rsidRPr="003A3854">
        <w:rPr>
          <w:i/>
        </w:rPr>
        <w:t xml:space="preserve"> #</w:t>
      </w:r>
      <w:r w:rsidR="00350A8C" w:rsidRPr="003A3854">
        <w:rPr>
          <w:i/>
        </w:rPr>
        <w:t>Block</w:t>
      </w:r>
      <w:r w:rsidRPr="003A3854">
        <w:rPr>
          <w:i/>
        </w:rPr>
        <w:t>_FCC</w:t>
      </w:r>
      <w:r w:rsidRPr="003A3854">
        <w:rPr>
          <w:i/>
          <w:vertAlign w:val="subscript"/>
        </w:rPr>
        <w:t xml:space="preserve">CS,j </w:t>
      </w:r>
      <w:r w:rsidRPr="003A3854">
        <w:t xml:space="preserve">shall be rounded </w:t>
      </w:r>
      <w:r w:rsidR="005B6E6A" w:rsidRPr="005B6E6A">
        <w:rPr>
          <w:strike/>
        </w:rPr>
        <w:t>up</w:t>
      </w:r>
      <w:r w:rsidR="005B6E6A">
        <w:t xml:space="preserve"> to</w:t>
      </w:r>
      <w:r w:rsidR="005B6E6A" w:rsidRPr="003A3854">
        <w:t xml:space="preserve"> </w:t>
      </w:r>
      <w:r w:rsidRPr="003A3854">
        <w:t>the nearest integer number.</w:t>
      </w:r>
      <w:r w:rsidRPr="003A3854">
        <w:rPr>
          <w:i/>
        </w:rPr>
        <w:t xml:space="preserve"> </w:t>
      </w:r>
      <w:r w:rsidRPr="003A3854">
        <w:t xml:space="preserve"> </w:t>
      </w:r>
    </w:p>
    <w:p w14:paraId="5FD0E93A" w14:textId="4E54F896" w:rsidR="00CD6BD3" w:rsidRDefault="008625E9" w:rsidP="00071FC2">
      <w:pPr>
        <w:pStyle w:val="Heading4"/>
      </w:pPr>
      <w:r>
        <w:t xml:space="preserve">In case </w:t>
      </w:r>
      <w:r w:rsidR="00466559">
        <w:t xml:space="preserve">the </w:t>
      </w:r>
      <w:r>
        <w:t>number of the Firm Capacity Certificates</w:t>
      </w:r>
      <w:r w:rsidR="00466559">
        <w:t xml:space="preserve">, having the status of “Available”, </w:t>
      </w:r>
      <w:r>
        <w:t xml:space="preserve">of </w:t>
      </w:r>
      <w:r w:rsidR="00CA0F03">
        <w:t xml:space="preserve">the </w:t>
      </w:r>
      <w:r w:rsidR="00466559">
        <w:t>concerned</w:t>
      </w:r>
      <w:r w:rsidR="00CA0F03">
        <w:t xml:space="preserve"> </w:t>
      </w:r>
      <w:r>
        <w:t xml:space="preserve">Competitive </w:t>
      </w:r>
      <w:r w:rsidR="00BF564D">
        <w:t>Electric Power Supplier</w:t>
      </w:r>
      <w:r>
        <w:t xml:space="preserve"> is equal or higher than the number of Firm</w:t>
      </w:r>
      <w:r w:rsidR="00CA0F03">
        <w:t xml:space="preserve"> </w:t>
      </w:r>
      <w:r>
        <w:t xml:space="preserve">Capacity Certificates that </w:t>
      </w:r>
      <w:r w:rsidR="005B6E6A">
        <w:t>are required to</w:t>
      </w:r>
      <w:r>
        <w:t xml:space="preserve"> be blocked pursuant</w:t>
      </w:r>
      <w:r w:rsidR="00466559">
        <w:t xml:space="preserve"> to</w:t>
      </w:r>
      <w:r>
        <w:t xml:space="preserve"> Clause </w:t>
      </w:r>
      <w:r w:rsidR="00CA0F03">
        <w:fldChar w:fldCharType="begin"/>
      </w:r>
      <w:r w:rsidR="00CA0F03">
        <w:instrText xml:space="preserve"> REF _Ref70289496 \r \h </w:instrText>
      </w:r>
      <w:r w:rsidR="00CA0F03">
        <w:fldChar w:fldCharType="separate"/>
      </w:r>
      <w:r w:rsidR="00CA0F03">
        <w:t>10.5.2.2.c)</w:t>
      </w:r>
      <w:r w:rsidR="00CA0F03">
        <w:fldChar w:fldCharType="end"/>
      </w:r>
      <w:r w:rsidR="00CA0F03">
        <w:t>, the Market Operator shall</w:t>
      </w:r>
      <w:r w:rsidR="00277945">
        <w:t>, if requested by the concerned Market Participant,</w:t>
      </w:r>
      <w:r w:rsidR="00CA0F03">
        <w:t xml:space="preserve"> </w:t>
      </w:r>
      <w:r w:rsidR="00CA0F03">
        <w:t>c</w:t>
      </w:r>
      <w:r w:rsidR="00CA0F03" w:rsidRPr="003A3854">
        <w:t xml:space="preserve">hange the status of </w:t>
      </w:r>
      <w:r w:rsidR="00CA0F03">
        <w:t xml:space="preserve">such </w:t>
      </w:r>
      <w:r w:rsidR="005B6E6A">
        <w:t>number</w:t>
      </w:r>
      <w:r w:rsidR="00CA0F03">
        <w:t xml:space="preserve"> </w:t>
      </w:r>
      <w:r w:rsidR="00CA0F03" w:rsidRPr="003A3854">
        <w:t>of Firm Capacity Certificates, from “Available” to “Blocked”.</w:t>
      </w:r>
      <w:r w:rsidR="00CA0F03">
        <w:t xml:space="preserve"> </w:t>
      </w:r>
      <w:r w:rsidR="003A3854" w:rsidRPr="003A3854">
        <w:t xml:space="preserve">The Market Operator shall </w:t>
      </w:r>
      <w:r w:rsidR="00466559">
        <w:t>intimate</w:t>
      </w:r>
      <w:r w:rsidR="00466559" w:rsidRPr="003A3854">
        <w:t xml:space="preserve"> </w:t>
      </w:r>
      <w:r w:rsidR="003A3854" w:rsidRPr="003A3854">
        <w:t xml:space="preserve">the </w:t>
      </w:r>
      <w:r w:rsidR="00CD6BD3" w:rsidRPr="003A3854">
        <w:t xml:space="preserve">Competitive </w:t>
      </w:r>
      <w:r w:rsidR="00BF564D">
        <w:t>Electric Power Supplier</w:t>
      </w:r>
      <w:r w:rsidR="00CD6BD3" w:rsidRPr="003A3854">
        <w:t xml:space="preserve"> </w:t>
      </w:r>
      <w:r w:rsidR="00466559">
        <w:t xml:space="preserve">about </w:t>
      </w:r>
      <w:r w:rsidR="00CD6BD3" w:rsidRPr="003A3854">
        <w:t xml:space="preserve">the changes </w:t>
      </w:r>
      <w:r w:rsidR="003A3854" w:rsidRPr="003A3854">
        <w:t xml:space="preserve">it has </w:t>
      </w:r>
      <w:r w:rsidR="00466559">
        <w:t>made</w:t>
      </w:r>
      <w:r w:rsidR="00466559" w:rsidRPr="003A3854">
        <w:t xml:space="preserve"> </w:t>
      </w:r>
      <w:r w:rsidR="00CD6BD3" w:rsidRPr="003A3854">
        <w:t xml:space="preserve">in the Firm Capacity Register. </w:t>
      </w:r>
      <w:r>
        <w:t xml:space="preserve"> </w:t>
      </w:r>
    </w:p>
    <w:p w14:paraId="425FD3C5" w14:textId="53B32D00" w:rsidR="00CA0F03" w:rsidRDefault="00466559" w:rsidP="00CA0F03">
      <w:pPr>
        <w:pStyle w:val="Heading4"/>
      </w:pPr>
      <w:r>
        <w:lastRenderedPageBreak/>
        <w:t>In case the number of the Firm Capacity Certificates, having the status of “Available”</w:t>
      </w:r>
      <w:r w:rsidR="00CA0F03">
        <w:t xml:space="preserve"> of the </w:t>
      </w:r>
      <w:r>
        <w:t xml:space="preserve">concerned </w:t>
      </w:r>
      <w:r w:rsidR="00CA0F03">
        <w:t xml:space="preserve">Competitive </w:t>
      </w:r>
      <w:r w:rsidR="00BF564D">
        <w:t>Electric Power Supplier</w:t>
      </w:r>
      <w:r w:rsidR="00CA0F03">
        <w:t xml:space="preserve"> is lower than the number of Firm Capacity Certificates that </w:t>
      </w:r>
      <w:r w:rsidR="005B6E6A">
        <w:t>are required to</w:t>
      </w:r>
      <w:r w:rsidR="00CA0F03">
        <w:t xml:space="preserve"> be blocked pursuant </w:t>
      </w:r>
      <w:r>
        <w:t xml:space="preserve">to </w:t>
      </w:r>
      <w:r w:rsidR="00CA0F03">
        <w:t xml:space="preserve">Clause </w:t>
      </w:r>
      <w:r w:rsidR="00CA0F03">
        <w:fldChar w:fldCharType="begin"/>
      </w:r>
      <w:r w:rsidR="00CA0F03">
        <w:instrText xml:space="preserve"> REF _Ref70289496 \r \h  \* MERGEFORMAT </w:instrText>
      </w:r>
      <w:r w:rsidR="00CA0F03">
        <w:fldChar w:fldCharType="separate"/>
      </w:r>
      <w:r w:rsidR="00CA0F03">
        <w:t>10.5.2.2.c)</w:t>
      </w:r>
      <w:r w:rsidR="00CA0F03">
        <w:fldChar w:fldCharType="end"/>
      </w:r>
      <w:r w:rsidR="00CA0F03">
        <w:t xml:space="preserve">, the Market Operator shall: </w:t>
      </w:r>
    </w:p>
    <w:p w14:paraId="1031053A" w14:textId="4C11EC32" w:rsidR="00CA0F03" w:rsidRDefault="00466559" w:rsidP="00CA0F03">
      <w:pPr>
        <w:pStyle w:val="Heading5"/>
      </w:pPr>
      <w:r>
        <w:t>c</w:t>
      </w:r>
      <w:r w:rsidR="00CA0F03" w:rsidRPr="003A3854">
        <w:t xml:space="preserve">hange the status of </w:t>
      </w:r>
      <w:r w:rsidR="00CA0F03">
        <w:t xml:space="preserve">all </w:t>
      </w:r>
      <w:r w:rsidR="00CA0F03" w:rsidRPr="003A3854">
        <w:t>Firm Capacity Certificates</w:t>
      </w:r>
      <w:r>
        <w:t xml:space="preserve"> </w:t>
      </w:r>
      <w:r w:rsidR="00CA0F03">
        <w:t xml:space="preserve">of the </w:t>
      </w:r>
      <w:r>
        <w:t>concerned</w:t>
      </w:r>
      <w:r w:rsidR="00CA0F03">
        <w:t xml:space="preserve"> Competitive </w:t>
      </w:r>
      <w:r w:rsidR="00BF564D">
        <w:t>Electric Power Supplier</w:t>
      </w:r>
      <w:r w:rsidR="00CA0F03">
        <w:t xml:space="preserve"> </w:t>
      </w:r>
      <w:r w:rsidR="00CA0F03" w:rsidRPr="003A3854">
        <w:t>from “Available” to “Blocked”</w:t>
      </w:r>
      <w:r w:rsidR="00CA0F03">
        <w:t xml:space="preserve">; </w:t>
      </w:r>
    </w:p>
    <w:p w14:paraId="50082E2F" w14:textId="1F550E40" w:rsidR="00D633E0" w:rsidRDefault="00466559" w:rsidP="00CA0F03">
      <w:pPr>
        <w:pStyle w:val="Heading5"/>
      </w:pPr>
      <w:r>
        <w:t>intimate</w:t>
      </w:r>
      <w:r w:rsidR="00D633E0">
        <w:t xml:space="preserve"> the </w:t>
      </w:r>
      <w:r>
        <w:t>concerned</w:t>
      </w:r>
      <w:r w:rsidR="00D633E0">
        <w:t xml:space="preserve"> Competitive </w:t>
      </w:r>
      <w:r w:rsidR="00BF564D">
        <w:t>Electric Power Supplier</w:t>
      </w:r>
      <w:r w:rsidR="00D633E0">
        <w:t xml:space="preserve"> about the changes </w:t>
      </w:r>
      <w:r>
        <w:t>it has made</w:t>
      </w:r>
      <w:r w:rsidR="00D633E0">
        <w:t xml:space="preserve"> in the Firm Capacity Register;  </w:t>
      </w:r>
    </w:p>
    <w:p w14:paraId="71EB1814" w14:textId="7B4428ED" w:rsidR="00D633E0" w:rsidRDefault="00466559" w:rsidP="00CA0F03">
      <w:pPr>
        <w:pStyle w:val="Heading5"/>
      </w:pPr>
      <w:r>
        <w:t>inform</w:t>
      </w:r>
      <w:r w:rsidR="00CA0F03">
        <w:t xml:space="preserve"> the Competitive </w:t>
      </w:r>
      <w:r w:rsidR="00BF564D">
        <w:t>Electric Power Supplier</w:t>
      </w:r>
      <w:r w:rsidR="00CA0F03">
        <w:t xml:space="preserve"> that </w:t>
      </w:r>
      <w:r>
        <w:t>existing</w:t>
      </w:r>
      <w:r w:rsidR="00CA0F03">
        <w:t xml:space="preserve"> number of Firm Capacity Certificates </w:t>
      </w:r>
      <w:r>
        <w:t xml:space="preserve">are not enough to </w:t>
      </w:r>
      <w:r w:rsidR="00D633E0">
        <w:t>back</w:t>
      </w:r>
      <w:r w:rsidR="00A96619">
        <w:t xml:space="preserve"> up</w:t>
      </w:r>
      <w:r w:rsidR="00D633E0">
        <w:t xml:space="preserve"> its existing </w:t>
      </w:r>
      <w:r w:rsidR="00A96619">
        <w:t>Contracts</w:t>
      </w:r>
      <w:r w:rsidR="00D633E0">
        <w:t xml:space="preserve"> with BPCs; and </w:t>
      </w:r>
    </w:p>
    <w:p w14:paraId="6BBD776A" w14:textId="2DC8554B" w:rsidR="00CA0F03" w:rsidRDefault="00A96619" w:rsidP="00071FC2">
      <w:pPr>
        <w:pStyle w:val="Heading5"/>
      </w:pPr>
      <w:r>
        <w:t>require</w:t>
      </w:r>
      <w:r w:rsidR="00CA0F03">
        <w:t xml:space="preserve"> the </w:t>
      </w:r>
      <w:r>
        <w:t>concerned</w:t>
      </w:r>
      <w:r w:rsidR="00CA0F03">
        <w:t xml:space="preserve"> </w:t>
      </w:r>
      <w:r w:rsidR="00D633E0">
        <w:t xml:space="preserve">Competitive </w:t>
      </w:r>
      <w:r w:rsidR="00BF564D">
        <w:t>Electric Power Supplier</w:t>
      </w:r>
      <w:r w:rsidR="00D633E0">
        <w:t xml:space="preserve"> </w:t>
      </w:r>
      <w:r>
        <w:t>to</w:t>
      </w:r>
      <w:r w:rsidR="00D633E0">
        <w:t xml:space="preserve"> </w:t>
      </w:r>
      <w:r w:rsidR="003A578F">
        <w:t>contract</w:t>
      </w:r>
      <w:r w:rsidR="00D633E0">
        <w:t xml:space="preserve"> additional Capacity or to </w:t>
      </w:r>
      <w:r w:rsidR="005B6E6A">
        <w:t>de</w:t>
      </w:r>
      <w:r w:rsidR="00D633E0">
        <w:t xml:space="preserve">register one or more </w:t>
      </w:r>
      <w:r w:rsidR="003A578F">
        <w:t>Contract</w:t>
      </w:r>
      <w:r w:rsidR="00D633E0">
        <w:t xml:space="preserve">s following the procedure </w:t>
      </w:r>
      <w:r w:rsidR="005B6E6A">
        <w:t>set out</w:t>
      </w:r>
      <w:r w:rsidR="00D633E0">
        <w:t xml:space="preserve"> in Section </w:t>
      </w:r>
      <w:r w:rsidR="00D633E0">
        <w:fldChar w:fldCharType="begin"/>
      </w:r>
      <w:r w:rsidR="00D633E0">
        <w:instrText xml:space="preserve"> REF _Ref70290489 \r \h  \* MERGEFORMAT </w:instrText>
      </w:r>
      <w:r w:rsidR="00D633E0">
        <w:fldChar w:fldCharType="separate"/>
      </w:r>
      <w:r w:rsidR="00D633E0">
        <w:t>4.6</w:t>
      </w:r>
      <w:r w:rsidR="00D633E0">
        <w:fldChar w:fldCharType="end"/>
      </w:r>
      <w:r w:rsidR="005B6E6A">
        <w:t xml:space="preserve"> and</w:t>
      </w:r>
      <w:r w:rsidR="00CA0F03">
        <w:t xml:space="preserve"> </w:t>
      </w:r>
      <w:r w:rsidR="005B6E6A">
        <w:t>t</w:t>
      </w:r>
      <w:r w:rsidR="00CA0F03">
        <w:t xml:space="preserve">he Market Operator </w:t>
      </w:r>
      <w:r>
        <w:t>may not</w:t>
      </w:r>
      <w:r w:rsidR="00CA0F03">
        <w:t xml:space="preserve"> register any new </w:t>
      </w:r>
      <w:r w:rsidR="003A578F">
        <w:t>Contract</w:t>
      </w:r>
      <w:r w:rsidR="00CA0F03">
        <w:t xml:space="preserve">, other than </w:t>
      </w:r>
      <w:r w:rsidR="003A578F">
        <w:t>Contract</w:t>
      </w:r>
      <w:r w:rsidR="00CA0F03">
        <w:t xml:space="preserve">s for increasing the </w:t>
      </w:r>
      <w:r>
        <w:t>C</w:t>
      </w:r>
      <w:r w:rsidR="00CA0F03">
        <w:t xml:space="preserve">redited Capacity of the </w:t>
      </w:r>
      <w:r>
        <w:t>concerned</w:t>
      </w:r>
      <w:r w:rsidR="00CA0F03">
        <w:t xml:space="preserve"> Market Participant, </w:t>
      </w:r>
      <w:r>
        <w:t>till the time the matter is resolved</w:t>
      </w:r>
      <w:r w:rsidR="00CA0F03">
        <w:t>.</w:t>
      </w:r>
    </w:p>
    <w:p w14:paraId="74437715" w14:textId="4FB05580" w:rsidR="00FB1056" w:rsidRDefault="00FB1056">
      <w:pPr>
        <w:spacing w:line="240" w:lineRule="auto"/>
        <w:rPr>
          <w:rFonts w:eastAsiaTheme="majorEastAsia" w:cstheme="majorBidi"/>
          <w:b/>
          <w:bCs/>
          <w:smallCaps/>
          <w:color w:val="00153F" w:themeColor="accent1" w:themeShade="80"/>
          <w:sz w:val="34"/>
          <w:szCs w:val="32"/>
        </w:rPr>
      </w:pPr>
      <w:r>
        <w:rPr>
          <w:rFonts w:eastAsiaTheme="majorEastAsia" w:cstheme="majorBidi"/>
          <w:b/>
          <w:bCs/>
          <w:smallCaps/>
          <w:color w:val="00153F" w:themeColor="accent1" w:themeShade="80"/>
          <w:sz w:val="34"/>
          <w:szCs w:val="32"/>
        </w:rPr>
        <w:br w:type="page"/>
      </w:r>
    </w:p>
    <w:p w14:paraId="1D27B571" w14:textId="797CF41C" w:rsidR="00DB3B34" w:rsidRPr="00A47EBF" w:rsidRDefault="00DB3B34" w:rsidP="00A40A5D">
      <w:pPr>
        <w:pStyle w:val="Heading1"/>
      </w:pPr>
      <w:bookmarkStart w:id="548" w:name="_Ref54809487"/>
      <w:bookmarkStart w:id="549" w:name="_Toc64846703"/>
      <w:bookmarkStart w:id="550" w:name="_Toc69477003"/>
      <w:bookmarkStart w:id="551" w:name="_Toc348888751"/>
      <w:commentRangeStart w:id="552"/>
      <w:r w:rsidRPr="00A47EBF">
        <w:lastRenderedPageBreak/>
        <w:t xml:space="preserve">COMPLIANCE WITH </w:t>
      </w:r>
      <w:r w:rsidR="00F15A67">
        <w:t>Ex-A</w:t>
      </w:r>
      <w:r w:rsidR="00EF192F">
        <w:t>NTE</w:t>
      </w:r>
      <w:r w:rsidR="00130A0D">
        <w:t xml:space="preserve"> </w:t>
      </w:r>
      <w:r w:rsidRPr="00A47EBF">
        <w:t xml:space="preserve">CAPACITY </w:t>
      </w:r>
      <w:commentRangeEnd w:id="552"/>
      <w:r w:rsidR="00DC5EBC">
        <w:rPr>
          <w:rStyle w:val="CommentReference"/>
          <w:rFonts w:eastAsiaTheme="minorHAnsi" w:cstheme="minorBidi"/>
          <w:b w:val="0"/>
          <w:bCs w:val="0"/>
          <w:smallCaps w:val="0"/>
          <w:color w:val="1C1C1C"/>
        </w:rPr>
        <w:commentReference w:id="552"/>
      </w:r>
      <w:r w:rsidRPr="00A47EBF">
        <w:t>OBLIGATIONS</w:t>
      </w:r>
      <w:bookmarkEnd w:id="548"/>
      <w:bookmarkEnd w:id="549"/>
      <w:bookmarkEnd w:id="550"/>
    </w:p>
    <w:p w14:paraId="0324CCBA" w14:textId="3DA3DD91" w:rsidR="00061164" w:rsidRDefault="00061164" w:rsidP="00C173D0">
      <w:pPr>
        <w:pStyle w:val="Heading2"/>
      </w:pPr>
      <w:bookmarkStart w:id="553" w:name="_Toc64846704"/>
      <w:bookmarkStart w:id="554" w:name="_Toc69477004"/>
      <w:r>
        <w:t>Purpose</w:t>
      </w:r>
    </w:p>
    <w:p w14:paraId="5277E169" w14:textId="54D52050" w:rsidR="00061164" w:rsidRPr="003018FA" w:rsidRDefault="00061164" w:rsidP="00B03C4A">
      <w:pPr>
        <w:pStyle w:val="Heading4"/>
      </w:pPr>
      <w:r>
        <w:t>The purpose of this Chapter is to provide a mechanism for verification of compliance with Capacity Obligations of Market Participants and to take the necessary actions in case of non-compliances by Market Participants.</w:t>
      </w:r>
    </w:p>
    <w:p w14:paraId="17686D6B" w14:textId="7D4CB766" w:rsidR="00DB3B34" w:rsidRPr="00973C39" w:rsidRDefault="00D473BA" w:rsidP="00C173D0">
      <w:pPr>
        <w:pStyle w:val="Heading2"/>
      </w:pPr>
      <w:r>
        <w:t>Capacity Obligations</w:t>
      </w:r>
      <w:r w:rsidR="00DB3B34" w:rsidRPr="00973C39">
        <w:t xml:space="preserve"> of market participant</w:t>
      </w:r>
      <w:r w:rsidR="00CF3202">
        <w:t>s</w:t>
      </w:r>
      <w:bookmarkEnd w:id="553"/>
      <w:bookmarkEnd w:id="554"/>
    </w:p>
    <w:p w14:paraId="1C3A72A5" w14:textId="49ADDC85" w:rsidR="00DB3B34" w:rsidRDefault="00012464" w:rsidP="00C173D0">
      <w:pPr>
        <w:pStyle w:val="Heading3"/>
      </w:pPr>
      <w:r>
        <w:t>Obligation of</w:t>
      </w:r>
      <w:r w:rsidR="00FE61BC">
        <w:t xml:space="preserve"> Contracting </w:t>
      </w:r>
      <w:r w:rsidR="00DB3B34" w:rsidRPr="00973C39">
        <w:t>Capacity</w:t>
      </w:r>
    </w:p>
    <w:p w14:paraId="686ECD04" w14:textId="5807856A" w:rsidR="00FE61BC" w:rsidRPr="00CF3202" w:rsidRDefault="00EF192F" w:rsidP="005B295A">
      <w:pPr>
        <w:pStyle w:val="Heading4"/>
      </w:pPr>
      <w:bookmarkStart w:id="555" w:name="_Ref66373592"/>
      <w:r>
        <w:t>A</w:t>
      </w:r>
      <w:r w:rsidR="00BF564D">
        <w:t>n</w:t>
      </w:r>
      <w:r>
        <w:t xml:space="preserve"> </w:t>
      </w:r>
      <w:r w:rsidR="00BF564D">
        <w:t>Electric Power Supplier</w:t>
      </w:r>
      <w:r w:rsidR="00BE21A2">
        <w:t xml:space="preserve">, </w:t>
      </w:r>
      <w:r>
        <w:t xml:space="preserve">a </w:t>
      </w:r>
      <w:r w:rsidR="00FE61BC" w:rsidRPr="00CF3202">
        <w:t>BPC registered as</w:t>
      </w:r>
      <w:r>
        <w:t xml:space="preserve"> </w:t>
      </w:r>
      <w:r w:rsidR="00FE61BC" w:rsidRPr="00CF3202">
        <w:t xml:space="preserve"> </w:t>
      </w:r>
      <w:r>
        <w:t xml:space="preserve">a </w:t>
      </w:r>
      <w:r w:rsidR="00FE61BC" w:rsidRPr="00CF3202">
        <w:t xml:space="preserve">Market </w:t>
      </w:r>
      <w:r w:rsidR="00FE61BC" w:rsidRPr="003E79B7">
        <w:t>Participant</w:t>
      </w:r>
      <w:r w:rsidR="00BE21A2" w:rsidRPr="003E79B7">
        <w:t xml:space="preserve"> and </w:t>
      </w:r>
      <w:r>
        <w:t>a</w:t>
      </w:r>
      <w:r w:rsidR="00BF564D">
        <w:t>n</w:t>
      </w:r>
      <w:r>
        <w:t xml:space="preserve"> </w:t>
      </w:r>
      <w:r w:rsidR="00BF564D">
        <w:t xml:space="preserve">Electric </w:t>
      </w:r>
      <w:commentRangeStart w:id="556"/>
      <w:r w:rsidR="00BF564D">
        <w:t>Power Trader</w:t>
      </w:r>
      <w:r w:rsidR="007F5665">
        <w:t xml:space="preserve"> </w:t>
      </w:r>
      <w:commentRangeEnd w:id="556"/>
      <w:r w:rsidR="00857297">
        <w:rPr>
          <w:rStyle w:val="CommentReference"/>
          <w:rFonts w:eastAsiaTheme="minorHAnsi" w:cstheme="minorBidi"/>
          <w:bCs w:val="0"/>
          <w:iCs w:val="0"/>
          <w:color w:val="1C1C1C"/>
        </w:rPr>
        <w:commentReference w:id="556"/>
      </w:r>
      <w:r>
        <w:t>engaged</w:t>
      </w:r>
      <w:r w:rsidR="007F5665">
        <w:t xml:space="preserve"> in </w:t>
      </w:r>
      <w:r w:rsidR="00BE21A2" w:rsidRPr="003E79B7">
        <w:t>Firm Exports</w:t>
      </w:r>
      <w:r w:rsidR="00FE61BC" w:rsidRPr="003E79B7">
        <w:t xml:space="preserve"> shall </w:t>
      </w:r>
      <w:r w:rsidR="00A47EBF" w:rsidRPr="003E79B7">
        <w:t>have</w:t>
      </w:r>
      <w:r w:rsidR="00CF3202">
        <w:t xml:space="preserve"> </w:t>
      </w:r>
      <w:r w:rsidR="00FE61BC" w:rsidRPr="00CF3202">
        <w:t xml:space="preserve">enough </w:t>
      </w:r>
      <w:r w:rsidR="00BD6DB0">
        <w:t>C</w:t>
      </w:r>
      <w:r w:rsidR="00BD6DB0" w:rsidRPr="00CF3202">
        <w:t>apacity</w:t>
      </w:r>
      <w:r w:rsidR="00F15A67">
        <w:t>, either provided by its own Generation Plants or purchased through registered Contracts</w:t>
      </w:r>
      <w:r w:rsidR="00CF3202">
        <w:t>, for the current and subsequent years</w:t>
      </w:r>
      <w:r w:rsidR="000C55EE">
        <w:t xml:space="preserve"> as detailed in </w:t>
      </w:r>
      <w:r w:rsidR="000C55EE" w:rsidRPr="00F15A67">
        <w:t xml:space="preserve">Clause </w:t>
      </w:r>
      <w:r w:rsidR="00F15A67" w:rsidRPr="00F15A67">
        <w:fldChar w:fldCharType="begin"/>
      </w:r>
      <w:r w:rsidR="00F15A67" w:rsidRPr="00F15A67">
        <w:instrText xml:space="preserve"> REF _Ref76070550 \w \h </w:instrText>
      </w:r>
      <w:r w:rsidR="00F15A67">
        <w:instrText xml:space="preserve"> \* MERGEFORMAT </w:instrText>
      </w:r>
      <w:r w:rsidR="00F15A67" w:rsidRPr="00F15A67">
        <w:fldChar w:fldCharType="separate"/>
      </w:r>
      <w:r w:rsidR="00F15A67" w:rsidRPr="00F15A67">
        <w:t>11.2.1.1</w:t>
      </w:r>
      <w:r w:rsidR="00F15A67" w:rsidRPr="00F15A67">
        <w:fldChar w:fldCharType="end"/>
      </w:r>
      <w:r w:rsidR="00F15A67" w:rsidRPr="00F15A67">
        <w:t xml:space="preserve"> below</w:t>
      </w:r>
      <w:r w:rsidR="00CF3202" w:rsidRPr="00F15A67">
        <w:t>,</w:t>
      </w:r>
      <w:r w:rsidR="00CF3202">
        <w:t xml:space="preserve"> </w:t>
      </w:r>
      <w:r w:rsidR="00A47EBF">
        <w:t xml:space="preserve">to cover a percentage of </w:t>
      </w:r>
      <w:r w:rsidR="003F394F">
        <w:t>its forecasted</w:t>
      </w:r>
      <w:r w:rsidR="00A47EBF">
        <w:t xml:space="preserve"> demand </w:t>
      </w:r>
      <w:r w:rsidR="00F15A67">
        <w:t>as</w:t>
      </w:r>
      <w:r w:rsidR="00A47EBF">
        <w:t xml:space="preserve"> </w:t>
      </w:r>
      <w:r>
        <w:t xml:space="preserve">provided </w:t>
      </w:r>
      <w:r w:rsidR="00A47EBF">
        <w:t>in this Code</w:t>
      </w:r>
      <w:r w:rsidR="00FE61BC" w:rsidRPr="00CF3202">
        <w:t>.</w:t>
      </w:r>
      <w:bookmarkEnd w:id="555"/>
    </w:p>
    <w:p w14:paraId="0767956B" w14:textId="23AD6907" w:rsidR="003F394F" w:rsidRDefault="00E6744B" w:rsidP="00C173D0">
      <w:pPr>
        <w:pStyle w:val="Heading2"/>
      </w:pPr>
      <w:bookmarkStart w:id="557" w:name="_Ref53084429"/>
      <w:bookmarkStart w:id="558" w:name="_Toc64846705"/>
      <w:bookmarkStart w:id="559" w:name="_Toc69477005"/>
      <w:r w:rsidRPr="00F1525B">
        <w:t>D</w:t>
      </w:r>
      <w:r w:rsidR="003F394F" w:rsidRPr="00F1525B">
        <w:t>emand forecast</w:t>
      </w:r>
      <w:r w:rsidRPr="00F1525B">
        <w:t>s</w:t>
      </w:r>
      <w:bookmarkEnd w:id="557"/>
      <w:bookmarkEnd w:id="558"/>
      <w:bookmarkEnd w:id="559"/>
    </w:p>
    <w:p w14:paraId="4EA307C9" w14:textId="681F1DF1" w:rsidR="00052773" w:rsidRPr="00052773" w:rsidRDefault="00052773" w:rsidP="00C173D0">
      <w:pPr>
        <w:pStyle w:val="Heading3"/>
      </w:pPr>
      <w:bookmarkStart w:id="560" w:name="_Ref53148824"/>
      <w:r>
        <w:t>Submission of Demand Forecasts</w:t>
      </w:r>
      <w:bookmarkEnd w:id="560"/>
    </w:p>
    <w:p w14:paraId="23BB9B86" w14:textId="0D0C6910" w:rsidR="00E6744B" w:rsidRDefault="00E6744B" w:rsidP="005B295A">
      <w:pPr>
        <w:pStyle w:val="Heading4"/>
      </w:pPr>
      <w:bookmarkStart w:id="561" w:name="_Ref76070550"/>
      <w:r>
        <w:t>Every year, before [</w:t>
      </w:r>
      <w:r w:rsidR="00F15A67">
        <w:t xml:space="preserve">Jan </w:t>
      </w:r>
      <w:r>
        <w:t>3</w:t>
      </w:r>
      <w:r w:rsidR="001D0CB2">
        <w:t>1</w:t>
      </w:r>
      <w:r w:rsidR="001D0CB2" w:rsidRPr="001D0CB2">
        <w:rPr>
          <w:vertAlign w:val="superscript"/>
        </w:rPr>
        <w:t>st</w:t>
      </w:r>
      <w:r>
        <w:t>] the</w:t>
      </w:r>
      <w:r w:rsidRPr="00CF3202">
        <w:t xml:space="preserve"> </w:t>
      </w:r>
      <w:r w:rsidR="00B72351">
        <w:t xml:space="preserve">Market Operator </w:t>
      </w:r>
      <w:r w:rsidR="00EF192F">
        <w:t>shall require</w:t>
      </w:r>
      <w:r w:rsidR="00B72351">
        <w:t xml:space="preserve"> the </w:t>
      </w:r>
      <w:r w:rsidR="00BE21A2">
        <w:t xml:space="preserve">Market Participants </w:t>
      </w:r>
      <w:r w:rsidR="00F15A67">
        <w:t xml:space="preserve">mentioned </w:t>
      </w:r>
      <w:r w:rsidR="00BE21A2">
        <w:t xml:space="preserve">in Clause </w:t>
      </w:r>
      <w:r w:rsidR="00BE21A2">
        <w:fldChar w:fldCharType="begin"/>
      </w:r>
      <w:r w:rsidR="00BE21A2">
        <w:instrText xml:space="preserve"> REF _Ref66373592 \r \h </w:instrText>
      </w:r>
      <w:r w:rsidR="00BE21A2">
        <w:fldChar w:fldCharType="separate"/>
      </w:r>
      <w:r w:rsidR="00251DBF">
        <w:t>11.1.1.1</w:t>
      </w:r>
      <w:r w:rsidR="00BE21A2">
        <w:fldChar w:fldCharType="end"/>
      </w:r>
      <w:r w:rsidR="00F15A67">
        <w:t xml:space="preserve"> above</w:t>
      </w:r>
      <w:r w:rsidR="00E77B28">
        <w:t xml:space="preserve">, </w:t>
      </w:r>
      <w:r w:rsidR="00B72351">
        <w:t>to</w:t>
      </w:r>
      <w:r>
        <w:t xml:space="preserve"> submit their </w:t>
      </w:r>
      <w:r w:rsidR="00B72351">
        <w:t xml:space="preserve">updated </w:t>
      </w:r>
      <w:r>
        <w:t>demand forecasts covering a period of:</w:t>
      </w:r>
      <w:bookmarkEnd w:id="561"/>
      <w:r>
        <w:t xml:space="preserve"> </w:t>
      </w:r>
    </w:p>
    <w:p w14:paraId="2B0E82DA" w14:textId="090E6040" w:rsidR="00FE61BC" w:rsidRPr="00B72351" w:rsidRDefault="00EF192F" w:rsidP="00B03234">
      <w:pPr>
        <w:pStyle w:val="Heading5"/>
      </w:pPr>
      <w:r>
        <w:t xml:space="preserve">for </w:t>
      </w:r>
      <w:r w:rsidR="00403C8A">
        <w:t>Default Supplier</w:t>
      </w:r>
      <w:r w:rsidR="00E6744B" w:rsidRPr="00B72351">
        <w:t xml:space="preserve">s: </w:t>
      </w:r>
      <w:r w:rsidR="00E77B28">
        <w:t>Current year and f</w:t>
      </w:r>
      <w:r w:rsidR="00E6744B" w:rsidRPr="00B72351">
        <w:t>ollowing [</w:t>
      </w:r>
      <w:r w:rsidR="00E77B28">
        <w:t>6</w:t>
      </w:r>
      <w:r w:rsidR="00E6744B" w:rsidRPr="00B72351">
        <w:t>] years</w:t>
      </w:r>
      <w:r w:rsidR="001435C8">
        <w:t>;</w:t>
      </w:r>
    </w:p>
    <w:p w14:paraId="3DE96E1E" w14:textId="51A4537A" w:rsidR="00E77B28" w:rsidRPr="00B72351" w:rsidRDefault="00EF192F" w:rsidP="00B03234">
      <w:pPr>
        <w:pStyle w:val="Heading5"/>
      </w:pPr>
      <w:r>
        <w:t xml:space="preserve">for </w:t>
      </w:r>
      <w:r w:rsidR="00E6744B" w:rsidRPr="00810FB1">
        <w:t xml:space="preserve">Competitive </w:t>
      </w:r>
      <w:r w:rsidR="00BF564D">
        <w:t>Electric Power Supplier</w:t>
      </w:r>
      <w:r w:rsidR="00E6744B" w:rsidRPr="00810FB1">
        <w:t>s</w:t>
      </w:r>
      <w:r w:rsidR="00E77B28">
        <w:t>: Current year and f</w:t>
      </w:r>
      <w:r w:rsidR="00E77B28" w:rsidRPr="00B72351">
        <w:t>ollowing [</w:t>
      </w:r>
      <w:r w:rsidR="00857297">
        <w:t>4</w:t>
      </w:r>
      <w:r w:rsidR="00E77B28" w:rsidRPr="00B72351">
        <w:t>] years</w:t>
      </w:r>
      <w:r w:rsidR="001435C8">
        <w:t xml:space="preserve">; </w:t>
      </w:r>
    </w:p>
    <w:p w14:paraId="2F37D728" w14:textId="2823499C" w:rsidR="00E6744B" w:rsidRDefault="00EF192F" w:rsidP="00B03234">
      <w:pPr>
        <w:pStyle w:val="Heading5"/>
      </w:pPr>
      <w:r>
        <w:t xml:space="preserve">for </w:t>
      </w:r>
      <w:r w:rsidR="00E6744B" w:rsidRPr="00810FB1">
        <w:t xml:space="preserve">BPCs: </w:t>
      </w:r>
      <w:r w:rsidR="00E77B28">
        <w:t>Current year and f</w:t>
      </w:r>
      <w:r w:rsidR="00E77B28" w:rsidRPr="00B72351">
        <w:t xml:space="preserve">ollowing </w:t>
      </w:r>
      <w:commentRangeStart w:id="562"/>
      <w:r w:rsidR="00E77B28" w:rsidRPr="00B72351">
        <w:t>[</w:t>
      </w:r>
      <w:r w:rsidR="001435C8">
        <w:t>2</w:t>
      </w:r>
      <w:r w:rsidR="00E77B28" w:rsidRPr="00B72351">
        <w:t xml:space="preserve">] </w:t>
      </w:r>
      <w:commentRangeEnd w:id="562"/>
      <w:r w:rsidR="00857297">
        <w:rPr>
          <w:rStyle w:val="CommentReference"/>
          <w:rFonts w:eastAsiaTheme="minorHAnsi" w:cstheme="minorBidi"/>
          <w:color w:val="1C1C1C"/>
        </w:rPr>
        <w:commentReference w:id="562"/>
      </w:r>
      <w:r w:rsidR="00E77B28" w:rsidRPr="00B72351">
        <w:t>years</w:t>
      </w:r>
      <w:r w:rsidR="00061164">
        <w:t>; and</w:t>
      </w:r>
    </w:p>
    <w:p w14:paraId="10E7B6FF" w14:textId="6CCBBACA" w:rsidR="00BE21A2" w:rsidRPr="00BE21A2" w:rsidRDefault="00BC5C2D" w:rsidP="00BE21A2">
      <w:pPr>
        <w:pStyle w:val="Heading5"/>
        <w:ind w:left="1701"/>
      </w:pPr>
      <w:r>
        <w:t xml:space="preserve">for </w:t>
      </w:r>
      <w:r w:rsidR="00BF564D">
        <w:t>Electric Power Trader</w:t>
      </w:r>
      <w:r>
        <w:t xml:space="preserve">s engaged in </w:t>
      </w:r>
      <w:r w:rsidR="00BE21A2">
        <w:t>Firm Exports</w:t>
      </w:r>
      <w:r w:rsidR="00BE21A2" w:rsidRPr="00810FB1">
        <w:t xml:space="preserve">: </w:t>
      </w:r>
      <w:r w:rsidR="00BE21A2">
        <w:t>Current year and f</w:t>
      </w:r>
      <w:r w:rsidR="00BE21A2" w:rsidRPr="00B72351">
        <w:t>ollowing [</w:t>
      </w:r>
      <w:r w:rsidR="00857297">
        <w:t>4</w:t>
      </w:r>
      <w:r w:rsidR="00BE21A2" w:rsidRPr="00B72351">
        <w:t>] years</w:t>
      </w:r>
      <w:r w:rsidR="00061164">
        <w:t>.</w:t>
      </w:r>
    </w:p>
    <w:p w14:paraId="005E2923" w14:textId="56D20E1F" w:rsidR="00A81471" w:rsidRDefault="00A81471" w:rsidP="005B295A">
      <w:pPr>
        <w:pStyle w:val="Heading4"/>
      </w:pPr>
      <w:r>
        <w:t>The demand forecast</w:t>
      </w:r>
      <w:r w:rsidR="00F15A67">
        <w:t xml:space="preserve"> submitted by</w:t>
      </w:r>
      <w:r>
        <w:t xml:space="preserve"> </w:t>
      </w:r>
      <w:r w:rsidR="0013255E">
        <w:t>a</w:t>
      </w:r>
      <w:r w:rsidR="00F15A67">
        <w:t xml:space="preserve"> </w:t>
      </w:r>
      <w:r>
        <w:t xml:space="preserve">Market Participant shall include, for each year, at least: </w:t>
      </w:r>
    </w:p>
    <w:p w14:paraId="3B5FF171" w14:textId="53748D75" w:rsidR="00A81471" w:rsidRPr="00B72351" w:rsidRDefault="0013255E" w:rsidP="00B03234">
      <w:pPr>
        <w:pStyle w:val="Heading5"/>
      </w:pPr>
      <w:r>
        <w:t>t</w:t>
      </w:r>
      <w:r w:rsidR="00A81471">
        <w:t xml:space="preserve">he total amount of </w:t>
      </w:r>
      <w:r w:rsidR="0019764E" w:rsidRPr="0019764E">
        <w:t>E</w:t>
      </w:r>
      <w:r w:rsidR="00A81471" w:rsidRPr="0019764E">
        <w:t>nergy</w:t>
      </w:r>
      <w:r w:rsidR="00A81471">
        <w:t xml:space="preserve"> to be supplied</w:t>
      </w:r>
      <w:r>
        <w:t>/withdrawn</w:t>
      </w:r>
      <w:r w:rsidR="00A81471">
        <w:t xml:space="preserve">; </w:t>
      </w:r>
    </w:p>
    <w:p w14:paraId="5D6DA9AC" w14:textId="57F6806D" w:rsidR="00A81471" w:rsidRDefault="0013255E" w:rsidP="00B03234">
      <w:pPr>
        <w:pStyle w:val="Heading5"/>
      </w:pPr>
      <w:r>
        <w:t>t</w:t>
      </w:r>
      <w:r w:rsidR="00A81471">
        <w:t xml:space="preserve">he expected yearly </w:t>
      </w:r>
      <w:r w:rsidR="001435C8">
        <w:t>Maximum Demand</w:t>
      </w:r>
      <w:r w:rsidR="00207F8B">
        <w:t xml:space="preserve">, indicating the month in which this Maximum Demand is expected to be </w:t>
      </w:r>
      <w:r w:rsidR="00BC5C2D">
        <w:t>taken</w:t>
      </w:r>
      <w:r w:rsidR="00A81471">
        <w:t>; and</w:t>
      </w:r>
    </w:p>
    <w:p w14:paraId="6ABE410F" w14:textId="2F982808" w:rsidR="00A81471" w:rsidRDefault="0013255E" w:rsidP="00B03234">
      <w:pPr>
        <w:pStyle w:val="Heading5"/>
      </w:pPr>
      <w:r>
        <w:t>t</w:t>
      </w:r>
      <w:r w:rsidR="00A81471">
        <w:t xml:space="preserve">he expected </w:t>
      </w:r>
      <w:r>
        <w:t>M</w:t>
      </w:r>
      <w:r w:rsidR="00A81471">
        <w:t xml:space="preserve">aximum </w:t>
      </w:r>
      <w:r>
        <w:t>D</w:t>
      </w:r>
      <w:r w:rsidR="00A81471">
        <w:t xml:space="preserve">emand </w:t>
      </w:r>
      <w:r w:rsidR="003B079A">
        <w:t xml:space="preserve">to be supplied </w:t>
      </w:r>
      <w:r w:rsidR="00A81471">
        <w:t xml:space="preserve">at </w:t>
      </w:r>
      <w:r w:rsidR="003B079A">
        <w:t>S</w:t>
      </w:r>
      <w:r w:rsidR="00A81471">
        <w:t xml:space="preserve">ystem </w:t>
      </w:r>
      <w:r w:rsidR="003B079A">
        <w:t>P</w:t>
      </w:r>
      <w:r w:rsidR="00A81471">
        <w:t xml:space="preserve">eak </w:t>
      </w:r>
      <w:r w:rsidR="003B079A">
        <w:t>H</w:t>
      </w:r>
      <w:r w:rsidR="00A81471">
        <w:t xml:space="preserve">ours. </w:t>
      </w:r>
    </w:p>
    <w:p w14:paraId="7618F206" w14:textId="7E4320AA" w:rsidR="00FE61BC" w:rsidRPr="00FE61BC" w:rsidRDefault="00B72351" w:rsidP="005B295A">
      <w:pPr>
        <w:pStyle w:val="Heading4"/>
      </w:pPr>
      <w:r>
        <w:t xml:space="preserve">The Market Participants </w:t>
      </w:r>
      <w:r w:rsidR="003B079A">
        <w:t xml:space="preserve">shall </w:t>
      </w:r>
      <w:r w:rsidR="0013255E">
        <w:t xml:space="preserve">submit </w:t>
      </w:r>
      <w:r w:rsidR="003B079A">
        <w:t xml:space="preserve">the </w:t>
      </w:r>
      <w:r w:rsidR="0013255E">
        <w:t xml:space="preserve">required </w:t>
      </w:r>
      <w:r w:rsidR="003B079A">
        <w:t>information before [</w:t>
      </w:r>
      <w:r w:rsidR="0013255E">
        <w:t>March 1</w:t>
      </w:r>
      <w:r w:rsidR="0013255E" w:rsidRPr="0013255E">
        <w:rPr>
          <w:vertAlign w:val="superscript"/>
        </w:rPr>
        <w:t>st</w:t>
      </w:r>
      <w:r w:rsidR="003B079A">
        <w:t xml:space="preserve">] </w:t>
      </w:r>
      <w:r w:rsidR="00D83FA9">
        <w:t>of each year</w:t>
      </w:r>
      <w:r w:rsidR="003B079A">
        <w:t>.</w:t>
      </w:r>
    </w:p>
    <w:p w14:paraId="1455C269" w14:textId="5C46FCD8" w:rsidR="00D9227A" w:rsidRDefault="00D9227A" w:rsidP="005B295A">
      <w:pPr>
        <w:pStyle w:val="Heading4"/>
      </w:pPr>
      <w:r>
        <w:t xml:space="preserve">The Market Operator shall </w:t>
      </w:r>
      <w:r w:rsidR="0013255E">
        <w:t xml:space="preserve">make </w:t>
      </w:r>
      <w:r w:rsidR="000A2D15">
        <w:t xml:space="preserve">a </w:t>
      </w:r>
      <w:r w:rsidR="003E79B7">
        <w:t>CCOP</w:t>
      </w:r>
      <w:r>
        <w:t xml:space="preserve"> </w:t>
      </w:r>
      <w:r w:rsidR="00BC5C2D">
        <w:t>having forms/</w:t>
      </w:r>
      <w:r>
        <w:t xml:space="preserve">templates for the submission of the </w:t>
      </w:r>
      <w:r w:rsidR="00BC5C2D">
        <w:t xml:space="preserve">required </w:t>
      </w:r>
      <w:r>
        <w:t>information</w:t>
      </w:r>
      <w:r w:rsidR="0013255E">
        <w:t xml:space="preserve"> by the Market Participants</w:t>
      </w:r>
      <w:r>
        <w:t>.</w:t>
      </w:r>
    </w:p>
    <w:p w14:paraId="094CF671" w14:textId="734B7B7F" w:rsidR="00DB3B34" w:rsidRDefault="00D73DA1" w:rsidP="00C173D0">
      <w:pPr>
        <w:pStyle w:val="Heading3"/>
      </w:pPr>
      <w:r>
        <w:lastRenderedPageBreak/>
        <w:t>Demand Forecast</w:t>
      </w:r>
      <w:r w:rsidR="00DB3B34">
        <w:t xml:space="preserve"> of </w:t>
      </w:r>
      <w:r w:rsidR="00403C8A">
        <w:t>Default Supplier</w:t>
      </w:r>
      <w:r w:rsidR="00DB3B34">
        <w:t>s</w:t>
      </w:r>
    </w:p>
    <w:p w14:paraId="155FF9D6" w14:textId="7ABF378C" w:rsidR="001D0CB2" w:rsidRDefault="001D0CB2" w:rsidP="005B295A">
      <w:pPr>
        <w:pStyle w:val="Heading4"/>
      </w:pPr>
      <w:r>
        <w:t xml:space="preserve">The Demand Forecast submitted by the </w:t>
      </w:r>
      <w:r w:rsidR="00403C8A">
        <w:t>Default Supplier</w:t>
      </w:r>
      <w:r>
        <w:t xml:space="preserve"> shall be </w:t>
      </w:r>
      <w:r w:rsidR="0013255E">
        <w:t xml:space="preserve">prepared </w:t>
      </w:r>
      <w:r>
        <w:t xml:space="preserve">using appropriate models or algorithms and </w:t>
      </w:r>
      <w:r w:rsidR="00BC5C2D">
        <w:t xml:space="preserve">by </w:t>
      </w:r>
      <w:r>
        <w:t>taking into account the latest available information</w:t>
      </w:r>
      <w:r w:rsidR="00BC5C2D">
        <w:t>, particularly, the following:</w:t>
      </w:r>
      <w:r>
        <w:t xml:space="preserve"> </w:t>
      </w:r>
    </w:p>
    <w:p w14:paraId="584888AE" w14:textId="07F9CA09" w:rsidR="001D0CB2" w:rsidRPr="00F6713B" w:rsidRDefault="0013255E" w:rsidP="00B03234">
      <w:pPr>
        <w:pStyle w:val="Heading5"/>
      </w:pPr>
      <w:r>
        <w:t>t</w:t>
      </w:r>
      <w:r w:rsidR="001D0CB2" w:rsidRPr="00F6713B">
        <w:t xml:space="preserve">he demand of </w:t>
      </w:r>
      <w:r>
        <w:t>its</w:t>
      </w:r>
      <w:r w:rsidRPr="00F6713B">
        <w:t xml:space="preserve"> </w:t>
      </w:r>
      <w:r w:rsidR="001D0CB2" w:rsidRPr="00F6713B">
        <w:t xml:space="preserve">current </w:t>
      </w:r>
      <w:r>
        <w:t>consumers</w:t>
      </w:r>
      <w:r w:rsidR="001D0CB2" w:rsidRPr="00F6713B">
        <w:t xml:space="preserve">; </w:t>
      </w:r>
    </w:p>
    <w:p w14:paraId="77852645" w14:textId="1E9EC6BA" w:rsidR="00D73DA1" w:rsidRPr="002E071F" w:rsidRDefault="0013255E" w:rsidP="00B03234">
      <w:pPr>
        <w:pStyle w:val="Heading5"/>
      </w:pPr>
      <w:r>
        <w:t>t</w:t>
      </w:r>
      <w:r w:rsidR="001D0CB2" w:rsidRPr="002E071F">
        <w:t xml:space="preserve">he </w:t>
      </w:r>
      <w:r w:rsidR="00BC5C2D">
        <w:t>expected growth</w:t>
      </w:r>
      <w:r w:rsidR="00BC5C2D" w:rsidRPr="002E071F">
        <w:t xml:space="preserve"> </w:t>
      </w:r>
      <w:r w:rsidR="00BC5C2D">
        <w:t>in the</w:t>
      </w:r>
      <w:r w:rsidR="001D0CB2" w:rsidRPr="002E071F">
        <w:t xml:space="preserve"> number of </w:t>
      </w:r>
      <w:r>
        <w:t>consumers</w:t>
      </w:r>
      <w:r w:rsidRPr="002E071F">
        <w:t xml:space="preserve"> </w:t>
      </w:r>
      <w:r w:rsidR="001D0CB2" w:rsidRPr="002E071F">
        <w:t xml:space="preserve">and their demand; </w:t>
      </w:r>
    </w:p>
    <w:p w14:paraId="172C7DCD" w14:textId="3D7E8CBC" w:rsidR="00BA6F33" w:rsidRDefault="0013255E" w:rsidP="00B03234">
      <w:pPr>
        <w:pStyle w:val="Heading5"/>
      </w:pPr>
      <w:r>
        <w:t>n</w:t>
      </w:r>
      <w:r w:rsidR="00C86CD2">
        <w:t>otice</w:t>
      </w:r>
      <w:r>
        <w:t>s</w:t>
      </w:r>
      <w:r w:rsidR="00C86CD2">
        <w:t xml:space="preserve"> received from BPCs informing </w:t>
      </w:r>
      <w:r w:rsidR="00BA6F33">
        <w:t xml:space="preserve">to end the contracted supply and their intention to </w:t>
      </w:r>
      <w:r w:rsidR="003A578F">
        <w:t>contract</w:t>
      </w:r>
      <w:r w:rsidR="00BA6F33">
        <w:t xml:space="preserve"> such supply from Competitive </w:t>
      </w:r>
      <w:r w:rsidR="00BF564D">
        <w:t>Electric Power Supplier</w:t>
      </w:r>
      <w:r w:rsidR="00BA6F33">
        <w:t xml:space="preserve">s; </w:t>
      </w:r>
    </w:p>
    <w:p w14:paraId="5B816152" w14:textId="1DC8BBE4" w:rsidR="00BA6F33" w:rsidRDefault="00BA6F33" w:rsidP="00B03234">
      <w:pPr>
        <w:pStyle w:val="Heading5"/>
      </w:pPr>
      <w:r>
        <w:t>estimations regarding the number of BPCs, and the associated demand, which may end the contracted</w:t>
      </w:r>
      <w:r w:rsidR="0013255E">
        <w:t xml:space="preserve"> supply</w:t>
      </w:r>
      <w:r>
        <w:t xml:space="preserve"> with the </w:t>
      </w:r>
      <w:r w:rsidR="00403C8A">
        <w:t>Default Supplier</w:t>
      </w:r>
      <w:r>
        <w:t xml:space="preserve"> to receive such supply from Competitive </w:t>
      </w:r>
      <w:r w:rsidR="00BF564D">
        <w:t>Electric Power Supplier</w:t>
      </w:r>
      <w:r>
        <w:t xml:space="preserve">s; </w:t>
      </w:r>
    </w:p>
    <w:p w14:paraId="7600A7C2" w14:textId="5759260D" w:rsidR="00BA6F33" w:rsidRDefault="00BA6F33" w:rsidP="00B03234">
      <w:pPr>
        <w:pStyle w:val="Heading5"/>
      </w:pPr>
      <w:r>
        <w:t>estimations regarding the number of BPCs,</w:t>
      </w:r>
      <w:r w:rsidRPr="00BA6F33">
        <w:t xml:space="preserve"> </w:t>
      </w:r>
      <w:r>
        <w:t xml:space="preserve">and the associated demand, which may end the </w:t>
      </w:r>
      <w:r w:rsidR="0013255E">
        <w:t xml:space="preserve">contracted </w:t>
      </w:r>
      <w:r>
        <w:t xml:space="preserve">supply with Competitive </w:t>
      </w:r>
      <w:r w:rsidR="00BF564D">
        <w:t>Electric Power Supplier</w:t>
      </w:r>
      <w:r>
        <w:t>s</w:t>
      </w:r>
      <w:r w:rsidR="00ED1B2D">
        <w:t xml:space="preserve"> or other Market Participants</w:t>
      </w:r>
      <w:r>
        <w:t xml:space="preserve">, which may return to receive such supply from the </w:t>
      </w:r>
      <w:r w:rsidR="00403C8A">
        <w:t>Default Supplier</w:t>
      </w:r>
      <w:r w:rsidRPr="0019764E">
        <w:t>;</w:t>
      </w:r>
      <w:r>
        <w:t xml:space="preserve"> </w:t>
      </w:r>
    </w:p>
    <w:p w14:paraId="6E7013BD" w14:textId="3DFF23DC" w:rsidR="001D0CB2" w:rsidRDefault="0013255E" w:rsidP="00B03234">
      <w:pPr>
        <w:pStyle w:val="Heading5"/>
      </w:pPr>
      <w:r>
        <w:t>t</w:t>
      </w:r>
      <w:r w:rsidR="00BA6F33">
        <w:t>he effect of l</w:t>
      </w:r>
      <w:r w:rsidR="001D0CB2">
        <w:t xml:space="preserve">oss reduction plans </w:t>
      </w:r>
      <w:r>
        <w:t xml:space="preserve">implemented </w:t>
      </w:r>
      <w:r w:rsidR="001D0CB2">
        <w:t xml:space="preserve">by the </w:t>
      </w:r>
      <w:r>
        <w:t>relevant D</w:t>
      </w:r>
      <w:r w:rsidR="001D0CB2">
        <w:t xml:space="preserve">istribution </w:t>
      </w:r>
      <w:r w:rsidR="00520202">
        <w:t>License</w:t>
      </w:r>
      <w:r w:rsidR="001D0CB2">
        <w:t xml:space="preserve">e; </w:t>
      </w:r>
    </w:p>
    <w:p w14:paraId="360391FB" w14:textId="624EF1AE" w:rsidR="00540CA2" w:rsidRDefault="0013255E" w:rsidP="00B03234">
      <w:pPr>
        <w:pStyle w:val="Heading5"/>
      </w:pPr>
      <w:r>
        <w:t>t</w:t>
      </w:r>
      <w:r w:rsidR="00BA6F33">
        <w:t xml:space="preserve">he effect of plans, </w:t>
      </w:r>
      <w:r>
        <w:t xml:space="preserve">prepared </w:t>
      </w:r>
      <w:r w:rsidR="00BA6F33">
        <w:t xml:space="preserve">either by the </w:t>
      </w:r>
      <w:r w:rsidR="00403C8A">
        <w:t>Default Supplier</w:t>
      </w:r>
      <w:r w:rsidR="00BA6F33">
        <w:t xml:space="preserve"> or </w:t>
      </w:r>
      <w:r>
        <w:t>the relevant</w:t>
      </w:r>
      <w:r w:rsidR="00BA6F33">
        <w:t xml:space="preserve"> </w:t>
      </w:r>
      <w:r>
        <w:t>D</w:t>
      </w:r>
      <w:r w:rsidR="00BA6F33">
        <w:t xml:space="preserve">istribution </w:t>
      </w:r>
      <w:r w:rsidR="00520202">
        <w:t>License</w:t>
      </w:r>
      <w:r w:rsidR="00BA6F33">
        <w:t xml:space="preserve">e, aimed </w:t>
      </w:r>
      <w:r w:rsidR="00540CA2">
        <w:t>at reducing</w:t>
      </w:r>
      <w:r w:rsidR="00BA6F33">
        <w:t xml:space="preserve"> consumption at the peaks;</w:t>
      </w:r>
    </w:p>
    <w:p w14:paraId="243A42E6" w14:textId="310CFA10" w:rsidR="001D0CB2" w:rsidRDefault="00540CA2" w:rsidP="00B03234">
      <w:pPr>
        <w:pStyle w:val="Heading5"/>
      </w:pPr>
      <w:r>
        <w:t>the effect of distributed generation;</w:t>
      </w:r>
      <w:r w:rsidR="00BA6F33">
        <w:t xml:space="preserve"> </w:t>
      </w:r>
    </w:p>
    <w:p w14:paraId="7CC02A94" w14:textId="0806A25A" w:rsidR="00BA6F33" w:rsidRDefault="0013255E" w:rsidP="00B03234">
      <w:pPr>
        <w:pStyle w:val="Heading5"/>
      </w:pPr>
      <w:r>
        <w:t>a</w:t>
      </w:r>
      <w:r w:rsidR="00BA6F33">
        <w:t xml:space="preserve">ny other </w:t>
      </w:r>
      <w:r>
        <w:t xml:space="preserve">important </w:t>
      </w:r>
      <w:r w:rsidR="00BA6F33">
        <w:t>factor</w:t>
      </w:r>
      <w:r>
        <w:t xml:space="preserve"> affecting the forecast</w:t>
      </w:r>
      <w:r w:rsidR="00BA6F33">
        <w:t xml:space="preserve">. </w:t>
      </w:r>
    </w:p>
    <w:p w14:paraId="248585C4" w14:textId="32C691CF" w:rsidR="005F70E4" w:rsidRDefault="005F70E4" w:rsidP="005B295A">
      <w:pPr>
        <w:pStyle w:val="Heading4"/>
      </w:pPr>
      <w:commentRangeStart w:id="563"/>
      <w:r>
        <w:t xml:space="preserve">The Demand Forecast submitted by </w:t>
      </w:r>
      <w:r w:rsidR="00540CA2">
        <w:t xml:space="preserve">a </w:t>
      </w:r>
      <w:r w:rsidR="00403C8A">
        <w:t>Default Supplier</w:t>
      </w:r>
      <w:r>
        <w:t xml:space="preserve"> shall be based on the </w:t>
      </w:r>
      <w:commentRangeStart w:id="564"/>
      <w:r>
        <w:t>demand forecast</w:t>
      </w:r>
      <w:commentRangeEnd w:id="564"/>
      <w:r w:rsidR="00540CA2">
        <w:rPr>
          <w:rStyle w:val="CommentReference"/>
          <w:rFonts w:eastAsiaTheme="minorHAnsi" w:cstheme="minorBidi"/>
          <w:bCs w:val="0"/>
          <w:iCs w:val="0"/>
          <w:color w:val="1C1C1C"/>
        </w:rPr>
        <w:commentReference w:id="564"/>
      </w:r>
      <w:r>
        <w:t xml:space="preserve"> submitted</w:t>
      </w:r>
      <w:r w:rsidR="003E79B7">
        <w:t xml:space="preserve"> by </w:t>
      </w:r>
      <w:r w:rsidR="00540CA2">
        <w:t>such</w:t>
      </w:r>
      <w:r w:rsidR="0013255E">
        <w:t xml:space="preserve"> </w:t>
      </w:r>
      <w:r w:rsidR="00403C8A">
        <w:t>Default Supplier</w:t>
      </w:r>
      <w:r>
        <w:t xml:space="preserve"> </w:t>
      </w:r>
      <w:r w:rsidR="0019764E">
        <w:t xml:space="preserve">to the Authority </w:t>
      </w:r>
      <w:r w:rsidRPr="00540CA2">
        <w:rPr>
          <w:strike/>
        </w:rPr>
        <w:t>in the latest approved Procurement Plan, as per the applicable regulations</w:t>
      </w:r>
      <w:r>
        <w:t xml:space="preserve">. </w:t>
      </w:r>
      <w:commentRangeEnd w:id="563"/>
      <w:r w:rsidR="005C18BF">
        <w:rPr>
          <w:rStyle w:val="CommentReference"/>
          <w:rFonts w:eastAsiaTheme="minorHAnsi" w:cstheme="minorBidi"/>
          <w:bCs w:val="0"/>
          <w:iCs w:val="0"/>
          <w:color w:val="1C1C1C"/>
        </w:rPr>
        <w:commentReference w:id="563"/>
      </w:r>
    </w:p>
    <w:p w14:paraId="6FDF4255" w14:textId="0B1700DF" w:rsidR="00052773" w:rsidRPr="00540CA2" w:rsidRDefault="00356562" w:rsidP="005B295A">
      <w:pPr>
        <w:pStyle w:val="Heading4"/>
        <w:rPr>
          <w:strike/>
        </w:rPr>
      </w:pPr>
      <w:r w:rsidRPr="00540CA2">
        <w:rPr>
          <w:strike/>
        </w:rPr>
        <w:t xml:space="preserve">The Market Operator </w:t>
      </w:r>
      <w:r w:rsidR="005D47BE" w:rsidRPr="00540CA2">
        <w:rPr>
          <w:strike/>
        </w:rPr>
        <w:t xml:space="preserve">shall </w:t>
      </w:r>
      <w:r w:rsidRPr="00540CA2">
        <w:rPr>
          <w:strike/>
        </w:rPr>
        <w:t xml:space="preserve">compare </w:t>
      </w:r>
      <w:commentRangeStart w:id="565"/>
      <w:r w:rsidR="005F70E4" w:rsidRPr="00540CA2">
        <w:rPr>
          <w:strike/>
        </w:rPr>
        <w:t xml:space="preserve">the </w:t>
      </w:r>
      <w:commentRangeStart w:id="566"/>
      <w:r w:rsidR="005F70E4" w:rsidRPr="00540CA2">
        <w:rPr>
          <w:strike/>
        </w:rPr>
        <w:t xml:space="preserve">demand forecast submitted by a </w:t>
      </w:r>
      <w:r w:rsidR="00403C8A" w:rsidRPr="00540CA2">
        <w:rPr>
          <w:strike/>
        </w:rPr>
        <w:t>Default Supplier</w:t>
      </w:r>
      <w:r w:rsidR="005F70E4" w:rsidRPr="00540CA2">
        <w:rPr>
          <w:strike/>
        </w:rPr>
        <w:t xml:space="preserve"> </w:t>
      </w:r>
      <w:r w:rsidRPr="00540CA2">
        <w:rPr>
          <w:strike/>
        </w:rPr>
        <w:t xml:space="preserve">with the </w:t>
      </w:r>
      <w:r w:rsidR="005C18BF" w:rsidRPr="00540CA2">
        <w:rPr>
          <w:strike/>
        </w:rPr>
        <w:t xml:space="preserve">demand forecast </w:t>
      </w:r>
      <w:r w:rsidRPr="00540CA2">
        <w:rPr>
          <w:strike/>
        </w:rPr>
        <w:t xml:space="preserve">included in the </w:t>
      </w:r>
      <w:r w:rsidR="005C18BF" w:rsidRPr="00540CA2">
        <w:rPr>
          <w:strike/>
        </w:rPr>
        <w:t>latest Procurement Plan</w:t>
      </w:r>
      <w:r w:rsidRPr="00540CA2">
        <w:rPr>
          <w:strike/>
        </w:rPr>
        <w:t xml:space="preserve"> approved by the Authority. </w:t>
      </w:r>
      <w:commentRangeEnd w:id="565"/>
      <w:r w:rsidR="005C18BF" w:rsidRPr="00540CA2">
        <w:rPr>
          <w:rStyle w:val="CommentReference"/>
          <w:rFonts w:eastAsiaTheme="minorHAnsi" w:cstheme="minorBidi"/>
          <w:bCs w:val="0"/>
          <w:iCs w:val="0"/>
          <w:strike/>
          <w:color w:val="1C1C1C"/>
        </w:rPr>
        <w:commentReference w:id="565"/>
      </w:r>
      <w:r w:rsidR="007443CE" w:rsidRPr="00540CA2">
        <w:rPr>
          <w:strike/>
        </w:rPr>
        <w:t xml:space="preserve"> In case both forecasts are materially </w:t>
      </w:r>
      <w:commentRangeEnd w:id="566"/>
      <w:r w:rsidR="00540CA2">
        <w:rPr>
          <w:rStyle w:val="CommentReference"/>
          <w:rFonts w:eastAsiaTheme="minorHAnsi" w:cstheme="minorBidi"/>
          <w:bCs w:val="0"/>
          <w:iCs w:val="0"/>
          <w:color w:val="1C1C1C"/>
        </w:rPr>
        <w:commentReference w:id="566"/>
      </w:r>
      <w:r w:rsidR="007443CE" w:rsidRPr="00540CA2">
        <w:rPr>
          <w:strike/>
        </w:rPr>
        <w:t>differen</w:t>
      </w:r>
      <w:r w:rsidR="00045A8F" w:rsidRPr="00540CA2">
        <w:rPr>
          <w:strike/>
        </w:rPr>
        <w:t>t,</w:t>
      </w:r>
      <w:r w:rsidR="007443CE" w:rsidRPr="00540CA2">
        <w:rPr>
          <w:strike/>
        </w:rPr>
        <w:t xml:space="preserve"> </w:t>
      </w:r>
      <w:r w:rsidR="00045A8F" w:rsidRPr="00540CA2">
        <w:rPr>
          <w:strike/>
        </w:rPr>
        <w:t>t</w:t>
      </w:r>
      <w:r w:rsidR="007443CE" w:rsidRPr="00540CA2">
        <w:rPr>
          <w:strike/>
        </w:rPr>
        <w:t xml:space="preserve">he Market Operator </w:t>
      </w:r>
      <w:r w:rsidR="005D47BE" w:rsidRPr="00540CA2">
        <w:rPr>
          <w:strike/>
        </w:rPr>
        <w:t xml:space="preserve">shall </w:t>
      </w:r>
      <w:r w:rsidR="007443CE" w:rsidRPr="00540CA2">
        <w:rPr>
          <w:strike/>
        </w:rPr>
        <w:t>inform the Authority</w:t>
      </w:r>
      <w:r w:rsidR="005D47BE" w:rsidRPr="00540CA2">
        <w:rPr>
          <w:strike/>
        </w:rPr>
        <w:t xml:space="preserve"> accordingly</w:t>
      </w:r>
      <w:r w:rsidR="0019764E" w:rsidRPr="00540CA2">
        <w:rPr>
          <w:strike/>
        </w:rPr>
        <w:t>.</w:t>
      </w:r>
      <w:r w:rsidR="007443CE" w:rsidRPr="00540CA2">
        <w:rPr>
          <w:strike/>
        </w:rPr>
        <w:t xml:space="preserve"> </w:t>
      </w:r>
      <w:r w:rsidR="005A537C">
        <w:rPr>
          <w:strike/>
        </w:rPr>
        <w:t>T</w:t>
      </w:r>
      <w:r w:rsidR="00540CA2">
        <w:rPr>
          <w:strike/>
        </w:rPr>
        <w:t>he Market Operator shall use the forecast submitted by the Default Supplier for its intended purpose</w:t>
      </w:r>
      <w:r w:rsidR="00061164">
        <w:rPr>
          <w:strike/>
        </w:rPr>
        <w:t>.</w:t>
      </w:r>
    </w:p>
    <w:p w14:paraId="6A86E9DF" w14:textId="03AE2FB9" w:rsidR="004F7BA5" w:rsidRDefault="004F7BA5" w:rsidP="00C173D0">
      <w:pPr>
        <w:pStyle w:val="Heading3"/>
      </w:pPr>
      <w:r>
        <w:t xml:space="preserve">Demand Forecast of Competitive </w:t>
      </w:r>
      <w:r w:rsidR="00BF564D">
        <w:t>Electric Power Supplier</w:t>
      </w:r>
      <w:r>
        <w:t>s</w:t>
      </w:r>
    </w:p>
    <w:p w14:paraId="4D0ED1C8" w14:textId="7B09C64B" w:rsidR="00F6713B" w:rsidRPr="00C55659" w:rsidRDefault="00F6713B" w:rsidP="005B295A">
      <w:pPr>
        <w:pStyle w:val="Heading4"/>
      </w:pPr>
      <w:r w:rsidRPr="00F6713B">
        <w:t xml:space="preserve">The </w:t>
      </w:r>
      <w:r w:rsidR="00540CA2">
        <w:t>D</w:t>
      </w:r>
      <w:r w:rsidRPr="00F6713B">
        <w:t xml:space="preserve">emand </w:t>
      </w:r>
      <w:r w:rsidR="00540CA2">
        <w:t>F</w:t>
      </w:r>
      <w:r w:rsidRPr="00F6713B">
        <w:t xml:space="preserve">orecast of </w:t>
      </w:r>
      <w:r w:rsidR="005D47BE">
        <w:t xml:space="preserve">a </w:t>
      </w:r>
      <w:r w:rsidR="004F7BA5" w:rsidRPr="00F6713B">
        <w:t xml:space="preserve">Competitive </w:t>
      </w:r>
      <w:r w:rsidR="00BF564D">
        <w:t>Electric Power Supplier</w:t>
      </w:r>
      <w:r w:rsidR="004F7BA5" w:rsidRPr="00F6713B">
        <w:t xml:space="preserve"> shall </w:t>
      </w:r>
      <w:r w:rsidRPr="00C55659">
        <w:t>in</w:t>
      </w:r>
      <w:r w:rsidR="004E7706">
        <w:t>clude</w:t>
      </w:r>
      <w:r w:rsidR="002A01B0">
        <w:t xml:space="preserve"> the demand of all those BPCs</w:t>
      </w:r>
      <w:r w:rsidRPr="00C55659">
        <w:t xml:space="preserve">: </w:t>
      </w:r>
    </w:p>
    <w:p w14:paraId="0CCA46E2" w14:textId="1E22DC25" w:rsidR="00F6713B" w:rsidRDefault="00F6713B" w:rsidP="00B03234">
      <w:pPr>
        <w:pStyle w:val="Heading5"/>
      </w:pPr>
      <w:r>
        <w:t xml:space="preserve">which have </w:t>
      </w:r>
      <w:r w:rsidR="002A01B0">
        <w:t>registered</w:t>
      </w:r>
      <w:r w:rsidR="005D47BE">
        <w:t xml:space="preserve"> </w:t>
      </w:r>
      <w:r w:rsidR="003A578F">
        <w:t>Contract</w:t>
      </w:r>
      <w:r>
        <w:t xml:space="preserve">s with the </w:t>
      </w:r>
      <w:r w:rsidR="004F7BA5" w:rsidRPr="00F6713B">
        <w:t xml:space="preserve">Competitive </w:t>
      </w:r>
      <w:r w:rsidR="00BF564D">
        <w:t>Electric Power Supplier</w:t>
      </w:r>
      <w:r>
        <w:t xml:space="preserve">, or </w:t>
      </w:r>
      <w:r w:rsidR="002A01B0">
        <w:t xml:space="preserve">have been </w:t>
      </w:r>
      <w:r w:rsidR="005D47BE">
        <w:t>submitted for registration</w:t>
      </w:r>
      <w:r w:rsidR="002A01B0">
        <w:t xml:space="preserve"> with the Market Operator</w:t>
      </w:r>
      <w:r>
        <w:t>; plus</w:t>
      </w:r>
    </w:p>
    <w:p w14:paraId="54D1AFC8" w14:textId="2F507A7E" w:rsidR="00F6713B" w:rsidRDefault="002A01B0" w:rsidP="00B03234">
      <w:pPr>
        <w:pStyle w:val="Heading5"/>
      </w:pPr>
      <w:r>
        <w:t xml:space="preserve">which have </w:t>
      </w:r>
      <w:r w:rsidR="005D47BE">
        <w:t>v</w:t>
      </w:r>
      <w:r w:rsidR="00F6713B">
        <w:t xml:space="preserve">alid </w:t>
      </w:r>
      <w:r w:rsidR="003A578F">
        <w:t>Contract</w:t>
      </w:r>
      <w:r w:rsidR="00F6713B">
        <w:t xml:space="preserve">s or irrevocable letter of commitments with </w:t>
      </w:r>
      <w:r>
        <w:t>BPCs</w:t>
      </w:r>
      <w:r w:rsidR="005D47BE">
        <w:t xml:space="preserve"> </w:t>
      </w:r>
      <w:r w:rsidR="00F6713B">
        <w:t xml:space="preserve">which will become effective at a later date and, for such reason, may have not been </w:t>
      </w:r>
      <w:r w:rsidR="005D47BE">
        <w:t xml:space="preserve">submitted for registration </w:t>
      </w:r>
      <w:r w:rsidR="00F6713B">
        <w:t xml:space="preserve">with the Market Operator </w:t>
      </w:r>
      <w:r w:rsidR="00F818CA">
        <w:t xml:space="preserve">at the </w:t>
      </w:r>
      <w:r w:rsidR="005D47BE">
        <w:t xml:space="preserve">time </w:t>
      </w:r>
      <w:r w:rsidR="00F818CA">
        <w:t>of submitting the forecast</w:t>
      </w:r>
      <w:r w:rsidR="00F6713B">
        <w:t xml:space="preserve">. </w:t>
      </w:r>
    </w:p>
    <w:p w14:paraId="13EB1C85" w14:textId="49855CB0" w:rsidR="00F6713B" w:rsidRDefault="00F6713B" w:rsidP="004E7706">
      <w:pPr>
        <w:ind w:left="1701"/>
      </w:pPr>
      <w:r>
        <w:t xml:space="preserve">For the avoidance of doubt, the demand of BPCs </w:t>
      </w:r>
      <w:r w:rsidR="004B69C5" w:rsidRPr="00593337">
        <w:t xml:space="preserve">which </w:t>
      </w:r>
      <w:r w:rsidR="002A01B0">
        <w:t xml:space="preserve">have </w:t>
      </w:r>
      <w:r w:rsidR="004B69C5">
        <w:t xml:space="preserve">formally </w:t>
      </w:r>
      <w:r w:rsidR="005D47BE">
        <w:t xml:space="preserve">given a notice to </w:t>
      </w:r>
      <w:r w:rsidR="004B69C5">
        <w:t xml:space="preserve">the </w:t>
      </w:r>
      <w:r w:rsidR="00403C8A">
        <w:t xml:space="preserve">Default </w:t>
      </w:r>
      <w:r w:rsidR="00BF564D">
        <w:t>Electric Power Supplier</w:t>
      </w:r>
      <w:r w:rsidR="004B69C5">
        <w:t xml:space="preserve">, </w:t>
      </w:r>
      <w:r w:rsidR="005D47BE">
        <w:t>about its</w:t>
      </w:r>
      <w:r w:rsidR="004B69C5" w:rsidRPr="00593337">
        <w:t xml:space="preserve"> intention to contract its supply </w:t>
      </w:r>
      <w:r w:rsidR="002A01B0">
        <w:t>from</w:t>
      </w:r>
      <w:r w:rsidR="002A01B0" w:rsidRPr="00593337">
        <w:t xml:space="preserve"> </w:t>
      </w:r>
      <w:r w:rsidR="004B69C5">
        <w:t>the</w:t>
      </w:r>
      <w:r w:rsidR="004B69C5" w:rsidRPr="00593337">
        <w:t xml:space="preserve"> Competitive Supplier</w:t>
      </w:r>
      <w:r w:rsidR="004B69C5">
        <w:t xml:space="preserve"> </w:t>
      </w:r>
      <w:r>
        <w:t xml:space="preserve">shall be included in this </w:t>
      </w:r>
      <w:r w:rsidR="002A01B0">
        <w:t>forecast</w:t>
      </w:r>
      <w:r>
        <w:t xml:space="preserve">. </w:t>
      </w:r>
    </w:p>
    <w:p w14:paraId="61A1B338" w14:textId="7C89BCB1" w:rsidR="00F818CA" w:rsidRDefault="00F818CA" w:rsidP="005B295A">
      <w:pPr>
        <w:pStyle w:val="Heading4"/>
      </w:pPr>
      <w:r>
        <w:t>The information contained in the</w:t>
      </w:r>
      <w:r w:rsidR="00016FC6">
        <w:t xml:space="preserve"> forecast of the</w:t>
      </w:r>
      <w:r>
        <w:t xml:space="preserve"> </w:t>
      </w:r>
      <w:r w:rsidR="0055089A">
        <w:t xml:space="preserve">Competitive </w:t>
      </w:r>
      <w:r w:rsidR="00BF564D">
        <w:t>Electric Power Supplier</w:t>
      </w:r>
      <w:r>
        <w:t xml:space="preserve"> shall include information only up to the </w:t>
      </w:r>
      <w:r w:rsidR="005D47BE">
        <w:t>expiry date of the</w:t>
      </w:r>
      <w:r>
        <w:t xml:space="preserve"> </w:t>
      </w:r>
      <w:r w:rsidR="003A578F">
        <w:t>Contract</w:t>
      </w:r>
      <w:r>
        <w:t xml:space="preserve"> or </w:t>
      </w:r>
      <w:r w:rsidR="002A01B0">
        <w:t xml:space="preserve">the </w:t>
      </w:r>
      <w:r>
        <w:t xml:space="preserve">irrevocable letter of commitment. For </w:t>
      </w:r>
      <w:r w:rsidR="005D47BE">
        <w:t xml:space="preserve">any </w:t>
      </w:r>
      <w:r>
        <w:t xml:space="preserve">subsequent periods, it shall be assumed that the </w:t>
      </w:r>
      <w:r w:rsidR="00016FC6">
        <w:t xml:space="preserve">relevant </w:t>
      </w:r>
      <w:r>
        <w:t xml:space="preserve">BPC </w:t>
      </w:r>
      <w:r w:rsidR="00016FC6">
        <w:t xml:space="preserve">has </w:t>
      </w:r>
      <w:r w:rsidR="00061164">
        <w:t>ceased</w:t>
      </w:r>
      <w:r>
        <w:t xml:space="preserve"> to be supplied from the Competitive </w:t>
      </w:r>
      <w:r w:rsidR="00BF564D">
        <w:t>Electric Power Supplier</w:t>
      </w:r>
      <w:r>
        <w:t xml:space="preserve">. </w:t>
      </w:r>
    </w:p>
    <w:p w14:paraId="6F959F89" w14:textId="4AA97F37" w:rsidR="00452506" w:rsidRDefault="00452506" w:rsidP="005B295A">
      <w:pPr>
        <w:pStyle w:val="Heading4"/>
      </w:pPr>
      <w:r>
        <w:lastRenderedPageBreak/>
        <w:t xml:space="preserve">In </w:t>
      </w:r>
      <w:r w:rsidR="005D47BE">
        <w:t>case</w:t>
      </w:r>
      <w:r>
        <w:t xml:space="preserve">, the </w:t>
      </w:r>
      <w:r w:rsidR="003A578F">
        <w:t>Contract</w:t>
      </w:r>
      <w:r>
        <w:t xml:space="preserve"> or irrevocable letter of commitment do</w:t>
      </w:r>
      <w:r w:rsidR="005D47BE">
        <w:t>es</w:t>
      </w:r>
      <w:r>
        <w:t xml:space="preserve"> not have a certain </w:t>
      </w:r>
      <w:r w:rsidR="005D47BE">
        <w:t xml:space="preserve">expiry </w:t>
      </w:r>
      <w:r>
        <w:t xml:space="preserve">date, it shall be considered that the </w:t>
      </w:r>
      <w:r w:rsidR="003A578F">
        <w:t>Contract</w:t>
      </w:r>
      <w:r>
        <w:t xml:space="preserve"> or irrevocable letter of </w:t>
      </w:r>
      <w:r w:rsidR="005D47BE">
        <w:t>commitment is valid</w:t>
      </w:r>
      <w:r>
        <w:t xml:space="preserve"> for all the reported period, and the </w:t>
      </w:r>
      <w:r w:rsidR="008442CC">
        <w:t xml:space="preserve">associated </w:t>
      </w:r>
      <w:r>
        <w:t xml:space="preserve">demand shall be </w:t>
      </w:r>
      <w:r w:rsidR="008442CC">
        <w:t xml:space="preserve">included </w:t>
      </w:r>
      <w:r>
        <w:t xml:space="preserve">in </w:t>
      </w:r>
      <w:r w:rsidRPr="004C524F">
        <w:t xml:space="preserve">the </w:t>
      </w:r>
      <w:r w:rsidR="0055089A" w:rsidRPr="004C524F">
        <w:t xml:space="preserve">Competitive </w:t>
      </w:r>
      <w:r w:rsidR="00BF564D">
        <w:t>Electric Power Supplier</w:t>
      </w:r>
      <w:r w:rsidRPr="004C524F">
        <w:t xml:space="preserve"> forecast</w:t>
      </w:r>
      <w:r>
        <w:t xml:space="preserve">. </w:t>
      </w:r>
    </w:p>
    <w:p w14:paraId="30CD1759" w14:textId="48E1EF59" w:rsidR="00052773" w:rsidRDefault="00052773" w:rsidP="00C173D0">
      <w:pPr>
        <w:pStyle w:val="Heading3"/>
      </w:pPr>
      <w:r>
        <w:t xml:space="preserve">Demand </w:t>
      </w:r>
      <w:commentRangeStart w:id="567"/>
      <w:r>
        <w:t>Forecast of BPCs</w:t>
      </w:r>
      <w:commentRangeEnd w:id="567"/>
      <w:r w:rsidR="008B5AEC">
        <w:rPr>
          <w:rStyle w:val="CommentReference"/>
          <w:rFonts w:eastAsiaTheme="minorHAnsi" w:cstheme="minorBidi"/>
          <w:smallCaps w:val="0"/>
          <w:color w:val="1C1C1C"/>
        </w:rPr>
        <w:commentReference w:id="567"/>
      </w:r>
    </w:p>
    <w:p w14:paraId="1EA7F41D" w14:textId="0B57C4C4" w:rsidR="004B69C5" w:rsidRDefault="00016FC6" w:rsidP="005B295A">
      <w:pPr>
        <w:pStyle w:val="Heading4"/>
      </w:pPr>
      <w:r>
        <w:t xml:space="preserve">A </w:t>
      </w:r>
      <w:r w:rsidR="004B69C5">
        <w:t>BPC</w:t>
      </w:r>
      <w:r w:rsidR="008442CC">
        <w:t>,</w:t>
      </w:r>
      <w:r w:rsidR="004B69C5">
        <w:t xml:space="preserve"> which </w:t>
      </w:r>
      <w:r>
        <w:t xml:space="preserve">is </w:t>
      </w:r>
      <w:r w:rsidR="004B69C5">
        <w:t xml:space="preserve">registered as </w:t>
      </w:r>
      <w:r>
        <w:t xml:space="preserve">a </w:t>
      </w:r>
      <w:r w:rsidR="004B69C5">
        <w:t>Market Participant</w:t>
      </w:r>
      <w:r w:rsidR="008442CC">
        <w:t>,</w:t>
      </w:r>
      <w:r w:rsidR="00452506">
        <w:t xml:space="preserve"> shall submit to the Market Operator its demand forecast for all the period</w:t>
      </w:r>
      <w:r w:rsidR="00DC73D1">
        <w:t>s</w:t>
      </w:r>
      <w:r w:rsidR="00452506">
        <w:t xml:space="preserve"> </w:t>
      </w:r>
      <w:r>
        <w:t xml:space="preserve">for </w:t>
      </w:r>
      <w:r w:rsidR="00452506">
        <w:t xml:space="preserve">which it has </w:t>
      </w:r>
      <w:r w:rsidR="008442CC">
        <w:t xml:space="preserve">registered </w:t>
      </w:r>
      <w:r w:rsidR="003A578F">
        <w:t>Contract</w:t>
      </w:r>
      <w:r w:rsidR="00452506">
        <w:t xml:space="preserve">s for </w:t>
      </w:r>
      <w:r w:rsidR="0019764E" w:rsidRPr="0019764E">
        <w:t>E</w:t>
      </w:r>
      <w:r w:rsidR="00452506" w:rsidRPr="0019764E">
        <w:t xml:space="preserve">nergy and/or </w:t>
      </w:r>
      <w:r w:rsidR="0019764E" w:rsidRPr="0019764E">
        <w:t>C</w:t>
      </w:r>
      <w:r w:rsidR="00452506" w:rsidRPr="0019764E">
        <w:t>apacity</w:t>
      </w:r>
      <w:r w:rsidR="00452506">
        <w:t xml:space="preserve"> with Competitive </w:t>
      </w:r>
      <w:r w:rsidR="00BF564D">
        <w:t>Electric Power Supplier</w:t>
      </w:r>
      <w:r w:rsidR="00452506">
        <w:t xml:space="preserve">s </w:t>
      </w:r>
      <w:commentRangeStart w:id="568"/>
      <w:r w:rsidR="00452506" w:rsidRPr="00ED1B2D">
        <w:rPr>
          <w:highlight w:val="yellow"/>
        </w:rPr>
        <w:t xml:space="preserve">and/or </w:t>
      </w:r>
      <w:r w:rsidR="00382D81" w:rsidRPr="00ED1B2D">
        <w:rPr>
          <w:highlight w:val="yellow"/>
        </w:rPr>
        <w:t>other Market Participants</w:t>
      </w:r>
      <w:commentRangeEnd w:id="568"/>
      <w:r w:rsidR="00061164">
        <w:rPr>
          <w:rStyle w:val="CommentReference"/>
          <w:rFonts w:eastAsiaTheme="minorHAnsi" w:cstheme="minorBidi"/>
          <w:bCs w:val="0"/>
          <w:iCs w:val="0"/>
          <w:color w:val="1C1C1C"/>
        </w:rPr>
        <w:commentReference w:id="568"/>
      </w:r>
      <w:r w:rsidR="00452506">
        <w:t xml:space="preserve">. </w:t>
      </w:r>
    </w:p>
    <w:p w14:paraId="2C62B1FE" w14:textId="1DA65D73" w:rsidR="00DC73D1" w:rsidRDefault="00452506" w:rsidP="005B295A">
      <w:pPr>
        <w:pStyle w:val="Heading4"/>
      </w:pPr>
      <w:r>
        <w:t xml:space="preserve">For </w:t>
      </w:r>
      <w:r w:rsidR="00BF3E81">
        <w:t xml:space="preserve">the </w:t>
      </w:r>
      <w:r>
        <w:t>period</w:t>
      </w:r>
      <w:r w:rsidR="00DC73D1">
        <w:t xml:space="preserve"> </w:t>
      </w:r>
      <w:r>
        <w:t xml:space="preserve">after the expiration of the </w:t>
      </w:r>
      <w:r w:rsidR="008442CC">
        <w:t xml:space="preserve">registered </w:t>
      </w:r>
      <w:r w:rsidR="003A578F">
        <w:t>Contract</w:t>
      </w:r>
      <w:r>
        <w:t>s</w:t>
      </w:r>
      <w:r w:rsidR="00DC73D1">
        <w:t xml:space="preserve">, the BPC shall </w:t>
      </w:r>
      <w:r w:rsidR="000B683A">
        <w:t>include in its forecast</w:t>
      </w:r>
      <w:r w:rsidR="00DC73D1">
        <w:t xml:space="preserve">: </w:t>
      </w:r>
    </w:p>
    <w:p w14:paraId="6327974D" w14:textId="4399C8CB" w:rsidR="00DC73D1" w:rsidRDefault="000B683A" w:rsidP="00B03234">
      <w:pPr>
        <w:pStyle w:val="Heading5"/>
      </w:pPr>
      <w:r>
        <w:t>i</w:t>
      </w:r>
      <w:r w:rsidR="00DC73D1">
        <w:t xml:space="preserve">ts best estimation </w:t>
      </w:r>
      <w:r>
        <w:t xml:space="preserve">of </w:t>
      </w:r>
      <w:r w:rsidR="00DC73D1">
        <w:t xml:space="preserve">the </w:t>
      </w:r>
      <w:r w:rsidR="0046412E">
        <w:t>Energy</w:t>
      </w:r>
      <w:r w:rsidR="00DC73D1">
        <w:t xml:space="preserve"> and peak demand to be consumed, in case the BPC </w:t>
      </w:r>
      <w:r>
        <w:t xml:space="preserve">intends </w:t>
      </w:r>
      <w:r w:rsidR="00DC73D1">
        <w:t xml:space="preserve">to continue being registered as a Market Participant; or </w:t>
      </w:r>
    </w:p>
    <w:p w14:paraId="704A3A99" w14:textId="41A1CB93" w:rsidR="00DC73D1" w:rsidRDefault="00DC73D1" w:rsidP="00B03234">
      <w:pPr>
        <w:pStyle w:val="Heading5"/>
      </w:pPr>
      <w:r>
        <w:t>Zero [0.]</w:t>
      </w:r>
      <w:r w:rsidR="000B683A">
        <w:t>,</w:t>
      </w:r>
      <w:r>
        <w:t xml:space="preserve"> if the BPC </w:t>
      </w:r>
      <w:r w:rsidR="000B683A">
        <w:t>intends to</w:t>
      </w:r>
      <w:r>
        <w:t xml:space="preserve"> withdraw</w:t>
      </w:r>
      <w:r w:rsidR="00BF3E81">
        <w:t xml:space="preserve"> from the Market</w:t>
      </w:r>
      <w:r>
        <w:t xml:space="preserve"> as </w:t>
      </w:r>
      <w:r w:rsidR="00BF3E81">
        <w:t xml:space="preserve">a </w:t>
      </w:r>
      <w:r>
        <w:t>Market Participant and obtain its supply</w:t>
      </w:r>
      <w:r w:rsidR="00BF3E81">
        <w:t xml:space="preserve"> of electric power</w:t>
      </w:r>
      <w:r>
        <w:t xml:space="preserve"> from the </w:t>
      </w:r>
      <w:r w:rsidR="00403C8A">
        <w:t>Default Supplier</w:t>
      </w:r>
      <w:r w:rsidR="000B683A">
        <w:t>.</w:t>
      </w:r>
      <w:r>
        <w:t xml:space="preserve"> </w:t>
      </w:r>
    </w:p>
    <w:p w14:paraId="44514737" w14:textId="374F8714" w:rsidR="00C32A37" w:rsidRDefault="00C32A37" w:rsidP="00C32A37">
      <w:pPr>
        <w:pStyle w:val="Heading3"/>
      </w:pPr>
      <w:r>
        <w:t>Demand Forecast of Traders involved in firm export</w:t>
      </w:r>
    </w:p>
    <w:p w14:paraId="7D25E19E" w14:textId="60A19B57" w:rsidR="00C32A37" w:rsidRDefault="00C32A37" w:rsidP="00C32A37">
      <w:pPr>
        <w:pStyle w:val="Heading4"/>
      </w:pPr>
      <w:r>
        <w:t xml:space="preserve">A Trader involved in Firm Export, shall submit to the Market Operator its demand forecast for all the periods for which it has registered Contracts for </w:t>
      </w:r>
      <w:r w:rsidRPr="0019764E">
        <w:t>Energy and/or Capacity</w:t>
      </w:r>
      <w:r>
        <w:t xml:space="preserve"> with or is planning to register such Contracts. </w:t>
      </w:r>
    </w:p>
    <w:p w14:paraId="470F535A" w14:textId="7929025B" w:rsidR="004F7BA5" w:rsidRDefault="004F7BA5" w:rsidP="00C173D0">
      <w:pPr>
        <w:pStyle w:val="Heading3"/>
      </w:pPr>
      <w:r>
        <w:t>Review of the Demand Forecasts</w:t>
      </w:r>
    </w:p>
    <w:p w14:paraId="4D29EA85" w14:textId="1BDBDE47" w:rsidR="004F7BA5" w:rsidRDefault="004F7BA5" w:rsidP="005B295A">
      <w:pPr>
        <w:pStyle w:val="Heading4"/>
      </w:pPr>
      <w:bookmarkStart w:id="569" w:name="_Ref53164386"/>
      <w:r>
        <w:t xml:space="preserve">The Market Operator </w:t>
      </w:r>
      <w:r w:rsidR="000B683A">
        <w:t xml:space="preserve">shall </w:t>
      </w:r>
      <w:r>
        <w:t xml:space="preserve">review the submitted information and assess its </w:t>
      </w:r>
      <w:r w:rsidR="00BF3E81">
        <w:t>authenticity through</w:t>
      </w:r>
      <w:r w:rsidR="00387B14">
        <w:t xml:space="preserve"> test</w:t>
      </w:r>
      <w:r w:rsidR="00BF3E81">
        <w:t>s</w:t>
      </w:r>
      <w:r w:rsidR="00387B14">
        <w:t xml:space="preserve"> and checks </w:t>
      </w:r>
      <w:r w:rsidR="000B683A">
        <w:t xml:space="preserve">as deemed </w:t>
      </w:r>
      <w:r w:rsidR="00387B14">
        <w:t>appropriate</w:t>
      </w:r>
      <w:r>
        <w:t xml:space="preserve">. </w:t>
      </w:r>
      <w:r w:rsidR="000B683A">
        <w:t>The Market Operator</w:t>
      </w:r>
      <w:r>
        <w:t xml:space="preserve"> </w:t>
      </w:r>
      <w:r w:rsidR="000B683A">
        <w:t>ma</w:t>
      </w:r>
      <w:r w:rsidR="00BF3E81">
        <w:t>y</w:t>
      </w:r>
      <w:r w:rsidR="000B683A">
        <w:t xml:space="preserve"> require </w:t>
      </w:r>
      <w:r>
        <w:t xml:space="preserve">confirmation and/or clarifications of the provided information. The </w:t>
      </w:r>
      <w:r w:rsidR="000B683A">
        <w:t xml:space="preserve">concerned Market Participants </w:t>
      </w:r>
      <w:r>
        <w:t>shall</w:t>
      </w:r>
      <w:r w:rsidR="000B683A">
        <w:t xml:space="preserve"> submit the requisite information</w:t>
      </w:r>
      <w:r>
        <w:t xml:space="preserve"> </w:t>
      </w:r>
      <w:r w:rsidR="000B683A">
        <w:t xml:space="preserve">within ten </w:t>
      </w:r>
      <w:r>
        <w:t>[1</w:t>
      </w:r>
      <w:r w:rsidR="000B683A">
        <w:t>0</w:t>
      </w:r>
      <w:r>
        <w:t xml:space="preserve">] </w:t>
      </w:r>
      <w:r w:rsidR="000B683A">
        <w:t>Business Days</w:t>
      </w:r>
      <w:r>
        <w:t>.</w:t>
      </w:r>
      <w:bookmarkEnd w:id="569"/>
    </w:p>
    <w:p w14:paraId="5C16BDF1" w14:textId="03241C81" w:rsidR="004F7BA5" w:rsidRDefault="004F7BA5" w:rsidP="005B295A">
      <w:pPr>
        <w:pStyle w:val="Heading4"/>
      </w:pPr>
      <w:r>
        <w:t xml:space="preserve">The Market Operator </w:t>
      </w:r>
      <w:r w:rsidR="000B683A">
        <w:t xml:space="preserve">shall </w:t>
      </w:r>
      <w:r>
        <w:t xml:space="preserve">utilize the values submitted by the </w:t>
      </w:r>
      <w:r w:rsidR="00235844">
        <w:t>Market Participant</w:t>
      </w:r>
      <w:r>
        <w:t xml:space="preserve">, either those originally submitted or the </w:t>
      </w:r>
      <w:r w:rsidR="00BF3E81">
        <w:t xml:space="preserve">revised values </w:t>
      </w:r>
      <w:r w:rsidRPr="00B03C4A">
        <w:t xml:space="preserve">ones as per </w:t>
      </w:r>
      <w:r w:rsidR="00061164" w:rsidRPr="00B03C4A">
        <w:t xml:space="preserve">provisions of Clause </w:t>
      </w:r>
      <w:r w:rsidR="002E071F" w:rsidRPr="00B03C4A">
        <w:fldChar w:fldCharType="begin"/>
      </w:r>
      <w:r w:rsidR="002E071F" w:rsidRPr="00B03C4A">
        <w:instrText xml:space="preserve"> REF _Ref53164386 \r \h </w:instrText>
      </w:r>
      <w:r w:rsidR="00BF3E81" w:rsidRPr="00B03C4A">
        <w:instrText xml:space="preserve"> \* MERGEFORMAT </w:instrText>
      </w:r>
      <w:r w:rsidR="002E071F" w:rsidRPr="00B03C4A">
        <w:fldChar w:fldCharType="separate"/>
      </w:r>
      <w:r w:rsidR="00251DBF" w:rsidRPr="00B03C4A">
        <w:t>11.2.5.1</w:t>
      </w:r>
      <w:r w:rsidR="002E071F" w:rsidRPr="00B03C4A">
        <w:fldChar w:fldCharType="end"/>
      </w:r>
      <w:r w:rsidRPr="003018FA">
        <w:t>,</w:t>
      </w:r>
      <w:r>
        <w:t xml:space="preserve"> for </w:t>
      </w:r>
      <w:r w:rsidR="00BF3E81">
        <w:t xml:space="preserve">verifying </w:t>
      </w:r>
      <w:r>
        <w:t xml:space="preserve">compliance with the </w:t>
      </w:r>
      <w:r w:rsidR="00D473BA">
        <w:t>Capacity</w:t>
      </w:r>
      <w:r>
        <w:t xml:space="preserve"> </w:t>
      </w:r>
      <w:r w:rsidR="00D473BA">
        <w:t>O</w:t>
      </w:r>
      <w:r>
        <w:t xml:space="preserve">bligations. </w:t>
      </w:r>
    </w:p>
    <w:p w14:paraId="6F81A748" w14:textId="41F5BBD2" w:rsidR="004F7BA5" w:rsidRDefault="00235844" w:rsidP="005B295A">
      <w:pPr>
        <w:pStyle w:val="Heading4"/>
      </w:pPr>
      <w:r>
        <w:t>Where in the opinion of the Market Operator, the information submitted by the a Market Participant for its demand forecast is  false, fabricated or forged, especially where the said information may have material impact on the compliance with Capacity Obligations, it may investigate the matter and if deemed appropriate, may take any action available under this Code or under the Applicable Law.</w:t>
      </w:r>
    </w:p>
    <w:p w14:paraId="5BFB621A" w14:textId="4067A022" w:rsidR="004F7BA5" w:rsidRDefault="004F7BA5" w:rsidP="005B295A">
      <w:pPr>
        <w:pStyle w:val="Heading4"/>
      </w:pPr>
      <w:r>
        <w:t xml:space="preserve">The Market Operator shall </w:t>
      </w:r>
      <w:r w:rsidR="00235844">
        <w:t xml:space="preserve">make </w:t>
      </w:r>
      <w:r w:rsidR="00ED1B2D">
        <w:t>a CCOP</w:t>
      </w:r>
      <w:r>
        <w:t xml:space="preserve"> </w:t>
      </w:r>
      <w:r w:rsidR="00BF3E81">
        <w:t>having forms/templates for the submission of the required information by the Market Participants</w:t>
      </w:r>
      <w:r w:rsidR="00BF3E81" w:rsidDel="00BF3E81">
        <w:t xml:space="preserve"> </w:t>
      </w:r>
      <w:r w:rsidR="00BF3E81">
        <w:t xml:space="preserve">and </w:t>
      </w:r>
      <w:r w:rsidR="00235844">
        <w:t xml:space="preserve">the </w:t>
      </w:r>
      <w:r>
        <w:t xml:space="preserve">details about the </w:t>
      </w:r>
      <w:r w:rsidR="00BF3E81">
        <w:t xml:space="preserve"> tests and </w:t>
      </w:r>
      <w:r>
        <w:t xml:space="preserve">checks to be </w:t>
      </w:r>
      <w:r w:rsidR="00BF3E81">
        <w:t xml:space="preserve">performed </w:t>
      </w:r>
      <w:r>
        <w:t>on the submitted information.</w:t>
      </w:r>
    </w:p>
    <w:p w14:paraId="0F068683" w14:textId="77777777" w:rsidR="00052773" w:rsidRDefault="00052773" w:rsidP="00C173D0">
      <w:pPr>
        <w:pStyle w:val="Heading2"/>
      </w:pPr>
      <w:bookmarkStart w:id="570" w:name="_Toc64846706"/>
      <w:bookmarkStart w:id="571" w:name="_Toc69477006"/>
      <w:r>
        <w:t>Capacity Obligations</w:t>
      </w:r>
      <w:bookmarkEnd w:id="570"/>
      <w:bookmarkEnd w:id="571"/>
    </w:p>
    <w:p w14:paraId="68970000" w14:textId="62770D8B" w:rsidR="00DB3B34" w:rsidRDefault="00D473BA" w:rsidP="00C173D0">
      <w:pPr>
        <w:pStyle w:val="Heading3"/>
      </w:pPr>
      <w:bookmarkStart w:id="572" w:name="_Ref53146946"/>
      <w:r>
        <w:t>Capacity Obligation</w:t>
      </w:r>
      <w:r w:rsidR="00DB3B34">
        <w:t xml:space="preserve"> of </w:t>
      </w:r>
      <w:r w:rsidR="00403C8A">
        <w:t>Default Supplier</w:t>
      </w:r>
      <w:r w:rsidR="00DB3B34">
        <w:t>s</w:t>
      </w:r>
      <w:bookmarkEnd w:id="572"/>
    </w:p>
    <w:p w14:paraId="67F9524C" w14:textId="3C7D942B" w:rsidR="00387B14" w:rsidRDefault="00C361B6" w:rsidP="005B295A">
      <w:pPr>
        <w:pStyle w:val="Heading4"/>
      </w:pPr>
      <w:r>
        <w:t xml:space="preserve">The Capacity Obligation of </w:t>
      </w:r>
      <w:r w:rsidR="00570243">
        <w:t xml:space="preserve">a </w:t>
      </w:r>
      <w:r w:rsidR="00403C8A">
        <w:t>Default Supplier</w:t>
      </w:r>
      <w:r>
        <w:t xml:space="preserve">, for each </w:t>
      </w:r>
      <w:r w:rsidR="00570243">
        <w:t xml:space="preserve">year </w:t>
      </w:r>
      <w:r>
        <w:t xml:space="preserve">in which this obligation </w:t>
      </w:r>
      <w:r w:rsidR="00570243">
        <w:t>is</w:t>
      </w:r>
      <w:r>
        <w:t xml:space="preserve"> verified by the Market Operator, shall be calculated as:</w:t>
      </w:r>
    </w:p>
    <w:p w14:paraId="55281A99" w14:textId="74219033" w:rsidR="00C361B6" w:rsidRPr="00C42CD4" w:rsidRDefault="004D6075" w:rsidP="00A22D29">
      <w:pPr>
        <w:pStyle w:val="BodyText"/>
        <w:rPr>
          <w:rFonts w:eastAsiaTheme="minorEastAsia"/>
        </w:rPr>
      </w:pPr>
      <m:oMathPara>
        <m:oMath>
          <m:sSub>
            <m:sSubPr>
              <m:ctrlPr>
                <w:rPr>
                  <w:rFonts w:ascii="Cambria Math" w:hAnsi="Cambria Math"/>
                </w:rPr>
              </m:ctrlPr>
            </m:sSubPr>
            <m:e>
              <m:r>
                <w:rPr>
                  <w:rFonts w:ascii="Cambria Math" w:hAnsi="Cambria Math"/>
                </w:rPr>
                <m:t>CO</m:t>
              </m:r>
            </m:e>
            <m:sub>
              <m:r>
                <w:rPr>
                  <w:rFonts w:ascii="Cambria Math" w:hAnsi="Cambria Math"/>
                </w:rPr>
                <m:t>BSi</m:t>
              </m:r>
              <m:r>
                <m:rPr>
                  <m:sty m:val="p"/>
                </m:rPr>
                <w:rPr>
                  <w:rFonts w:ascii="Cambria Math" w:hAnsi="Cambria Math"/>
                </w:rPr>
                <m:t xml:space="preserve">, </m:t>
              </m:r>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MD</m:t>
                  </m:r>
                </m:e>
                <m:sub>
                  <m:r>
                    <w:rPr>
                      <w:rFonts w:ascii="Cambria Math" w:hAnsi="Cambria Math"/>
                    </w:rPr>
                    <m:t>PH</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p</m:t>
                  </m:r>
                </m:sub>
              </m:sSub>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Tloss</m:t>
                      </m:r>
                    </m:e>
                    <m:sub>
                      <m:r>
                        <w:rPr>
                          <w:rFonts w:ascii="Cambria Math" w:hAnsi="Cambria Math"/>
                        </w:rPr>
                        <m:t>p</m:t>
                      </m:r>
                    </m:sub>
                  </m:sSub>
                </m:e>
              </m:d>
            </m:den>
          </m:f>
          <m:r>
            <m:rPr>
              <m:sty m:val="p"/>
            </m:rP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RM</m:t>
                  </m:r>
                </m:e>
                <m:sub>
                  <m:r>
                    <w:rPr>
                      <w:rFonts w:ascii="Cambria Math" w:hAnsi="Cambria Math"/>
                    </w:rPr>
                    <m:t>p</m:t>
                  </m:r>
                </m:sub>
              </m:sSub>
            </m:e>
          </m:d>
          <m:r>
            <w:rPr>
              <w:rFonts w:ascii="Cambria Math" w:hAnsi="Cambria Math"/>
            </w:rPr>
            <m:t>*</m:t>
          </m:r>
          <m:f>
            <m:fPr>
              <m:type m:val="skw"/>
              <m:ctrlPr>
                <w:rPr>
                  <w:rFonts w:ascii="Cambria Math" w:hAnsi="Cambria Math"/>
                </w:rPr>
              </m:ctrlPr>
            </m:fPr>
            <m:num>
              <m:sSub>
                <m:sSubPr>
                  <m:ctrlPr>
                    <w:rPr>
                      <w:rFonts w:ascii="Cambria Math" w:hAnsi="Cambria Math"/>
                    </w:rPr>
                  </m:ctrlPr>
                </m:sSubPr>
                <m:e>
                  <m:r>
                    <w:rPr>
                      <w:rFonts w:ascii="Cambria Math" w:hAnsi="Cambria Math"/>
                    </w:rPr>
                    <m:t>OB</m:t>
                  </m:r>
                  <m:r>
                    <m:rPr>
                      <m:sty m:val="p"/>
                    </m:rPr>
                    <w:rPr>
                      <w:rFonts w:ascii="Cambria Math" w:hAnsi="Cambria Math"/>
                    </w:rPr>
                    <m:t>%</m:t>
                  </m:r>
                </m:e>
                <m:sub>
                  <m:r>
                    <w:rPr>
                      <w:rFonts w:ascii="Cambria Math" w:hAnsi="Cambria Math"/>
                    </w:rPr>
                    <m:t>BS</m:t>
                  </m:r>
                  <m:r>
                    <m:rPr>
                      <m:sty m:val="p"/>
                    </m:rPr>
                    <w:rPr>
                      <w:rFonts w:ascii="Cambria Math" w:hAnsi="Cambria Math"/>
                    </w:rPr>
                    <m:t>,</m:t>
                  </m:r>
                  <m:r>
                    <w:rPr>
                      <w:rFonts w:ascii="Cambria Math" w:hAnsi="Cambria Math"/>
                    </w:rPr>
                    <m:t>p</m:t>
                  </m:r>
                </m:sub>
              </m:sSub>
            </m:num>
            <m:den>
              <m:r>
                <m:rPr>
                  <m:sty m:val="p"/>
                </m:rPr>
                <w:rPr>
                  <w:rFonts w:ascii="Cambria Math" w:hAnsi="Cambria Math"/>
                </w:rPr>
                <m:t>100.</m:t>
              </m:r>
            </m:den>
          </m:f>
        </m:oMath>
      </m:oMathPara>
    </w:p>
    <w:p w14:paraId="5F7E97C1" w14:textId="77777777" w:rsidR="00C42CD4" w:rsidRPr="00C42CD4" w:rsidRDefault="00C42CD4" w:rsidP="00A22D29">
      <w:pPr>
        <w:pStyle w:val="BodyText"/>
      </w:pPr>
      <w:bookmarkStart w:id="573" w:name="_Hlk52864644"/>
      <w:r w:rsidRPr="00C42CD4">
        <w:t xml:space="preserve">Where: </w:t>
      </w:r>
    </w:p>
    <w:p w14:paraId="182E0FB9" w14:textId="1BAEC934" w:rsidR="00C42CD4" w:rsidRDefault="00C42CD4" w:rsidP="003B72EB">
      <w:pPr>
        <w:pStyle w:val="BodyText"/>
        <w:numPr>
          <w:ilvl w:val="0"/>
          <w:numId w:val="20"/>
        </w:numPr>
        <w:ind w:left="2268"/>
      </w:pPr>
      <w:r>
        <w:rPr>
          <w:i/>
          <w:iCs/>
        </w:rPr>
        <w:t>CO</w:t>
      </w:r>
      <w:r>
        <w:rPr>
          <w:i/>
          <w:iCs/>
          <w:vertAlign w:val="subscript"/>
        </w:rPr>
        <w:t>BSi,p</w:t>
      </w:r>
      <w:r w:rsidRPr="00C42CD4">
        <w:t xml:space="preserve"> is the </w:t>
      </w:r>
      <w:r w:rsidR="0019764E">
        <w:t>C</w:t>
      </w:r>
      <w:r>
        <w:t xml:space="preserve">apacity </w:t>
      </w:r>
      <w:r w:rsidR="0019764E">
        <w:t>O</w:t>
      </w:r>
      <w:r>
        <w:t xml:space="preserve">bligation of the </w:t>
      </w:r>
      <w:r w:rsidR="00403C8A">
        <w:t>Default Supplier</w:t>
      </w:r>
      <w:r>
        <w:t xml:space="preserve"> </w:t>
      </w:r>
      <w:r w:rsidRPr="00C42CD4">
        <w:rPr>
          <w:i/>
          <w:iCs/>
        </w:rPr>
        <w:t>“i”</w:t>
      </w:r>
      <w:r>
        <w:t xml:space="preserve"> in the period </w:t>
      </w:r>
      <w:r w:rsidRPr="00C42CD4">
        <w:rPr>
          <w:i/>
          <w:iCs/>
        </w:rPr>
        <w:t>“p”</w:t>
      </w:r>
      <w:r>
        <w:t xml:space="preserve"> which will be verified by the Market Operator as </w:t>
      </w:r>
      <w:r w:rsidR="00570243">
        <w:t xml:space="preserve">provided </w:t>
      </w:r>
      <w:r>
        <w:t>in Section</w:t>
      </w:r>
      <w:r>
        <w:fldChar w:fldCharType="begin"/>
      </w:r>
      <w:r>
        <w:instrText xml:space="preserve"> REF _Ref53083918 \r \h </w:instrText>
      </w:r>
      <w:r>
        <w:fldChar w:fldCharType="separate"/>
      </w:r>
      <w:r w:rsidR="00251DBF">
        <w:t>11.4</w:t>
      </w:r>
      <w:r>
        <w:fldChar w:fldCharType="end"/>
      </w:r>
      <w:r w:rsidR="002767EC">
        <w:t>;</w:t>
      </w:r>
      <w:r>
        <w:t xml:space="preserve"> </w:t>
      </w:r>
    </w:p>
    <w:p w14:paraId="566470F4" w14:textId="172FBD4E" w:rsidR="00C55659" w:rsidRDefault="00C42CD4" w:rsidP="003B72EB">
      <w:pPr>
        <w:pStyle w:val="BodyText"/>
        <w:numPr>
          <w:ilvl w:val="0"/>
          <w:numId w:val="20"/>
        </w:numPr>
        <w:ind w:left="2268"/>
      </w:pPr>
      <w:r>
        <w:rPr>
          <w:i/>
          <w:iCs/>
        </w:rPr>
        <w:t>MD</w:t>
      </w:r>
      <w:r>
        <w:rPr>
          <w:i/>
          <w:iCs/>
          <w:vertAlign w:val="subscript"/>
        </w:rPr>
        <w:t>PH,</w:t>
      </w:r>
      <w:r w:rsidR="00B85BED">
        <w:rPr>
          <w:i/>
          <w:iCs/>
          <w:vertAlign w:val="subscript"/>
        </w:rPr>
        <w:t>I,p</w:t>
      </w:r>
      <w:r w:rsidRPr="00C42CD4">
        <w:t xml:space="preserve"> is the </w:t>
      </w:r>
      <w:r>
        <w:t xml:space="preserve">Maximum Demand at </w:t>
      </w:r>
      <w:r w:rsidR="00382D81">
        <w:t>System Peak Hours</w:t>
      </w:r>
      <w:r>
        <w:t xml:space="preserve"> of the </w:t>
      </w:r>
      <w:r w:rsidR="00403C8A">
        <w:t>Default Supplier</w:t>
      </w:r>
      <w:r>
        <w:t xml:space="preserve"> </w:t>
      </w:r>
      <w:r w:rsidRPr="00C42CD4">
        <w:rPr>
          <w:i/>
          <w:iCs/>
        </w:rPr>
        <w:t>“i”</w:t>
      </w:r>
      <w:r>
        <w:t xml:space="preserve"> in the period </w:t>
      </w:r>
      <w:r w:rsidRPr="00C42CD4">
        <w:rPr>
          <w:i/>
          <w:iCs/>
        </w:rPr>
        <w:t>“p”</w:t>
      </w:r>
      <w:r>
        <w:t xml:space="preserve">. The value of </w:t>
      </w:r>
      <w:r>
        <w:rPr>
          <w:i/>
          <w:iCs/>
        </w:rPr>
        <w:t>MD</w:t>
      </w:r>
      <w:r>
        <w:rPr>
          <w:i/>
          <w:iCs/>
          <w:vertAlign w:val="subscript"/>
        </w:rPr>
        <w:t>PH,</w:t>
      </w:r>
      <w:r w:rsidR="00B85BED">
        <w:rPr>
          <w:i/>
          <w:iCs/>
          <w:vertAlign w:val="subscript"/>
        </w:rPr>
        <w:t>I,p</w:t>
      </w:r>
      <w:r>
        <w:t xml:space="preserve"> will be</w:t>
      </w:r>
      <w:r w:rsidR="00C27614">
        <w:t xml:space="preserve"> t</w:t>
      </w:r>
      <w:r w:rsidR="00C55659">
        <w:t xml:space="preserve">he forecasted Maximum Demand at </w:t>
      </w:r>
      <w:r w:rsidR="00382D81">
        <w:t>System Peak Hours</w:t>
      </w:r>
      <w:r w:rsidR="00C55659">
        <w:t xml:space="preserve">, submitted by the involved </w:t>
      </w:r>
      <w:r w:rsidR="00403C8A">
        <w:t>Default Supplier</w:t>
      </w:r>
      <w:r w:rsidR="00C55659">
        <w:t xml:space="preserve"> to the Market Operator, as per the requirements </w:t>
      </w:r>
      <w:r w:rsidR="00570243">
        <w:t xml:space="preserve">set out </w:t>
      </w:r>
      <w:r w:rsidR="00C55659">
        <w:t xml:space="preserve">in Section </w:t>
      </w:r>
      <w:r w:rsidR="00C55659">
        <w:fldChar w:fldCharType="begin"/>
      </w:r>
      <w:r w:rsidR="00C55659">
        <w:instrText xml:space="preserve"> REF _Ref53084429 \r \h </w:instrText>
      </w:r>
      <w:r w:rsidR="00C55659">
        <w:fldChar w:fldCharType="separate"/>
      </w:r>
      <w:r w:rsidR="00251DBF">
        <w:t>11.2</w:t>
      </w:r>
      <w:r w:rsidR="00C55659">
        <w:fldChar w:fldCharType="end"/>
      </w:r>
      <w:r w:rsidR="00C55659">
        <w:t xml:space="preserve">, for the current year and all periods immediately </w:t>
      </w:r>
      <w:r w:rsidR="00570243">
        <w:t>thereafter</w:t>
      </w:r>
      <w:r w:rsidR="002767EC">
        <w:t>;</w:t>
      </w:r>
    </w:p>
    <w:p w14:paraId="082FAF1B" w14:textId="0AAF775B" w:rsidR="001A4A60" w:rsidRDefault="00C55659" w:rsidP="003B72EB">
      <w:pPr>
        <w:pStyle w:val="BodyText"/>
        <w:numPr>
          <w:ilvl w:val="0"/>
          <w:numId w:val="20"/>
        </w:numPr>
        <w:ind w:left="2268"/>
      </w:pPr>
      <w:r>
        <w:rPr>
          <w:i/>
          <w:iCs/>
        </w:rPr>
        <w:t>OB%</w:t>
      </w:r>
      <w:r>
        <w:rPr>
          <w:i/>
          <w:iCs/>
          <w:vertAlign w:val="subscript"/>
        </w:rPr>
        <w:t>BS</w:t>
      </w:r>
      <w:r w:rsidR="00B85BED">
        <w:rPr>
          <w:i/>
          <w:iCs/>
          <w:vertAlign w:val="subscript"/>
        </w:rPr>
        <w:t>,p</w:t>
      </w:r>
      <w:r w:rsidR="00C42CD4" w:rsidRPr="00C42CD4">
        <w:t xml:space="preserve"> </w:t>
      </w:r>
      <w:r>
        <w:t xml:space="preserve">is the </w:t>
      </w:r>
      <w:r w:rsidR="00401561">
        <w:t>C</w:t>
      </w:r>
      <w:r>
        <w:t xml:space="preserve">apacity </w:t>
      </w:r>
      <w:r w:rsidR="00401561">
        <w:t>O</w:t>
      </w:r>
      <w:r>
        <w:t xml:space="preserve">bligation </w:t>
      </w:r>
      <w:r w:rsidR="00401561">
        <w:t>P</w:t>
      </w:r>
      <w:r>
        <w:t xml:space="preserve">ercentage, applicable to </w:t>
      </w:r>
      <w:r w:rsidR="00403C8A">
        <w:t>Default Supplier</w:t>
      </w:r>
      <w:r>
        <w:t xml:space="preserve">s, corresponding to period </w:t>
      </w:r>
      <w:r w:rsidRPr="00C55659">
        <w:rPr>
          <w:i/>
          <w:iCs/>
        </w:rPr>
        <w:t>“p”</w:t>
      </w:r>
      <w:r>
        <w:t xml:space="preserve"> </w:t>
      </w:r>
      <w:r w:rsidR="002E72FE">
        <w:t xml:space="preserve">as provided in </w:t>
      </w:r>
      <w:r w:rsidR="00061164">
        <w:t>Sub-Section</w:t>
      </w:r>
      <w:r w:rsidR="002767EC">
        <w:t xml:space="preserve"> </w:t>
      </w:r>
      <w:r w:rsidR="002767EC">
        <w:fldChar w:fldCharType="begin"/>
      </w:r>
      <w:r w:rsidR="002767EC">
        <w:instrText xml:space="preserve"> REF _Ref76912865 \r \h </w:instrText>
      </w:r>
      <w:r w:rsidR="002767EC">
        <w:fldChar w:fldCharType="separate"/>
      </w:r>
      <w:r w:rsidR="002767EC">
        <w:t>19.2.3</w:t>
      </w:r>
      <w:r w:rsidR="002767EC">
        <w:fldChar w:fldCharType="end"/>
      </w:r>
      <w:r w:rsidR="002767EC">
        <w:t>;</w:t>
      </w:r>
    </w:p>
    <w:p w14:paraId="3F692C6B" w14:textId="058D13C3" w:rsidR="006D36A1" w:rsidRDefault="001A4A60" w:rsidP="003B72EB">
      <w:pPr>
        <w:pStyle w:val="BodyText"/>
        <w:numPr>
          <w:ilvl w:val="0"/>
          <w:numId w:val="20"/>
        </w:numPr>
        <w:ind w:left="2268"/>
      </w:pPr>
      <w:r w:rsidRPr="00B03C4A">
        <w:rPr>
          <w:i/>
          <w:iCs/>
        </w:rPr>
        <w:t>Tloss</w:t>
      </w:r>
      <w:r w:rsidRPr="00B03C4A">
        <w:rPr>
          <w:i/>
          <w:iCs/>
          <w:vertAlign w:val="subscript"/>
        </w:rPr>
        <w:t>p</w:t>
      </w:r>
      <w:r w:rsidRPr="00B03C4A">
        <w:t xml:space="preserve"> </w:t>
      </w:r>
      <w:r w:rsidR="006D36A1" w:rsidRPr="00B03C4A">
        <w:t>is</w:t>
      </w:r>
      <w:r w:rsidRPr="00B03C4A">
        <w:t xml:space="preserve"> the </w:t>
      </w:r>
      <w:r w:rsidR="006D36A1" w:rsidRPr="00B03C4A">
        <w:t>value of the</w:t>
      </w:r>
      <w:r w:rsidR="00310D3D">
        <w:t xml:space="preserve"> cap (expressed in percentage) on Transmission losses of NTDC as determined by the Authority in the latest tariff determination</w:t>
      </w:r>
      <w:r w:rsidR="002767EC">
        <w:t>;</w:t>
      </w:r>
      <w:r w:rsidR="00D05DFE">
        <w:t xml:space="preserve"> </w:t>
      </w:r>
    </w:p>
    <w:p w14:paraId="0B0AB56A" w14:textId="116EDB33" w:rsidR="00C55659" w:rsidRDefault="006D36A1" w:rsidP="003B72EB">
      <w:pPr>
        <w:pStyle w:val="BodyText"/>
        <w:numPr>
          <w:ilvl w:val="0"/>
          <w:numId w:val="20"/>
        </w:numPr>
        <w:ind w:left="2268"/>
      </w:pPr>
      <w:r w:rsidRPr="006D36A1">
        <w:rPr>
          <w:i/>
          <w:iCs/>
        </w:rPr>
        <w:t>RM</w:t>
      </w:r>
      <w:r w:rsidR="007E1F30" w:rsidRPr="007E1F30">
        <w:rPr>
          <w:i/>
          <w:iCs/>
          <w:vertAlign w:val="subscript"/>
        </w:rPr>
        <w:t>p</w:t>
      </w:r>
      <w:r w:rsidRPr="006D36A1">
        <w:rPr>
          <w:i/>
          <w:iCs/>
        </w:rPr>
        <w:tab/>
      </w:r>
      <w:r>
        <w:t xml:space="preserve">is the </w:t>
      </w:r>
      <w:r w:rsidR="002D58BB">
        <w:t>Operational Reserve Margin</w:t>
      </w:r>
      <w:r>
        <w:t xml:space="preserve"> applicable</w:t>
      </w:r>
      <w:r w:rsidR="007E1F30">
        <w:t xml:space="preserve"> to period “p”</w:t>
      </w:r>
      <w:r w:rsidR="00FF212F">
        <w:t>.</w:t>
      </w:r>
    </w:p>
    <w:p w14:paraId="1D25A798" w14:textId="59269992" w:rsidR="00052773" w:rsidRDefault="00D473BA" w:rsidP="00C173D0">
      <w:pPr>
        <w:pStyle w:val="Heading3"/>
      </w:pPr>
      <w:bookmarkStart w:id="574" w:name="_Ref53146947"/>
      <w:bookmarkEnd w:id="573"/>
      <w:r>
        <w:t>Capacity Obligations</w:t>
      </w:r>
      <w:r w:rsidR="00052773">
        <w:t xml:space="preserve"> of Competitive </w:t>
      </w:r>
      <w:r w:rsidR="00BF564D">
        <w:t>Electric Power Supplier</w:t>
      </w:r>
      <w:r w:rsidR="00052773">
        <w:t>s</w:t>
      </w:r>
      <w:bookmarkEnd w:id="574"/>
    </w:p>
    <w:p w14:paraId="195091CA" w14:textId="0B38A338" w:rsidR="00401561" w:rsidRDefault="00401561" w:rsidP="005B295A">
      <w:pPr>
        <w:pStyle w:val="Heading4"/>
      </w:pPr>
      <w:bookmarkStart w:id="575" w:name="_Ref53151135"/>
      <w:r>
        <w:t xml:space="preserve">The Capacity Obligation of </w:t>
      </w:r>
      <w:r w:rsidR="002E72FE">
        <w:t xml:space="preserve">a </w:t>
      </w:r>
      <w:r>
        <w:t xml:space="preserve">Competitive </w:t>
      </w:r>
      <w:r w:rsidR="00BF564D">
        <w:t>Electric Power Supplier</w:t>
      </w:r>
      <w:r>
        <w:t xml:space="preserve">, </w:t>
      </w:r>
      <w:r w:rsidR="002E72FE">
        <w:t>for each year in which this obligation is verified by the Market Operator</w:t>
      </w:r>
      <w:r>
        <w:t>, shall be calculated as:</w:t>
      </w:r>
      <w:bookmarkEnd w:id="575"/>
    </w:p>
    <w:p w14:paraId="42F5A9D4" w14:textId="193633E3" w:rsidR="00401561" w:rsidRPr="00401561" w:rsidRDefault="004D6075" w:rsidP="00A22D29">
      <w:pPr>
        <w:pStyle w:val="BodyText"/>
        <w:rPr>
          <w:rFonts w:eastAsiaTheme="minorEastAsia"/>
        </w:rPr>
      </w:pPr>
      <m:oMathPara>
        <m:oMath>
          <m:sSub>
            <m:sSubPr>
              <m:ctrlPr>
                <w:rPr>
                  <w:rFonts w:ascii="Cambria Math" w:hAnsi="Cambria Math"/>
                </w:rPr>
              </m:ctrlPr>
            </m:sSubPr>
            <m:e>
              <m:r>
                <w:rPr>
                  <w:rFonts w:ascii="Cambria Math" w:hAnsi="Cambria Math"/>
                </w:rPr>
                <m:t>MCO</m:t>
              </m:r>
            </m:e>
            <m:sub>
              <m:r>
                <w:rPr>
                  <w:rFonts w:ascii="Cambria Math" w:hAnsi="Cambria Math"/>
                </w:rPr>
                <m:t>CSj</m:t>
              </m:r>
              <m:r>
                <m:rPr>
                  <m:sty m:val="p"/>
                </m:rPr>
                <w:rPr>
                  <w:rFonts w:ascii="Cambria Math" w:hAnsi="Cambria Math"/>
                </w:rPr>
                <m:t xml:space="preserve">, </m:t>
              </m:r>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MD</m:t>
                  </m:r>
                </m:e>
                <m:sub>
                  <m:r>
                    <w:rPr>
                      <w:rFonts w:ascii="Cambria Math" w:hAnsi="Cambria Math"/>
                    </w:rPr>
                    <m:t>PH</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p</m:t>
                  </m:r>
                </m:sub>
              </m:sSub>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Tloss</m:t>
                      </m:r>
                    </m:e>
                    <m:sub>
                      <m:r>
                        <w:rPr>
                          <w:rFonts w:ascii="Cambria Math" w:hAnsi="Cambria Math"/>
                        </w:rPr>
                        <m:t>p</m:t>
                      </m:r>
                    </m:sub>
                  </m:sSub>
                </m:e>
              </m:d>
            </m:den>
          </m:f>
          <m:r>
            <m:rPr>
              <m:sty m:val="p"/>
            </m:rP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RM</m:t>
                  </m:r>
                </m:e>
                <m:sub>
                  <m:r>
                    <w:rPr>
                      <w:rFonts w:ascii="Cambria Math" w:hAnsi="Cambria Math"/>
                    </w:rPr>
                    <m:t>p</m:t>
                  </m:r>
                </m:sub>
              </m:sSub>
            </m:e>
          </m:d>
          <m:r>
            <m:rPr>
              <m:sty m:val="p"/>
            </m:rPr>
            <w:rPr>
              <w:rFonts w:ascii="Cambria Math" w:hAnsi="Cambria Math"/>
            </w:rPr>
            <m:t>*</m:t>
          </m:r>
          <m:f>
            <m:fPr>
              <m:type m:val="skw"/>
              <m:ctrlPr>
                <w:rPr>
                  <w:rFonts w:ascii="Cambria Math" w:hAnsi="Cambria Math"/>
                </w:rPr>
              </m:ctrlPr>
            </m:fPr>
            <m:num>
              <m:sSub>
                <m:sSubPr>
                  <m:ctrlPr>
                    <w:rPr>
                      <w:rFonts w:ascii="Cambria Math" w:hAnsi="Cambria Math"/>
                    </w:rPr>
                  </m:ctrlPr>
                </m:sSubPr>
                <m:e>
                  <m:r>
                    <w:rPr>
                      <w:rFonts w:ascii="Cambria Math" w:hAnsi="Cambria Math"/>
                    </w:rPr>
                    <m:t>OB</m:t>
                  </m:r>
                  <m:r>
                    <m:rPr>
                      <m:sty m:val="p"/>
                    </m:rPr>
                    <w:rPr>
                      <w:rFonts w:ascii="Cambria Math" w:hAnsi="Cambria Math"/>
                    </w:rPr>
                    <m:t>%</m:t>
                  </m:r>
                </m:e>
                <m:sub>
                  <m:r>
                    <w:rPr>
                      <w:rFonts w:ascii="Cambria Math" w:hAnsi="Cambria Math"/>
                    </w:rPr>
                    <m:t>CS</m:t>
                  </m:r>
                  <m:r>
                    <m:rPr>
                      <m:sty m:val="p"/>
                    </m:rPr>
                    <w:rPr>
                      <w:rFonts w:ascii="Cambria Math" w:hAnsi="Cambria Math"/>
                    </w:rPr>
                    <m:t>,</m:t>
                  </m:r>
                  <m:r>
                    <w:rPr>
                      <w:rFonts w:ascii="Cambria Math" w:hAnsi="Cambria Math"/>
                    </w:rPr>
                    <m:t>p</m:t>
                  </m:r>
                </m:sub>
              </m:sSub>
            </m:num>
            <m:den>
              <m:r>
                <m:rPr>
                  <m:sty m:val="p"/>
                </m:rPr>
                <w:rPr>
                  <w:rFonts w:ascii="Cambria Math" w:hAnsi="Cambria Math"/>
                </w:rPr>
                <m:t>100.</m:t>
              </m:r>
            </m:den>
          </m:f>
        </m:oMath>
      </m:oMathPara>
    </w:p>
    <w:p w14:paraId="658113BD" w14:textId="77777777" w:rsidR="00401561" w:rsidRPr="00C42CD4" w:rsidRDefault="00401561" w:rsidP="00A22D29">
      <w:pPr>
        <w:pStyle w:val="BodyText"/>
      </w:pPr>
      <w:r w:rsidRPr="00C42CD4">
        <w:t xml:space="preserve">Where: </w:t>
      </w:r>
    </w:p>
    <w:p w14:paraId="23DF1ED1" w14:textId="6681A8C1" w:rsidR="00401561" w:rsidRDefault="00401561" w:rsidP="007E1F30">
      <w:pPr>
        <w:pStyle w:val="BodyText"/>
        <w:numPr>
          <w:ilvl w:val="0"/>
          <w:numId w:val="20"/>
        </w:numPr>
        <w:ind w:left="1701"/>
      </w:pPr>
      <w:r>
        <w:rPr>
          <w:i/>
          <w:iCs/>
        </w:rPr>
        <w:t>MCO</w:t>
      </w:r>
      <w:r w:rsidR="00D62A6D">
        <w:rPr>
          <w:i/>
          <w:iCs/>
          <w:vertAlign w:val="subscript"/>
        </w:rPr>
        <w:t>C</w:t>
      </w:r>
      <w:r>
        <w:rPr>
          <w:i/>
          <w:iCs/>
          <w:vertAlign w:val="subscript"/>
        </w:rPr>
        <w:t>S</w:t>
      </w:r>
      <w:r w:rsidR="00D62A6D">
        <w:rPr>
          <w:i/>
          <w:iCs/>
          <w:vertAlign w:val="subscript"/>
        </w:rPr>
        <w:t>j</w:t>
      </w:r>
      <w:r>
        <w:rPr>
          <w:i/>
          <w:iCs/>
          <w:vertAlign w:val="subscript"/>
        </w:rPr>
        <w:t>,p</w:t>
      </w:r>
      <w:r w:rsidRPr="00C42CD4">
        <w:t xml:space="preserve"> is the </w:t>
      </w:r>
      <w:r>
        <w:t xml:space="preserve">mandatory </w:t>
      </w:r>
      <w:r w:rsidR="00D473BA">
        <w:t>Capacity</w:t>
      </w:r>
      <w:r>
        <w:t xml:space="preserve"> obligation,  of the </w:t>
      </w:r>
      <w:r w:rsidR="00D62A6D">
        <w:t>Com</w:t>
      </w:r>
      <w:r w:rsidR="00B85BED">
        <w:t>p</w:t>
      </w:r>
      <w:r w:rsidR="00D62A6D">
        <w:t>etitive</w:t>
      </w:r>
      <w:r>
        <w:t xml:space="preserve"> </w:t>
      </w:r>
      <w:r w:rsidR="00BF564D">
        <w:t>Electric Power Supplier</w:t>
      </w:r>
      <w:r>
        <w:t xml:space="preserve"> </w:t>
      </w:r>
      <w:r w:rsidRPr="00C42CD4">
        <w:rPr>
          <w:i/>
          <w:iCs/>
        </w:rPr>
        <w:t>“</w:t>
      </w:r>
      <w:r w:rsidR="00D62A6D">
        <w:rPr>
          <w:i/>
          <w:iCs/>
        </w:rPr>
        <w:t>j</w:t>
      </w:r>
      <w:r w:rsidRPr="00C42CD4">
        <w:rPr>
          <w:i/>
          <w:iCs/>
        </w:rPr>
        <w:t>”</w:t>
      </w:r>
      <w:r>
        <w:t xml:space="preserve"> in the period </w:t>
      </w:r>
      <w:r w:rsidRPr="00C42CD4">
        <w:rPr>
          <w:i/>
          <w:iCs/>
        </w:rPr>
        <w:t>“p”</w:t>
      </w:r>
      <w:r>
        <w:t xml:space="preserve"> which will be verified by the Market Operator as </w:t>
      </w:r>
      <w:r w:rsidR="002E72FE">
        <w:t xml:space="preserve">provided </w:t>
      </w:r>
      <w:r>
        <w:t xml:space="preserve">in Sections </w:t>
      </w:r>
      <w:r>
        <w:fldChar w:fldCharType="begin"/>
      </w:r>
      <w:r>
        <w:instrText xml:space="preserve"> REF _Ref53083918 \r \h </w:instrText>
      </w:r>
      <w:r>
        <w:fldChar w:fldCharType="separate"/>
      </w:r>
      <w:r w:rsidR="00251DBF">
        <w:t>11.4</w:t>
      </w:r>
      <w:r>
        <w:fldChar w:fldCharType="end"/>
      </w:r>
      <w:r w:rsidR="002767EC">
        <w:t>;</w:t>
      </w:r>
      <w:r>
        <w:t xml:space="preserve"> </w:t>
      </w:r>
    </w:p>
    <w:p w14:paraId="5547EBB8" w14:textId="731BB793" w:rsidR="00401561" w:rsidRDefault="00401561" w:rsidP="007E1F30">
      <w:pPr>
        <w:pStyle w:val="BodyText"/>
        <w:numPr>
          <w:ilvl w:val="0"/>
          <w:numId w:val="20"/>
        </w:numPr>
        <w:ind w:left="1701"/>
      </w:pPr>
      <w:r w:rsidRPr="00C27614">
        <w:rPr>
          <w:i/>
          <w:iCs/>
        </w:rPr>
        <w:t>MD</w:t>
      </w:r>
      <w:r w:rsidRPr="00C27614">
        <w:rPr>
          <w:i/>
          <w:iCs/>
          <w:vertAlign w:val="subscript"/>
        </w:rPr>
        <w:t>PH,</w:t>
      </w:r>
      <w:r w:rsidR="00D62A6D" w:rsidRPr="00C27614">
        <w:rPr>
          <w:i/>
          <w:iCs/>
          <w:vertAlign w:val="subscript"/>
        </w:rPr>
        <w:t>j</w:t>
      </w:r>
      <w:r w:rsidR="00B85BED" w:rsidRPr="00C27614">
        <w:rPr>
          <w:i/>
          <w:iCs/>
          <w:vertAlign w:val="subscript"/>
        </w:rPr>
        <w:t>,p</w:t>
      </w:r>
      <w:r w:rsidRPr="00C42CD4">
        <w:t xml:space="preserve"> is the </w:t>
      </w:r>
      <w:r>
        <w:t xml:space="preserve">Maximum Demand at </w:t>
      </w:r>
      <w:r w:rsidR="00382D81">
        <w:t>System Peak Hours</w:t>
      </w:r>
      <w:r>
        <w:t xml:space="preserve"> of the </w:t>
      </w:r>
      <w:r w:rsidR="00D62A6D">
        <w:t>Competitive</w:t>
      </w:r>
      <w:r>
        <w:t xml:space="preserve"> </w:t>
      </w:r>
      <w:r w:rsidR="00BF564D">
        <w:t>Electric Power Supplier</w:t>
      </w:r>
      <w:r>
        <w:t xml:space="preserve"> </w:t>
      </w:r>
      <w:r w:rsidRPr="00C27614">
        <w:rPr>
          <w:i/>
          <w:iCs/>
        </w:rPr>
        <w:t>“</w:t>
      </w:r>
      <w:r w:rsidR="00D62A6D" w:rsidRPr="00C27614">
        <w:rPr>
          <w:i/>
          <w:iCs/>
        </w:rPr>
        <w:t>j</w:t>
      </w:r>
      <w:r w:rsidRPr="00C27614">
        <w:rPr>
          <w:i/>
          <w:iCs/>
        </w:rPr>
        <w:t>”</w:t>
      </w:r>
      <w:r>
        <w:t xml:space="preserve"> in the period </w:t>
      </w:r>
      <w:r w:rsidRPr="00C27614">
        <w:rPr>
          <w:i/>
          <w:iCs/>
        </w:rPr>
        <w:t>“p”</w:t>
      </w:r>
      <w:r>
        <w:t xml:space="preserve">. The value of </w:t>
      </w:r>
      <w:r w:rsidRPr="00C27614">
        <w:rPr>
          <w:i/>
          <w:iCs/>
        </w:rPr>
        <w:t>MD</w:t>
      </w:r>
      <w:r w:rsidRPr="00C27614">
        <w:rPr>
          <w:i/>
          <w:iCs/>
          <w:vertAlign w:val="subscript"/>
        </w:rPr>
        <w:t>PH,</w:t>
      </w:r>
      <w:r w:rsidR="00B85BED" w:rsidRPr="00C27614">
        <w:rPr>
          <w:i/>
          <w:iCs/>
          <w:vertAlign w:val="subscript"/>
        </w:rPr>
        <w:t>j,p</w:t>
      </w:r>
      <w:r>
        <w:t xml:space="preserve"> will be</w:t>
      </w:r>
      <w:r w:rsidR="00C27614">
        <w:t xml:space="preserve"> t</w:t>
      </w:r>
      <w:r>
        <w:t xml:space="preserve">he forecasted Maximum Demand at </w:t>
      </w:r>
      <w:r w:rsidR="00382D81">
        <w:t>System Peak Hours</w:t>
      </w:r>
      <w:r>
        <w:t xml:space="preserve">, corresponding to the Contracted Supply, submitted by the </w:t>
      </w:r>
      <w:r w:rsidR="004A5A74">
        <w:t xml:space="preserve">relevant </w:t>
      </w:r>
      <w:r w:rsidR="00D62A6D">
        <w:t>Competitive</w:t>
      </w:r>
      <w:r>
        <w:t xml:space="preserve"> </w:t>
      </w:r>
      <w:r w:rsidR="00BF564D">
        <w:t>Electric Power Supplier</w:t>
      </w:r>
      <w:r>
        <w:t xml:space="preserve"> to the Market Operator, as per the requirements </w:t>
      </w:r>
      <w:r w:rsidR="002E72FE">
        <w:t xml:space="preserve">provided </w:t>
      </w:r>
      <w:r>
        <w:t xml:space="preserve">in Section </w:t>
      </w:r>
      <w:r>
        <w:fldChar w:fldCharType="begin"/>
      </w:r>
      <w:r>
        <w:instrText xml:space="preserve"> REF _Ref53084429 \r \h </w:instrText>
      </w:r>
      <w:r>
        <w:fldChar w:fldCharType="separate"/>
      </w:r>
      <w:r w:rsidR="00251DBF">
        <w:t>11.2</w:t>
      </w:r>
      <w:r>
        <w:fldChar w:fldCharType="end"/>
      </w:r>
      <w:r>
        <w:t xml:space="preserve">, for the current year and all periods immediately </w:t>
      </w:r>
      <w:r w:rsidR="004A5A74">
        <w:t>there</w:t>
      </w:r>
      <w:r>
        <w:t xml:space="preserve">after; </w:t>
      </w:r>
    </w:p>
    <w:p w14:paraId="08F8D301" w14:textId="4958E786" w:rsidR="007E1F30" w:rsidRDefault="00401561" w:rsidP="007E1F30">
      <w:pPr>
        <w:pStyle w:val="BodyText"/>
        <w:numPr>
          <w:ilvl w:val="0"/>
          <w:numId w:val="20"/>
        </w:numPr>
        <w:ind w:left="1701"/>
      </w:pPr>
      <w:r>
        <w:rPr>
          <w:i/>
          <w:iCs/>
        </w:rPr>
        <w:t>OB%</w:t>
      </w:r>
      <w:r w:rsidR="00D62A6D">
        <w:rPr>
          <w:i/>
          <w:iCs/>
          <w:vertAlign w:val="subscript"/>
        </w:rPr>
        <w:t>C</w:t>
      </w:r>
      <w:r>
        <w:rPr>
          <w:i/>
          <w:iCs/>
          <w:vertAlign w:val="subscript"/>
        </w:rPr>
        <w:t>S</w:t>
      </w:r>
      <w:r w:rsidR="00B85BED">
        <w:rPr>
          <w:i/>
          <w:iCs/>
          <w:vertAlign w:val="subscript"/>
        </w:rPr>
        <w:t>,p</w:t>
      </w:r>
      <w:r w:rsidRPr="00C42CD4">
        <w:t xml:space="preserve"> </w:t>
      </w:r>
      <w:r>
        <w:t xml:space="preserve">is the Capacity Obligation Percentage, applicable to </w:t>
      </w:r>
      <w:r w:rsidR="00D62A6D">
        <w:t>Competitive</w:t>
      </w:r>
      <w:r>
        <w:t xml:space="preserve"> </w:t>
      </w:r>
      <w:r w:rsidR="00BF564D">
        <w:t>Electric Power Supplier</w:t>
      </w:r>
      <w:r>
        <w:t xml:space="preserve">s, corresponding to period </w:t>
      </w:r>
      <w:r w:rsidRPr="00C55659">
        <w:rPr>
          <w:i/>
          <w:iCs/>
        </w:rPr>
        <w:t>“p”</w:t>
      </w:r>
      <w:r>
        <w:t xml:space="preserve"> </w:t>
      </w:r>
      <w:r w:rsidR="002E72FE">
        <w:t xml:space="preserve">as provided in </w:t>
      </w:r>
      <w:r w:rsidR="002767EC">
        <w:t xml:space="preserve">Sub-Section </w:t>
      </w:r>
      <w:r w:rsidR="002767EC">
        <w:fldChar w:fldCharType="begin"/>
      </w:r>
      <w:r w:rsidR="002767EC">
        <w:instrText xml:space="preserve"> REF _Ref76912865 \r \h </w:instrText>
      </w:r>
      <w:r w:rsidR="002767EC">
        <w:fldChar w:fldCharType="separate"/>
      </w:r>
      <w:r w:rsidR="002767EC">
        <w:t>19.2.3</w:t>
      </w:r>
      <w:r w:rsidR="002767EC">
        <w:fldChar w:fldCharType="end"/>
      </w:r>
      <w:r w:rsidR="002767EC">
        <w:t>;</w:t>
      </w:r>
    </w:p>
    <w:p w14:paraId="5FD1656B" w14:textId="77777777" w:rsidR="00310D3D" w:rsidRPr="00310D3D" w:rsidRDefault="00310D3D" w:rsidP="00B03C4A">
      <w:pPr>
        <w:pStyle w:val="BodyText"/>
        <w:numPr>
          <w:ilvl w:val="0"/>
          <w:numId w:val="20"/>
        </w:numPr>
        <w:ind w:left="1701"/>
      </w:pPr>
      <w:r w:rsidRPr="00310D3D">
        <w:t xml:space="preserve">Tlossp is the value of the cap (expressed in percentage) on Transmission losses of NTDC as determined by the Authority in the latest tariff determination; </w:t>
      </w:r>
    </w:p>
    <w:p w14:paraId="5A847960" w14:textId="0671DB74" w:rsidR="00401561" w:rsidRDefault="007E1F30" w:rsidP="00B03C4A">
      <w:pPr>
        <w:pStyle w:val="BodyText"/>
        <w:numPr>
          <w:ilvl w:val="0"/>
          <w:numId w:val="20"/>
        </w:numPr>
        <w:ind w:left="1701"/>
      </w:pPr>
      <w:r w:rsidRPr="00310D3D">
        <w:rPr>
          <w:i/>
          <w:iCs/>
        </w:rPr>
        <w:t>RM</w:t>
      </w:r>
      <w:r w:rsidRPr="00310D3D">
        <w:rPr>
          <w:i/>
          <w:iCs/>
          <w:vertAlign w:val="subscript"/>
        </w:rPr>
        <w:t>p</w:t>
      </w:r>
      <w:r w:rsidRPr="00310D3D">
        <w:rPr>
          <w:i/>
          <w:iCs/>
        </w:rPr>
        <w:tab/>
      </w:r>
      <w:r>
        <w:t xml:space="preserve">is the </w:t>
      </w:r>
      <w:r w:rsidR="002D58BB">
        <w:t>Operational Reserve Margin</w:t>
      </w:r>
      <w:r>
        <w:t xml:space="preserve"> applicable to period “p”</w:t>
      </w:r>
      <w:r w:rsidR="00FF212F">
        <w:t>.</w:t>
      </w:r>
      <w:r w:rsidR="00401561">
        <w:t xml:space="preserve"> </w:t>
      </w:r>
    </w:p>
    <w:p w14:paraId="471168F4" w14:textId="6891508A" w:rsidR="00052773" w:rsidRDefault="00D473BA" w:rsidP="00C173D0">
      <w:pPr>
        <w:pStyle w:val="Heading3"/>
      </w:pPr>
      <w:bookmarkStart w:id="576" w:name="_Ref53146948"/>
      <w:r>
        <w:t>Capacity Obligations</w:t>
      </w:r>
      <w:r w:rsidR="00052773">
        <w:t xml:space="preserve"> of BPCs Registered as Market Participants</w:t>
      </w:r>
      <w:bookmarkEnd w:id="576"/>
    </w:p>
    <w:p w14:paraId="5DA3A248" w14:textId="1B00B97B" w:rsidR="00D62A6D" w:rsidRDefault="00D62A6D" w:rsidP="005B295A">
      <w:pPr>
        <w:pStyle w:val="Heading4"/>
      </w:pPr>
      <w:r>
        <w:t xml:space="preserve">The Capacity Obligation of </w:t>
      </w:r>
      <w:r w:rsidR="004A5A74">
        <w:t xml:space="preserve">a </w:t>
      </w:r>
      <w:r w:rsidR="00B85BED">
        <w:t xml:space="preserve">BPC registered as </w:t>
      </w:r>
      <w:r w:rsidR="004A5A74">
        <w:t xml:space="preserve">a </w:t>
      </w:r>
      <w:r w:rsidR="00B85BED">
        <w:t>Market Participant</w:t>
      </w:r>
      <w:r>
        <w:t xml:space="preserve">, for each </w:t>
      </w:r>
      <w:r w:rsidR="004A5A74">
        <w:t xml:space="preserve">year </w:t>
      </w:r>
      <w:r>
        <w:t xml:space="preserve">in which this obligation </w:t>
      </w:r>
      <w:r w:rsidR="004A5A74">
        <w:t>is</w:t>
      </w:r>
      <w:r>
        <w:t xml:space="preserve"> verified by the Market Operator, shall be calculated as:</w:t>
      </w:r>
    </w:p>
    <w:p w14:paraId="6995961F" w14:textId="226F5B8C" w:rsidR="00D62A6D" w:rsidRPr="00401561" w:rsidRDefault="004D6075" w:rsidP="00A22D29">
      <w:pPr>
        <w:pStyle w:val="BodyText"/>
        <w:rPr>
          <w:rFonts w:eastAsiaTheme="minorEastAsia"/>
        </w:rPr>
      </w:pPr>
      <m:oMathPara>
        <m:oMath>
          <m:sSub>
            <m:sSubPr>
              <m:ctrlPr>
                <w:rPr>
                  <w:rFonts w:ascii="Cambria Math" w:hAnsi="Cambria Math"/>
                </w:rPr>
              </m:ctrlPr>
            </m:sSubPr>
            <m:e>
              <m:r>
                <w:rPr>
                  <w:rFonts w:ascii="Cambria Math" w:hAnsi="Cambria Math"/>
                </w:rPr>
                <m:t>CO</m:t>
              </m:r>
            </m:e>
            <m:sub>
              <m:r>
                <w:rPr>
                  <w:rFonts w:ascii="Cambria Math" w:hAnsi="Cambria Math"/>
                </w:rPr>
                <m:t>BPCk</m:t>
              </m:r>
              <m:r>
                <m:rPr>
                  <m:sty m:val="p"/>
                </m:rPr>
                <w:rPr>
                  <w:rFonts w:ascii="Cambria Math" w:hAnsi="Cambria Math"/>
                </w:rPr>
                <m:t xml:space="preserve">, </m:t>
              </m:r>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MD</m:t>
                  </m:r>
                </m:e>
                <m:sub>
                  <m:r>
                    <w:rPr>
                      <w:rFonts w:ascii="Cambria Math" w:hAnsi="Cambria Math"/>
                    </w:rPr>
                    <m:t>PH</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p</m:t>
                  </m:r>
                </m:sub>
              </m:sSub>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Tloss</m:t>
                      </m:r>
                    </m:e>
                    <m:sub>
                      <m:r>
                        <w:rPr>
                          <w:rFonts w:ascii="Cambria Math" w:hAnsi="Cambria Math"/>
                        </w:rPr>
                        <m:t>p</m:t>
                      </m:r>
                    </m:sub>
                  </m:sSub>
                </m:e>
              </m:d>
            </m:den>
          </m:f>
          <m:r>
            <m:rPr>
              <m:sty m:val="p"/>
            </m:rP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RM</m:t>
                  </m:r>
                </m:e>
                <m:sub>
                  <m:r>
                    <w:rPr>
                      <w:rFonts w:ascii="Cambria Math" w:hAnsi="Cambria Math"/>
                    </w:rPr>
                    <m:t>p</m:t>
                  </m:r>
                </m:sub>
              </m:sSub>
            </m:e>
          </m:d>
          <m:r>
            <m:rPr>
              <m:sty m:val="p"/>
            </m:rPr>
            <w:rPr>
              <w:rFonts w:ascii="Cambria Math" w:hAnsi="Cambria Math"/>
            </w:rPr>
            <m:t>*</m:t>
          </m:r>
          <m:f>
            <m:fPr>
              <m:type m:val="skw"/>
              <m:ctrlPr>
                <w:rPr>
                  <w:rFonts w:ascii="Cambria Math" w:hAnsi="Cambria Math"/>
                </w:rPr>
              </m:ctrlPr>
            </m:fPr>
            <m:num>
              <m:sSub>
                <m:sSubPr>
                  <m:ctrlPr>
                    <w:rPr>
                      <w:rFonts w:ascii="Cambria Math" w:hAnsi="Cambria Math"/>
                    </w:rPr>
                  </m:ctrlPr>
                </m:sSubPr>
                <m:e>
                  <m:r>
                    <w:rPr>
                      <w:rFonts w:ascii="Cambria Math" w:hAnsi="Cambria Math"/>
                    </w:rPr>
                    <m:t>OB</m:t>
                  </m:r>
                  <m:r>
                    <m:rPr>
                      <m:sty m:val="p"/>
                    </m:rPr>
                    <w:rPr>
                      <w:rFonts w:ascii="Cambria Math" w:hAnsi="Cambria Math"/>
                    </w:rPr>
                    <m:t>%</m:t>
                  </m:r>
                </m:e>
                <m:sub>
                  <m:r>
                    <w:rPr>
                      <w:rFonts w:ascii="Cambria Math" w:hAnsi="Cambria Math"/>
                    </w:rPr>
                    <m:t>BPC</m:t>
                  </m:r>
                  <m:r>
                    <m:rPr>
                      <m:sty m:val="p"/>
                    </m:rPr>
                    <w:rPr>
                      <w:rFonts w:ascii="Cambria Math" w:hAnsi="Cambria Math"/>
                    </w:rPr>
                    <m:t>,</m:t>
                  </m:r>
                  <m:r>
                    <w:rPr>
                      <w:rFonts w:ascii="Cambria Math" w:hAnsi="Cambria Math"/>
                    </w:rPr>
                    <m:t>p</m:t>
                  </m:r>
                </m:sub>
              </m:sSub>
            </m:num>
            <m:den>
              <m:r>
                <m:rPr>
                  <m:sty m:val="p"/>
                </m:rPr>
                <w:rPr>
                  <w:rFonts w:ascii="Cambria Math" w:hAnsi="Cambria Math"/>
                </w:rPr>
                <m:t>100.</m:t>
              </m:r>
            </m:den>
          </m:f>
        </m:oMath>
      </m:oMathPara>
    </w:p>
    <w:p w14:paraId="2AAD07AB" w14:textId="77777777" w:rsidR="00D62A6D" w:rsidRPr="00C42CD4" w:rsidRDefault="00D62A6D" w:rsidP="00A22D29">
      <w:pPr>
        <w:pStyle w:val="BodyText"/>
      </w:pPr>
      <w:r w:rsidRPr="00C42CD4">
        <w:lastRenderedPageBreak/>
        <w:t xml:space="preserve">Where: </w:t>
      </w:r>
    </w:p>
    <w:p w14:paraId="07B6CD38" w14:textId="06252C12" w:rsidR="007E1F30" w:rsidRDefault="00D62A6D" w:rsidP="00E35F4A">
      <w:pPr>
        <w:pStyle w:val="BodyText"/>
        <w:numPr>
          <w:ilvl w:val="0"/>
          <w:numId w:val="43"/>
        </w:numPr>
        <w:ind w:left="1843" w:hanging="283"/>
        <w:rPr>
          <w:i/>
          <w:iCs/>
        </w:rPr>
      </w:pPr>
      <w:r w:rsidRPr="007E1F30">
        <w:rPr>
          <w:i/>
          <w:iCs/>
        </w:rPr>
        <w:t>CO</w:t>
      </w:r>
      <w:r w:rsidR="00B85BED" w:rsidRPr="007E1F30">
        <w:rPr>
          <w:i/>
          <w:iCs/>
          <w:vertAlign w:val="subscript"/>
        </w:rPr>
        <w:t>BPCk</w:t>
      </w:r>
      <w:r w:rsidRPr="007E1F30">
        <w:rPr>
          <w:i/>
          <w:iCs/>
          <w:vertAlign w:val="subscript"/>
        </w:rPr>
        <w:t>,p</w:t>
      </w:r>
      <w:r w:rsidRPr="00C42CD4">
        <w:t xml:space="preserve"> is the </w:t>
      </w:r>
      <w:r w:rsidR="00D473BA">
        <w:t>Capacity</w:t>
      </w:r>
      <w:r>
        <w:t xml:space="preserve"> obligation,  of the </w:t>
      </w:r>
      <w:r w:rsidR="00B85BED">
        <w:t xml:space="preserve">BPC registered as Market Participant </w:t>
      </w:r>
      <w:r w:rsidRPr="007E1F30">
        <w:rPr>
          <w:i/>
          <w:iCs/>
        </w:rPr>
        <w:t>“</w:t>
      </w:r>
      <w:r w:rsidR="00B85BED" w:rsidRPr="007E1F30">
        <w:rPr>
          <w:i/>
          <w:iCs/>
        </w:rPr>
        <w:t>k</w:t>
      </w:r>
      <w:r w:rsidRPr="007E1F30">
        <w:rPr>
          <w:i/>
          <w:iCs/>
        </w:rPr>
        <w:t>”</w:t>
      </w:r>
      <w:r>
        <w:t xml:space="preserve"> in the period </w:t>
      </w:r>
      <w:r w:rsidRPr="007E1F30">
        <w:rPr>
          <w:i/>
          <w:iCs/>
        </w:rPr>
        <w:t>“p”</w:t>
      </w:r>
      <w:r>
        <w:t xml:space="preserve"> which will be verified by the Market Operator as </w:t>
      </w:r>
      <w:r w:rsidR="004A5A74">
        <w:t xml:space="preserve">provided </w:t>
      </w:r>
      <w:r>
        <w:t xml:space="preserve">in Section </w:t>
      </w:r>
      <w:r>
        <w:fldChar w:fldCharType="begin"/>
      </w:r>
      <w:r>
        <w:instrText xml:space="preserve"> REF _Ref53083918 \r \h </w:instrText>
      </w:r>
      <w:r>
        <w:fldChar w:fldCharType="separate"/>
      </w:r>
      <w:r w:rsidR="00251DBF">
        <w:t>11.4</w:t>
      </w:r>
      <w:r>
        <w:fldChar w:fldCharType="end"/>
      </w:r>
      <w:r w:rsidR="002767EC">
        <w:t>;</w:t>
      </w:r>
      <w:r>
        <w:t xml:space="preserve"> </w:t>
      </w:r>
    </w:p>
    <w:p w14:paraId="358E5D9E" w14:textId="193DD290" w:rsidR="007E1F30" w:rsidRDefault="00D62A6D" w:rsidP="00E35F4A">
      <w:pPr>
        <w:pStyle w:val="BodyText"/>
        <w:numPr>
          <w:ilvl w:val="0"/>
          <w:numId w:val="43"/>
        </w:numPr>
        <w:ind w:left="1843" w:hanging="283"/>
        <w:rPr>
          <w:i/>
          <w:iCs/>
        </w:rPr>
      </w:pPr>
      <w:r w:rsidRPr="007E1F30">
        <w:rPr>
          <w:i/>
          <w:iCs/>
        </w:rPr>
        <w:t>MD</w:t>
      </w:r>
      <w:r w:rsidRPr="007E1F30">
        <w:rPr>
          <w:i/>
          <w:iCs/>
          <w:vertAlign w:val="subscript"/>
        </w:rPr>
        <w:t>PH,</w:t>
      </w:r>
      <w:r w:rsidR="00B85BED" w:rsidRPr="007E1F30">
        <w:rPr>
          <w:i/>
          <w:iCs/>
          <w:vertAlign w:val="subscript"/>
        </w:rPr>
        <w:t>k,p</w:t>
      </w:r>
      <w:r w:rsidRPr="00C42CD4">
        <w:t xml:space="preserve"> is the </w:t>
      </w:r>
      <w:r>
        <w:t xml:space="preserve">Maximum Demand at </w:t>
      </w:r>
      <w:r w:rsidR="00382D81">
        <w:t>System Peak Hours</w:t>
      </w:r>
      <w:r>
        <w:t xml:space="preserve"> of the </w:t>
      </w:r>
      <w:r w:rsidR="00B85BED">
        <w:t xml:space="preserve">BPC registered as Market Participant </w:t>
      </w:r>
      <w:r w:rsidRPr="007E1F30">
        <w:rPr>
          <w:i/>
          <w:iCs/>
        </w:rPr>
        <w:t>“</w:t>
      </w:r>
      <w:r w:rsidR="00B85BED" w:rsidRPr="007E1F30">
        <w:rPr>
          <w:i/>
          <w:iCs/>
        </w:rPr>
        <w:t>k</w:t>
      </w:r>
      <w:r w:rsidRPr="007E1F30">
        <w:rPr>
          <w:i/>
          <w:iCs/>
        </w:rPr>
        <w:t>”</w:t>
      </w:r>
      <w:r>
        <w:t xml:space="preserve"> in the period </w:t>
      </w:r>
      <w:r w:rsidRPr="007E1F30">
        <w:rPr>
          <w:i/>
          <w:iCs/>
        </w:rPr>
        <w:t>“p”</w:t>
      </w:r>
      <w:r>
        <w:t xml:space="preserve">. The value of </w:t>
      </w:r>
      <w:r w:rsidRPr="007E1F30">
        <w:rPr>
          <w:i/>
          <w:iCs/>
        </w:rPr>
        <w:t>MD</w:t>
      </w:r>
      <w:r w:rsidRPr="007E1F30">
        <w:rPr>
          <w:i/>
          <w:iCs/>
          <w:vertAlign w:val="subscript"/>
        </w:rPr>
        <w:t>PH,</w:t>
      </w:r>
      <w:r w:rsidR="00B85BED" w:rsidRPr="007E1F30">
        <w:rPr>
          <w:i/>
          <w:iCs/>
          <w:vertAlign w:val="subscript"/>
        </w:rPr>
        <w:t>k,p</w:t>
      </w:r>
      <w:r>
        <w:t xml:space="preserve"> will be</w:t>
      </w:r>
      <w:r w:rsidR="00C27614">
        <w:t xml:space="preserve"> t</w:t>
      </w:r>
      <w:r>
        <w:t xml:space="preserve">he forecasted Maximum Demand at </w:t>
      </w:r>
      <w:r w:rsidR="00382D81">
        <w:t>System Peak Hours</w:t>
      </w:r>
      <w:r>
        <w:t xml:space="preserve">, corresponding to the </w:t>
      </w:r>
      <w:r w:rsidR="004A5A74">
        <w:t>c</w:t>
      </w:r>
      <w:r>
        <w:t xml:space="preserve">ontracted Supply, submitted by the </w:t>
      </w:r>
      <w:r w:rsidR="004A5A74">
        <w:t xml:space="preserve">relevant </w:t>
      </w:r>
      <w:r w:rsidR="00112337">
        <w:t>BPC</w:t>
      </w:r>
      <w:r>
        <w:t xml:space="preserve"> to the Market Operator, as per the requirements </w:t>
      </w:r>
      <w:r w:rsidR="004A5A74">
        <w:t xml:space="preserve">set out </w:t>
      </w:r>
      <w:r>
        <w:t xml:space="preserve">in Section </w:t>
      </w:r>
      <w:r>
        <w:fldChar w:fldCharType="begin"/>
      </w:r>
      <w:r>
        <w:instrText xml:space="preserve"> REF _Ref53084429 \r \h </w:instrText>
      </w:r>
      <w:r>
        <w:fldChar w:fldCharType="separate"/>
      </w:r>
      <w:r w:rsidR="00251DBF">
        <w:t>11.2</w:t>
      </w:r>
      <w:r>
        <w:fldChar w:fldCharType="end"/>
      </w:r>
      <w:r>
        <w:t xml:space="preserve">, for the current year and all periods immediately </w:t>
      </w:r>
      <w:r w:rsidR="004A5A74">
        <w:t>there</w:t>
      </w:r>
      <w:r>
        <w:t>after</w:t>
      </w:r>
      <w:r w:rsidR="002767EC">
        <w:t>;</w:t>
      </w:r>
    </w:p>
    <w:p w14:paraId="654CB590" w14:textId="73C39AC7" w:rsidR="00D62A6D" w:rsidRDefault="00D62A6D" w:rsidP="007E1F30">
      <w:pPr>
        <w:pStyle w:val="BodyText"/>
        <w:numPr>
          <w:ilvl w:val="0"/>
          <w:numId w:val="42"/>
        </w:numPr>
        <w:ind w:left="1843" w:hanging="283"/>
      </w:pPr>
      <w:r>
        <w:rPr>
          <w:i/>
          <w:iCs/>
        </w:rPr>
        <w:t>OB%</w:t>
      </w:r>
      <w:r w:rsidR="00B85BED">
        <w:rPr>
          <w:i/>
          <w:iCs/>
          <w:vertAlign w:val="subscript"/>
        </w:rPr>
        <w:t>BPC,p</w:t>
      </w:r>
      <w:r w:rsidRPr="00C42CD4">
        <w:t xml:space="preserve"> </w:t>
      </w:r>
      <w:r>
        <w:t xml:space="preserve">is the Capacity Obligation Percentage, applicable to </w:t>
      </w:r>
      <w:r w:rsidR="00B85BED">
        <w:t>BPCs registered as Market Participants</w:t>
      </w:r>
      <w:r>
        <w:t xml:space="preserve">, corresponding to period </w:t>
      </w:r>
      <w:r w:rsidRPr="00C55659">
        <w:rPr>
          <w:i/>
          <w:iCs/>
        </w:rPr>
        <w:t>“p”</w:t>
      </w:r>
      <w:r>
        <w:t xml:space="preserve"> </w:t>
      </w:r>
      <w:r w:rsidR="002E72FE">
        <w:t xml:space="preserve">as provided in </w:t>
      </w:r>
      <w:r w:rsidR="002767EC">
        <w:t xml:space="preserve">Sub-Section </w:t>
      </w:r>
      <w:r w:rsidR="002767EC">
        <w:fldChar w:fldCharType="begin"/>
      </w:r>
      <w:r w:rsidR="002767EC">
        <w:instrText xml:space="preserve"> REF _Ref76912865 \r \h </w:instrText>
      </w:r>
      <w:r w:rsidR="002767EC">
        <w:fldChar w:fldCharType="separate"/>
      </w:r>
      <w:r w:rsidR="002767EC">
        <w:t>19.2.3</w:t>
      </w:r>
      <w:r w:rsidR="002767EC">
        <w:fldChar w:fldCharType="end"/>
      </w:r>
      <w:r>
        <w:t xml:space="preserve">. </w:t>
      </w:r>
    </w:p>
    <w:p w14:paraId="32E7F2DD" w14:textId="77777777" w:rsidR="00310D3D" w:rsidRPr="00310D3D" w:rsidRDefault="00310D3D" w:rsidP="00B03C4A">
      <w:pPr>
        <w:pStyle w:val="BodyText"/>
        <w:numPr>
          <w:ilvl w:val="0"/>
          <w:numId w:val="42"/>
        </w:numPr>
        <w:ind w:left="1843" w:hanging="283"/>
      </w:pPr>
      <w:r w:rsidRPr="00310D3D">
        <w:t xml:space="preserve">Tlossp is the value of the cap (expressed in percentage) on Transmission losses of NTDC as determined by the Authority in the latest tariff determination; </w:t>
      </w:r>
    </w:p>
    <w:p w14:paraId="28260C98" w14:textId="77777777" w:rsidR="00310D3D" w:rsidRDefault="007E1F30" w:rsidP="00965CEC">
      <w:pPr>
        <w:pStyle w:val="BodyText"/>
        <w:numPr>
          <w:ilvl w:val="0"/>
          <w:numId w:val="42"/>
        </w:numPr>
        <w:ind w:left="1843" w:hanging="283"/>
      </w:pPr>
      <w:r w:rsidRPr="00310D3D">
        <w:rPr>
          <w:i/>
          <w:iCs/>
        </w:rPr>
        <w:t>RM</w:t>
      </w:r>
      <w:r w:rsidRPr="00310D3D">
        <w:rPr>
          <w:i/>
          <w:iCs/>
          <w:vertAlign w:val="subscript"/>
        </w:rPr>
        <w:t>p</w:t>
      </w:r>
      <w:r w:rsidRPr="00310D3D">
        <w:rPr>
          <w:i/>
          <w:iCs/>
        </w:rPr>
        <w:t xml:space="preserve"> </w:t>
      </w:r>
      <w:r>
        <w:t xml:space="preserve">is the </w:t>
      </w:r>
      <w:r w:rsidR="002D58BB">
        <w:t>Operational Reserve Margin</w:t>
      </w:r>
      <w:r>
        <w:t xml:space="preserve"> applicable to period “p”.</w:t>
      </w:r>
    </w:p>
    <w:p w14:paraId="56BDD93E" w14:textId="674A398C" w:rsidR="00310D3D" w:rsidRDefault="00310D3D" w:rsidP="00310D3D">
      <w:pPr>
        <w:pStyle w:val="Heading3"/>
      </w:pPr>
      <w:r>
        <w:t>Capacity Obligations of Firm Exports</w:t>
      </w:r>
    </w:p>
    <w:p w14:paraId="4C43F7F0" w14:textId="7B0A6298" w:rsidR="00310D3D" w:rsidRDefault="00310D3D" w:rsidP="00310D3D">
      <w:pPr>
        <w:pStyle w:val="Heading4"/>
      </w:pPr>
      <w:r>
        <w:t>The Capacity Obligation of a Trader involved in Firm Export, for each year in which this obligation is verified by the Market Operator, shall be calculated as:</w:t>
      </w:r>
    </w:p>
    <w:p w14:paraId="668B98EA" w14:textId="77777777" w:rsidR="00310D3D" w:rsidRPr="00401561" w:rsidRDefault="004D6075" w:rsidP="00310D3D">
      <w:pPr>
        <w:pStyle w:val="BodyText"/>
        <w:rPr>
          <w:rFonts w:eastAsiaTheme="minorEastAsia"/>
        </w:rPr>
      </w:pPr>
      <m:oMathPara>
        <m:oMath>
          <m:sSub>
            <m:sSubPr>
              <m:ctrlPr>
                <w:rPr>
                  <w:rFonts w:ascii="Cambria Math" w:hAnsi="Cambria Math"/>
                </w:rPr>
              </m:ctrlPr>
            </m:sSubPr>
            <m:e>
              <m:r>
                <w:rPr>
                  <w:rFonts w:ascii="Cambria Math" w:hAnsi="Cambria Math"/>
                </w:rPr>
                <m:t>CO</m:t>
              </m:r>
            </m:e>
            <m:sub>
              <m:r>
                <w:rPr>
                  <w:rFonts w:ascii="Cambria Math" w:hAnsi="Cambria Math"/>
                </w:rPr>
                <m:t>BPCk</m:t>
              </m:r>
              <m:r>
                <m:rPr>
                  <m:sty m:val="p"/>
                </m:rPr>
                <w:rPr>
                  <w:rFonts w:ascii="Cambria Math" w:hAnsi="Cambria Math"/>
                </w:rPr>
                <m:t xml:space="preserve">, </m:t>
              </m:r>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MD</m:t>
                  </m:r>
                </m:e>
                <m:sub>
                  <m:r>
                    <w:rPr>
                      <w:rFonts w:ascii="Cambria Math" w:hAnsi="Cambria Math"/>
                    </w:rPr>
                    <m:t>PH</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p</m:t>
                  </m:r>
                </m:sub>
              </m:sSub>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Tloss</m:t>
                      </m:r>
                    </m:e>
                    <m:sub>
                      <m:r>
                        <w:rPr>
                          <w:rFonts w:ascii="Cambria Math" w:hAnsi="Cambria Math"/>
                        </w:rPr>
                        <m:t>p</m:t>
                      </m:r>
                    </m:sub>
                  </m:sSub>
                </m:e>
              </m:d>
            </m:den>
          </m:f>
          <m:r>
            <m:rPr>
              <m:sty m:val="p"/>
            </m:rP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RM</m:t>
                  </m:r>
                </m:e>
                <m:sub>
                  <m:r>
                    <w:rPr>
                      <w:rFonts w:ascii="Cambria Math" w:hAnsi="Cambria Math"/>
                    </w:rPr>
                    <m:t>p</m:t>
                  </m:r>
                </m:sub>
              </m:sSub>
            </m:e>
          </m:d>
          <m:r>
            <m:rPr>
              <m:sty m:val="p"/>
            </m:rPr>
            <w:rPr>
              <w:rFonts w:ascii="Cambria Math" w:hAnsi="Cambria Math"/>
            </w:rPr>
            <m:t>*</m:t>
          </m:r>
          <m:f>
            <m:fPr>
              <m:type m:val="skw"/>
              <m:ctrlPr>
                <w:rPr>
                  <w:rFonts w:ascii="Cambria Math" w:hAnsi="Cambria Math"/>
                </w:rPr>
              </m:ctrlPr>
            </m:fPr>
            <m:num>
              <m:sSub>
                <m:sSubPr>
                  <m:ctrlPr>
                    <w:rPr>
                      <w:rFonts w:ascii="Cambria Math" w:hAnsi="Cambria Math"/>
                    </w:rPr>
                  </m:ctrlPr>
                </m:sSubPr>
                <m:e>
                  <m:r>
                    <w:rPr>
                      <w:rFonts w:ascii="Cambria Math" w:hAnsi="Cambria Math"/>
                    </w:rPr>
                    <m:t>OB</m:t>
                  </m:r>
                  <m:r>
                    <m:rPr>
                      <m:sty m:val="p"/>
                    </m:rPr>
                    <w:rPr>
                      <w:rFonts w:ascii="Cambria Math" w:hAnsi="Cambria Math"/>
                    </w:rPr>
                    <m:t>%</m:t>
                  </m:r>
                </m:e>
                <m:sub>
                  <m:r>
                    <w:rPr>
                      <w:rFonts w:ascii="Cambria Math" w:hAnsi="Cambria Math"/>
                    </w:rPr>
                    <m:t>BPC</m:t>
                  </m:r>
                  <m:r>
                    <m:rPr>
                      <m:sty m:val="p"/>
                    </m:rPr>
                    <w:rPr>
                      <w:rFonts w:ascii="Cambria Math" w:hAnsi="Cambria Math"/>
                    </w:rPr>
                    <m:t>,</m:t>
                  </m:r>
                  <m:r>
                    <w:rPr>
                      <w:rFonts w:ascii="Cambria Math" w:hAnsi="Cambria Math"/>
                    </w:rPr>
                    <m:t>p</m:t>
                  </m:r>
                </m:sub>
              </m:sSub>
            </m:num>
            <m:den>
              <m:r>
                <m:rPr>
                  <m:sty m:val="p"/>
                </m:rPr>
                <w:rPr>
                  <w:rFonts w:ascii="Cambria Math" w:hAnsi="Cambria Math"/>
                </w:rPr>
                <m:t>100.</m:t>
              </m:r>
            </m:den>
          </m:f>
        </m:oMath>
      </m:oMathPara>
    </w:p>
    <w:p w14:paraId="147623F9" w14:textId="77777777" w:rsidR="00310D3D" w:rsidRPr="00C42CD4" w:rsidRDefault="00310D3D" w:rsidP="00310D3D">
      <w:pPr>
        <w:pStyle w:val="BodyText"/>
      </w:pPr>
      <w:r w:rsidRPr="00C42CD4">
        <w:t xml:space="preserve">Where: </w:t>
      </w:r>
    </w:p>
    <w:p w14:paraId="134ECE91" w14:textId="6ABB54C0" w:rsidR="00310D3D" w:rsidRDefault="00310D3D" w:rsidP="00310D3D">
      <w:pPr>
        <w:pStyle w:val="BodyText"/>
        <w:numPr>
          <w:ilvl w:val="0"/>
          <w:numId w:val="43"/>
        </w:numPr>
        <w:ind w:left="1843" w:hanging="283"/>
        <w:rPr>
          <w:i/>
          <w:iCs/>
        </w:rPr>
      </w:pPr>
      <w:r w:rsidRPr="007E1F30">
        <w:rPr>
          <w:i/>
          <w:iCs/>
        </w:rPr>
        <w:t>CO</w:t>
      </w:r>
      <w:r w:rsidRPr="007E1F30">
        <w:rPr>
          <w:i/>
          <w:iCs/>
          <w:vertAlign w:val="subscript"/>
        </w:rPr>
        <w:t>BPCk,p</w:t>
      </w:r>
      <w:r w:rsidRPr="00C42CD4">
        <w:t xml:space="preserve"> is the </w:t>
      </w:r>
      <w:r>
        <w:t xml:space="preserve">Capacity obligation,  of Trader </w:t>
      </w:r>
      <w:r w:rsidRPr="007E1F30">
        <w:rPr>
          <w:i/>
          <w:iCs/>
        </w:rPr>
        <w:t>“k”</w:t>
      </w:r>
      <w:r>
        <w:t xml:space="preserve"> in the period </w:t>
      </w:r>
      <w:r w:rsidRPr="007E1F30">
        <w:rPr>
          <w:i/>
          <w:iCs/>
        </w:rPr>
        <w:t>“p”</w:t>
      </w:r>
      <w:r>
        <w:t xml:space="preserve"> which will be verified by the Market Operator as provided in Section </w:t>
      </w:r>
      <w:r>
        <w:fldChar w:fldCharType="begin"/>
      </w:r>
      <w:r>
        <w:instrText xml:space="preserve"> REF _Ref53083918 \r \h </w:instrText>
      </w:r>
      <w:r>
        <w:fldChar w:fldCharType="separate"/>
      </w:r>
      <w:r>
        <w:t>11.4</w:t>
      </w:r>
      <w:r>
        <w:fldChar w:fldCharType="end"/>
      </w:r>
      <w:r>
        <w:t xml:space="preserve">; </w:t>
      </w:r>
    </w:p>
    <w:p w14:paraId="5157529D" w14:textId="47A1E759" w:rsidR="00310D3D" w:rsidRDefault="00310D3D" w:rsidP="00310D3D">
      <w:pPr>
        <w:pStyle w:val="BodyText"/>
        <w:numPr>
          <w:ilvl w:val="0"/>
          <w:numId w:val="43"/>
        </w:numPr>
        <w:ind w:left="1843" w:hanging="283"/>
        <w:rPr>
          <w:i/>
          <w:iCs/>
        </w:rPr>
      </w:pPr>
      <w:r w:rsidRPr="007E1F30">
        <w:rPr>
          <w:i/>
          <w:iCs/>
        </w:rPr>
        <w:t>MD</w:t>
      </w:r>
      <w:r w:rsidRPr="007E1F30">
        <w:rPr>
          <w:i/>
          <w:iCs/>
          <w:vertAlign w:val="subscript"/>
        </w:rPr>
        <w:t>PH,k,p</w:t>
      </w:r>
      <w:r w:rsidRPr="00C42CD4">
        <w:t xml:space="preserve"> is the </w:t>
      </w:r>
      <w:r>
        <w:t xml:space="preserve">Maximum Demand at System Peak Hours of the Trader involved in Firm Export </w:t>
      </w:r>
      <w:r w:rsidRPr="007E1F30">
        <w:rPr>
          <w:i/>
          <w:iCs/>
        </w:rPr>
        <w:t>“k”</w:t>
      </w:r>
      <w:r>
        <w:t xml:space="preserve"> in the period </w:t>
      </w:r>
      <w:r w:rsidRPr="007E1F30">
        <w:rPr>
          <w:i/>
          <w:iCs/>
        </w:rPr>
        <w:t>“p”</w:t>
      </w:r>
      <w:r>
        <w:t xml:space="preserve">. The value of </w:t>
      </w:r>
      <w:r w:rsidRPr="007E1F30">
        <w:rPr>
          <w:i/>
          <w:iCs/>
        </w:rPr>
        <w:t>MD</w:t>
      </w:r>
      <w:r w:rsidRPr="007E1F30">
        <w:rPr>
          <w:i/>
          <w:iCs/>
          <w:vertAlign w:val="subscript"/>
        </w:rPr>
        <w:t>PH,k,p</w:t>
      </w:r>
      <w:r>
        <w:t xml:space="preserve"> will be the forecasted Maximum Demand at System Peak Hours, corresponding to the contracted Supply, submitted by the relevant Trader to the Market Operator, as per the requirements set out in Section </w:t>
      </w:r>
      <w:r>
        <w:fldChar w:fldCharType="begin"/>
      </w:r>
      <w:r>
        <w:instrText xml:space="preserve"> REF _Ref53084429 \r \h </w:instrText>
      </w:r>
      <w:r>
        <w:fldChar w:fldCharType="separate"/>
      </w:r>
      <w:r>
        <w:t>11.2</w:t>
      </w:r>
      <w:r>
        <w:fldChar w:fldCharType="end"/>
      </w:r>
      <w:r>
        <w:t>, for the current year and all periods immediately thereafter;</w:t>
      </w:r>
    </w:p>
    <w:p w14:paraId="1E0924E2" w14:textId="2FCFAE6C" w:rsidR="00310D3D" w:rsidRDefault="00310D3D" w:rsidP="00310D3D">
      <w:pPr>
        <w:pStyle w:val="BodyText"/>
        <w:numPr>
          <w:ilvl w:val="0"/>
          <w:numId w:val="42"/>
        </w:numPr>
        <w:ind w:left="1843" w:hanging="283"/>
      </w:pPr>
      <w:r>
        <w:rPr>
          <w:i/>
          <w:iCs/>
        </w:rPr>
        <w:t>OB%</w:t>
      </w:r>
      <w:r>
        <w:rPr>
          <w:i/>
          <w:iCs/>
          <w:vertAlign w:val="subscript"/>
        </w:rPr>
        <w:t>BPC,p</w:t>
      </w:r>
      <w:r w:rsidRPr="00C42CD4">
        <w:t xml:space="preserve"> </w:t>
      </w:r>
      <w:r>
        <w:t xml:space="preserve">is the Capacity Obligation Percentage, applicable to </w:t>
      </w:r>
      <w:r w:rsidR="00C32A37">
        <w:t>Trader involved in Frim Export</w:t>
      </w:r>
      <w:r>
        <w:t xml:space="preserve">, corresponding to period </w:t>
      </w:r>
      <w:r w:rsidRPr="00C55659">
        <w:rPr>
          <w:i/>
          <w:iCs/>
        </w:rPr>
        <w:t>“p”</w:t>
      </w:r>
      <w:r>
        <w:t xml:space="preserve"> as provided in Sub-Section </w:t>
      </w:r>
      <w:r>
        <w:fldChar w:fldCharType="begin"/>
      </w:r>
      <w:r>
        <w:instrText xml:space="preserve"> REF _Ref76912865 \r \h </w:instrText>
      </w:r>
      <w:r>
        <w:fldChar w:fldCharType="separate"/>
      </w:r>
      <w:r>
        <w:t>19.2.3</w:t>
      </w:r>
      <w:r>
        <w:fldChar w:fldCharType="end"/>
      </w:r>
      <w:r>
        <w:t xml:space="preserve">. </w:t>
      </w:r>
    </w:p>
    <w:p w14:paraId="5FD8AF64" w14:textId="77777777" w:rsidR="00310D3D" w:rsidRPr="00310D3D" w:rsidRDefault="00310D3D" w:rsidP="00310D3D">
      <w:pPr>
        <w:pStyle w:val="BodyText"/>
        <w:numPr>
          <w:ilvl w:val="0"/>
          <w:numId w:val="42"/>
        </w:numPr>
        <w:ind w:left="1843" w:hanging="283"/>
      </w:pPr>
      <w:r w:rsidRPr="00310D3D">
        <w:t xml:space="preserve">Tlossp is the value of the cap (expressed in percentage) on Transmission losses of NTDC as determined by the Authority in the latest tariff determination; </w:t>
      </w:r>
    </w:p>
    <w:p w14:paraId="16CD7F80" w14:textId="77777777" w:rsidR="00310D3D" w:rsidRDefault="00310D3D" w:rsidP="00310D3D">
      <w:pPr>
        <w:pStyle w:val="BodyText"/>
        <w:numPr>
          <w:ilvl w:val="0"/>
          <w:numId w:val="42"/>
        </w:numPr>
        <w:ind w:left="1843" w:hanging="283"/>
      </w:pPr>
      <w:r w:rsidRPr="00E17701">
        <w:rPr>
          <w:i/>
          <w:iCs/>
        </w:rPr>
        <w:t>RM</w:t>
      </w:r>
      <w:r w:rsidRPr="00E17701">
        <w:rPr>
          <w:i/>
          <w:iCs/>
          <w:vertAlign w:val="subscript"/>
        </w:rPr>
        <w:t>p</w:t>
      </w:r>
      <w:r w:rsidRPr="00E17701">
        <w:rPr>
          <w:i/>
          <w:iCs/>
        </w:rPr>
        <w:t xml:space="preserve"> </w:t>
      </w:r>
      <w:r>
        <w:t xml:space="preserve">is the Operational Reserve Margin applicable to period “p”. </w:t>
      </w:r>
    </w:p>
    <w:p w14:paraId="1CD250F3" w14:textId="004E4232" w:rsidR="007E1F30" w:rsidRDefault="007E1F30" w:rsidP="00B03C4A">
      <w:pPr>
        <w:pStyle w:val="BodyText"/>
        <w:ind w:left="1843"/>
      </w:pPr>
    </w:p>
    <w:p w14:paraId="7702A6F4" w14:textId="686A7E46" w:rsidR="00DB3B34" w:rsidRDefault="00DB3B34" w:rsidP="00C173D0">
      <w:pPr>
        <w:pStyle w:val="Heading2"/>
      </w:pPr>
      <w:bookmarkStart w:id="577" w:name="_Toc64115873"/>
      <w:bookmarkStart w:id="578" w:name="_Toc64116226"/>
      <w:bookmarkStart w:id="579" w:name="_Toc64115874"/>
      <w:bookmarkStart w:id="580" w:name="_Toc64116227"/>
      <w:bookmarkStart w:id="581" w:name="_Toc64115875"/>
      <w:bookmarkStart w:id="582" w:name="_Toc64116228"/>
      <w:bookmarkStart w:id="583" w:name="_Toc64115876"/>
      <w:bookmarkStart w:id="584" w:name="_Toc64116229"/>
      <w:bookmarkStart w:id="585" w:name="_Toc64115877"/>
      <w:bookmarkStart w:id="586" w:name="_Toc64116230"/>
      <w:bookmarkStart w:id="587" w:name="_Toc64115878"/>
      <w:bookmarkStart w:id="588" w:name="_Toc64116231"/>
      <w:bookmarkStart w:id="589" w:name="_Toc64115879"/>
      <w:bookmarkStart w:id="590" w:name="_Toc64116232"/>
      <w:bookmarkStart w:id="591" w:name="_Toc64115880"/>
      <w:bookmarkStart w:id="592" w:name="_Toc64116233"/>
      <w:bookmarkStart w:id="593" w:name="_Toc64115881"/>
      <w:bookmarkStart w:id="594" w:name="_Toc64116234"/>
      <w:bookmarkStart w:id="595" w:name="_Toc64115882"/>
      <w:bookmarkStart w:id="596" w:name="_Toc64116235"/>
      <w:bookmarkStart w:id="597" w:name="_Toc64115883"/>
      <w:bookmarkStart w:id="598" w:name="_Toc64116236"/>
      <w:bookmarkStart w:id="599" w:name="_Toc64115884"/>
      <w:bookmarkStart w:id="600" w:name="_Toc64116237"/>
      <w:bookmarkStart w:id="601" w:name="_Toc64115885"/>
      <w:bookmarkStart w:id="602" w:name="_Toc64116238"/>
      <w:bookmarkStart w:id="603" w:name="_Toc64115886"/>
      <w:bookmarkStart w:id="604" w:name="_Toc64116239"/>
      <w:bookmarkStart w:id="605" w:name="_Toc64115887"/>
      <w:bookmarkStart w:id="606" w:name="_Toc64116240"/>
      <w:bookmarkStart w:id="607" w:name="_Toc64115888"/>
      <w:bookmarkStart w:id="608" w:name="_Toc64116241"/>
      <w:bookmarkStart w:id="609" w:name="_Toc64115889"/>
      <w:bookmarkStart w:id="610" w:name="_Toc64116242"/>
      <w:bookmarkStart w:id="611" w:name="_Toc64115890"/>
      <w:bookmarkStart w:id="612" w:name="_Toc64116243"/>
      <w:bookmarkStart w:id="613" w:name="_Toc64115891"/>
      <w:bookmarkStart w:id="614" w:name="_Toc64116244"/>
      <w:bookmarkStart w:id="615" w:name="_Toc64115892"/>
      <w:bookmarkStart w:id="616" w:name="_Toc64116245"/>
      <w:bookmarkStart w:id="617" w:name="_Toc64115893"/>
      <w:bookmarkStart w:id="618" w:name="_Toc64116246"/>
      <w:bookmarkStart w:id="619" w:name="_Toc64115894"/>
      <w:bookmarkStart w:id="620" w:name="_Toc64116247"/>
      <w:bookmarkStart w:id="621" w:name="_Toc64115895"/>
      <w:bookmarkStart w:id="622" w:name="_Toc64116248"/>
      <w:bookmarkStart w:id="623" w:name="_Toc64115896"/>
      <w:bookmarkStart w:id="624" w:name="_Toc64116249"/>
      <w:bookmarkStart w:id="625" w:name="_Toc64115897"/>
      <w:bookmarkStart w:id="626" w:name="_Toc64116250"/>
      <w:bookmarkStart w:id="627" w:name="_Toc64115898"/>
      <w:bookmarkStart w:id="628" w:name="_Toc64116251"/>
      <w:bookmarkStart w:id="629" w:name="_Toc64115899"/>
      <w:bookmarkStart w:id="630" w:name="_Toc64116252"/>
      <w:bookmarkStart w:id="631" w:name="_Toc64115900"/>
      <w:bookmarkStart w:id="632" w:name="_Toc64116253"/>
      <w:bookmarkStart w:id="633" w:name="_Toc64115901"/>
      <w:bookmarkStart w:id="634" w:name="_Toc64116254"/>
      <w:bookmarkStart w:id="635" w:name="_Toc64115902"/>
      <w:bookmarkStart w:id="636" w:name="_Toc64116255"/>
      <w:bookmarkStart w:id="637" w:name="_Toc64115903"/>
      <w:bookmarkStart w:id="638" w:name="_Toc64116256"/>
      <w:bookmarkStart w:id="639" w:name="_Toc64115904"/>
      <w:bookmarkStart w:id="640" w:name="_Toc64116257"/>
      <w:bookmarkStart w:id="641" w:name="_Toc64115905"/>
      <w:bookmarkStart w:id="642" w:name="_Toc64116258"/>
      <w:bookmarkStart w:id="643" w:name="_Toc64115906"/>
      <w:bookmarkStart w:id="644" w:name="_Toc64116259"/>
      <w:bookmarkStart w:id="645" w:name="_Toc64115907"/>
      <w:bookmarkStart w:id="646" w:name="_Toc64116260"/>
      <w:bookmarkStart w:id="647" w:name="_Toc64115908"/>
      <w:bookmarkStart w:id="648" w:name="_Toc64116261"/>
      <w:bookmarkStart w:id="649" w:name="_Toc64115909"/>
      <w:bookmarkStart w:id="650" w:name="_Toc64116262"/>
      <w:bookmarkStart w:id="651" w:name="_Toc64115910"/>
      <w:bookmarkStart w:id="652" w:name="_Toc64116263"/>
      <w:bookmarkStart w:id="653" w:name="_Toc64115911"/>
      <w:bookmarkStart w:id="654" w:name="_Toc64116264"/>
      <w:bookmarkStart w:id="655" w:name="_Toc64115912"/>
      <w:bookmarkStart w:id="656" w:name="_Toc64116265"/>
      <w:bookmarkStart w:id="657" w:name="_Toc64115913"/>
      <w:bookmarkStart w:id="658" w:name="_Toc64116266"/>
      <w:bookmarkStart w:id="659" w:name="_Ref53083918"/>
      <w:bookmarkStart w:id="660" w:name="_Toc64846707"/>
      <w:bookmarkStart w:id="661" w:name="_Toc69477007"/>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r>
        <w:t xml:space="preserve">Ex-Ante Verification of </w:t>
      </w:r>
      <w:r w:rsidR="00D473BA">
        <w:t>Capacity Obligations</w:t>
      </w:r>
      <w:r>
        <w:t xml:space="preserve"> (current and subsequent years)</w:t>
      </w:r>
      <w:bookmarkEnd w:id="659"/>
      <w:bookmarkEnd w:id="660"/>
      <w:bookmarkEnd w:id="661"/>
    </w:p>
    <w:p w14:paraId="503BFD5E" w14:textId="77777777" w:rsidR="00B3334D" w:rsidRDefault="00B3334D" w:rsidP="00C173D0">
      <w:pPr>
        <w:pStyle w:val="Heading3"/>
      </w:pPr>
      <w:r>
        <w:t>General</w:t>
      </w:r>
    </w:p>
    <w:p w14:paraId="2873E5CD" w14:textId="13A44071" w:rsidR="00B3334D" w:rsidRDefault="00B3334D" w:rsidP="005B295A">
      <w:pPr>
        <w:pStyle w:val="Heading4"/>
      </w:pPr>
      <w:r>
        <w:t>Every year</w:t>
      </w:r>
      <w:r w:rsidR="004A5A74">
        <w:t xml:space="preserve"> prior to [</w:t>
      </w:r>
      <w:r w:rsidR="004A5A74">
        <w:rPr>
          <w:highlight w:val="yellow"/>
        </w:rPr>
        <w:t>April</w:t>
      </w:r>
      <w:r w:rsidR="004A5A74" w:rsidRPr="00B670AA">
        <w:rPr>
          <w:highlight w:val="yellow"/>
        </w:rPr>
        <w:t xml:space="preserve"> 31st</w:t>
      </w:r>
      <w:r w:rsidR="004A5A74">
        <w:t>]</w:t>
      </w:r>
      <w:r>
        <w:t xml:space="preserve">, the Market Operator shall verify compliance with the Capacity Obligations of </w:t>
      </w:r>
      <w:r w:rsidRPr="00CF3202">
        <w:t xml:space="preserve">Market Participants </w:t>
      </w:r>
      <w:r w:rsidR="00E4698A">
        <w:t>which have such obligations</w:t>
      </w:r>
      <w:r>
        <w:t xml:space="preserve">, for the current and following years. The number of years to be verified shall </w:t>
      </w:r>
      <w:r w:rsidR="004A5A74">
        <w:t>be the same as provided in</w:t>
      </w:r>
      <w:r>
        <w:t xml:space="preserve"> </w:t>
      </w:r>
      <w:r w:rsidR="008C02F7">
        <w:t>Sub-Section</w:t>
      </w:r>
      <w:r>
        <w:t xml:space="preserve"> </w:t>
      </w:r>
      <w:r>
        <w:fldChar w:fldCharType="begin"/>
      </w:r>
      <w:r>
        <w:instrText xml:space="preserve"> REF _Ref53148824 \r \h </w:instrText>
      </w:r>
      <w:r>
        <w:fldChar w:fldCharType="separate"/>
      </w:r>
      <w:r w:rsidR="00251DBF">
        <w:t>11.2.1</w:t>
      </w:r>
      <w:r>
        <w:fldChar w:fldCharType="end"/>
      </w:r>
      <w:r w:rsidR="004A5A74">
        <w:t>, for which the forecasts were submitted.</w:t>
      </w:r>
    </w:p>
    <w:p w14:paraId="0DCDEC60" w14:textId="335A50B5" w:rsidR="007E1F30" w:rsidRDefault="00B3334D" w:rsidP="00E92FE2">
      <w:pPr>
        <w:pStyle w:val="Heading4"/>
      </w:pPr>
      <w:r>
        <w:lastRenderedPageBreak/>
        <w:t xml:space="preserve">The Market Operator </w:t>
      </w:r>
      <w:r w:rsidR="00E4698A">
        <w:t xml:space="preserve">shall </w:t>
      </w:r>
      <w:r>
        <w:t xml:space="preserve">communicate the preliminary results of the verification to each </w:t>
      </w:r>
      <w:r w:rsidR="00E4698A">
        <w:t xml:space="preserve">relevant </w:t>
      </w:r>
      <w:r>
        <w:t>Market Participant</w:t>
      </w:r>
      <w:r w:rsidR="00E92FE2">
        <w:t xml:space="preserve">. </w:t>
      </w:r>
      <w:r w:rsidR="007E1F30">
        <w:t>In case a Market</w:t>
      </w:r>
      <w:r w:rsidR="007E1F30" w:rsidRPr="003858A9">
        <w:t xml:space="preserve"> Participant c</w:t>
      </w:r>
      <w:r w:rsidR="007E1F30">
        <w:t xml:space="preserve">onsiders that </w:t>
      </w:r>
      <w:r w:rsidR="004A5A74">
        <w:t xml:space="preserve">an </w:t>
      </w:r>
      <w:r w:rsidR="00E4698A" w:rsidRPr="003858A9">
        <w:t xml:space="preserve">error or discrepancy exists in the </w:t>
      </w:r>
      <w:r w:rsidR="00E4698A">
        <w:t xml:space="preserve">calculations </w:t>
      </w:r>
      <w:r w:rsidR="004A5A74">
        <w:t>done by</w:t>
      </w:r>
      <w:r w:rsidR="00E4698A">
        <w:t xml:space="preserve"> the Market Operator for </w:t>
      </w:r>
      <w:r w:rsidR="00E92FE2" w:rsidRPr="003858A9">
        <w:t xml:space="preserve">the </w:t>
      </w:r>
      <w:r w:rsidR="00E92FE2">
        <w:t>verification of compliance with the Capacity Obligations</w:t>
      </w:r>
      <w:r w:rsidR="007E1F30" w:rsidRPr="003858A9">
        <w:t xml:space="preserve">, </w:t>
      </w:r>
      <w:r w:rsidR="00E4698A">
        <w:t xml:space="preserve">it shall submit to the Market Operator a written </w:t>
      </w:r>
      <w:r w:rsidR="008B666F">
        <w:t>Review Request</w:t>
      </w:r>
      <w:r w:rsidR="00E4698A">
        <w:t xml:space="preserve"> </w:t>
      </w:r>
      <w:r w:rsidR="00E4698A" w:rsidRPr="003858A9">
        <w:t xml:space="preserve">within </w:t>
      </w:r>
      <w:r w:rsidR="00E4698A">
        <w:t>ten [10]</w:t>
      </w:r>
      <w:r w:rsidR="00E4698A" w:rsidRPr="003858A9">
        <w:t xml:space="preserve"> </w:t>
      </w:r>
      <w:r w:rsidR="00E4698A">
        <w:t>Business Days</w:t>
      </w:r>
      <w:r w:rsidR="00E4698A" w:rsidRPr="003858A9">
        <w:t xml:space="preserve"> </w:t>
      </w:r>
      <w:r w:rsidR="00E4698A">
        <w:t xml:space="preserve">of receipt </w:t>
      </w:r>
      <w:r w:rsidR="007E1F30">
        <w:t xml:space="preserve">of </w:t>
      </w:r>
      <w:r w:rsidR="000162BC">
        <w:t>such communication</w:t>
      </w:r>
      <w:r w:rsidR="008B2660">
        <w:t xml:space="preserve"> from the Market Operator</w:t>
      </w:r>
      <w:r w:rsidR="007E1F30" w:rsidRPr="003858A9">
        <w:t>.</w:t>
      </w:r>
    </w:p>
    <w:p w14:paraId="0A90AE55" w14:textId="0E323AAA" w:rsidR="00E4698A" w:rsidRDefault="00E4698A" w:rsidP="00E4698A">
      <w:pPr>
        <w:pStyle w:val="Heading4"/>
      </w:pPr>
      <w:r>
        <w:t xml:space="preserve">The </w:t>
      </w:r>
      <w:r w:rsidR="008B666F">
        <w:t>Review Request</w:t>
      </w:r>
      <w:r>
        <w:t xml:space="preserve"> shall clearly state the</w:t>
      </w:r>
      <w:r w:rsidR="00BA626B">
        <w:t xml:space="preserve"> reasons for the claim,</w:t>
      </w:r>
      <w:r>
        <w:t xml:space="preserve"> the item</w:t>
      </w:r>
      <w:r w:rsidR="000162BC">
        <w:t>s</w:t>
      </w:r>
      <w:r>
        <w:t xml:space="preserve"> </w:t>
      </w:r>
      <w:r w:rsidR="00BA626B">
        <w:t>contain</w:t>
      </w:r>
      <w:r w:rsidR="000162BC">
        <w:t>ing</w:t>
      </w:r>
      <w:r w:rsidR="00BA626B">
        <w:t xml:space="preserve"> an error, inaccuracy or mis-interpretation</w:t>
      </w:r>
      <w:r w:rsidR="000162BC">
        <w:t>,</w:t>
      </w:r>
      <w:r>
        <w:t xml:space="preserve"> accompanied with supporting documents.</w:t>
      </w:r>
    </w:p>
    <w:p w14:paraId="6B7CAA2C" w14:textId="20DC5713" w:rsidR="00E4698A" w:rsidRDefault="00E4698A" w:rsidP="00E4698A">
      <w:pPr>
        <w:pStyle w:val="Heading4"/>
      </w:pPr>
      <w:r>
        <w:t xml:space="preserve">After receipt of the </w:t>
      </w:r>
      <w:r w:rsidR="008B666F">
        <w:t>Review Request</w:t>
      </w:r>
      <w:r>
        <w:t>, t</w:t>
      </w:r>
      <w:r w:rsidRPr="003858A9">
        <w:t xml:space="preserve">he </w:t>
      </w:r>
      <w:r>
        <w:t>Market Operator</w:t>
      </w:r>
      <w:r w:rsidRPr="003858A9">
        <w:t xml:space="preserve"> shall review</w:t>
      </w:r>
      <w:r>
        <w:t xml:space="preserve"> the </w:t>
      </w:r>
      <w:r w:rsidR="008B666F">
        <w:t>request</w:t>
      </w:r>
      <w:r w:rsidRPr="003858A9">
        <w:t xml:space="preserve"> and </w:t>
      </w:r>
      <w:r>
        <w:t>decide</w:t>
      </w:r>
      <w:r w:rsidRPr="003858A9">
        <w:t xml:space="preserve"> whether </w:t>
      </w:r>
      <w:r>
        <w:t xml:space="preserve">there is any error or discrepancy in the </w:t>
      </w:r>
      <w:r w:rsidR="00BA626B">
        <w:t>calculations that it has performed</w:t>
      </w:r>
      <w:r>
        <w:t xml:space="preserve"> and if required, it may hold a meeting with the relevant Market Participant to settle the matter.  If the Market Operator does not agree with the claim, it shall intimate the same to the relevant Market Participants along with reasons thereof. </w:t>
      </w:r>
    </w:p>
    <w:p w14:paraId="0DA694F9" w14:textId="5C928987" w:rsidR="00E4698A" w:rsidRPr="00E4698A" w:rsidRDefault="00E4698A" w:rsidP="00BA626B">
      <w:pPr>
        <w:pStyle w:val="Heading4"/>
      </w:pPr>
      <w:r>
        <w:t xml:space="preserve">Where the market operator, after review of the </w:t>
      </w:r>
      <w:r w:rsidR="00BA626B">
        <w:t>calculations</w:t>
      </w:r>
      <w:r>
        <w:t xml:space="preserve"> finds that there is an error or discrepancy as claimed by the relevant Market Participant, it shall rectify the error </w:t>
      </w:r>
      <w:r w:rsidR="00BA626B">
        <w:t xml:space="preserve">and </w:t>
      </w:r>
      <w:r w:rsidRPr="003858A9">
        <w:t xml:space="preserve">shall </w:t>
      </w:r>
      <w:r>
        <w:t xml:space="preserve">inform the </w:t>
      </w:r>
      <w:r w:rsidR="000162BC">
        <w:t>concerned</w:t>
      </w:r>
      <w:r w:rsidRPr="003858A9">
        <w:t xml:space="preserve"> Market Participant </w:t>
      </w:r>
      <w:r>
        <w:t>accordingly</w:t>
      </w:r>
      <w:r w:rsidR="000162BC">
        <w:t>.</w:t>
      </w:r>
    </w:p>
    <w:p w14:paraId="0A76B338" w14:textId="7EF71095" w:rsidR="00B3334D" w:rsidRDefault="00B3334D" w:rsidP="00C173D0">
      <w:pPr>
        <w:pStyle w:val="Heading3"/>
      </w:pPr>
      <w:r>
        <w:t>Information required from Market Participants</w:t>
      </w:r>
    </w:p>
    <w:p w14:paraId="6BA26E9D" w14:textId="59A1F535" w:rsidR="009844F6" w:rsidRPr="00534F41" w:rsidRDefault="00B670AA" w:rsidP="005B295A">
      <w:pPr>
        <w:pStyle w:val="Heading4"/>
      </w:pPr>
      <w:r>
        <w:t>Every</w:t>
      </w:r>
      <w:r w:rsidR="00D81F8C" w:rsidRPr="00534F41">
        <w:t xml:space="preserve"> year, </w:t>
      </w:r>
      <w:r w:rsidR="002F3C94" w:rsidRPr="00534F41">
        <w:t>b</w:t>
      </w:r>
      <w:r w:rsidR="00D81F8C" w:rsidRPr="00534F41">
        <w:t>efore [</w:t>
      </w:r>
      <w:r w:rsidR="002F3C94" w:rsidRPr="00534F41">
        <w:t>J</w:t>
      </w:r>
      <w:r w:rsidR="00BA626B">
        <w:t>an</w:t>
      </w:r>
      <w:r w:rsidR="00D81F8C" w:rsidRPr="00534F41">
        <w:t xml:space="preserve"> 31st]</w:t>
      </w:r>
      <w:r w:rsidR="002F3C94" w:rsidRPr="00534F41">
        <w:t>,</w:t>
      </w:r>
      <w:r w:rsidR="00D81F8C" w:rsidRPr="00534F41">
        <w:t xml:space="preserve"> the Market Operator </w:t>
      </w:r>
      <w:r w:rsidR="00BA626B">
        <w:t>shall require</w:t>
      </w:r>
      <w:r w:rsidR="00D81F8C" w:rsidRPr="00534F41">
        <w:t xml:space="preserve"> </w:t>
      </w:r>
      <w:r w:rsidR="000162BC">
        <w:t>each</w:t>
      </w:r>
      <w:r w:rsidR="000162BC" w:rsidRPr="00534F41">
        <w:t xml:space="preserve"> </w:t>
      </w:r>
      <w:r w:rsidR="00D81F8C" w:rsidRPr="00534F41">
        <w:t>Market Participant</w:t>
      </w:r>
      <w:r w:rsidR="00445D39">
        <w:t xml:space="preserve">, </w:t>
      </w:r>
      <w:r w:rsidR="000162BC">
        <w:t>as mentioned</w:t>
      </w:r>
      <w:r w:rsidR="00445D39">
        <w:t xml:space="preserve"> in Clause </w:t>
      </w:r>
      <w:r w:rsidR="002767EC">
        <w:fldChar w:fldCharType="begin"/>
      </w:r>
      <w:r w:rsidR="002767EC">
        <w:instrText xml:space="preserve"> REF _Ref76070550 \r \h </w:instrText>
      </w:r>
      <w:r w:rsidR="002767EC">
        <w:fldChar w:fldCharType="separate"/>
      </w:r>
      <w:r w:rsidR="002767EC">
        <w:t>11.3.1.1</w:t>
      </w:r>
      <w:r w:rsidR="002767EC">
        <w:fldChar w:fldCharType="end"/>
      </w:r>
      <w:r w:rsidR="002767EC">
        <w:t xml:space="preserve"> </w:t>
      </w:r>
      <w:r w:rsidR="00445D39">
        <w:t xml:space="preserve">above, </w:t>
      </w:r>
      <w:r w:rsidR="00D81F8C" w:rsidRPr="00534F41">
        <w:t>to submit</w:t>
      </w:r>
      <w:r w:rsidR="009844F6" w:rsidRPr="00534F41">
        <w:t xml:space="preserve"> </w:t>
      </w:r>
      <w:r w:rsidR="000162BC">
        <w:t xml:space="preserve">an application containing information </w:t>
      </w:r>
      <w:r w:rsidR="002F3C94" w:rsidRPr="00534F41">
        <w:t xml:space="preserve">regarding </w:t>
      </w:r>
      <w:r w:rsidR="00BD6DB0" w:rsidRPr="00534F41">
        <w:t xml:space="preserve">Generation </w:t>
      </w:r>
      <w:r w:rsidR="002F3C94" w:rsidRPr="00534F41">
        <w:t>projects, planned or under construction, which</w:t>
      </w:r>
      <w:r w:rsidR="000162BC">
        <w:t xml:space="preserve"> may be taken </w:t>
      </w:r>
      <w:r w:rsidR="002F3C94" w:rsidRPr="00534F41">
        <w:t xml:space="preserve">into account for determining the </w:t>
      </w:r>
      <w:r w:rsidR="00C10A24" w:rsidRPr="00534F41">
        <w:t>C</w:t>
      </w:r>
      <w:r w:rsidR="002F3C94" w:rsidRPr="00534F41">
        <w:t>apacity</w:t>
      </w:r>
      <w:r w:rsidR="00C10A24" w:rsidRPr="00534F41">
        <w:t xml:space="preserve"> allocated to such Market Participant</w:t>
      </w:r>
      <w:r w:rsidR="002F3C94" w:rsidRPr="00534F41">
        <w:t xml:space="preserve">. </w:t>
      </w:r>
    </w:p>
    <w:p w14:paraId="031E5688" w14:textId="125205CD" w:rsidR="009844F6" w:rsidRPr="009E24C4" w:rsidRDefault="000162BC" w:rsidP="005B295A">
      <w:pPr>
        <w:pStyle w:val="Heading4"/>
      </w:pPr>
      <w:r>
        <w:t>Such</w:t>
      </w:r>
      <w:r w:rsidR="009844F6" w:rsidRPr="009E24C4">
        <w:t xml:space="preserve"> </w:t>
      </w:r>
      <w:r w:rsidR="00445D39">
        <w:t>application</w:t>
      </w:r>
      <w:r w:rsidR="00445D39" w:rsidRPr="009E24C4">
        <w:t xml:space="preserve"> </w:t>
      </w:r>
      <w:r w:rsidR="009844F6" w:rsidRPr="009E24C4">
        <w:t xml:space="preserve">shall </w:t>
      </w:r>
      <w:r w:rsidR="00445D39">
        <w:t>contain all supporting documents</w:t>
      </w:r>
      <w:r w:rsidR="00D80811" w:rsidRPr="009E24C4">
        <w:t xml:space="preserve"> </w:t>
      </w:r>
      <w:r w:rsidR="00445D39">
        <w:t>to demonstrate the</w:t>
      </w:r>
      <w:r w:rsidR="00D80811" w:rsidRPr="009E24C4">
        <w:t xml:space="preserve"> project</w:t>
      </w:r>
      <w:r>
        <w:t>’s</w:t>
      </w:r>
      <w:r w:rsidR="00D80811" w:rsidRPr="009E24C4">
        <w:t xml:space="preserve"> firmness, including one or more of the following: </w:t>
      </w:r>
    </w:p>
    <w:p w14:paraId="2A135E28" w14:textId="185757C9" w:rsidR="00D80811" w:rsidRPr="009E24C4" w:rsidRDefault="002767EC" w:rsidP="00B03234">
      <w:pPr>
        <w:pStyle w:val="Heading5"/>
      </w:pPr>
      <w:r>
        <w:t>f</w:t>
      </w:r>
      <w:r w:rsidR="00D80811" w:rsidRPr="009E24C4">
        <w:t>or projects being developed by the Market Participants</w:t>
      </w:r>
      <w:r w:rsidR="00B670AA">
        <w:t>:</w:t>
      </w:r>
      <w:r w:rsidR="00D80811" w:rsidRPr="009E24C4">
        <w:t xml:space="preserve"> </w:t>
      </w:r>
    </w:p>
    <w:p w14:paraId="16106332" w14:textId="5E4CD17A" w:rsidR="001D30BB" w:rsidRPr="00CC373B" w:rsidRDefault="001D30BB" w:rsidP="00CC373B">
      <w:pPr>
        <w:pStyle w:val="BodyText"/>
        <w:numPr>
          <w:ilvl w:val="0"/>
          <w:numId w:val="21"/>
        </w:numPr>
        <w:ind w:left="1985"/>
        <w:rPr>
          <w:color w:val="auto"/>
        </w:rPr>
      </w:pPr>
      <w:r w:rsidRPr="00CC373B">
        <w:rPr>
          <w:color w:val="auto"/>
        </w:rPr>
        <w:t>Temporary Firm Capacity Certificate</w:t>
      </w:r>
      <w:r w:rsidR="0018298F">
        <w:rPr>
          <w:color w:val="auto"/>
        </w:rPr>
        <w:t>s</w:t>
      </w:r>
      <w:r w:rsidRPr="00CC373B">
        <w:rPr>
          <w:color w:val="auto"/>
        </w:rPr>
        <w:t xml:space="preserve"> or documents showing </w:t>
      </w:r>
      <w:r w:rsidR="0018298F">
        <w:rPr>
          <w:color w:val="auto"/>
        </w:rPr>
        <w:t>the submission of the application for issuance of such certificates</w:t>
      </w:r>
      <w:r w:rsidRPr="00CC373B">
        <w:rPr>
          <w:color w:val="auto"/>
        </w:rPr>
        <w:t>;</w:t>
      </w:r>
    </w:p>
    <w:p w14:paraId="3174AEF7" w14:textId="440D16A7" w:rsidR="001D30BB" w:rsidRPr="009E24C4" w:rsidRDefault="001D30BB" w:rsidP="00CC373B">
      <w:pPr>
        <w:pStyle w:val="BodyText"/>
        <w:numPr>
          <w:ilvl w:val="0"/>
          <w:numId w:val="21"/>
        </w:numPr>
        <w:ind w:left="1985"/>
        <w:rPr>
          <w:color w:val="auto"/>
        </w:rPr>
      </w:pPr>
      <w:r w:rsidRPr="009E24C4">
        <w:rPr>
          <w:color w:val="auto"/>
        </w:rPr>
        <w:t xml:space="preserve">EPC </w:t>
      </w:r>
      <w:r w:rsidR="00D80811" w:rsidRPr="009E24C4">
        <w:rPr>
          <w:color w:val="auto"/>
        </w:rPr>
        <w:t>Contracts</w:t>
      </w:r>
      <w:r w:rsidRPr="009E24C4">
        <w:rPr>
          <w:color w:val="auto"/>
        </w:rPr>
        <w:t xml:space="preserve">, </w:t>
      </w:r>
      <w:r w:rsidR="0018298F">
        <w:rPr>
          <w:color w:val="auto"/>
        </w:rPr>
        <w:t>clearly stating the project commissioning date</w:t>
      </w:r>
      <w:r w:rsidRPr="009E24C4">
        <w:rPr>
          <w:color w:val="auto"/>
        </w:rPr>
        <w:t xml:space="preserve">; </w:t>
      </w:r>
      <w:r w:rsidR="00C27614" w:rsidRPr="00CC373B">
        <w:rPr>
          <w:color w:val="auto"/>
        </w:rPr>
        <w:t>and</w:t>
      </w:r>
    </w:p>
    <w:p w14:paraId="1EA53431" w14:textId="12E0E3AE" w:rsidR="00D80811" w:rsidRPr="00CC373B" w:rsidRDefault="0018298F" w:rsidP="00CC373B">
      <w:pPr>
        <w:pStyle w:val="BodyText"/>
        <w:numPr>
          <w:ilvl w:val="0"/>
          <w:numId w:val="21"/>
        </w:numPr>
        <w:ind w:left="1985"/>
        <w:rPr>
          <w:color w:val="auto"/>
        </w:rPr>
      </w:pPr>
      <w:r>
        <w:rPr>
          <w:color w:val="auto"/>
        </w:rPr>
        <w:t>a</w:t>
      </w:r>
      <w:r w:rsidR="002722B7" w:rsidRPr="00CC373B">
        <w:rPr>
          <w:color w:val="auto"/>
        </w:rPr>
        <w:t xml:space="preserve">ny other document the </w:t>
      </w:r>
      <w:r>
        <w:rPr>
          <w:color w:val="auto"/>
        </w:rPr>
        <w:t>Market Participant</w:t>
      </w:r>
      <w:r w:rsidRPr="00CC373B">
        <w:rPr>
          <w:color w:val="auto"/>
        </w:rPr>
        <w:t xml:space="preserve"> </w:t>
      </w:r>
      <w:r w:rsidR="002722B7" w:rsidRPr="00CC373B">
        <w:rPr>
          <w:color w:val="auto"/>
        </w:rPr>
        <w:t>considers appropriate to assess the actual status of the project construction</w:t>
      </w:r>
      <w:r w:rsidR="001D30BB" w:rsidRPr="00CC373B">
        <w:rPr>
          <w:color w:val="auto"/>
        </w:rPr>
        <w:t xml:space="preserve">. </w:t>
      </w:r>
    </w:p>
    <w:p w14:paraId="6D518F97" w14:textId="1340231C" w:rsidR="002722B7" w:rsidRPr="009E24C4" w:rsidRDefault="001D30BB" w:rsidP="00C27614">
      <w:pPr>
        <w:pStyle w:val="Heading5"/>
        <w:rPr>
          <w:strike/>
          <w:color w:val="auto"/>
        </w:rPr>
      </w:pPr>
      <w:r w:rsidRPr="00C27614">
        <w:t xml:space="preserve">For projects being developed by third parties, </w:t>
      </w:r>
      <w:r w:rsidR="004F24C7">
        <w:t>which have signed a Contract with</w:t>
      </w:r>
      <w:r w:rsidRPr="00C27614">
        <w:t xml:space="preserve"> the Market Participants</w:t>
      </w:r>
      <w:r w:rsidR="00C27614" w:rsidRPr="00D46EBE">
        <w:t>,</w:t>
      </w:r>
      <w:r w:rsidR="00C27614" w:rsidRPr="00C27614">
        <w:t xml:space="preserve"> the d</w:t>
      </w:r>
      <w:r w:rsidR="002722B7" w:rsidRPr="00C27614">
        <w:t xml:space="preserve">uly signed </w:t>
      </w:r>
      <w:r w:rsidR="00D46EBE">
        <w:rPr>
          <w:color w:val="auto"/>
        </w:rPr>
        <w:t>C</w:t>
      </w:r>
      <w:r w:rsidR="00646E14" w:rsidRPr="00C27614">
        <w:rPr>
          <w:color w:val="auto"/>
        </w:rPr>
        <w:t>ontract</w:t>
      </w:r>
      <w:r w:rsidR="002722B7" w:rsidRPr="00C27614">
        <w:rPr>
          <w:color w:val="auto"/>
        </w:rPr>
        <w:t xml:space="preserve">, clearly indicating the date at which these </w:t>
      </w:r>
      <w:r w:rsidR="00376ADB" w:rsidRPr="00C27614">
        <w:rPr>
          <w:color w:val="auto"/>
        </w:rPr>
        <w:t>Contract</w:t>
      </w:r>
      <w:r w:rsidR="002722B7" w:rsidRPr="00C27614">
        <w:rPr>
          <w:color w:val="auto"/>
        </w:rPr>
        <w:t xml:space="preserve"> will become effective and enforceable</w:t>
      </w:r>
      <w:r w:rsidR="00C359C4" w:rsidRPr="00C27614">
        <w:rPr>
          <w:color w:val="auto"/>
        </w:rPr>
        <w:t xml:space="preserve"> </w:t>
      </w:r>
      <w:r w:rsidR="0018298F">
        <w:rPr>
          <w:color w:val="auto"/>
        </w:rPr>
        <w:t xml:space="preserve">along </w:t>
      </w:r>
      <w:r w:rsidR="00C359C4" w:rsidRPr="00C27614">
        <w:rPr>
          <w:color w:val="auto"/>
        </w:rPr>
        <w:t>with the associated Temporary Firm Capacity Certificate</w:t>
      </w:r>
      <w:r w:rsidR="0018298F">
        <w:rPr>
          <w:color w:val="auto"/>
        </w:rPr>
        <w:t>s</w:t>
      </w:r>
      <w:r w:rsidR="002722B7" w:rsidRPr="00C27614">
        <w:rPr>
          <w:color w:val="auto"/>
        </w:rPr>
        <w:t>;</w:t>
      </w:r>
    </w:p>
    <w:p w14:paraId="2746792A" w14:textId="1E8F9DC6" w:rsidR="00A53EFF" w:rsidRDefault="00A53EFF" w:rsidP="00C173D0">
      <w:pPr>
        <w:pStyle w:val="Heading3"/>
      </w:pPr>
      <w:r>
        <w:t xml:space="preserve">Verification of the </w:t>
      </w:r>
      <w:r w:rsidR="004F24C7">
        <w:t xml:space="preserve">submitted </w:t>
      </w:r>
      <w:r>
        <w:t xml:space="preserve">Information </w:t>
      </w:r>
    </w:p>
    <w:p w14:paraId="3090631E" w14:textId="2E2F6460" w:rsidR="001C6E65" w:rsidRDefault="00A0114E" w:rsidP="005B295A">
      <w:pPr>
        <w:pStyle w:val="Heading4"/>
      </w:pPr>
      <w:r>
        <w:t xml:space="preserve">The Market Operator </w:t>
      </w:r>
      <w:r w:rsidR="001C1C6F">
        <w:t xml:space="preserve">shall </w:t>
      </w:r>
      <w:r>
        <w:t xml:space="preserve">review the </w:t>
      </w:r>
      <w:r w:rsidR="001C1C6F">
        <w:t xml:space="preserve">submitted </w:t>
      </w:r>
      <w:r>
        <w:t xml:space="preserve">information for each project </w:t>
      </w:r>
      <w:r w:rsidR="001C1C6F">
        <w:t xml:space="preserve">and determine whether such project may qualify </w:t>
      </w:r>
      <w:r w:rsidR="00FB2F41">
        <w:t xml:space="preserve">for </w:t>
      </w:r>
      <w:r w:rsidRPr="00A0114E">
        <w:t>compliance</w:t>
      </w:r>
      <w:r>
        <w:t xml:space="preserve"> with the Capacity Obligations. In conducting such assessment, the Market Operator may</w:t>
      </w:r>
      <w:r w:rsidR="001C6E65">
        <w:t>:</w:t>
      </w:r>
    </w:p>
    <w:p w14:paraId="05256C1B" w14:textId="060E6CDD" w:rsidR="001C6E65" w:rsidRDefault="0018298F" w:rsidP="00B03234">
      <w:pPr>
        <w:pStyle w:val="Heading5"/>
      </w:pPr>
      <w:r>
        <w:t>r</w:t>
      </w:r>
      <w:r w:rsidR="00A0114E">
        <w:t xml:space="preserve">equest </w:t>
      </w:r>
      <w:r w:rsidR="001C6E65">
        <w:t xml:space="preserve">additional information, which </w:t>
      </w:r>
      <w:r w:rsidR="001C1C6F">
        <w:t xml:space="preserve">shall </w:t>
      </w:r>
      <w:r w:rsidR="001C6E65">
        <w:t xml:space="preserve">be provided </w:t>
      </w:r>
      <w:r w:rsidR="00FB2F41">
        <w:t xml:space="preserve">within the </w:t>
      </w:r>
      <w:r>
        <w:t xml:space="preserve">specified </w:t>
      </w:r>
      <w:r w:rsidR="001C6E65">
        <w:t xml:space="preserve">time; </w:t>
      </w:r>
    </w:p>
    <w:p w14:paraId="0BCBFB29" w14:textId="61FE2BA2" w:rsidR="001C6E65" w:rsidRDefault="0018298F" w:rsidP="00B03234">
      <w:pPr>
        <w:pStyle w:val="Heading5"/>
      </w:pPr>
      <w:r>
        <w:t>c</w:t>
      </w:r>
      <w:r w:rsidR="001C6E65">
        <w:t xml:space="preserve">onduct investigations aimed </w:t>
      </w:r>
      <w:r w:rsidR="001C1C6F">
        <w:t>at determining</w:t>
      </w:r>
      <w:r w:rsidR="001C6E65">
        <w:t xml:space="preserve"> the accuracy of the</w:t>
      </w:r>
      <w:r w:rsidR="00FB2F41">
        <w:t xml:space="preserve"> submitted</w:t>
      </w:r>
      <w:r w:rsidR="001C6E65">
        <w:t xml:space="preserve"> information; and/or </w:t>
      </w:r>
    </w:p>
    <w:p w14:paraId="609E2288" w14:textId="29533134" w:rsidR="00A0114E" w:rsidRDefault="0018298F" w:rsidP="00B03234">
      <w:pPr>
        <w:pStyle w:val="Heading5"/>
      </w:pPr>
      <w:r>
        <w:t>r</w:t>
      </w:r>
      <w:r w:rsidR="001C6E65">
        <w:t xml:space="preserve">equest </w:t>
      </w:r>
      <w:r w:rsidR="00A0114E">
        <w:t xml:space="preserve">the advice of </w:t>
      </w:r>
      <w:r w:rsidR="001C6E65">
        <w:t>reputable experts</w:t>
      </w:r>
      <w:r w:rsidR="00FB2F41">
        <w:t xml:space="preserve"> on the cost of the applicant</w:t>
      </w:r>
      <w:r w:rsidR="001C6E65">
        <w:t>.</w:t>
      </w:r>
    </w:p>
    <w:p w14:paraId="3504EB74" w14:textId="67C4ECC6" w:rsidR="001C6E65" w:rsidRPr="00A0114E" w:rsidRDefault="001C6E65" w:rsidP="005B295A">
      <w:pPr>
        <w:pStyle w:val="Heading4"/>
      </w:pPr>
      <w:r>
        <w:lastRenderedPageBreak/>
        <w:t xml:space="preserve">For projects </w:t>
      </w:r>
      <w:r w:rsidR="0018298F">
        <w:t>submitted</w:t>
      </w:r>
      <w:r>
        <w:t xml:space="preserve"> by </w:t>
      </w:r>
      <w:r w:rsidR="00FB2F41">
        <w:t xml:space="preserve">a </w:t>
      </w:r>
      <w:r w:rsidR="00403C8A">
        <w:t>Default Supplier</w:t>
      </w:r>
      <w:r w:rsidRPr="00A0114E">
        <w:t xml:space="preserve">, the Market Operator shall </w:t>
      </w:r>
      <w:r>
        <w:t xml:space="preserve">verify </w:t>
      </w:r>
      <w:r w:rsidR="00FB2F41">
        <w:t xml:space="preserve">whether </w:t>
      </w:r>
      <w:r>
        <w:t>such project is included in the latest Procurement Plan approved by the Authority</w:t>
      </w:r>
      <w:r w:rsidR="00FB2F41">
        <w:t xml:space="preserve"> and in case the project is not included in such plan, it shall not be considered for compliance with Capacity Obligations.</w:t>
      </w:r>
      <w:r>
        <w:t xml:space="preserve"> </w:t>
      </w:r>
      <w:r w:rsidR="002767EC" w:rsidRPr="00B03C4A">
        <w:t>For projects included in the Procurement Plan, the</w:t>
      </w:r>
      <w:r w:rsidRPr="00B03C4A">
        <w:t xml:space="preserve"> project characteristics as well as the expected COD</w:t>
      </w:r>
      <w:r w:rsidR="002767EC" w:rsidRPr="00B03C4A">
        <w:t xml:space="preserve"> shall be the same</w:t>
      </w:r>
      <w:r w:rsidRPr="003018FA">
        <w:t xml:space="preserve">. </w:t>
      </w:r>
      <w:r w:rsidRPr="00B03C4A">
        <w:t xml:space="preserve">In case there </w:t>
      </w:r>
      <w:r w:rsidR="002767EC" w:rsidRPr="00B03C4A">
        <w:t xml:space="preserve">are differences </w:t>
      </w:r>
      <w:r w:rsidR="00B51135" w:rsidRPr="00B03C4A">
        <w:t xml:space="preserve">between the Procurement Plan and the request made by the </w:t>
      </w:r>
      <w:r w:rsidR="00403C8A" w:rsidRPr="00B03C4A">
        <w:t>Default Supplier</w:t>
      </w:r>
      <w:r w:rsidR="00B51135" w:rsidRPr="00B03C4A">
        <w:t xml:space="preserve">, regarding the project </w:t>
      </w:r>
      <w:r w:rsidR="00D473BA" w:rsidRPr="00B03C4A">
        <w:t>Capacity</w:t>
      </w:r>
      <w:r w:rsidR="00B51135" w:rsidRPr="00B03C4A">
        <w:t xml:space="preserve"> or the commissioning date, the lower value of </w:t>
      </w:r>
      <w:r w:rsidR="00D473BA" w:rsidRPr="00B03C4A">
        <w:t>Capacity</w:t>
      </w:r>
      <w:r w:rsidR="00B51135" w:rsidRPr="00B03C4A">
        <w:t xml:space="preserve"> and the </w:t>
      </w:r>
      <w:commentRangeStart w:id="662"/>
      <w:r w:rsidR="00B51135" w:rsidRPr="00B03C4A">
        <w:t xml:space="preserve">later commissioning date </w:t>
      </w:r>
      <w:r w:rsidR="005E205A" w:rsidRPr="00B03C4A">
        <w:t xml:space="preserve">shall </w:t>
      </w:r>
      <w:r w:rsidR="00B51135" w:rsidRPr="00B03C4A">
        <w:t>prevail</w:t>
      </w:r>
      <w:commentRangeEnd w:id="662"/>
      <w:r w:rsidR="00EB5F09" w:rsidRPr="00B03C4A">
        <w:rPr>
          <w:rStyle w:val="CommentReference"/>
          <w:rFonts w:eastAsiaTheme="minorHAnsi" w:cstheme="minorBidi"/>
          <w:bCs w:val="0"/>
          <w:iCs w:val="0"/>
          <w:color w:val="1C1C1C"/>
        </w:rPr>
        <w:commentReference w:id="662"/>
      </w:r>
      <w:r w:rsidR="00B51135" w:rsidRPr="00B03C4A">
        <w:t>.</w:t>
      </w:r>
      <w:r w:rsidR="00B51135">
        <w:t xml:space="preserve"> </w:t>
      </w:r>
    </w:p>
    <w:p w14:paraId="135E21AA" w14:textId="3C50306A" w:rsidR="001C6E65" w:rsidRDefault="001C6E65" w:rsidP="005B295A">
      <w:pPr>
        <w:pStyle w:val="Heading4"/>
      </w:pPr>
      <w:bookmarkStart w:id="663" w:name="_Ref53169963"/>
      <w:r>
        <w:t xml:space="preserve">Based on the analysis and evaluations performed, the Market Operator </w:t>
      </w:r>
      <w:r w:rsidR="001C1C6F">
        <w:t xml:space="preserve">shall </w:t>
      </w:r>
      <w:r>
        <w:t>catalogue each project in any of the</w:t>
      </w:r>
      <w:r w:rsidR="00060D47">
        <w:t xml:space="preserve"> following</w:t>
      </w:r>
      <w:r>
        <w:t xml:space="preserve"> three categories:</w:t>
      </w:r>
      <w:bookmarkEnd w:id="663"/>
      <w:r>
        <w:t xml:space="preserve"> </w:t>
      </w:r>
    </w:p>
    <w:p w14:paraId="15E68F5A" w14:textId="182E349E" w:rsidR="001C6E65" w:rsidRDefault="001C6E65" w:rsidP="00B03234">
      <w:pPr>
        <w:pStyle w:val="Heading5"/>
      </w:pPr>
      <w:r>
        <w:t xml:space="preserve">Eligible for crediting </w:t>
      </w:r>
      <w:r w:rsidR="00D473BA">
        <w:t>Capacity</w:t>
      </w:r>
      <w:r>
        <w:t xml:space="preserve">, at the date requested by the Market Participant; </w:t>
      </w:r>
    </w:p>
    <w:p w14:paraId="52D617E4" w14:textId="4380C957" w:rsidR="001C6E65" w:rsidRDefault="001C6E65" w:rsidP="00B03234">
      <w:pPr>
        <w:pStyle w:val="Heading5"/>
      </w:pPr>
      <w:r>
        <w:t xml:space="preserve">Eligible for crediting </w:t>
      </w:r>
      <w:r w:rsidR="00D473BA">
        <w:t>Capacity</w:t>
      </w:r>
      <w:r>
        <w:t>, at a later date than the request made by the Market Participant;</w:t>
      </w:r>
    </w:p>
    <w:p w14:paraId="1296FC71" w14:textId="260AABDF" w:rsidR="001C6E65" w:rsidRDefault="001C6E65" w:rsidP="00B03234">
      <w:pPr>
        <w:pStyle w:val="Heading5"/>
      </w:pPr>
      <w:r>
        <w:t xml:space="preserve">Not eligible for crediting </w:t>
      </w:r>
      <w:r w:rsidR="00D473BA">
        <w:t>Capacity</w:t>
      </w:r>
      <w:r>
        <w:t>.</w:t>
      </w:r>
    </w:p>
    <w:p w14:paraId="7872A3A0" w14:textId="5F90D6AF" w:rsidR="001C6E65" w:rsidRPr="001C6E65" w:rsidRDefault="001C6E65" w:rsidP="00A22D29">
      <w:pPr>
        <w:pStyle w:val="BodyText"/>
      </w:pPr>
      <w:r>
        <w:t xml:space="preserve">Only the projects belonging to the first two categories will be considered </w:t>
      </w:r>
      <w:r w:rsidR="00215B4F">
        <w:t>for compliance with the</w:t>
      </w:r>
      <w:r>
        <w:t xml:space="preserve"> Capacity Obligations of the involved Market Participant</w:t>
      </w:r>
      <w:r w:rsidR="00B51135">
        <w:t xml:space="preserve">, as prescribed in Clause </w:t>
      </w:r>
      <w:r w:rsidR="00B51135">
        <w:fldChar w:fldCharType="begin"/>
      </w:r>
      <w:r w:rsidR="00B51135">
        <w:instrText xml:space="preserve"> REF _Ref53169826 \r \h </w:instrText>
      </w:r>
      <w:r w:rsidR="00B51135">
        <w:fldChar w:fldCharType="separate"/>
      </w:r>
      <w:r w:rsidR="00251DBF">
        <w:t>11.4.4.3.c)</w:t>
      </w:r>
      <w:r w:rsidR="00B51135">
        <w:fldChar w:fldCharType="end"/>
      </w:r>
      <w:r>
        <w:t>.</w:t>
      </w:r>
    </w:p>
    <w:p w14:paraId="7EC24DBC" w14:textId="69E4527E" w:rsidR="00B3334D" w:rsidRPr="00534F41" w:rsidRDefault="00B3334D" w:rsidP="00C173D0">
      <w:pPr>
        <w:pStyle w:val="Heading3"/>
      </w:pPr>
      <w:r w:rsidRPr="00534F41">
        <w:t xml:space="preserve">Determination of </w:t>
      </w:r>
      <w:r w:rsidR="00215B4F" w:rsidRPr="00534F41">
        <w:t>compliance</w:t>
      </w:r>
      <w:r w:rsidR="00215B4F">
        <w:t xml:space="preserve"> with the </w:t>
      </w:r>
      <w:r w:rsidR="00D473BA" w:rsidRPr="00534F41">
        <w:t>Capacity</w:t>
      </w:r>
      <w:r w:rsidRPr="00534F41">
        <w:t xml:space="preserve"> obligation</w:t>
      </w:r>
      <w:r w:rsidR="00215B4F">
        <w:t>s</w:t>
      </w:r>
      <w:r w:rsidRPr="00534F41">
        <w:t xml:space="preserve"> </w:t>
      </w:r>
    </w:p>
    <w:p w14:paraId="7F2D13E3" w14:textId="2C488C69" w:rsidR="00B3334D" w:rsidRPr="00534F41" w:rsidRDefault="00B3334D" w:rsidP="005B295A">
      <w:pPr>
        <w:pStyle w:val="Heading4"/>
      </w:pPr>
      <w:r w:rsidRPr="00534F41">
        <w:t xml:space="preserve">The Market Operator </w:t>
      </w:r>
      <w:r w:rsidR="00215B4F">
        <w:t>shall</w:t>
      </w:r>
      <w:r w:rsidR="00215B4F" w:rsidRPr="00534F41">
        <w:t xml:space="preserve"> </w:t>
      </w:r>
      <w:r w:rsidR="00215B4F">
        <w:t>monitor</w:t>
      </w:r>
      <w:r w:rsidR="00215B4F" w:rsidRPr="00534F41">
        <w:t xml:space="preserve"> </w:t>
      </w:r>
      <w:r w:rsidRPr="00534F41">
        <w:t>compliance with the Ex-</w:t>
      </w:r>
      <w:r w:rsidR="0076180B" w:rsidRPr="00534F41">
        <w:t>ante</w:t>
      </w:r>
      <w:r w:rsidRPr="00534F41">
        <w:t xml:space="preserve"> Capacity Obligations of </w:t>
      </w:r>
      <w:r w:rsidR="005E205A">
        <w:t xml:space="preserve">each </w:t>
      </w:r>
      <w:r w:rsidRPr="00534F41">
        <w:t>Market Participants</w:t>
      </w:r>
      <w:r w:rsidR="005E205A">
        <w:t xml:space="preserve">, as </w:t>
      </w:r>
      <w:r w:rsidR="00965266">
        <w:t>mentioned</w:t>
      </w:r>
      <w:r w:rsidR="005E205A">
        <w:t xml:space="preserve"> in Clause </w:t>
      </w:r>
      <w:r w:rsidR="00060D47">
        <w:fldChar w:fldCharType="begin"/>
      </w:r>
      <w:r w:rsidR="00060D47">
        <w:instrText xml:space="preserve"> REF _Ref76070550 \r \h </w:instrText>
      </w:r>
      <w:r w:rsidR="00060D47">
        <w:fldChar w:fldCharType="separate"/>
      </w:r>
      <w:r w:rsidR="00060D47">
        <w:t>11.3.1.1</w:t>
      </w:r>
      <w:r w:rsidR="00060D47">
        <w:fldChar w:fldCharType="end"/>
      </w:r>
      <w:r w:rsidR="005E205A">
        <w:t>above,</w:t>
      </w:r>
      <w:r w:rsidR="0076180B" w:rsidRPr="00534F41">
        <w:t xml:space="preserve"> for each year in which the Market </w:t>
      </w:r>
      <w:r w:rsidR="00136176" w:rsidRPr="00534F41">
        <w:t>P</w:t>
      </w:r>
      <w:r w:rsidR="0076180B" w:rsidRPr="00534F41">
        <w:t xml:space="preserve">articipant has </w:t>
      </w:r>
      <w:r w:rsidR="00965266">
        <w:t>such</w:t>
      </w:r>
      <w:r w:rsidR="00965266" w:rsidRPr="00534F41">
        <w:t xml:space="preserve"> </w:t>
      </w:r>
      <w:r w:rsidR="0076180B" w:rsidRPr="00534F41">
        <w:t xml:space="preserve">obligations, </w:t>
      </w:r>
      <w:r w:rsidRPr="00534F41">
        <w:t xml:space="preserve">through the comparison of two </w:t>
      </w:r>
      <w:r w:rsidR="0076180B" w:rsidRPr="00534F41">
        <w:t xml:space="preserve">yearly </w:t>
      </w:r>
      <w:r w:rsidRPr="00534F41">
        <w:t>val</w:t>
      </w:r>
      <w:r w:rsidR="00AA5AF0" w:rsidRPr="00534F41">
        <w:t>u</w:t>
      </w:r>
      <w:r w:rsidRPr="00534F41">
        <w:t xml:space="preserve">es: </w:t>
      </w:r>
      <w:r w:rsidR="00215B4F">
        <w:t>t</w:t>
      </w:r>
      <w:r w:rsidRPr="00534F41">
        <w:t>he Capacity Obligation and the</w:t>
      </w:r>
      <w:r w:rsidR="00965266">
        <w:t xml:space="preserve"> </w:t>
      </w:r>
      <w:r w:rsidR="00965266" w:rsidRPr="00534F41">
        <w:t>Credited</w:t>
      </w:r>
      <w:r w:rsidR="0003093C" w:rsidRPr="00534F41">
        <w:t xml:space="preserve"> </w:t>
      </w:r>
      <w:r w:rsidRPr="00534F41">
        <w:t>Capacity</w:t>
      </w:r>
      <w:r w:rsidR="00401C3C">
        <w:t xml:space="preserve"> </w:t>
      </w:r>
      <w:r w:rsidRPr="00534F41">
        <w:t>of such Market Participant</w:t>
      </w:r>
      <w:r w:rsidR="00AA5AF0" w:rsidRPr="00534F41">
        <w:t xml:space="preserve"> </w:t>
      </w:r>
      <w:r w:rsidR="00215B4F">
        <w:t>for</w:t>
      </w:r>
      <w:r w:rsidR="00215B4F" w:rsidRPr="00534F41">
        <w:t xml:space="preserve"> </w:t>
      </w:r>
      <w:r w:rsidR="00AA5AF0" w:rsidRPr="00534F41">
        <w:t>each year</w:t>
      </w:r>
      <w:r w:rsidRPr="00534F41">
        <w:t xml:space="preserve">. </w:t>
      </w:r>
    </w:p>
    <w:p w14:paraId="7F60EF8F" w14:textId="0124042B" w:rsidR="00B3334D" w:rsidRPr="009B4214" w:rsidRDefault="00B3334D" w:rsidP="005B295A">
      <w:pPr>
        <w:pStyle w:val="Heading4"/>
      </w:pPr>
      <w:r w:rsidRPr="009B4214">
        <w:t>The Capacity Obligation of each Market Participant</w:t>
      </w:r>
      <w:r w:rsidR="00AA5AF0" w:rsidRPr="009B4214">
        <w:t>,</w:t>
      </w:r>
      <w:r w:rsidRPr="009B4214">
        <w:t xml:space="preserve"> </w:t>
      </w:r>
      <w:r w:rsidR="00AA5AF0" w:rsidRPr="009B4214">
        <w:t xml:space="preserve">for each year in which this obligation exists, </w:t>
      </w:r>
      <w:r w:rsidR="00215B4F">
        <w:t>shall</w:t>
      </w:r>
      <w:r w:rsidR="00215B4F" w:rsidRPr="009B4214">
        <w:t xml:space="preserve"> </w:t>
      </w:r>
      <w:r w:rsidRPr="009B4214">
        <w:t xml:space="preserve">be </w:t>
      </w:r>
      <w:r w:rsidR="00215B4F">
        <w:t>determined</w:t>
      </w:r>
      <w:r w:rsidR="00215B4F" w:rsidRPr="009B4214">
        <w:t xml:space="preserve"> </w:t>
      </w:r>
      <w:r w:rsidRPr="009B4214">
        <w:t xml:space="preserve">by the Market Operator according </w:t>
      </w:r>
      <w:r w:rsidR="00215B4F">
        <w:t>to</w:t>
      </w:r>
      <w:r w:rsidR="00215B4F" w:rsidRPr="009B4214">
        <w:t xml:space="preserve"> </w:t>
      </w:r>
      <w:r w:rsidRPr="009B4214">
        <w:t xml:space="preserve">the </w:t>
      </w:r>
      <w:r w:rsidR="00215B4F">
        <w:t>provisions of</w:t>
      </w:r>
      <w:r w:rsidR="00215B4F" w:rsidRPr="009B4214">
        <w:t xml:space="preserve"> </w:t>
      </w:r>
      <w:r w:rsidR="00215B4F">
        <w:t xml:space="preserve"> </w:t>
      </w:r>
      <w:r w:rsidR="008C02F7">
        <w:t>Sub-Section</w:t>
      </w:r>
      <w:r w:rsidRPr="009B4214">
        <w:t xml:space="preserve"> </w:t>
      </w:r>
      <w:r w:rsidRPr="009B4214">
        <w:fldChar w:fldCharType="begin"/>
      </w:r>
      <w:r w:rsidRPr="009B4214">
        <w:instrText xml:space="preserve"> REF _Ref53146946 \r \h  \* MERGEFORMAT </w:instrText>
      </w:r>
      <w:r w:rsidRPr="009B4214">
        <w:fldChar w:fldCharType="separate"/>
      </w:r>
      <w:r w:rsidR="00251DBF">
        <w:t>11.3.1</w:t>
      </w:r>
      <w:r w:rsidRPr="009B4214">
        <w:fldChar w:fldCharType="end"/>
      </w:r>
      <w:r w:rsidRPr="009B4214">
        <w:t xml:space="preserve">, </w:t>
      </w:r>
      <w:r w:rsidR="008C02F7">
        <w:t>Sub-Section</w:t>
      </w:r>
      <w:r w:rsidRPr="009B4214">
        <w:t xml:space="preserve"> </w:t>
      </w:r>
      <w:r w:rsidRPr="009B4214">
        <w:fldChar w:fldCharType="begin"/>
      </w:r>
      <w:r w:rsidRPr="009B4214">
        <w:instrText xml:space="preserve"> REF _Ref53146947 \r \h  \* MERGEFORMAT </w:instrText>
      </w:r>
      <w:r w:rsidRPr="009B4214">
        <w:fldChar w:fldCharType="separate"/>
      </w:r>
      <w:r w:rsidR="00251DBF">
        <w:t>11.3.2</w:t>
      </w:r>
      <w:r w:rsidRPr="009B4214">
        <w:fldChar w:fldCharType="end"/>
      </w:r>
      <w:r w:rsidRPr="009B4214">
        <w:t xml:space="preserve"> or </w:t>
      </w:r>
      <w:r w:rsidR="008C02F7">
        <w:t>Sub-Section</w:t>
      </w:r>
      <w:r w:rsidRPr="009B4214">
        <w:t xml:space="preserve"> </w:t>
      </w:r>
      <w:r w:rsidRPr="009B4214">
        <w:fldChar w:fldCharType="begin"/>
      </w:r>
      <w:r w:rsidRPr="009B4214">
        <w:instrText xml:space="preserve"> REF _Ref53146948 \r \h  \* MERGEFORMAT </w:instrText>
      </w:r>
      <w:r w:rsidRPr="009B4214">
        <w:fldChar w:fldCharType="separate"/>
      </w:r>
      <w:r w:rsidR="00251DBF">
        <w:t>11.3.3</w:t>
      </w:r>
      <w:r w:rsidRPr="009B4214">
        <w:fldChar w:fldCharType="end"/>
      </w:r>
      <w:r w:rsidRPr="009B4214">
        <w:t>, as the case may be</w:t>
      </w:r>
      <w:r w:rsidR="00181571" w:rsidRPr="009B4214">
        <w:t>.</w:t>
      </w:r>
    </w:p>
    <w:p w14:paraId="44D34A25" w14:textId="56E8EDB3" w:rsidR="00B3334D" w:rsidRPr="009B4214" w:rsidRDefault="00B3334D" w:rsidP="005B295A">
      <w:pPr>
        <w:pStyle w:val="Heading4"/>
      </w:pPr>
      <w:r w:rsidRPr="009B4214">
        <w:t xml:space="preserve">The </w:t>
      </w:r>
      <w:r w:rsidR="00965266" w:rsidRPr="009B4214">
        <w:t xml:space="preserve">Credited </w:t>
      </w:r>
      <w:r w:rsidRPr="009B4214">
        <w:t xml:space="preserve">Capacity </w:t>
      </w:r>
      <w:r w:rsidR="00215B4F">
        <w:t>of</w:t>
      </w:r>
      <w:r w:rsidRPr="009B4214">
        <w:t xml:space="preserve"> each Market Participant, for the Ex-</w:t>
      </w:r>
      <w:r w:rsidR="00C02A97" w:rsidRPr="009B4214">
        <w:t>ante</w:t>
      </w:r>
      <w:r w:rsidRPr="009B4214">
        <w:t xml:space="preserve"> verification of its </w:t>
      </w:r>
      <w:r w:rsidR="00C02A97" w:rsidRPr="009B4214">
        <w:t xml:space="preserve">yearly </w:t>
      </w:r>
      <w:r w:rsidRPr="009B4214">
        <w:t xml:space="preserve">obligations will be the </w:t>
      </w:r>
      <w:r w:rsidR="00215B4F">
        <w:t>sum</w:t>
      </w:r>
      <w:r w:rsidR="00215B4F" w:rsidRPr="009B4214">
        <w:t xml:space="preserve"> </w:t>
      </w:r>
      <w:r w:rsidRPr="009B4214">
        <w:t xml:space="preserve">of: </w:t>
      </w:r>
    </w:p>
    <w:p w14:paraId="6A8C9158" w14:textId="6118EFA4" w:rsidR="004345AA" w:rsidRDefault="00215B4F" w:rsidP="00215B4F">
      <w:pPr>
        <w:pStyle w:val="Heading5"/>
      </w:pPr>
      <w:r>
        <w:t xml:space="preserve">Firm Capacity of </w:t>
      </w:r>
      <w:r w:rsidR="00B3334D" w:rsidRPr="009B4214">
        <w:t>Generation</w:t>
      </w:r>
      <w:r>
        <w:t xml:space="preserve"> Plants</w:t>
      </w:r>
      <w:r w:rsidR="00B3334D" w:rsidRPr="009B4214">
        <w:t xml:space="preserve"> owned by the Market Participant, which have been issued the corresponding Firm Capacity Certificates by the Market </w:t>
      </w:r>
      <w:r w:rsidR="00B3334D" w:rsidRPr="00376ADB">
        <w:t xml:space="preserve">Operator, </w:t>
      </w:r>
      <w:r>
        <w:t>and not</w:t>
      </w:r>
      <w:r w:rsidR="00B3334D" w:rsidRPr="00376ADB">
        <w:t xml:space="preserve"> sold to other Market Participants through </w:t>
      </w:r>
      <w:r w:rsidR="00965266">
        <w:t xml:space="preserve">registered </w:t>
      </w:r>
      <w:r w:rsidR="003A578F" w:rsidRPr="00215B4F">
        <w:t>Contract</w:t>
      </w:r>
      <w:r w:rsidR="00B3334D" w:rsidRPr="00215B4F">
        <w:t>s</w:t>
      </w:r>
      <w:r w:rsidR="00B3334D" w:rsidRPr="00376ADB">
        <w:t>.</w:t>
      </w:r>
      <w:r>
        <w:t xml:space="preserve"> </w:t>
      </w:r>
    </w:p>
    <w:p w14:paraId="707BA832" w14:textId="6EE937C5" w:rsidR="004345AA" w:rsidRDefault="004345AA" w:rsidP="004345AA">
      <w:pPr>
        <w:pStyle w:val="Heading5"/>
        <w:numPr>
          <w:ilvl w:val="0"/>
          <w:numId w:val="0"/>
        </w:numPr>
        <w:ind w:left="1673"/>
      </w:pPr>
      <w:r w:rsidRPr="00B03C4A">
        <w:rPr>
          <w:i/>
          <w:iCs/>
        </w:rPr>
        <w:t>Explanation</w:t>
      </w:r>
      <w:r w:rsidRPr="00B03C4A">
        <w:t>:</w:t>
      </w:r>
    </w:p>
    <w:p w14:paraId="66EA023E" w14:textId="03F225FD" w:rsidR="00B3334D" w:rsidRPr="00376ADB" w:rsidRDefault="00B3334D" w:rsidP="004345AA">
      <w:pPr>
        <w:pStyle w:val="Heading5"/>
        <w:numPr>
          <w:ilvl w:val="0"/>
          <w:numId w:val="0"/>
        </w:numPr>
        <w:ind w:left="1673"/>
      </w:pPr>
      <w:r w:rsidRPr="00376ADB">
        <w:t xml:space="preserve">The </w:t>
      </w:r>
      <w:r w:rsidR="00965266" w:rsidRPr="00376ADB">
        <w:t xml:space="preserve">Credited </w:t>
      </w:r>
      <w:r w:rsidR="00D473BA" w:rsidRPr="00376ADB">
        <w:t>C</w:t>
      </w:r>
      <w:r w:rsidRPr="00376ADB">
        <w:t xml:space="preserve">apacity to the Market Participants or BPC shall be calculated as the addition of the values stated in the Firm Capacity Certificates of all the </w:t>
      </w:r>
      <w:r w:rsidR="00BD6DB0" w:rsidRPr="00376ADB">
        <w:t xml:space="preserve">Generation Units </w:t>
      </w:r>
      <w:r w:rsidRPr="00376ADB">
        <w:t xml:space="preserve">it owns, minus the </w:t>
      </w:r>
      <w:r w:rsidR="00D473BA" w:rsidRPr="00376ADB">
        <w:t>Capacity</w:t>
      </w:r>
      <w:r w:rsidRPr="00376ADB">
        <w:t xml:space="preserve"> sold</w:t>
      </w:r>
      <w:r w:rsidR="00C02A97" w:rsidRPr="00376ADB">
        <w:t>, every year,</w:t>
      </w:r>
      <w:r w:rsidRPr="00376ADB">
        <w:t xml:space="preserve"> to other Market Participants through </w:t>
      </w:r>
      <w:r w:rsidR="00965266">
        <w:t xml:space="preserve">registered </w:t>
      </w:r>
      <w:r w:rsidR="003A578F">
        <w:t>Contract</w:t>
      </w:r>
      <w:r w:rsidRPr="00376ADB">
        <w:t>s.</w:t>
      </w:r>
    </w:p>
    <w:p w14:paraId="3A64FBBC" w14:textId="7A8D9F53" w:rsidR="00B3334D" w:rsidRDefault="00B3334D" w:rsidP="00B03234">
      <w:pPr>
        <w:pStyle w:val="Heading5"/>
      </w:pPr>
      <w:r w:rsidRPr="00376ADB">
        <w:t xml:space="preserve">Capacity acquired through </w:t>
      </w:r>
      <w:r w:rsidR="00965266">
        <w:t xml:space="preserve">registered </w:t>
      </w:r>
      <w:r w:rsidR="003A578F">
        <w:t>Contract</w:t>
      </w:r>
      <w:r w:rsidRPr="00376ADB">
        <w:t xml:space="preserve">s </w:t>
      </w:r>
      <w:r w:rsidR="00965266">
        <w:t>executed with</w:t>
      </w:r>
      <w:r w:rsidR="00965266" w:rsidRPr="00376ADB">
        <w:t xml:space="preserve"> </w:t>
      </w:r>
      <w:r w:rsidRPr="00376ADB">
        <w:t>Generators</w:t>
      </w:r>
      <w:r w:rsidR="000825CF" w:rsidRPr="00376ADB">
        <w:t xml:space="preserve">, Imports, </w:t>
      </w:r>
      <w:r w:rsidRPr="00376ADB">
        <w:t>or other Market Participants.</w:t>
      </w:r>
    </w:p>
    <w:p w14:paraId="11999F5A" w14:textId="56B91F35" w:rsidR="004345AA" w:rsidRPr="004345AA" w:rsidRDefault="004345AA" w:rsidP="004345AA">
      <w:pPr>
        <w:pStyle w:val="BodyText"/>
      </w:pPr>
      <w:r w:rsidRPr="00B03C4A">
        <w:rPr>
          <w:i/>
          <w:iCs/>
        </w:rPr>
        <w:t>Explanation</w:t>
      </w:r>
      <w:r w:rsidRPr="00B03C4A">
        <w:t>:</w:t>
      </w:r>
    </w:p>
    <w:p w14:paraId="4F1A34C3" w14:textId="5A7D1105" w:rsidR="00B3334D" w:rsidRDefault="00B3334D" w:rsidP="00BD32D2">
      <w:pPr>
        <w:ind w:left="1701"/>
      </w:pPr>
      <w:r w:rsidRPr="00376ADB">
        <w:t xml:space="preserve">The </w:t>
      </w:r>
      <w:r w:rsidR="00D473BA" w:rsidRPr="00376ADB">
        <w:t>C</w:t>
      </w:r>
      <w:r w:rsidRPr="00376ADB">
        <w:t xml:space="preserve">apacity </w:t>
      </w:r>
      <w:r w:rsidR="00D473BA" w:rsidRPr="00376ADB">
        <w:t>C</w:t>
      </w:r>
      <w:r w:rsidRPr="00376ADB">
        <w:t xml:space="preserve">redited in this case shall be calculated as the </w:t>
      </w:r>
      <w:r w:rsidR="00C02A97" w:rsidRPr="00376ADB">
        <w:t xml:space="preserve">yearly </w:t>
      </w:r>
      <w:r w:rsidRPr="00376ADB">
        <w:t xml:space="preserve">addition of the </w:t>
      </w:r>
      <w:r w:rsidR="00D473BA" w:rsidRPr="00376ADB">
        <w:t>Capacity</w:t>
      </w:r>
      <w:r w:rsidRPr="00376ADB">
        <w:t xml:space="preserve"> purchased </w:t>
      </w:r>
      <w:r w:rsidR="00965266">
        <w:t>through</w:t>
      </w:r>
      <w:r w:rsidR="00965266" w:rsidRPr="00376ADB">
        <w:t xml:space="preserve"> </w:t>
      </w:r>
      <w:r w:rsidRPr="00376ADB">
        <w:t xml:space="preserve">all the </w:t>
      </w:r>
      <w:r w:rsidR="00965266">
        <w:t xml:space="preserve">registered </w:t>
      </w:r>
      <w:r w:rsidR="003A578F">
        <w:t>Contract</w:t>
      </w:r>
      <w:r w:rsidRPr="00376ADB">
        <w:t xml:space="preserve">s. </w:t>
      </w:r>
      <w:r w:rsidR="00965266">
        <w:t>The contracted Capacity shall be clearly stated</w:t>
      </w:r>
      <w:r>
        <w:t xml:space="preserve"> during the </w:t>
      </w:r>
      <w:r w:rsidR="00965266">
        <w:t xml:space="preserve">registration of the </w:t>
      </w:r>
      <w:r>
        <w:t>Contract.</w:t>
      </w:r>
    </w:p>
    <w:p w14:paraId="59764052" w14:textId="1E52B94A" w:rsidR="00C02A97" w:rsidRPr="00376ADB" w:rsidRDefault="00B3334D" w:rsidP="00B03234">
      <w:pPr>
        <w:pStyle w:val="Heading5"/>
      </w:pPr>
      <w:bookmarkStart w:id="664" w:name="_Ref53169826"/>
      <w:r w:rsidRPr="009B4214">
        <w:t xml:space="preserve">Capacity </w:t>
      </w:r>
      <w:r w:rsidR="00C02A97" w:rsidRPr="009B4214">
        <w:t xml:space="preserve">which will be installed, by the Market Participant, or it will </w:t>
      </w:r>
      <w:r w:rsidR="009B76B9">
        <w:t xml:space="preserve">be </w:t>
      </w:r>
      <w:r w:rsidRPr="009B4214">
        <w:t xml:space="preserve">acquired through </w:t>
      </w:r>
      <w:r w:rsidR="003A578F">
        <w:lastRenderedPageBreak/>
        <w:t>Contract</w:t>
      </w:r>
      <w:r w:rsidR="00C02A97" w:rsidRPr="009B4214">
        <w:t xml:space="preserve">s </w:t>
      </w:r>
      <w:r w:rsidR="009B76B9">
        <w:t>from</w:t>
      </w:r>
      <w:r w:rsidR="00C02A97" w:rsidRPr="009B4214">
        <w:t xml:space="preserve"> Generat</w:t>
      </w:r>
      <w:r w:rsidR="00BD6DB0">
        <w:t>ion Units</w:t>
      </w:r>
      <w:r w:rsidR="00C02A97" w:rsidRPr="009B4214">
        <w:t xml:space="preserve"> which are under construction, </w:t>
      </w:r>
      <w:r w:rsidR="00C02A97" w:rsidRPr="00376ADB">
        <w:t xml:space="preserve">provided such </w:t>
      </w:r>
      <w:r w:rsidR="003A578F">
        <w:t>Contract</w:t>
      </w:r>
      <w:r w:rsidR="00C02A97" w:rsidRPr="00376ADB">
        <w:t>s are consider</w:t>
      </w:r>
      <w:r w:rsidR="009B76B9">
        <w:t>ed</w:t>
      </w:r>
      <w:r w:rsidR="00C02A97" w:rsidRPr="00376ADB">
        <w:t xml:space="preserve"> eligible</w:t>
      </w:r>
      <w:r w:rsidR="001D32DD" w:rsidRPr="00376ADB">
        <w:t xml:space="preserve"> </w:t>
      </w:r>
      <w:r w:rsidR="00C02A97" w:rsidRPr="00376ADB">
        <w:t xml:space="preserve">by the Market Operator, </w:t>
      </w:r>
      <w:r w:rsidR="009B76B9">
        <w:t>according to</w:t>
      </w:r>
      <w:r w:rsidR="00C02A97" w:rsidRPr="00376ADB">
        <w:t xml:space="preserve"> the provisions </w:t>
      </w:r>
      <w:r w:rsidR="009B76B9">
        <w:t>of</w:t>
      </w:r>
      <w:r w:rsidR="00C02A97" w:rsidRPr="00376ADB">
        <w:t xml:space="preserve"> Clause</w:t>
      </w:r>
      <w:r w:rsidR="00B51135" w:rsidRPr="00376ADB">
        <w:t xml:space="preserve"> </w:t>
      </w:r>
      <w:r w:rsidR="00B51135" w:rsidRPr="00376ADB">
        <w:fldChar w:fldCharType="begin"/>
      </w:r>
      <w:r w:rsidR="00B51135" w:rsidRPr="00376ADB">
        <w:instrText xml:space="preserve"> REF _Ref53169963 \r \h </w:instrText>
      </w:r>
      <w:r w:rsidR="00376ADB">
        <w:instrText xml:space="preserve"> \* MERGEFORMAT </w:instrText>
      </w:r>
      <w:r w:rsidR="00B51135" w:rsidRPr="00376ADB">
        <w:fldChar w:fldCharType="separate"/>
      </w:r>
      <w:r w:rsidR="00251DBF">
        <w:t>11.4.3.3</w:t>
      </w:r>
      <w:r w:rsidR="00B51135" w:rsidRPr="00376ADB">
        <w:fldChar w:fldCharType="end"/>
      </w:r>
      <w:r w:rsidR="009B76B9">
        <w:t>,</w:t>
      </w:r>
      <w:r w:rsidR="00C02A97" w:rsidRPr="00376ADB">
        <w:t xml:space="preserve"> </w:t>
      </w:r>
      <w:r w:rsidR="009B76B9">
        <w:t>such</w:t>
      </w:r>
      <w:r w:rsidR="009B76B9" w:rsidRPr="00376ADB">
        <w:t xml:space="preserve"> </w:t>
      </w:r>
      <w:r w:rsidR="00D473BA" w:rsidRPr="00376ADB">
        <w:t>Capacity</w:t>
      </w:r>
      <w:r w:rsidR="00C02A97" w:rsidRPr="00376ADB">
        <w:t xml:space="preserve"> will be credited </w:t>
      </w:r>
      <w:r w:rsidR="009B76B9">
        <w:t xml:space="preserve">to the relevant Market Participant </w:t>
      </w:r>
      <w:r w:rsidR="001D32DD" w:rsidRPr="00376ADB">
        <w:t>starting from the</w:t>
      </w:r>
      <w:r w:rsidR="00C02A97" w:rsidRPr="00376ADB">
        <w:t xml:space="preserve"> COD of the </w:t>
      </w:r>
      <w:r w:rsidR="009B76B9">
        <w:t>Generation Unit</w:t>
      </w:r>
      <w:r w:rsidR="001D32DD" w:rsidRPr="00376ADB">
        <w:t xml:space="preserve">, </w:t>
      </w:r>
      <w:r w:rsidR="009B76B9">
        <w:t xml:space="preserve">as </w:t>
      </w:r>
      <w:r w:rsidR="001D32DD" w:rsidRPr="00376ADB">
        <w:t>approved by the Market Operator</w:t>
      </w:r>
      <w:r w:rsidR="00C02A97" w:rsidRPr="00376ADB">
        <w:t>.</w:t>
      </w:r>
      <w:bookmarkEnd w:id="664"/>
      <w:r w:rsidR="00C02A97" w:rsidRPr="00376ADB">
        <w:t xml:space="preserve"> </w:t>
      </w:r>
    </w:p>
    <w:p w14:paraId="2123795D" w14:textId="1207B272" w:rsidR="00C02A97" w:rsidRPr="00815F6C" w:rsidRDefault="009B4214" w:rsidP="00BD32D2">
      <w:pPr>
        <w:ind w:left="1701"/>
      </w:pPr>
      <w:r w:rsidRPr="00376ADB">
        <w:t xml:space="preserve">The </w:t>
      </w:r>
      <w:r w:rsidR="00215286" w:rsidRPr="00376ADB">
        <w:t>C</w:t>
      </w:r>
      <w:r w:rsidRPr="00376ADB">
        <w:t xml:space="preserve">apacity </w:t>
      </w:r>
      <w:r w:rsidR="00215286" w:rsidRPr="00376ADB">
        <w:t>C</w:t>
      </w:r>
      <w:r w:rsidRPr="00376ADB">
        <w:t>redited</w:t>
      </w:r>
      <w:r>
        <w:t xml:space="preserve"> in this case shall be determined based on</w:t>
      </w:r>
      <w:r w:rsidR="00C02A97" w:rsidRPr="00815F6C">
        <w:t xml:space="preserve">: </w:t>
      </w:r>
    </w:p>
    <w:p w14:paraId="68F39DA7" w14:textId="669B093F" w:rsidR="00C02A97" w:rsidRPr="0005549E" w:rsidRDefault="00060D47" w:rsidP="00BD32D2">
      <w:pPr>
        <w:pStyle w:val="Heading6"/>
      </w:pPr>
      <w:r>
        <w:t>t</w:t>
      </w:r>
      <w:r w:rsidR="00C02A97" w:rsidRPr="0005549E">
        <w:t xml:space="preserve">he values stated in the Temporary Firm Capacity Certificates, in cases in which the Market Operator has issued such certificates; </w:t>
      </w:r>
      <w:r w:rsidR="009B4214" w:rsidRPr="0005549E">
        <w:t>or</w:t>
      </w:r>
    </w:p>
    <w:p w14:paraId="64F40AB3" w14:textId="6AE17329" w:rsidR="00C02A97" w:rsidRPr="0005549E" w:rsidRDefault="00060D47" w:rsidP="00BD32D2">
      <w:pPr>
        <w:pStyle w:val="Heading6"/>
      </w:pPr>
      <w:r>
        <w:t>t</w:t>
      </w:r>
      <w:r w:rsidR="00C02A97" w:rsidRPr="0005549E">
        <w:t xml:space="preserve">he declared </w:t>
      </w:r>
      <w:r w:rsidR="00D473BA">
        <w:t>Capacity</w:t>
      </w:r>
      <w:r w:rsidR="00C02A97" w:rsidRPr="0005549E">
        <w:t xml:space="preserve"> to be installed, as per the application</w:t>
      </w:r>
      <w:r w:rsidR="009B76B9">
        <w:t xml:space="preserve">, as provided </w:t>
      </w:r>
      <w:r w:rsidR="00C02A97" w:rsidRPr="0005549E">
        <w:t xml:space="preserve"> </w:t>
      </w:r>
      <w:r w:rsidR="00B51135" w:rsidRPr="0005549E">
        <w:t xml:space="preserve">in Clause </w:t>
      </w:r>
      <w:r w:rsidR="00B51135" w:rsidRPr="0005549E">
        <w:fldChar w:fldCharType="begin"/>
      </w:r>
      <w:r w:rsidR="00B51135" w:rsidRPr="0005549E">
        <w:instrText xml:space="preserve"> REF _Ref53169963 \r \h </w:instrText>
      </w:r>
      <w:r w:rsidR="001D32DD" w:rsidRPr="0005549E">
        <w:instrText xml:space="preserve"> \* MERGEFORMAT </w:instrText>
      </w:r>
      <w:r w:rsidR="00B51135" w:rsidRPr="0005549E">
        <w:fldChar w:fldCharType="separate"/>
      </w:r>
      <w:r w:rsidR="00251DBF">
        <w:t>11.4.3.3</w:t>
      </w:r>
      <w:r w:rsidR="00B51135" w:rsidRPr="0005549E">
        <w:fldChar w:fldCharType="end"/>
      </w:r>
      <w:r w:rsidR="009B4214" w:rsidRPr="0005549E">
        <w:t xml:space="preserve">, </w:t>
      </w:r>
      <w:r w:rsidR="00C02A97" w:rsidRPr="0005549E">
        <w:t xml:space="preserve">multiplied by the Equivalent Availability Factor stated in </w:t>
      </w:r>
      <w:r w:rsidR="0005549E" w:rsidRPr="0005549E">
        <w:fldChar w:fldCharType="begin"/>
      </w:r>
      <w:r w:rsidR="0005549E" w:rsidRPr="0005549E">
        <w:instrText xml:space="preserve"> REF _Ref64109425 \h </w:instrText>
      </w:r>
      <w:r w:rsidR="0005549E">
        <w:instrText xml:space="preserve"> \* MERGEFORMAT </w:instrText>
      </w:r>
      <w:r w:rsidR="0005549E" w:rsidRPr="0005549E">
        <w:fldChar w:fldCharType="separate"/>
      </w:r>
      <w:r w:rsidR="00251DBF" w:rsidRPr="0005549E">
        <w:t xml:space="preserve">Table </w:t>
      </w:r>
      <w:r w:rsidR="00251DBF">
        <w:t>1</w:t>
      </w:r>
      <w:r w:rsidR="0005549E" w:rsidRPr="0005549E">
        <w:fldChar w:fldCharType="end"/>
      </w:r>
      <w:r w:rsidR="0005549E" w:rsidRPr="0005549E">
        <w:t xml:space="preserve"> </w:t>
      </w:r>
      <w:r w:rsidR="00C02A97" w:rsidRPr="0005549E">
        <w:t xml:space="preserve">of </w:t>
      </w:r>
      <w:r w:rsidR="008C02F7">
        <w:t>Sub-Section</w:t>
      </w:r>
      <w:r w:rsidR="00C02A97" w:rsidRPr="0005549E">
        <w:t xml:space="preserve"> </w:t>
      </w:r>
      <w:r w:rsidR="0002651C">
        <w:fldChar w:fldCharType="begin"/>
      </w:r>
      <w:r w:rsidR="0002651C">
        <w:instrText xml:space="preserve"> REF _Ref67341618 \w \h </w:instrText>
      </w:r>
      <w:r w:rsidR="00BD32D2">
        <w:instrText xml:space="preserve"> \* MERGEFORMAT </w:instrText>
      </w:r>
      <w:r w:rsidR="0002651C">
        <w:fldChar w:fldCharType="separate"/>
      </w:r>
      <w:r w:rsidR="00251DBF">
        <w:t>9.2.2</w:t>
      </w:r>
      <w:r w:rsidR="0002651C">
        <w:fldChar w:fldCharType="end"/>
      </w:r>
      <w:r w:rsidR="00C02A97" w:rsidRPr="0005549E">
        <w:t xml:space="preserve">. </w:t>
      </w:r>
    </w:p>
    <w:p w14:paraId="1CD69081" w14:textId="1C65C839" w:rsidR="00B3334D" w:rsidRDefault="00B3334D" w:rsidP="005B295A">
      <w:pPr>
        <w:pStyle w:val="Heading4"/>
      </w:pPr>
      <w:r>
        <w:t>In case</w:t>
      </w:r>
      <w:r w:rsidR="009B76B9">
        <w:t xml:space="preserve"> </w:t>
      </w:r>
      <w:r>
        <w:t xml:space="preserve">the </w:t>
      </w:r>
      <w:r w:rsidR="009B76B9">
        <w:t xml:space="preserve">Credited </w:t>
      </w:r>
      <w:r>
        <w:t xml:space="preserve">Capacity </w:t>
      </w:r>
      <w:r w:rsidR="009B76B9">
        <w:t>of</w:t>
      </w:r>
      <w:r>
        <w:t xml:space="preserve"> a Market Participant is equal or higher than the Capacity Obligation </w:t>
      </w:r>
      <w:r w:rsidR="004345AA">
        <w:t xml:space="preserve">determined </w:t>
      </w:r>
      <w:r>
        <w:t xml:space="preserve">for such Market Participant, </w:t>
      </w:r>
      <w:r w:rsidR="009B4214">
        <w:t xml:space="preserve">in all of the years evaluated, </w:t>
      </w:r>
      <w:r>
        <w:t xml:space="preserve">the obligation shall be considered fulfilled. </w:t>
      </w:r>
    </w:p>
    <w:p w14:paraId="6E726BBE" w14:textId="4FB7B71E" w:rsidR="00B3334D" w:rsidRDefault="00B3334D" w:rsidP="005B295A">
      <w:pPr>
        <w:pStyle w:val="Heading4"/>
      </w:pPr>
      <w:r>
        <w:t>In the cas</w:t>
      </w:r>
      <w:r w:rsidR="009B76B9">
        <w:t>e</w:t>
      </w:r>
      <w:r>
        <w:t xml:space="preserve"> the </w:t>
      </w:r>
      <w:r w:rsidR="009B76B9">
        <w:t xml:space="preserve">Credited </w:t>
      </w:r>
      <w:r>
        <w:t xml:space="preserve">Capacity </w:t>
      </w:r>
      <w:r w:rsidR="009B76B9">
        <w:t>of</w:t>
      </w:r>
      <w:r>
        <w:t xml:space="preserve"> a Market Participant is lower than the Capacity Obligation </w:t>
      </w:r>
      <w:r w:rsidR="00FA6277">
        <w:t xml:space="preserve">determined </w:t>
      </w:r>
      <w:r>
        <w:t xml:space="preserve">for such Market Participant, </w:t>
      </w:r>
      <w:r w:rsidR="009B4214">
        <w:t xml:space="preserve">in one or more of the years evaluated, </w:t>
      </w:r>
      <w:r>
        <w:t xml:space="preserve">the obligation shall be considered not fulfilled. </w:t>
      </w:r>
    </w:p>
    <w:p w14:paraId="387BCFAE" w14:textId="45B4AD46" w:rsidR="005E6F03" w:rsidRDefault="005E6F03" w:rsidP="005B295A">
      <w:pPr>
        <w:pStyle w:val="Heading4"/>
      </w:pPr>
      <w:bookmarkStart w:id="665" w:name="_Ref76910777"/>
      <w:r>
        <w:t xml:space="preserve">The Market Operator </w:t>
      </w:r>
      <w:r w:rsidR="00FA6277">
        <w:t xml:space="preserve">shall </w:t>
      </w:r>
      <w:r>
        <w:t>categorize non-compliance with the Capacity Obligations</w:t>
      </w:r>
      <w:r w:rsidR="00052C7B">
        <w:t xml:space="preserve"> of each Market Participant</w:t>
      </w:r>
      <w:r>
        <w:t xml:space="preserve"> as:</w:t>
      </w:r>
      <w:bookmarkEnd w:id="665"/>
      <w:r>
        <w:t xml:space="preserve"> </w:t>
      </w:r>
    </w:p>
    <w:p w14:paraId="2BC72937" w14:textId="59AEDB61" w:rsidR="005E6F03" w:rsidRPr="00376ADB" w:rsidRDefault="005E6F03" w:rsidP="00B03234">
      <w:pPr>
        <w:pStyle w:val="Heading5"/>
      </w:pPr>
      <w:r>
        <w:t>Minor non-compliance: Non-</w:t>
      </w:r>
      <w:r w:rsidRPr="00376ADB">
        <w:t xml:space="preserve">compliance with the </w:t>
      </w:r>
      <w:r w:rsidR="00224826">
        <w:t xml:space="preserve">ex-ante </w:t>
      </w:r>
      <w:r w:rsidRPr="00376ADB">
        <w:t xml:space="preserve">Capacity Obligations occurs only in one or two of the </w:t>
      </w:r>
      <w:r w:rsidR="00FA6277">
        <w:t>years</w:t>
      </w:r>
      <w:r w:rsidR="00FA6277" w:rsidRPr="00376ADB">
        <w:t xml:space="preserve"> </w:t>
      </w:r>
      <w:r w:rsidRPr="00376ADB">
        <w:t xml:space="preserve">being verified and, the difference between the Capacity Obligation and the </w:t>
      </w:r>
      <w:r w:rsidR="009B76B9" w:rsidRPr="00376ADB">
        <w:t xml:space="preserve">Credited </w:t>
      </w:r>
      <w:r w:rsidR="00D473BA" w:rsidRPr="00376ADB">
        <w:t xml:space="preserve">Capacity </w:t>
      </w:r>
      <w:r w:rsidRPr="00376ADB">
        <w:t>is below five percent [5%]</w:t>
      </w:r>
      <w:r w:rsidR="00FA6277">
        <w:t xml:space="preserve"> during each year</w:t>
      </w:r>
      <w:r w:rsidRPr="00376ADB">
        <w:t>.</w:t>
      </w:r>
    </w:p>
    <w:p w14:paraId="291F917B" w14:textId="0472EF53" w:rsidR="005E6F03" w:rsidRPr="005E6F03" w:rsidRDefault="005E6F03" w:rsidP="00B03234">
      <w:pPr>
        <w:pStyle w:val="Heading5"/>
      </w:pPr>
      <w:r>
        <w:t xml:space="preserve">Serious non-compliance: </w:t>
      </w:r>
      <w:r w:rsidR="006F0BD8">
        <w:t>In case</w:t>
      </w:r>
      <w:r w:rsidR="00224826">
        <w:t xml:space="preserve"> there is a non-compliance with the ex-</w:t>
      </w:r>
      <w:r w:rsidR="0014607A">
        <w:t xml:space="preserve">post </w:t>
      </w:r>
      <w:r w:rsidR="00224826">
        <w:t>Capacity Obligation</w:t>
      </w:r>
      <w:r w:rsidR="00FA6277">
        <w:t>s</w:t>
      </w:r>
      <w:r w:rsidR="00544F73">
        <w:t xml:space="preserve"> as per Clause </w:t>
      </w:r>
      <w:r w:rsidR="00544F73">
        <w:fldChar w:fldCharType="begin"/>
      </w:r>
      <w:r w:rsidR="00544F73">
        <w:instrText xml:space="preserve"> REF _Ref76910548 \w \h </w:instrText>
      </w:r>
      <w:r w:rsidR="00544F73">
        <w:fldChar w:fldCharType="separate"/>
      </w:r>
      <w:r w:rsidR="00544F73">
        <w:t>10.5.1.2</w:t>
      </w:r>
      <w:r w:rsidR="00544F73">
        <w:fldChar w:fldCharType="end"/>
      </w:r>
      <w:r w:rsidR="00224826">
        <w:t xml:space="preserve"> or</w:t>
      </w:r>
      <w:r w:rsidR="00011E96">
        <w:t xml:space="preserve"> a</w:t>
      </w:r>
      <w:r w:rsidR="006F0BD8">
        <w:t xml:space="preserve"> </w:t>
      </w:r>
      <w:r w:rsidR="00052C7B">
        <w:t xml:space="preserve">non-compliance </w:t>
      </w:r>
      <w:r w:rsidR="00011E96">
        <w:t xml:space="preserve">with the ex-ante Capacity Obligation which </w:t>
      </w:r>
      <w:r w:rsidR="006F0BD8">
        <w:t>cannot be categorized as Minor non-compliance.</w:t>
      </w:r>
      <w:r>
        <w:t xml:space="preserve"> </w:t>
      </w:r>
    </w:p>
    <w:p w14:paraId="6592535B" w14:textId="387805DE" w:rsidR="00DB3B34" w:rsidRDefault="006F0BD8" w:rsidP="00C173D0">
      <w:pPr>
        <w:pStyle w:val="Heading2"/>
      </w:pPr>
      <w:bookmarkStart w:id="666" w:name="_Toc64846708"/>
      <w:bookmarkStart w:id="667" w:name="_Toc69477008"/>
      <w:r>
        <w:t xml:space="preserve">Dissemination of the </w:t>
      </w:r>
      <w:r w:rsidRPr="00FA6277">
        <w:rPr>
          <w:highlight w:val="yellow"/>
        </w:rPr>
        <w:t>Results</w:t>
      </w:r>
      <w:r w:rsidR="00EA118B">
        <w:t xml:space="preserve"> and Actions in Case of Non-Compliance</w:t>
      </w:r>
      <w:bookmarkEnd w:id="666"/>
      <w:bookmarkEnd w:id="667"/>
    </w:p>
    <w:p w14:paraId="4DE19D91" w14:textId="255C40E4" w:rsidR="00C9519F" w:rsidRPr="00C9519F" w:rsidRDefault="00C9519F" w:rsidP="00C173D0">
      <w:pPr>
        <w:pStyle w:val="Heading3"/>
      </w:pPr>
      <w:bookmarkStart w:id="668" w:name="_Ref66631059"/>
      <w:r>
        <w:t>Compliance with Capacity Obligations Report</w:t>
      </w:r>
      <w:bookmarkEnd w:id="668"/>
    </w:p>
    <w:p w14:paraId="185483E4" w14:textId="12A73E49" w:rsidR="006F0BD8" w:rsidRDefault="006F0BD8" w:rsidP="005B295A">
      <w:pPr>
        <w:pStyle w:val="Heading4"/>
      </w:pPr>
      <w:r>
        <w:t xml:space="preserve">The Market Operator shall </w:t>
      </w:r>
      <w:r w:rsidR="00052C7B">
        <w:t xml:space="preserve">prepare a report titled </w:t>
      </w:r>
      <w:r>
        <w:t>a</w:t>
      </w:r>
      <w:r w:rsidR="00052C7B">
        <w:t>s</w:t>
      </w:r>
      <w:r>
        <w:t xml:space="preserve"> </w:t>
      </w:r>
      <w:r w:rsidR="00052C7B">
        <w:t>“</w:t>
      </w:r>
      <w:r w:rsidR="00C95632" w:rsidRPr="00701D35">
        <w:t>Compliance with Capacity Obligations Report</w:t>
      </w:r>
      <w:r w:rsidR="00052C7B">
        <w:t>”</w:t>
      </w:r>
      <w:r>
        <w:t xml:space="preserve">, </w:t>
      </w:r>
      <w:r w:rsidR="00052C7B">
        <w:t>including</w:t>
      </w:r>
      <w:r>
        <w:t xml:space="preserve"> the calculations performed, the information being utilized and the results of the verification</w:t>
      </w:r>
      <w:r w:rsidR="00C95632" w:rsidRPr="00701D35">
        <w:t>.</w:t>
      </w:r>
      <w:r>
        <w:t xml:space="preserve"> The report shall contain </w:t>
      </w:r>
      <w:r w:rsidR="00224826">
        <w:t xml:space="preserve">separate </w:t>
      </w:r>
      <w:r w:rsidR="00052C7B">
        <w:t>s</w:t>
      </w:r>
      <w:r w:rsidR="00224826">
        <w:t xml:space="preserve">ections for the ex-ante and ex-post verifications, and </w:t>
      </w:r>
      <w:r>
        <w:t>analysis and evaluations for each Market Participant individually</w:t>
      </w:r>
      <w:r w:rsidR="00052C7B">
        <w:t xml:space="preserve"> along with a summary of the most important conclusions</w:t>
      </w:r>
      <w:r w:rsidR="00FA6277">
        <w:t xml:space="preserve"> which shall be published on MO Website</w:t>
      </w:r>
      <w:r>
        <w:t xml:space="preserve">. </w:t>
      </w:r>
    </w:p>
    <w:p w14:paraId="258F945A" w14:textId="2BBF9902" w:rsidR="00C9519F" w:rsidRPr="00C9519F" w:rsidRDefault="00052C7B" w:rsidP="00C173D0">
      <w:pPr>
        <w:pStyle w:val="Heading3"/>
      </w:pPr>
      <w:r>
        <w:t>Dispute Resolution</w:t>
      </w:r>
    </w:p>
    <w:p w14:paraId="735F6A08" w14:textId="12D914E7" w:rsidR="00C95632" w:rsidRDefault="00E727FA" w:rsidP="005B295A">
      <w:pPr>
        <w:pStyle w:val="Heading4"/>
      </w:pPr>
      <w:r>
        <w:t xml:space="preserve">Any </w:t>
      </w:r>
      <w:r w:rsidR="00C9519F">
        <w:t>Market Participant</w:t>
      </w:r>
      <w:r>
        <w:t>,</w:t>
      </w:r>
      <w:r w:rsidR="00C9519F">
        <w:t xml:space="preserve"> </w:t>
      </w:r>
      <w:r>
        <w:t>feeling</w:t>
      </w:r>
      <w:r w:rsidR="00052C7B">
        <w:t xml:space="preserve"> aggrieved </w:t>
      </w:r>
      <w:r>
        <w:t>of</w:t>
      </w:r>
      <w:r w:rsidR="00052C7B">
        <w:t xml:space="preserve"> the decision of the </w:t>
      </w:r>
      <w:r w:rsidR="00C95632">
        <w:t xml:space="preserve"> </w:t>
      </w:r>
      <w:r w:rsidR="00052C7B">
        <w:t xml:space="preserve">Market Operator regarding </w:t>
      </w:r>
      <w:r w:rsidR="00C95632">
        <w:t xml:space="preserve">the </w:t>
      </w:r>
      <w:r>
        <w:t>compliance with the Capacity Obligations,</w:t>
      </w:r>
      <w:r w:rsidR="00C9519F">
        <w:t xml:space="preserve"> </w:t>
      </w:r>
      <w:r w:rsidR="00052C7B">
        <w:t xml:space="preserve">may file a dispute with the Market Operator according to the provisions of </w:t>
      </w:r>
      <w:r w:rsidR="00060D47">
        <w:rPr>
          <w:highlight w:val="yellow"/>
        </w:rPr>
        <w:fldChar w:fldCharType="begin"/>
      </w:r>
      <w:r w:rsidR="00060D47">
        <w:instrText xml:space="preserve"> REF _Ref54986427 \r \h </w:instrText>
      </w:r>
      <w:r w:rsidR="00060D47">
        <w:rPr>
          <w:highlight w:val="yellow"/>
        </w:rPr>
      </w:r>
      <w:r w:rsidR="00060D47">
        <w:rPr>
          <w:highlight w:val="yellow"/>
        </w:rPr>
        <w:fldChar w:fldCharType="separate"/>
      </w:r>
      <w:r w:rsidR="00060D47">
        <w:t>Chapter 15</w:t>
      </w:r>
      <w:r w:rsidR="00060D47">
        <w:rPr>
          <w:highlight w:val="yellow"/>
        </w:rPr>
        <w:fldChar w:fldCharType="end"/>
      </w:r>
      <w:r w:rsidR="00C95632">
        <w:t>.</w:t>
      </w:r>
    </w:p>
    <w:p w14:paraId="5F78DDF9" w14:textId="77777777" w:rsidR="001D32DD" w:rsidRDefault="001D32DD" w:rsidP="00C173D0">
      <w:pPr>
        <w:pStyle w:val="Heading3"/>
      </w:pPr>
      <w:r>
        <w:lastRenderedPageBreak/>
        <w:t>Actions to be taken in case of non-compliance</w:t>
      </w:r>
    </w:p>
    <w:p w14:paraId="11D05588" w14:textId="7D120F50" w:rsidR="00EA118B" w:rsidRDefault="00EA118B" w:rsidP="005B295A">
      <w:pPr>
        <w:pStyle w:val="Heading4"/>
      </w:pPr>
      <w:r>
        <w:t xml:space="preserve">The Market Operator </w:t>
      </w:r>
      <w:r w:rsidR="00052C7B">
        <w:t xml:space="preserve">shall </w:t>
      </w:r>
      <w:r>
        <w:t xml:space="preserve">issue a </w:t>
      </w:r>
      <w:r w:rsidR="00E727FA">
        <w:t>w</w:t>
      </w:r>
      <w:r>
        <w:t xml:space="preserve">arning </w:t>
      </w:r>
      <w:r w:rsidR="00E727FA">
        <w:t>n</w:t>
      </w:r>
      <w:r>
        <w:t xml:space="preserve">otice to all Market Participants which are involved in a Minor Non-compliance. In such </w:t>
      </w:r>
      <w:r w:rsidR="00052C7B">
        <w:t>n</w:t>
      </w:r>
      <w:r>
        <w:t xml:space="preserve">otice, the Market Operator </w:t>
      </w:r>
      <w:r w:rsidR="00052C7B">
        <w:t xml:space="preserve">shall </w:t>
      </w:r>
      <w:r w:rsidR="0014607A">
        <w:t xml:space="preserve">require </w:t>
      </w:r>
      <w:r>
        <w:t>the involved Market Participant, to solve the Non-compliance</w:t>
      </w:r>
      <w:r w:rsidR="008C2DAC">
        <w:t xml:space="preserve"> </w:t>
      </w:r>
      <w:r>
        <w:t xml:space="preserve">by contracting additional </w:t>
      </w:r>
      <w:r w:rsidR="00E727FA">
        <w:t xml:space="preserve">Firm </w:t>
      </w:r>
      <w:r w:rsidR="00D473BA">
        <w:t>Capacity</w:t>
      </w:r>
      <w:r>
        <w:t xml:space="preserve"> or installing additional Generation. The Market Operator </w:t>
      </w:r>
      <w:r w:rsidR="008C2DAC">
        <w:t xml:space="preserve">may </w:t>
      </w:r>
      <w:r>
        <w:t xml:space="preserve">not register any new </w:t>
      </w:r>
      <w:r w:rsidR="003A578F">
        <w:t>Contract</w:t>
      </w:r>
      <w:r w:rsidR="000825CF">
        <w:t xml:space="preserve">, other than </w:t>
      </w:r>
      <w:r w:rsidR="003A578F">
        <w:t>Contract</w:t>
      </w:r>
      <w:r w:rsidR="000825CF">
        <w:t xml:space="preserve">s for increasing the </w:t>
      </w:r>
      <w:r w:rsidR="008C2DAC">
        <w:t xml:space="preserve">Credited </w:t>
      </w:r>
      <w:r w:rsidR="00D473BA">
        <w:t>Capacity</w:t>
      </w:r>
      <w:r w:rsidR="0014607A">
        <w:t xml:space="preserve"> </w:t>
      </w:r>
      <w:r>
        <w:t xml:space="preserve">of the </w:t>
      </w:r>
      <w:r w:rsidR="008C2DAC">
        <w:t xml:space="preserve">concerned </w:t>
      </w:r>
      <w:r>
        <w:t>Market Participant</w:t>
      </w:r>
      <w:r w:rsidR="000825CF">
        <w:t>,</w:t>
      </w:r>
      <w:r>
        <w:t xml:space="preserve"> </w:t>
      </w:r>
      <w:r w:rsidR="008C2DAC">
        <w:t xml:space="preserve">till the time </w:t>
      </w:r>
      <w:r>
        <w:t xml:space="preserve">the Non-compliance is </w:t>
      </w:r>
      <w:r w:rsidR="00E727FA">
        <w:t>re</w:t>
      </w:r>
      <w:r>
        <w:t>solved.</w:t>
      </w:r>
    </w:p>
    <w:bookmarkEnd w:id="1"/>
    <w:bookmarkEnd w:id="551"/>
    <w:p w14:paraId="69FDAE4E" w14:textId="2856451A" w:rsidR="00EA118B" w:rsidRDefault="00BB1DB1" w:rsidP="005B295A">
      <w:pPr>
        <w:pStyle w:val="Heading4"/>
      </w:pPr>
      <w:r>
        <w:t xml:space="preserve">The Market Operator </w:t>
      </w:r>
      <w:r w:rsidR="008C2DAC">
        <w:t xml:space="preserve">shall </w:t>
      </w:r>
      <w:r>
        <w:t xml:space="preserve">issue a Serious Non-Compliance Notice to all Market Participants which are involved in a Serious Non-compliance, </w:t>
      </w:r>
      <w:r w:rsidR="008C2DAC">
        <w:t>requiring</w:t>
      </w:r>
      <w:r w:rsidR="00E727FA">
        <w:t xml:space="preserve"> them</w:t>
      </w:r>
      <w:r w:rsidR="008C2DAC">
        <w:t xml:space="preserve"> </w:t>
      </w:r>
      <w:r>
        <w:t xml:space="preserve">to </w:t>
      </w:r>
      <w:r w:rsidR="008C2DAC">
        <w:t>solve the Non-compliance</w:t>
      </w:r>
      <w:r>
        <w:t xml:space="preserve"> within </w:t>
      </w:r>
      <w:r w:rsidR="008C2DAC">
        <w:t>a specified timeframe</w:t>
      </w:r>
      <w:r>
        <w:t xml:space="preserve">, by contracting additional </w:t>
      </w:r>
      <w:r w:rsidR="00D473BA">
        <w:t>Capacity</w:t>
      </w:r>
      <w:r>
        <w:t xml:space="preserve"> or installing additional Generation. </w:t>
      </w:r>
      <w:r w:rsidR="008C2DAC">
        <w:t xml:space="preserve">Failure to comply with the requirement of the Serious Non-Compliance Notice shall </w:t>
      </w:r>
      <w:r w:rsidR="008C2DAC" w:rsidRPr="00B03C4A">
        <w:t>constitute</w:t>
      </w:r>
      <w:r w:rsidR="008C2DAC">
        <w:t xml:space="preserve"> an Event of Default and shall be dealt</w:t>
      </w:r>
      <w:r w:rsidR="00E727FA">
        <w:t xml:space="preserve"> with</w:t>
      </w:r>
      <w:r w:rsidR="008C2DAC">
        <w:t xml:space="preserve"> according to the provisions of Chapter 17. </w:t>
      </w:r>
      <w:r w:rsidRPr="002C213E">
        <w:t xml:space="preserve">Such situation </w:t>
      </w:r>
      <w:r w:rsidR="002C213E">
        <w:t>shall also</w:t>
      </w:r>
      <w:r w:rsidR="002C213E" w:rsidRPr="002C213E">
        <w:t xml:space="preserve"> </w:t>
      </w:r>
      <w:r w:rsidRPr="002C213E">
        <w:t xml:space="preserve">be communicated to the </w:t>
      </w:r>
      <w:r w:rsidR="00EA118B" w:rsidRPr="002C213E">
        <w:t xml:space="preserve">Authority </w:t>
      </w:r>
      <w:r w:rsidR="00E6551F">
        <w:t>so that it may take appropriate action</w:t>
      </w:r>
      <w:r w:rsidR="00EA118B" w:rsidRPr="002C213E">
        <w:t xml:space="preserve">, including the </w:t>
      </w:r>
      <w:r w:rsidR="00E6551F">
        <w:t>imposition</w:t>
      </w:r>
      <w:r w:rsidR="00E6551F" w:rsidRPr="002C213E">
        <w:t xml:space="preserve"> </w:t>
      </w:r>
      <w:r w:rsidR="00EA118B" w:rsidRPr="002C213E">
        <w:t>of penalties</w:t>
      </w:r>
      <w:r w:rsidR="00EA118B" w:rsidRPr="00C9519F">
        <w:t>.</w:t>
      </w:r>
      <w:r w:rsidRPr="00BB1DB1">
        <w:t xml:space="preserve"> </w:t>
      </w:r>
    </w:p>
    <w:p w14:paraId="56AC4D91" w14:textId="6A886DB1" w:rsidR="00BB1DB1" w:rsidRPr="00CC356C" w:rsidRDefault="00E6551F" w:rsidP="005B295A">
      <w:pPr>
        <w:pStyle w:val="Heading4"/>
      </w:pPr>
      <w:r>
        <w:t xml:space="preserve">Till the time </w:t>
      </w:r>
      <w:r w:rsidR="00BB1DB1">
        <w:t xml:space="preserve">the Serious Non-compliance is fully </w:t>
      </w:r>
      <w:r w:rsidR="00E727FA">
        <w:t>re</w:t>
      </w:r>
      <w:r w:rsidR="008C2DAC">
        <w:t>solved, t</w:t>
      </w:r>
      <w:r w:rsidR="008C2DAC" w:rsidRPr="008C2DAC">
        <w:t>he Market Operator may not register any new Contract, other than Contracts for increasing the Credited Capacity  of the concerned Market Participant</w:t>
      </w:r>
      <w:r w:rsidR="00BB1DB1" w:rsidRPr="00CC356C">
        <w:t xml:space="preserve">. </w:t>
      </w:r>
    </w:p>
    <w:p w14:paraId="3E1CEBC2" w14:textId="77777777" w:rsidR="005E6F03" w:rsidRDefault="005E6F03">
      <w:pPr>
        <w:spacing w:line="240" w:lineRule="auto"/>
        <w:rPr>
          <w:rFonts w:eastAsiaTheme="majorEastAsia" w:cstheme="majorBidi"/>
          <w:b/>
          <w:bCs/>
          <w:smallCaps/>
          <w:color w:val="00153F" w:themeColor="accent1" w:themeShade="80"/>
          <w:sz w:val="34"/>
          <w:szCs w:val="32"/>
        </w:rPr>
      </w:pPr>
      <w:r>
        <w:br w:type="page"/>
      </w:r>
    </w:p>
    <w:p w14:paraId="37508DB4" w14:textId="0CFC75C1" w:rsidR="00293F8F" w:rsidRDefault="00293F8F" w:rsidP="00A40A5D">
      <w:pPr>
        <w:pStyle w:val="Heading1"/>
      </w:pPr>
      <w:bookmarkStart w:id="669" w:name="_Toc64846709"/>
      <w:bookmarkStart w:id="670" w:name="_Ref68562800"/>
      <w:bookmarkStart w:id="671" w:name="_Toc69477009"/>
      <w:bookmarkStart w:id="672" w:name="_Ref73521660"/>
      <w:r>
        <w:lastRenderedPageBreak/>
        <w:t>YEARL</w:t>
      </w:r>
      <w:r w:rsidRPr="0067086E">
        <w:t xml:space="preserve">Y SETTLEMENT </w:t>
      </w:r>
      <w:r w:rsidR="00E6551F">
        <w:t xml:space="preserve">STATEMENTS </w:t>
      </w:r>
      <w:r w:rsidRPr="0067086E">
        <w:t>(FOR BM</w:t>
      </w:r>
      <w:r>
        <w:t>C</w:t>
      </w:r>
      <w:r w:rsidRPr="0067086E">
        <w:t xml:space="preserve"> AND </w:t>
      </w:r>
      <w:r>
        <w:t>EXCESS LOSSES</w:t>
      </w:r>
      <w:r w:rsidRPr="0067086E">
        <w:t>)</w:t>
      </w:r>
      <w:bookmarkEnd w:id="669"/>
      <w:bookmarkEnd w:id="670"/>
      <w:bookmarkEnd w:id="671"/>
      <w:bookmarkEnd w:id="672"/>
      <w:r w:rsidRPr="0067086E">
        <w:t xml:space="preserve"> </w:t>
      </w:r>
    </w:p>
    <w:p w14:paraId="2859039D" w14:textId="6B0CB46C" w:rsidR="00293F8F" w:rsidRDefault="0000096C" w:rsidP="00C173D0">
      <w:pPr>
        <w:pStyle w:val="Heading2"/>
      </w:pPr>
      <w:bookmarkStart w:id="673" w:name="_Toc64846710"/>
      <w:bookmarkStart w:id="674" w:name="_Toc69477010"/>
      <w:r>
        <w:t xml:space="preserve">Yearly Settlement </w:t>
      </w:r>
      <w:bookmarkEnd w:id="673"/>
      <w:bookmarkEnd w:id="674"/>
    </w:p>
    <w:p w14:paraId="052486A4" w14:textId="4EF429B7" w:rsidR="00321697" w:rsidRPr="00BE7904" w:rsidRDefault="00E6551F" w:rsidP="005B295A">
      <w:pPr>
        <w:pStyle w:val="Heading4"/>
      </w:pPr>
      <w:r>
        <w:t xml:space="preserve">The Market Operator shall </w:t>
      </w:r>
      <w:r w:rsidR="00B047F8">
        <w:t>make</w:t>
      </w:r>
      <w:r>
        <w:t xml:space="preserve"> </w:t>
      </w:r>
      <w:r w:rsidR="00B047F8">
        <w:t>yearly</w:t>
      </w:r>
      <w:r w:rsidR="00321697" w:rsidRPr="00F8105C">
        <w:t xml:space="preserve"> Settlement</w:t>
      </w:r>
      <w:r w:rsidR="00B047F8">
        <w:t>,</w:t>
      </w:r>
      <w:r>
        <w:t xml:space="preserve"> for Balancing Mechanism for Capacity and Excess Losses</w:t>
      </w:r>
      <w:r w:rsidR="00B047F8" w:rsidRPr="003018FA">
        <w:t>,</w:t>
      </w:r>
      <w:r w:rsidRPr="00BE7904">
        <w:t xml:space="preserve"> </w:t>
      </w:r>
      <w:r w:rsidR="00B047F8" w:rsidRPr="00BE7904">
        <w:t>of</w:t>
      </w:r>
      <w:r w:rsidRPr="00BE7904">
        <w:t xml:space="preserve"> </w:t>
      </w:r>
      <w:r w:rsidRPr="00B03C4A">
        <w:t>each</w:t>
      </w:r>
      <w:r w:rsidR="00321697" w:rsidRPr="003018FA">
        <w:t xml:space="preserve"> Market Participant</w:t>
      </w:r>
      <w:r w:rsidR="00B13EDA" w:rsidRPr="00BE7904">
        <w:t xml:space="preserve"> or Service Prov</w:t>
      </w:r>
      <w:r w:rsidR="008C2DAC" w:rsidRPr="00BE7904">
        <w:t>i</w:t>
      </w:r>
      <w:r w:rsidR="00B13EDA" w:rsidRPr="00BE7904">
        <w:t>der</w:t>
      </w:r>
      <w:r w:rsidR="00321697" w:rsidRPr="00BE7904">
        <w:t xml:space="preserve">, for the previous year, </w:t>
      </w:r>
      <w:r w:rsidRPr="00BE7904">
        <w:t>which may include</w:t>
      </w:r>
      <w:r w:rsidR="00B13EDA" w:rsidRPr="00BE7904">
        <w:t xml:space="preserve">, </w:t>
      </w:r>
      <w:r w:rsidR="00B13EDA" w:rsidRPr="00B03C4A">
        <w:rPr>
          <w:i/>
          <w:iCs w:val="0"/>
        </w:rPr>
        <w:t>inter alia</w:t>
      </w:r>
      <w:r w:rsidR="00B13EDA" w:rsidRPr="003018FA">
        <w:t>,</w:t>
      </w:r>
      <w:r w:rsidR="00B13EDA" w:rsidRPr="00BE7904">
        <w:t xml:space="preserve"> the following</w:t>
      </w:r>
      <w:r w:rsidR="00321697" w:rsidRPr="00BE7904">
        <w:t>:</w:t>
      </w:r>
    </w:p>
    <w:p w14:paraId="654E0131" w14:textId="2F4653C4" w:rsidR="00321697" w:rsidRPr="00F8105C" w:rsidRDefault="00E6551F" w:rsidP="00B03234">
      <w:pPr>
        <w:pStyle w:val="Heading5"/>
      </w:pPr>
      <w:r w:rsidRPr="00BE7904">
        <w:t>t</w:t>
      </w:r>
      <w:r w:rsidR="00321697" w:rsidRPr="00BE7904">
        <w:t xml:space="preserve">he </w:t>
      </w:r>
      <w:r w:rsidRPr="00BE7904">
        <w:t>A</w:t>
      </w:r>
      <w:r w:rsidR="00321697" w:rsidRPr="00BE7904">
        <w:t>mount</w:t>
      </w:r>
      <w:r w:rsidRPr="00BE7904">
        <w:t>s</w:t>
      </w:r>
      <w:r w:rsidR="00321697" w:rsidRPr="00BE7904">
        <w:t xml:space="preserve"> </w:t>
      </w:r>
      <w:r w:rsidRPr="00BE7904">
        <w:t>P</w:t>
      </w:r>
      <w:r w:rsidR="00321697" w:rsidRPr="00BE7904">
        <w:t xml:space="preserve">ayable or </w:t>
      </w:r>
      <w:r w:rsidRPr="00BE7904">
        <w:t>R</w:t>
      </w:r>
      <w:r w:rsidR="00321697" w:rsidRPr="00BE7904">
        <w:t>eceivable</w:t>
      </w:r>
      <w:r w:rsidR="00321697" w:rsidRPr="00F8105C">
        <w:t xml:space="preserve"> by </w:t>
      </w:r>
      <w:r w:rsidR="00B047F8">
        <w:t>a</w:t>
      </w:r>
      <w:r w:rsidR="00B047F8" w:rsidRPr="00F8105C">
        <w:t xml:space="preserve"> </w:t>
      </w:r>
      <w:r w:rsidR="00321697" w:rsidRPr="00F8105C">
        <w:t xml:space="preserve">Market Participant, as the case may be, for the participation in the Balancing Mechanism for Capacity; </w:t>
      </w:r>
    </w:p>
    <w:p w14:paraId="132AFAFE" w14:textId="11F44E84" w:rsidR="00F8105C" w:rsidRPr="00F8105C" w:rsidRDefault="00B047F8" w:rsidP="00B03234">
      <w:pPr>
        <w:pStyle w:val="Heading5"/>
      </w:pPr>
      <w:r>
        <w:t>t</w:t>
      </w:r>
      <w:r w:rsidR="00321697" w:rsidRPr="00F8105C">
        <w:t xml:space="preserve">he </w:t>
      </w:r>
      <w:r>
        <w:t>A</w:t>
      </w:r>
      <w:r w:rsidR="00321697" w:rsidRPr="00F8105C">
        <w:t>mount</w:t>
      </w:r>
      <w:r>
        <w:t>s</w:t>
      </w:r>
      <w:r w:rsidR="00321697" w:rsidRPr="00F8105C">
        <w:t xml:space="preserve"> </w:t>
      </w:r>
      <w:r>
        <w:t>R</w:t>
      </w:r>
      <w:r w:rsidR="00321697" w:rsidRPr="00F8105C">
        <w:t xml:space="preserve">eceivable by </w:t>
      </w:r>
      <w:r>
        <w:t>a</w:t>
      </w:r>
      <w:r w:rsidRPr="00F8105C">
        <w:t xml:space="preserve"> </w:t>
      </w:r>
      <w:r w:rsidR="00321697" w:rsidRPr="00F8105C">
        <w:t xml:space="preserve">Market Participant for the Excess Losses </w:t>
      </w:r>
      <w:r w:rsidR="0000096C" w:rsidRPr="00F8105C">
        <w:t>of one or more Transmission Service Provider</w:t>
      </w:r>
      <w:r>
        <w:t>s</w:t>
      </w:r>
      <w:r w:rsidR="0000096C" w:rsidRPr="00F8105C">
        <w:t xml:space="preserve">, if </w:t>
      </w:r>
      <w:r>
        <w:t>applicable</w:t>
      </w:r>
      <w:r w:rsidR="0000096C" w:rsidRPr="00F8105C">
        <w:t xml:space="preserve">; </w:t>
      </w:r>
    </w:p>
    <w:p w14:paraId="4F740837" w14:textId="2F5246C7" w:rsidR="00F8105C" w:rsidRPr="00F8105C" w:rsidRDefault="00F8105C" w:rsidP="00B03234">
      <w:pPr>
        <w:pStyle w:val="Heading5"/>
      </w:pPr>
      <w:r w:rsidRPr="00F8105C">
        <w:t xml:space="preserve">The </w:t>
      </w:r>
      <w:r w:rsidR="00B047F8">
        <w:t>A</w:t>
      </w:r>
      <w:r w:rsidRPr="00F8105C">
        <w:t>mount</w:t>
      </w:r>
      <w:r w:rsidR="00B047F8">
        <w:t>s</w:t>
      </w:r>
      <w:r w:rsidRPr="00F8105C">
        <w:t xml:space="preserve"> </w:t>
      </w:r>
      <w:r w:rsidR="00B047F8">
        <w:t>P</w:t>
      </w:r>
      <w:r w:rsidRPr="00F8105C">
        <w:t xml:space="preserve">ayable by </w:t>
      </w:r>
      <w:r w:rsidR="00B047F8">
        <w:t>a</w:t>
      </w:r>
      <w:r w:rsidR="00B047F8" w:rsidRPr="00F8105C">
        <w:t xml:space="preserve"> </w:t>
      </w:r>
      <w:r w:rsidRPr="00F8105C">
        <w:t>Transmission Service Provider</w:t>
      </w:r>
      <w:r w:rsidR="00B047F8">
        <w:t xml:space="preserve"> to the Market Operator</w:t>
      </w:r>
      <w:r w:rsidRPr="00F8105C">
        <w:t xml:space="preserve"> for the Excess Losses if </w:t>
      </w:r>
      <w:r w:rsidR="00B047F8">
        <w:t>applicable</w:t>
      </w:r>
      <w:r w:rsidRPr="00F8105C">
        <w:t xml:space="preserve">; </w:t>
      </w:r>
    </w:p>
    <w:p w14:paraId="4644FF94" w14:textId="3A47DD8B" w:rsidR="00321697" w:rsidRPr="00F8105C" w:rsidRDefault="00321697" w:rsidP="00B03234">
      <w:pPr>
        <w:pStyle w:val="Heading5"/>
      </w:pPr>
      <w:r w:rsidRPr="00F8105C">
        <w:t xml:space="preserve">The </w:t>
      </w:r>
      <w:r w:rsidR="00B047F8">
        <w:t>A</w:t>
      </w:r>
      <w:r w:rsidRPr="00F8105C">
        <w:t>mount</w:t>
      </w:r>
      <w:r w:rsidR="00B047F8">
        <w:t>s</w:t>
      </w:r>
      <w:r w:rsidRPr="00F8105C">
        <w:t xml:space="preserve"> </w:t>
      </w:r>
      <w:r w:rsidR="00B047F8">
        <w:t>P</w:t>
      </w:r>
      <w:r w:rsidRPr="00F8105C">
        <w:t xml:space="preserve">ayable to or </w:t>
      </w:r>
      <w:r w:rsidR="00B047F8">
        <w:t>A</w:t>
      </w:r>
      <w:r w:rsidR="00B047F8" w:rsidRPr="00F8105C">
        <w:t>mount</w:t>
      </w:r>
      <w:r w:rsidR="00B047F8">
        <w:t>s</w:t>
      </w:r>
      <w:r w:rsidR="00B047F8" w:rsidRPr="00F8105C">
        <w:t xml:space="preserve"> </w:t>
      </w:r>
      <w:r w:rsidR="00B047F8">
        <w:t>R</w:t>
      </w:r>
      <w:r w:rsidRPr="00F8105C">
        <w:t xml:space="preserve">eceivable by </w:t>
      </w:r>
      <w:r w:rsidR="00B047F8">
        <w:t>a</w:t>
      </w:r>
      <w:r w:rsidR="00B047F8" w:rsidRPr="00F8105C">
        <w:t xml:space="preserve"> </w:t>
      </w:r>
      <w:r w:rsidRPr="00F8105C">
        <w:t>Market Participant due to</w:t>
      </w:r>
      <w:r w:rsidR="00B047F8">
        <w:t xml:space="preserve"> a</w:t>
      </w:r>
      <w:r w:rsidRPr="00F8105C">
        <w:t xml:space="preserve"> correction </w:t>
      </w:r>
      <w:r w:rsidR="00B047F8">
        <w:t>in</w:t>
      </w:r>
      <w:r w:rsidR="00B047F8" w:rsidRPr="00F8105C">
        <w:t xml:space="preserve"> </w:t>
      </w:r>
      <w:r w:rsidRPr="00F8105C">
        <w:t xml:space="preserve">the </w:t>
      </w:r>
      <w:r w:rsidR="00F8105C" w:rsidRPr="00F8105C">
        <w:t xml:space="preserve">Balancing Mechanism for Capacity and/or the </w:t>
      </w:r>
      <w:r w:rsidR="00B047F8">
        <w:t xml:space="preserve">Excess Losses of a </w:t>
      </w:r>
      <w:r w:rsidR="00F8105C" w:rsidRPr="00F8105C">
        <w:t xml:space="preserve">Transmission Service Provider, </w:t>
      </w:r>
      <w:r w:rsidRPr="00F8105C">
        <w:t xml:space="preserve">arising from </w:t>
      </w:r>
      <w:r w:rsidR="00F8105C" w:rsidRPr="00F8105C">
        <w:t xml:space="preserve">Yearly </w:t>
      </w:r>
      <w:r w:rsidRPr="00F8105C">
        <w:t>Extraordinary Settlement</w:t>
      </w:r>
      <w:r w:rsidR="00B047F8">
        <w:t xml:space="preserve"> Statement</w:t>
      </w:r>
      <w:r w:rsidRPr="00F8105C">
        <w:t xml:space="preserve"> as per </w:t>
      </w:r>
      <w:r w:rsidR="008C02F7">
        <w:t>Sub-Section</w:t>
      </w:r>
      <w:r w:rsidR="00F8105C" w:rsidRPr="00F8105C">
        <w:t xml:space="preserve"> </w:t>
      </w:r>
      <w:r w:rsidR="00F8105C" w:rsidRPr="00F8105C">
        <w:fldChar w:fldCharType="begin"/>
      </w:r>
      <w:r w:rsidR="00F8105C" w:rsidRPr="00F8105C">
        <w:instrText xml:space="preserve"> REF _Ref61215680 \r \h </w:instrText>
      </w:r>
      <w:r w:rsidR="00F8105C">
        <w:instrText xml:space="preserve"> \* MERGEFORMAT </w:instrText>
      </w:r>
      <w:r w:rsidR="00F8105C" w:rsidRPr="00F8105C">
        <w:fldChar w:fldCharType="separate"/>
      </w:r>
      <w:r w:rsidR="00251DBF">
        <w:t>12.3.3</w:t>
      </w:r>
      <w:r w:rsidR="00F8105C" w:rsidRPr="00F8105C">
        <w:fldChar w:fldCharType="end"/>
      </w:r>
      <w:r w:rsidRPr="00F8105C">
        <w:t xml:space="preserve">; </w:t>
      </w:r>
      <w:r w:rsidR="00B047F8">
        <w:t>and</w:t>
      </w:r>
    </w:p>
    <w:p w14:paraId="600DB23F" w14:textId="505715EA" w:rsidR="00F8105C" w:rsidRPr="00862557" w:rsidRDefault="00321697" w:rsidP="00B03234">
      <w:pPr>
        <w:pStyle w:val="Heading5"/>
      </w:pPr>
      <w:r w:rsidRPr="00862557">
        <w:t xml:space="preserve">The </w:t>
      </w:r>
      <w:r w:rsidR="00472684" w:rsidRPr="00862557">
        <w:t>A</w:t>
      </w:r>
      <w:r w:rsidRPr="00862557">
        <w:t xml:space="preserve">mount </w:t>
      </w:r>
      <w:r w:rsidR="00472684" w:rsidRPr="00862557">
        <w:t>P</w:t>
      </w:r>
      <w:r w:rsidRPr="00862557">
        <w:t xml:space="preserve">ayable to or </w:t>
      </w:r>
      <w:r w:rsidR="00472684" w:rsidRPr="00862557">
        <w:t>R</w:t>
      </w:r>
      <w:r w:rsidRPr="00862557">
        <w:t xml:space="preserve">eceivable by the Market Participant </w:t>
      </w:r>
      <w:r w:rsidR="00862557">
        <w:t>on account of</w:t>
      </w:r>
      <w:r w:rsidRPr="00862557">
        <w:t xml:space="preserve"> accrued interest for previous </w:t>
      </w:r>
      <w:r w:rsidR="00862557">
        <w:t xml:space="preserve">late </w:t>
      </w:r>
      <w:commentRangeStart w:id="675"/>
      <w:r w:rsidRPr="00862557">
        <w:t xml:space="preserve">payments </w:t>
      </w:r>
      <w:r w:rsidR="00862557">
        <w:t>or default in making payments</w:t>
      </w:r>
      <w:r w:rsidR="00F8105C" w:rsidRPr="00862557">
        <w:t>.</w:t>
      </w:r>
      <w:commentRangeEnd w:id="675"/>
      <w:r w:rsidR="00A32B55" w:rsidRPr="00862557">
        <w:rPr>
          <w:rStyle w:val="CommentReference"/>
          <w:rFonts w:eastAsiaTheme="minorHAnsi" w:cstheme="minorBidi"/>
          <w:color w:val="1C1C1C"/>
        </w:rPr>
        <w:commentReference w:id="675"/>
      </w:r>
    </w:p>
    <w:p w14:paraId="7991E0EB" w14:textId="1AA6777C" w:rsidR="00E73A08" w:rsidRDefault="00E73A08" w:rsidP="00E73A08">
      <w:pPr>
        <w:pStyle w:val="Heading2"/>
      </w:pPr>
      <w:bookmarkStart w:id="676" w:name="_Toc64846711"/>
      <w:bookmarkStart w:id="677" w:name="_Toc69477011"/>
      <w:r w:rsidRPr="00F8105C">
        <w:t>Charges and Compensations</w:t>
      </w:r>
      <w:r>
        <w:t xml:space="preserve"> for Excess Losses of a TSP</w:t>
      </w:r>
      <w:bookmarkEnd w:id="676"/>
      <w:bookmarkEnd w:id="677"/>
    </w:p>
    <w:p w14:paraId="6C6E989F" w14:textId="77777777" w:rsidR="00E73A08" w:rsidRPr="00595298" w:rsidRDefault="00E73A08" w:rsidP="00E73A08">
      <w:pPr>
        <w:pStyle w:val="Heading3"/>
      </w:pPr>
      <w:r>
        <w:t xml:space="preserve">Excess Losses </w:t>
      </w:r>
    </w:p>
    <w:p w14:paraId="4B0BE53A" w14:textId="41710141" w:rsidR="00E73A08" w:rsidRDefault="00E73A08" w:rsidP="005B295A">
      <w:pPr>
        <w:pStyle w:val="Heading4"/>
      </w:pPr>
      <w:r w:rsidRPr="00A02B46">
        <w:t xml:space="preserve">The </w:t>
      </w:r>
      <w:r>
        <w:t>Market Operator</w:t>
      </w:r>
      <w:r w:rsidRPr="00A02B46">
        <w:t xml:space="preserve"> </w:t>
      </w:r>
      <w:r w:rsidR="00862557">
        <w:t>shall</w:t>
      </w:r>
      <w:r w:rsidR="00862557" w:rsidRPr="00A02B46">
        <w:t xml:space="preserve"> </w:t>
      </w:r>
      <w:r w:rsidR="00862557">
        <w:t>determine</w:t>
      </w:r>
      <w:r>
        <w:t xml:space="preserve"> </w:t>
      </w:r>
      <w:r w:rsidRPr="00A02B46">
        <w:t xml:space="preserve">the charges to be </w:t>
      </w:r>
      <w:r w:rsidR="00862557">
        <w:t>imposed on</w:t>
      </w:r>
      <w:r w:rsidRPr="00A02B46">
        <w:t xml:space="preserve"> </w:t>
      </w:r>
      <w:r>
        <w:t>a Transmission Service Provider which had</w:t>
      </w:r>
      <w:r w:rsidR="00862557">
        <w:t xml:space="preserve"> incurred</w:t>
      </w:r>
      <w:r>
        <w:t xml:space="preserve">, during the previous </w:t>
      </w:r>
      <w:r w:rsidR="00862557">
        <w:t>F</w:t>
      </w:r>
      <w:r w:rsidRPr="00862557">
        <w:t>iscal</w:t>
      </w:r>
      <w:r>
        <w:t xml:space="preserve"> </w:t>
      </w:r>
      <w:r w:rsidR="00862557">
        <w:t>Y</w:t>
      </w:r>
      <w:r>
        <w:t xml:space="preserve">ear, </w:t>
      </w:r>
      <w:r w:rsidR="00520202">
        <w:t>Transmission</w:t>
      </w:r>
      <w:r>
        <w:t xml:space="preserve"> losses above </w:t>
      </w:r>
      <w:r w:rsidR="00862557">
        <w:t>the</w:t>
      </w:r>
      <w:r>
        <w:t xml:space="preserve"> target</w:t>
      </w:r>
      <w:r w:rsidR="00862557">
        <w:t xml:space="preserve"> which was </w:t>
      </w:r>
      <w:r w:rsidR="00B13EDA">
        <w:t>determined by</w:t>
      </w:r>
      <w:r>
        <w:t xml:space="preserve"> the Authority </w:t>
      </w:r>
      <w:r w:rsidR="00B13EDA">
        <w:t xml:space="preserve">in </w:t>
      </w:r>
      <w:r>
        <w:t xml:space="preserve">the latest Tariff Determination for the </w:t>
      </w:r>
      <w:r w:rsidR="00862557">
        <w:t xml:space="preserve">relevant </w:t>
      </w:r>
      <w:r>
        <w:t>Transmission Service Provider.</w:t>
      </w:r>
    </w:p>
    <w:p w14:paraId="1C1AC0B6" w14:textId="07B0D2E1" w:rsidR="00E73A08" w:rsidRDefault="00862557" w:rsidP="005B295A">
      <w:pPr>
        <w:pStyle w:val="Heading4"/>
      </w:pPr>
      <w:r>
        <w:t>Such E</w:t>
      </w:r>
      <w:r w:rsidRPr="00595298">
        <w:t xml:space="preserve">xcess </w:t>
      </w:r>
      <w:r>
        <w:t>L</w:t>
      </w:r>
      <w:r w:rsidRPr="00595298">
        <w:t>osses</w:t>
      </w:r>
      <w:r>
        <w:t xml:space="preserve"> shall</w:t>
      </w:r>
      <w:r w:rsidR="00E73A08" w:rsidRPr="00595298">
        <w:t xml:space="preserve"> be </w:t>
      </w:r>
      <w:r>
        <w:t>assessed and determined</w:t>
      </w:r>
      <w:r w:rsidRPr="00595298">
        <w:t xml:space="preserve"> </w:t>
      </w:r>
      <w:r w:rsidR="00E73A08">
        <w:t>by the Market Operator based on the information provided by the Commercial Metering System</w:t>
      </w:r>
      <w:r>
        <w:t xml:space="preserve">, according to the provisions of </w:t>
      </w:r>
      <w:r w:rsidR="00F54A87">
        <w:rPr>
          <w:rFonts w:eastAsiaTheme="minorEastAsia" w:cstheme="minorHAnsi"/>
          <w:color w:val="auto"/>
        </w:rPr>
        <w:fldChar w:fldCharType="begin"/>
      </w:r>
      <w:r w:rsidR="00F54A87">
        <w:rPr>
          <w:rFonts w:eastAsiaTheme="minorEastAsia" w:cstheme="minorHAnsi"/>
          <w:color w:val="auto"/>
        </w:rPr>
        <w:instrText xml:space="preserve"> REF _Ref76854808 \r \h </w:instrText>
      </w:r>
      <w:r w:rsidR="00F54A87">
        <w:rPr>
          <w:rFonts w:eastAsiaTheme="minorEastAsia" w:cstheme="minorHAnsi"/>
          <w:color w:val="auto"/>
        </w:rPr>
      </w:r>
      <w:r w:rsidR="00F54A87">
        <w:rPr>
          <w:rFonts w:eastAsiaTheme="minorEastAsia" w:cstheme="minorHAnsi"/>
          <w:color w:val="auto"/>
        </w:rPr>
        <w:fldChar w:fldCharType="separate"/>
      </w:r>
      <w:r w:rsidR="00F54A87">
        <w:rPr>
          <w:rFonts w:eastAsiaTheme="minorEastAsia" w:cstheme="minorHAnsi"/>
          <w:color w:val="auto"/>
        </w:rPr>
        <w:t>Chapter 5</w:t>
      </w:r>
      <w:r w:rsidR="00F54A87">
        <w:rPr>
          <w:rFonts w:eastAsiaTheme="minorEastAsia" w:cstheme="minorHAnsi"/>
          <w:color w:val="auto"/>
        </w:rPr>
        <w:fldChar w:fldCharType="end"/>
      </w:r>
      <w:r w:rsidR="00E73A08">
        <w:t xml:space="preserve">. </w:t>
      </w:r>
    </w:p>
    <w:p w14:paraId="495FB612" w14:textId="2596ACC0" w:rsidR="00E73A08" w:rsidRDefault="00F10147" w:rsidP="00E73A08">
      <w:pPr>
        <w:pStyle w:val="Heading3"/>
      </w:pPr>
      <w:bookmarkStart w:id="678" w:name="_Ref61207432"/>
      <w:r>
        <w:t>Assessment</w:t>
      </w:r>
      <w:r w:rsidRPr="006B1BB4">
        <w:t xml:space="preserve"> </w:t>
      </w:r>
      <w:r w:rsidR="00E73A08" w:rsidRPr="006B1BB4">
        <w:t xml:space="preserve">of </w:t>
      </w:r>
      <w:r w:rsidR="00E73A08">
        <w:t xml:space="preserve">the </w:t>
      </w:r>
      <w:r w:rsidR="00E73A08" w:rsidRPr="006B1BB4">
        <w:t xml:space="preserve">Annual Losses of </w:t>
      </w:r>
      <w:r w:rsidR="00E73A08">
        <w:t>a Transmission Service Provider</w:t>
      </w:r>
      <w:bookmarkEnd w:id="678"/>
    </w:p>
    <w:p w14:paraId="77D8B3F7" w14:textId="111D1EC1" w:rsidR="00E73A08" w:rsidRPr="00340004" w:rsidRDefault="00E73A08" w:rsidP="005B295A">
      <w:pPr>
        <w:pStyle w:val="Heading4"/>
      </w:pPr>
      <w:bookmarkStart w:id="679" w:name="_Ref61207504"/>
      <w:r w:rsidRPr="00340004">
        <w:t xml:space="preserve">The </w:t>
      </w:r>
      <w:r w:rsidR="000D0689">
        <w:t>t</w:t>
      </w:r>
      <w:r w:rsidRPr="00340004">
        <w:t xml:space="preserve">otal Transmission </w:t>
      </w:r>
      <w:r w:rsidR="000D0689">
        <w:t>l</w:t>
      </w:r>
      <w:r w:rsidRPr="00340004">
        <w:t xml:space="preserve">osses of </w:t>
      </w:r>
      <w:r w:rsidR="00F10147">
        <w:t>a</w:t>
      </w:r>
      <w:r w:rsidR="00F10147" w:rsidRPr="00340004">
        <w:t xml:space="preserve"> </w:t>
      </w:r>
      <w:r w:rsidRPr="00340004">
        <w:t xml:space="preserve">Transmission Licensee shall be </w:t>
      </w:r>
      <w:r w:rsidR="00F10147">
        <w:t>assessed</w:t>
      </w:r>
      <w:r w:rsidR="00F10147" w:rsidRPr="00340004">
        <w:t xml:space="preserve"> </w:t>
      </w:r>
      <w:commentRangeStart w:id="680"/>
      <w:r>
        <w:t xml:space="preserve">by the Market </w:t>
      </w:r>
      <w:commentRangeEnd w:id="680"/>
      <w:r w:rsidR="00D90AB9">
        <w:rPr>
          <w:rStyle w:val="CommentReference"/>
          <w:rFonts w:eastAsiaTheme="minorHAnsi" w:cstheme="minorBidi"/>
          <w:bCs w:val="0"/>
          <w:iCs w:val="0"/>
          <w:color w:val="1C1C1C"/>
        </w:rPr>
        <w:commentReference w:id="680"/>
      </w:r>
      <w:r>
        <w:t xml:space="preserve">Operator </w:t>
      </w:r>
      <w:r w:rsidRPr="00340004">
        <w:t>as:</w:t>
      </w:r>
      <w:bookmarkEnd w:id="679"/>
    </w:p>
    <w:p w14:paraId="4F7D0C5B" w14:textId="2D887D05" w:rsidR="00E73A08" w:rsidRPr="00546184" w:rsidRDefault="004D6075" w:rsidP="00A22D29">
      <w:pPr>
        <w:pStyle w:val="BodyText"/>
      </w:pPr>
      <m:oMathPara>
        <m:oMath>
          <m:sSub>
            <m:sSubPr>
              <m:ctrlPr>
                <w:rPr>
                  <w:rFonts w:ascii="Cambria Math" w:hAnsi="Cambria Math"/>
                </w:rPr>
              </m:ctrlPr>
            </m:sSubPr>
            <m:e>
              <m:r>
                <w:rPr>
                  <w:rFonts w:ascii="Cambria Math" w:hAnsi="Cambria Math"/>
                </w:rPr>
                <m:t>TransLoss</m:t>
              </m:r>
            </m:e>
            <m:sub>
              <m:r>
                <w:rPr>
                  <w:rFonts w:ascii="Cambria Math" w:hAnsi="Cambria Math"/>
                </w:rPr>
                <m:t>k</m:t>
              </m:r>
            </m:sub>
          </m:sSub>
          <m:d>
            <m:dPr>
              <m:begChr m:val="["/>
              <m:endChr m:val="]"/>
              <m:ctrlPr>
                <w:rPr>
                  <w:rFonts w:ascii="Cambria Math" w:hAnsi="Cambria Math"/>
                </w:rPr>
              </m:ctrlPr>
            </m:dPr>
            <m:e>
              <m:r>
                <w:rPr>
                  <w:rFonts w:ascii="Cambria Math" w:hAnsi="Cambria Math"/>
                </w:rPr>
                <m:t>MWh</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h</m:t>
              </m:r>
              <m:r>
                <m:rPr>
                  <m:sty m:val="p"/>
                </m:rPr>
                <w:rPr>
                  <w:rFonts w:ascii="Cambria Math" w:hAnsi="Cambria Math"/>
                </w:rPr>
                <m:t>=1</m:t>
              </m:r>
            </m:sub>
            <m:sup>
              <m:r>
                <w:rPr>
                  <w:rFonts w:ascii="Cambria Math" w:hAnsi="Cambria Math"/>
                </w:rPr>
                <m:t>h</m:t>
              </m:r>
              <m:r>
                <m:rPr>
                  <m:sty m:val="p"/>
                </m:rPr>
                <w:rPr>
                  <w:rFonts w:ascii="Cambria Math" w:hAnsi="Cambria Math"/>
                </w:rPr>
                <m:t>=n</m:t>
              </m:r>
            </m:sup>
            <m:e>
              <m:d>
                <m:dPr>
                  <m:ctrlPr>
                    <w:rPr>
                      <w:rFonts w:ascii="Cambria Math" w:hAnsi="Cambria Math"/>
                    </w:rPr>
                  </m:ctrlPr>
                </m:dPr>
                <m:e>
                  <m:nary>
                    <m:naryPr>
                      <m:chr m:val="∑"/>
                      <m:limLoc m:val="undOvr"/>
                      <m:supHide m:val="1"/>
                      <m:ctrlPr>
                        <w:rPr>
                          <w:rFonts w:ascii="Cambria Math" w:hAnsi="Cambria Math"/>
                        </w:rPr>
                      </m:ctrlPr>
                    </m:naryPr>
                    <m:sub>
                      <m:r>
                        <m:rPr>
                          <m:sty m:val="p"/>
                        </m:rPr>
                        <w:rPr>
                          <w:rFonts w:ascii="Cambria Math" w:hAnsi="Cambria Math"/>
                        </w:rPr>
                        <m:t xml:space="preserve">∀ </m:t>
                      </m:r>
                      <m:sSub>
                        <m:sSubPr>
                          <m:ctrlPr>
                            <w:rPr>
                              <w:rFonts w:ascii="Cambria Math" w:hAnsi="Cambria Math"/>
                            </w:rPr>
                          </m:ctrlPr>
                        </m:sSubPr>
                        <m:e>
                          <m:r>
                            <w:rPr>
                              <w:rFonts w:ascii="Cambria Math" w:hAnsi="Cambria Math"/>
                            </w:rPr>
                            <m:t>i</m:t>
                          </m:r>
                          <m:r>
                            <m:rPr>
                              <m:sty m:val="p"/>
                            </m:rPr>
                            <w:rPr>
                              <w:rFonts w:ascii="Cambria Math" w:hAnsi="Cambria Math"/>
                            </w:rPr>
                            <m:t xml:space="preserve"> ∈ </m:t>
                          </m:r>
                          <m:r>
                            <w:rPr>
                              <w:rFonts w:ascii="Cambria Math" w:hAnsi="Cambria Math"/>
                            </w:rPr>
                            <m:t>MP</m:t>
                          </m:r>
                        </m:e>
                        <m:sub>
                          <m:r>
                            <w:rPr>
                              <w:rFonts w:ascii="Cambria Math" w:hAnsi="Cambria Math"/>
                            </w:rPr>
                            <m:t>k</m:t>
                          </m:r>
                        </m:sub>
                      </m:sSub>
                    </m:sub>
                    <m:sup/>
                    <m:e>
                      <m:sSub>
                        <m:sSubPr>
                          <m:ctrlPr>
                            <w:rPr>
                              <w:rFonts w:ascii="Cambria Math" w:hAnsi="Cambria Math"/>
                            </w:rPr>
                          </m:ctrlPr>
                        </m:sSubPr>
                        <m:e>
                          <m:sSub>
                            <m:sSubPr>
                              <m:ctrlPr>
                                <w:rPr>
                                  <w:rFonts w:ascii="Cambria Math" w:hAnsi="Cambria Math"/>
                                </w:rPr>
                              </m:ctrlPr>
                            </m:sSubPr>
                            <m:e>
                              <m:r>
                                <w:rPr>
                                  <w:rFonts w:ascii="Cambria Math" w:hAnsi="Cambria Math"/>
                                </w:rPr>
                                <m:t>E</m:t>
                              </m:r>
                            </m:e>
                            <m:sub>
                              <m:r>
                                <w:rPr>
                                  <w:rFonts w:ascii="Cambria Math" w:hAnsi="Cambria Math"/>
                                </w:rPr>
                                <m:t>MP</m:t>
                              </m:r>
                            </m:sub>
                          </m:sSub>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h</m:t>
                          </m:r>
                        </m:sub>
                      </m:sSub>
                    </m:e>
                  </m:nary>
                </m:e>
              </m:d>
            </m:e>
          </m:nary>
        </m:oMath>
      </m:oMathPara>
    </w:p>
    <w:p w14:paraId="0B4FE231" w14:textId="77777777" w:rsidR="00E73A08" w:rsidRPr="00546184" w:rsidRDefault="00E73A08" w:rsidP="00A22D29">
      <w:pPr>
        <w:pStyle w:val="BodyText"/>
      </w:pPr>
      <w:r w:rsidRPr="00546184">
        <w:t xml:space="preserve">Where: </w:t>
      </w:r>
    </w:p>
    <w:p w14:paraId="12A53131" w14:textId="683106ED" w:rsidR="00E73A08" w:rsidRPr="00546184" w:rsidRDefault="00E73A08" w:rsidP="00FF4826">
      <w:pPr>
        <w:pStyle w:val="BodyText"/>
        <w:numPr>
          <w:ilvl w:val="0"/>
          <w:numId w:val="23"/>
        </w:numPr>
      </w:pPr>
      <w:r w:rsidRPr="00546184">
        <w:rPr>
          <w:i/>
          <w:iCs/>
        </w:rPr>
        <w:t>TransLoss</w:t>
      </w:r>
      <w:r>
        <w:rPr>
          <w:i/>
          <w:iCs/>
          <w:vertAlign w:val="subscript"/>
        </w:rPr>
        <w:t>k</w:t>
      </w:r>
      <w:r w:rsidRPr="00546184">
        <w:t xml:space="preserve"> are the </w:t>
      </w:r>
      <w:r>
        <w:t>total T</w:t>
      </w:r>
      <w:r w:rsidRPr="00546184">
        <w:t xml:space="preserve">ransmission </w:t>
      </w:r>
      <w:r w:rsidR="000D0689">
        <w:t>l</w:t>
      </w:r>
      <w:r w:rsidRPr="00546184">
        <w:t xml:space="preserve">osses </w:t>
      </w:r>
      <w:r>
        <w:t xml:space="preserve">of the Transmission Service Provider </w:t>
      </w:r>
      <w:r w:rsidRPr="00F43810">
        <w:rPr>
          <w:i/>
          <w:iCs/>
        </w:rPr>
        <w:t>k</w:t>
      </w:r>
      <w:r>
        <w:t xml:space="preserve"> </w:t>
      </w:r>
      <w:r w:rsidRPr="00546184">
        <w:t xml:space="preserve">in </w:t>
      </w:r>
      <w:r>
        <w:t>the previous fiscal year</w:t>
      </w:r>
      <w:r w:rsidRPr="00546184">
        <w:t>, expressed in MWh</w:t>
      </w:r>
      <w:r w:rsidR="00BE7904">
        <w:t>;</w:t>
      </w:r>
      <w:r w:rsidRPr="00546184">
        <w:t xml:space="preserve"> </w:t>
      </w:r>
    </w:p>
    <w:p w14:paraId="665CF1E6" w14:textId="3BE39155" w:rsidR="00E73A08" w:rsidRPr="00546184" w:rsidRDefault="00E73A08" w:rsidP="00FF4826">
      <w:pPr>
        <w:pStyle w:val="BodyText"/>
        <w:numPr>
          <w:ilvl w:val="0"/>
          <w:numId w:val="23"/>
        </w:numPr>
      </w:pPr>
      <w:r w:rsidRPr="00546184">
        <w:rPr>
          <w:i/>
          <w:iCs/>
        </w:rPr>
        <w:t>E</w:t>
      </w:r>
      <w:r>
        <w:rPr>
          <w:i/>
          <w:iCs/>
          <w:vertAlign w:val="subscript"/>
        </w:rPr>
        <w:t>MP</w:t>
      </w:r>
      <w:r w:rsidRPr="00546184">
        <w:rPr>
          <w:i/>
          <w:iCs/>
          <w:vertAlign w:val="subscript"/>
        </w:rPr>
        <w:t>i,</w:t>
      </w:r>
      <w:r>
        <w:rPr>
          <w:i/>
          <w:iCs/>
          <w:vertAlign w:val="subscript"/>
        </w:rPr>
        <w:t>k,</w:t>
      </w:r>
      <w:r w:rsidRPr="00546184">
        <w:rPr>
          <w:i/>
          <w:iCs/>
          <w:vertAlign w:val="subscript"/>
        </w:rPr>
        <w:t>h</w:t>
      </w:r>
      <w:r w:rsidRPr="00546184">
        <w:t xml:space="preserve"> is the </w:t>
      </w:r>
      <w:r w:rsidR="0046412E">
        <w:t>Energy</w:t>
      </w:r>
      <w:r w:rsidRPr="00546184">
        <w:t xml:space="preserve"> </w:t>
      </w:r>
      <w:r>
        <w:t xml:space="preserve">registered by the Commercial Metering System </w:t>
      </w:r>
      <w:r w:rsidR="00F10147">
        <w:t xml:space="preserve"> as per provisions of </w:t>
      </w:r>
      <w:r w:rsidR="00F54A87">
        <w:rPr>
          <w:rFonts w:eastAsiaTheme="minorEastAsia" w:cstheme="minorHAnsi"/>
          <w:color w:val="auto"/>
        </w:rPr>
        <w:fldChar w:fldCharType="begin"/>
      </w:r>
      <w:r w:rsidR="00F54A87">
        <w:rPr>
          <w:rFonts w:eastAsiaTheme="minorEastAsia" w:cstheme="minorHAnsi"/>
          <w:color w:val="auto"/>
        </w:rPr>
        <w:instrText xml:space="preserve"> REF _Ref76854808 \r \h </w:instrText>
      </w:r>
      <w:r w:rsidR="00F54A87">
        <w:rPr>
          <w:rFonts w:eastAsiaTheme="minorEastAsia" w:cstheme="minorHAnsi"/>
          <w:color w:val="auto"/>
        </w:rPr>
      </w:r>
      <w:r w:rsidR="00F54A87">
        <w:rPr>
          <w:rFonts w:eastAsiaTheme="minorEastAsia" w:cstheme="minorHAnsi"/>
          <w:color w:val="auto"/>
        </w:rPr>
        <w:fldChar w:fldCharType="separate"/>
      </w:r>
      <w:r w:rsidR="00F54A87">
        <w:rPr>
          <w:rFonts w:eastAsiaTheme="minorEastAsia" w:cstheme="minorHAnsi"/>
          <w:color w:val="auto"/>
        </w:rPr>
        <w:t>Chapter 5</w:t>
      </w:r>
      <w:r w:rsidR="00F54A87">
        <w:rPr>
          <w:rFonts w:eastAsiaTheme="minorEastAsia" w:cstheme="minorHAnsi"/>
          <w:color w:val="auto"/>
        </w:rPr>
        <w:fldChar w:fldCharType="end"/>
      </w:r>
      <w:r w:rsidR="00F10147">
        <w:t xml:space="preserve"> </w:t>
      </w:r>
      <w:r>
        <w:t xml:space="preserve">at the </w:t>
      </w:r>
      <w:r w:rsidR="005A3B71">
        <w:t>Trading Point</w:t>
      </w:r>
      <w:r>
        <w:t xml:space="preserve"> </w:t>
      </w:r>
      <w:r w:rsidRPr="00A8269E">
        <w:rPr>
          <w:i/>
          <w:iCs/>
        </w:rPr>
        <w:t>i</w:t>
      </w:r>
      <w:r>
        <w:t xml:space="preserve">, corresponding to the Transmission Service Provider </w:t>
      </w:r>
      <w:r w:rsidRPr="00A8269E">
        <w:rPr>
          <w:i/>
          <w:iCs/>
        </w:rPr>
        <w:t>k</w:t>
      </w:r>
      <w:r>
        <w:t xml:space="preserve"> </w:t>
      </w:r>
      <w:r w:rsidRPr="00546184">
        <w:t xml:space="preserve">in the hour </w:t>
      </w:r>
      <w:r w:rsidRPr="00546184">
        <w:rPr>
          <w:i/>
          <w:iCs/>
        </w:rPr>
        <w:t>h</w:t>
      </w:r>
      <w:r w:rsidR="00BE7904">
        <w:t>;</w:t>
      </w:r>
    </w:p>
    <w:p w14:paraId="16B9013D" w14:textId="75AB6470" w:rsidR="00E73A08" w:rsidRDefault="00E73A08" w:rsidP="00FF4826">
      <w:pPr>
        <w:pStyle w:val="BodyText"/>
        <w:numPr>
          <w:ilvl w:val="0"/>
          <w:numId w:val="23"/>
        </w:numPr>
      </w:pPr>
      <w:r w:rsidRPr="00546184">
        <w:rPr>
          <w:rFonts w:ascii="Cambria Math" w:hAnsi="Cambria Math" w:cs="Cambria Math"/>
          <w:i/>
          <w:iCs/>
        </w:rPr>
        <w:lastRenderedPageBreak/>
        <w:t>∀</w:t>
      </w:r>
      <w:r w:rsidRPr="00546184">
        <w:rPr>
          <w:i/>
          <w:iCs/>
        </w:rPr>
        <w:t xml:space="preserve"> i </w:t>
      </w:r>
      <w:r w:rsidRPr="00546184">
        <w:rPr>
          <w:rFonts w:ascii="Cambria Math" w:hAnsi="Cambria Math" w:cs="Cambria Math"/>
          <w:i/>
          <w:iCs/>
        </w:rPr>
        <w:t>∈</w:t>
      </w:r>
      <w:r w:rsidRPr="00546184">
        <w:rPr>
          <w:i/>
          <w:iCs/>
        </w:rPr>
        <w:t xml:space="preserve"> </w:t>
      </w:r>
      <w:r>
        <w:rPr>
          <w:i/>
          <w:iCs/>
        </w:rPr>
        <w:t>MP</w:t>
      </w:r>
      <w:r w:rsidRPr="00A8269E">
        <w:rPr>
          <w:i/>
          <w:iCs/>
          <w:vertAlign w:val="subscript"/>
        </w:rPr>
        <w:t>k</w:t>
      </w:r>
      <w:r w:rsidRPr="00546184">
        <w:t xml:space="preserve"> means all those </w:t>
      </w:r>
      <w:r w:rsidR="005A3B71">
        <w:t>Trading Point</w:t>
      </w:r>
      <w:r>
        <w:t xml:space="preserve">s </w:t>
      </w:r>
      <w:r w:rsidR="00F10147">
        <w:t xml:space="preserve">located at the boundary of  </w:t>
      </w:r>
      <w:r>
        <w:t xml:space="preserve">the Transmission Service Provider </w:t>
      </w:r>
      <w:r w:rsidRPr="00A8269E">
        <w:rPr>
          <w:i/>
          <w:iCs/>
        </w:rPr>
        <w:t>k</w:t>
      </w:r>
      <w:r w:rsidR="00BE7904">
        <w:rPr>
          <w:i/>
          <w:iCs/>
        </w:rPr>
        <w:t>;</w:t>
      </w:r>
      <w:r>
        <w:t xml:space="preserve"> </w:t>
      </w:r>
    </w:p>
    <w:p w14:paraId="52713E3A" w14:textId="65A3B033" w:rsidR="00E73A08" w:rsidRDefault="004D6075" w:rsidP="00FF4826">
      <w:pPr>
        <w:pStyle w:val="BodyText"/>
        <w:numPr>
          <w:ilvl w:val="0"/>
          <w:numId w:val="23"/>
        </w:numPr>
      </w:pPr>
      <m:oMath>
        <m:nary>
          <m:naryPr>
            <m:chr m:val="∑"/>
            <m:limLoc m:val="undOvr"/>
            <m:ctrlPr>
              <w:rPr>
                <w:rFonts w:ascii="Cambria Math" w:hAnsi="Cambria Math"/>
                <w:i/>
              </w:rPr>
            </m:ctrlPr>
          </m:naryPr>
          <m:sub>
            <m:r>
              <w:rPr>
                <w:rFonts w:ascii="Cambria Math" w:hAnsi="Cambria Math"/>
              </w:rPr>
              <m:t>h=1</m:t>
            </m:r>
          </m:sub>
          <m:sup>
            <m:r>
              <w:rPr>
                <w:rFonts w:ascii="Cambria Math" w:hAnsi="Cambria Math"/>
              </w:rPr>
              <m:t>h=n</m:t>
            </m:r>
          </m:sup>
          <m:e>
            <m:d>
              <m:dPr>
                <m:ctrlPr>
                  <w:rPr>
                    <w:rFonts w:ascii="Cambria Math" w:hAnsi="Cambria Math"/>
                    <w:i/>
                  </w:rPr>
                </m:ctrlPr>
              </m:dPr>
              <m:e/>
            </m:d>
          </m:e>
        </m:nary>
      </m:oMath>
      <w:r w:rsidR="00E73A08">
        <w:t xml:space="preserve"> means the </w:t>
      </w:r>
      <w:r w:rsidR="00F10147">
        <w:t xml:space="preserve">sum </w:t>
      </w:r>
      <w:r w:rsidR="00E73A08">
        <w:t>over the total number of hours of the previous fiscal year (8,760 or 8,784 hours, as the case may be)</w:t>
      </w:r>
      <w:r w:rsidR="00BE7904">
        <w:t>.</w:t>
      </w:r>
    </w:p>
    <w:p w14:paraId="5D6D1255" w14:textId="00325A90" w:rsidR="00E73A08" w:rsidRDefault="00E73A08" w:rsidP="005B295A">
      <w:pPr>
        <w:pStyle w:val="Heading4"/>
      </w:pPr>
      <w:bookmarkStart w:id="681" w:name="_Ref61208664"/>
      <w:r>
        <w:t xml:space="preserve">Sign convention: For the application of the formula </w:t>
      </w:r>
      <w:r w:rsidR="00F10147">
        <w:t xml:space="preserve">provided </w:t>
      </w:r>
      <w:r>
        <w:t>in Clause</w:t>
      </w:r>
      <w:r>
        <w:fldChar w:fldCharType="begin"/>
      </w:r>
      <w:r>
        <w:instrText xml:space="preserve"> REF _Ref61207504 \r \h </w:instrText>
      </w:r>
      <w:r>
        <w:fldChar w:fldCharType="separate"/>
      </w:r>
      <w:r w:rsidR="00251DBF">
        <w:t>12.2.2.1</w:t>
      </w:r>
      <w:r>
        <w:fldChar w:fldCharType="end"/>
      </w:r>
      <w:r>
        <w:t xml:space="preserve">, the </w:t>
      </w:r>
      <w:r w:rsidR="0046412E">
        <w:t>Energy</w:t>
      </w:r>
      <w:r>
        <w:t xml:space="preserve"> </w:t>
      </w:r>
      <w:r w:rsidR="00EB1EBE">
        <w:t>registered at</w:t>
      </w:r>
      <w:r>
        <w:t xml:space="preserve"> each </w:t>
      </w:r>
      <w:r w:rsidR="005A3B71">
        <w:t>Trading Point</w:t>
      </w:r>
      <w:r>
        <w:t xml:space="preserve"> at each particular hour shall be considered positive if it is </w:t>
      </w:r>
      <w:r w:rsidR="00F10147">
        <w:t xml:space="preserve">injected </w:t>
      </w:r>
      <w:r>
        <w:t xml:space="preserve">into the Transmission Network of Transmission Service Provider </w:t>
      </w:r>
      <w:r w:rsidRPr="00340004">
        <w:t>“k”</w:t>
      </w:r>
      <w:r>
        <w:t xml:space="preserve"> and negative if it is </w:t>
      </w:r>
      <w:r w:rsidR="00F10147">
        <w:t>withdrawn</w:t>
      </w:r>
      <w:r>
        <w:t xml:space="preserve"> from such Transmission Network.</w:t>
      </w:r>
      <w:bookmarkEnd w:id="681"/>
      <w:r w:rsidR="00F10147">
        <w:t xml:space="preserve"> </w:t>
      </w:r>
      <w:r w:rsidR="00BE7904" w:rsidRPr="00806DF2">
        <w:t xml:space="preserve">In case </w:t>
      </w:r>
      <w:r w:rsidR="00BE7904">
        <w:t>a</w:t>
      </w:r>
      <w:r w:rsidR="00BE7904" w:rsidRPr="00806DF2">
        <w:t xml:space="preserve"> Metering Point</w:t>
      </w:r>
      <w:r w:rsidR="00BE7904">
        <w:t xml:space="preserve"> records separate values for Energy injected and withdrawn</w:t>
      </w:r>
      <w:r w:rsidR="00BE7904" w:rsidRPr="00806DF2">
        <w:t xml:space="preserve">, </w:t>
      </w:r>
      <w:r w:rsidR="00BE7904">
        <w:t xml:space="preserve">the sign convention shall apply </w:t>
      </w:r>
      <w:r w:rsidR="00BE7904" w:rsidRPr="00806DF2">
        <w:t>accordingly for each</w:t>
      </w:r>
      <w:r w:rsidR="00BE7904">
        <w:t xml:space="preserve"> recorded value at the</w:t>
      </w:r>
      <w:r w:rsidR="00BE7904" w:rsidRPr="00806DF2">
        <w:t xml:space="preserve"> particular hour.</w:t>
      </w:r>
    </w:p>
    <w:p w14:paraId="3C6529DC" w14:textId="0725DA0C" w:rsidR="00E73A08" w:rsidRPr="00E22A64" w:rsidRDefault="00E73A08" w:rsidP="00E73A08">
      <w:pPr>
        <w:pStyle w:val="Heading3"/>
      </w:pPr>
      <w:r w:rsidRPr="00E22A64">
        <w:t xml:space="preserve">Calculation of </w:t>
      </w:r>
      <w:r w:rsidR="00F10147" w:rsidRPr="00FF5A65">
        <w:rPr>
          <w:sz w:val="28"/>
          <w:szCs w:val="28"/>
        </w:rPr>
        <w:t>transmitted energy</w:t>
      </w:r>
      <w:r w:rsidR="00F10147" w:rsidRPr="008D0011">
        <w:t xml:space="preserve"> </w:t>
      </w:r>
      <w:r w:rsidRPr="006B1BB4">
        <w:t xml:space="preserve">of </w:t>
      </w:r>
      <w:r>
        <w:t>a Transmission Service Provider</w:t>
      </w:r>
    </w:p>
    <w:p w14:paraId="1003B4BE" w14:textId="1386EEC1" w:rsidR="00E73A08" w:rsidRDefault="00E73A08" w:rsidP="005B295A">
      <w:pPr>
        <w:pStyle w:val="Heading4"/>
      </w:pPr>
      <w:r>
        <w:t xml:space="preserve">The Market Operator </w:t>
      </w:r>
      <w:r w:rsidR="00F10147">
        <w:t xml:space="preserve">shall </w:t>
      </w:r>
      <w:r>
        <w:t xml:space="preserve">determine the total </w:t>
      </w:r>
      <w:bookmarkStart w:id="682" w:name="_Hlk66266218"/>
      <w:r>
        <w:t xml:space="preserve">Transmitted Energy </w:t>
      </w:r>
      <w:bookmarkEnd w:id="682"/>
      <w:r>
        <w:t xml:space="preserve">of a Transmission Service Provider, for the previous fiscal year, </w:t>
      </w:r>
      <w:r w:rsidRPr="00DC3267">
        <w:t xml:space="preserve">by adding the </w:t>
      </w:r>
      <w:r>
        <w:t xml:space="preserve">total </w:t>
      </w:r>
      <w:r w:rsidR="00C90D94">
        <w:t>E</w:t>
      </w:r>
      <w:r w:rsidRPr="00DC3267">
        <w:t xml:space="preserve">nergy </w:t>
      </w:r>
      <w:r w:rsidR="00EB1EBE">
        <w:t>injected into</w:t>
      </w:r>
      <w:r>
        <w:t xml:space="preserve"> the T</w:t>
      </w:r>
      <w:r w:rsidRPr="00DC3267">
        <w:t xml:space="preserve">ransmission </w:t>
      </w:r>
      <w:r>
        <w:t>N</w:t>
      </w:r>
      <w:r w:rsidRPr="00DC3267">
        <w:t xml:space="preserve">etwork </w:t>
      </w:r>
      <w:r>
        <w:t xml:space="preserve">of the </w:t>
      </w:r>
      <w:r w:rsidR="00F10147">
        <w:t xml:space="preserve">relevant </w:t>
      </w:r>
      <w:r>
        <w:t xml:space="preserve">Transmission Service Provider. For such purpose, the Market Operator shall utilize the metering </w:t>
      </w:r>
      <w:r w:rsidR="00C90D94">
        <w:t xml:space="preserve">data </w:t>
      </w:r>
      <w:r>
        <w:t>submitted by the Metering Service Provider</w:t>
      </w:r>
      <w:r w:rsidR="00F10147">
        <w:t xml:space="preserve"> as per provisions of </w:t>
      </w:r>
      <w:r w:rsidR="00F54A87">
        <w:rPr>
          <w:rFonts w:eastAsiaTheme="minorEastAsia" w:cstheme="minorHAnsi"/>
          <w:color w:val="auto"/>
        </w:rPr>
        <w:fldChar w:fldCharType="begin"/>
      </w:r>
      <w:r w:rsidR="00F54A87">
        <w:rPr>
          <w:rFonts w:eastAsiaTheme="minorEastAsia" w:cstheme="minorHAnsi"/>
          <w:color w:val="auto"/>
        </w:rPr>
        <w:instrText xml:space="preserve"> REF _Ref76854808 \r \h </w:instrText>
      </w:r>
      <w:r w:rsidR="00F54A87">
        <w:rPr>
          <w:rFonts w:eastAsiaTheme="minorEastAsia" w:cstheme="minorHAnsi"/>
          <w:color w:val="auto"/>
        </w:rPr>
      </w:r>
      <w:r w:rsidR="00F54A87">
        <w:rPr>
          <w:rFonts w:eastAsiaTheme="minorEastAsia" w:cstheme="minorHAnsi"/>
          <w:color w:val="auto"/>
        </w:rPr>
        <w:fldChar w:fldCharType="separate"/>
      </w:r>
      <w:r w:rsidR="00F54A87">
        <w:rPr>
          <w:rFonts w:eastAsiaTheme="minorEastAsia" w:cstheme="minorHAnsi"/>
          <w:color w:val="auto"/>
        </w:rPr>
        <w:t>Chapter 5</w:t>
      </w:r>
      <w:r w:rsidR="00F54A87">
        <w:rPr>
          <w:rFonts w:eastAsiaTheme="minorEastAsia" w:cstheme="minorHAnsi"/>
          <w:color w:val="auto"/>
        </w:rPr>
        <w:fldChar w:fldCharType="end"/>
      </w:r>
      <w:r w:rsidR="00F10147">
        <w:t>.</w:t>
      </w:r>
    </w:p>
    <w:p w14:paraId="79398C00" w14:textId="45A56466" w:rsidR="00E73A08" w:rsidRPr="00ED5FBB" w:rsidRDefault="00E73A08" w:rsidP="005B295A">
      <w:pPr>
        <w:pStyle w:val="Heading4"/>
      </w:pPr>
      <w:bookmarkStart w:id="683" w:name="_Ref61210353"/>
      <w:r>
        <w:t xml:space="preserve">Total Transmitted Energy, for the Transmission Service Provider shall be </w:t>
      </w:r>
      <w:r w:rsidR="00F10147">
        <w:t xml:space="preserve">assessed </w:t>
      </w:r>
      <w:r>
        <w:t>as:</w:t>
      </w:r>
      <w:bookmarkEnd w:id="683"/>
    </w:p>
    <w:p w14:paraId="2FBCD7EF" w14:textId="0944E977" w:rsidR="00E73A08" w:rsidRDefault="004D6075" w:rsidP="005B295A">
      <w:pPr>
        <w:pStyle w:val="Heading4"/>
        <w:numPr>
          <w:ilvl w:val="0"/>
          <w:numId w:val="0"/>
        </w:numPr>
        <w:ind w:left="851"/>
        <w:rPr>
          <w:rFonts w:asciiTheme="minorHAnsi" w:eastAsiaTheme="minorEastAsia" w:hAnsiTheme="minorHAnsi" w:cstheme="minorHAnsi"/>
        </w:rPr>
      </w:pPr>
      <m:oMathPara>
        <m:oMath>
          <m:sSub>
            <m:sSubPr>
              <m:ctrlPr>
                <w:rPr>
                  <w:rFonts w:ascii="Cambria Math" w:hAnsi="Cambria Math"/>
                </w:rPr>
              </m:ctrlPr>
            </m:sSubPr>
            <m:e>
              <m:r>
                <w:rPr>
                  <w:rFonts w:ascii="Cambria Math" w:hAnsi="Cambria Math"/>
                </w:rPr>
                <m:t>TransEnergy</m:t>
              </m:r>
            </m:e>
            <m:sub>
              <m:r>
                <w:rPr>
                  <w:rFonts w:ascii="Cambria Math" w:hAnsi="Cambria Math"/>
                </w:rPr>
                <m:t>k</m:t>
              </m:r>
            </m:sub>
          </m:sSub>
          <m:d>
            <m:dPr>
              <m:begChr m:val="["/>
              <m:endChr m:val="]"/>
              <m:ctrlPr>
                <w:rPr>
                  <w:rFonts w:ascii="Cambria Math" w:hAnsi="Cambria Math"/>
                </w:rPr>
              </m:ctrlPr>
            </m:dPr>
            <m:e>
              <m:r>
                <w:rPr>
                  <w:rFonts w:ascii="Cambria Math" w:hAnsi="Cambria Math"/>
                </w:rPr>
                <m:t>MWh</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h</m:t>
              </m:r>
              <m:r>
                <m:rPr>
                  <m:sty m:val="p"/>
                </m:rPr>
                <w:rPr>
                  <w:rFonts w:ascii="Cambria Math" w:hAnsi="Cambria Math"/>
                </w:rPr>
                <m:t>=1</m:t>
              </m:r>
            </m:sub>
            <m:sup>
              <m:r>
                <w:rPr>
                  <w:rFonts w:ascii="Cambria Math" w:hAnsi="Cambria Math"/>
                </w:rPr>
                <m:t>h</m:t>
              </m:r>
              <m:r>
                <m:rPr>
                  <m:sty m:val="p"/>
                </m:rPr>
                <w:rPr>
                  <w:rFonts w:ascii="Cambria Math" w:hAnsi="Cambria Math"/>
                </w:rPr>
                <m:t>=n</m:t>
              </m:r>
            </m:sup>
            <m:e>
              <m:d>
                <m:dPr>
                  <m:ctrlPr>
                    <w:rPr>
                      <w:rFonts w:ascii="Cambria Math" w:hAnsi="Cambria Math"/>
                    </w:rPr>
                  </m:ctrlPr>
                </m:dPr>
                <m:e>
                  <m:nary>
                    <m:naryPr>
                      <m:chr m:val="∑"/>
                      <m:limLoc m:val="undOvr"/>
                      <m:supHide m:val="1"/>
                      <m:ctrlPr>
                        <w:rPr>
                          <w:rFonts w:ascii="Cambria Math" w:hAnsi="Cambria Math"/>
                        </w:rPr>
                      </m:ctrlPr>
                    </m:naryPr>
                    <m:sub>
                      <m:r>
                        <m:rPr>
                          <m:sty m:val="p"/>
                        </m:rPr>
                        <w:rPr>
                          <w:rFonts w:ascii="Cambria Math" w:hAnsi="Cambria Math"/>
                        </w:rPr>
                        <m:t xml:space="preserve">∀ </m:t>
                      </m:r>
                      <m:sSub>
                        <m:sSubPr>
                          <m:ctrlPr>
                            <w:rPr>
                              <w:rFonts w:ascii="Cambria Math" w:hAnsi="Cambria Math"/>
                            </w:rPr>
                          </m:ctrlPr>
                        </m:sSubPr>
                        <m:e>
                          <m:r>
                            <w:rPr>
                              <w:rFonts w:ascii="Cambria Math" w:hAnsi="Cambria Math"/>
                            </w:rPr>
                            <m:t>i</m:t>
                          </m:r>
                          <m:r>
                            <m:rPr>
                              <m:sty m:val="p"/>
                            </m:rPr>
                            <w:rPr>
                              <w:rFonts w:ascii="Cambria Math" w:hAnsi="Cambria Math"/>
                            </w:rPr>
                            <m:t xml:space="preserve"> ∈ </m:t>
                          </m:r>
                          <m:r>
                            <w:rPr>
                              <w:rFonts w:ascii="Cambria Math" w:hAnsi="Cambria Math"/>
                            </w:rPr>
                            <m:t>MP</m:t>
                          </m:r>
                        </m:e>
                        <m:sub>
                          <m:r>
                            <w:rPr>
                              <w:rFonts w:ascii="Cambria Math" w:hAnsi="Cambria Math"/>
                            </w:rPr>
                            <m:t>G</m:t>
                          </m:r>
                          <m:r>
                            <m:rPr>
                              <m:sty m:val="p"/>
                            </m:rPr>
                            <w:rPr>
                              <w:rFonts w:ascii="Cambria Math" w:hAnsi="Cambria Math" w:cs="Calibri"/>
                            </w:rPr>
                            <m:t>→</m:t>
                          </m:r>
                          <m:r>
                            <w:rPr>
                              <w:rFonts w:ascii="Cambria Math" w:hAnsi="Cambria Math"/>
                            </w:rPr>
                            <m:t>T</m:t>
                          </m:r>
                        </m:sub>
                      </m:sSub>
                    </m:sub>
                    <m:sup/>
                    <m:e>
                      <m:sSub>
                        <m:sSubPr>
                          <m:ctrlPr>
                            <w:rPr>
                              <w:rFonts w:ascii="Cambria Math" w:hAnsi="Cambria Math"/>
                            </w:rPr>
                          </m:ctrlPr>
                        </m:sSubPr>
                        <m:e>
                          <m:sSub>
                            <m:sSubPr>
                              <m:ctrlPr>
                                <w:rPr>
                                  <w:rFonts w:ascii="Cambria Math" w:hAnsi="Cambria Math"/>
                                </w:rPr>
                              </m:ctrlPr>
                            </m:sSubPr>
                            <m:e>
                              <m:r>
                                <w:rPr>
                                  <w:rFonts w:ascii="Cambria Math" w:hAnsi="Cambria Math"/>
                                </w:rPr>
                                <m:t>E</m:t>
                              </m:r>
                            </m:e>
                            <m:sub>
                              <m:r>
                                <w:rPr>
                                  <w:rFonts w:ascii="Cambria Math" w:hAnsi="Cambria Math"/>
                                </w:rPr>
                                <m:t>MP</m:t>
                              </m:r>
                            </m:sub>
                          </m:sSub>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h</m:t>
                          </m:r>
                        </m:sub>
                      </m:sSub>
                    </m:e>
                  </m:nary>
                </m:e>
              </m:d>
            </m:e>
          </m:nary>
        </m:oMath>
      </m:oMathPara>
    </w:p>
    <w:p w14:paraId="7AB4B015" w14:textId="77777777" w:rsidR="00E73A08" w:rsidRPr="00DC3267" w:rsidRDefault="00E73A08" w:rsidP="00E73A08">
      <w:pPr>
        <w:ind w:left="1276"/>
        <w:rPr>
          <w:rFonts w:asciiTheme="minorHAnsi" w:eastAsiaTheme="minorEastAsia" w:hAnsiTheme="minorHAnsi" w:cstheme="minorHAnsi"/>
        </w:rPr>
      </w:pPr>
      <w:r w:rsidRPr="00DC3267">
        <w:rPr>
          <w:rFonts w:asciiTheme="minorHAnsi" w:eastAsiaTheme="minorEastAsia" w:hAnsiTheme="minorHAnsi" w:cstheme="minorHAnsi"/>
        </w:rPr>
        <w:t xml:space="preserve">Where: </w:t>
      </w:r>
    </w:p>
    <w:p w14:paraId="00D401AE" w14:textId="33BD32CD" w:rsidR="00E73A08" w:rsidRPr="00B03C4A" w:rsidRDefault="00E73A08" w:rsidP="00FF4826">
      <w:pPr>
        <w:pStyle w:val="ListParagraph"/>
        <w:numPr>
          <w:ilvl w:val="0"/>
          <w:numId w:val="23"/>
        </w:numPr>
        <w:rPr>
          <w:rFonts w:eastAsiaTheme="minorEastAsia" w:cstheme="minorHAnsi"/>
        </w:rPr>
      </w:pPr>
      <w:r w:rsidRPr="00B03C4A">
        <w:rPr>
          <w:rFonts w:eastAsiaTheme="minorEastAsia" w:cstheme="minorHAnsi"/>
          <w:i/>
          <w:iCs/>
        </w:rPr>
        <w:t>TransEnergy</w:t>
      </w:r>
      <w:r w:rsidRPr="00B03C4A">
        <w:rPr>
          <w:rFonts w:eastAsiaTheme="minorEastAsia" w:cstheme="minorHAnsi"/>
          <w:i/>
          <w:iCs/>
          <w:vertAlign w:val="subscript"/>
        </w:rPr>
        <w:t>k</w:t>
      </w:r>
      <w:r w:rsidRPr="00B03C4A">
        <w:rPr>
          <w:rFonts w:eastAsiaTheme="minorEastAsia" w:cstheme="minorHAnsi"/>
        </w:rPr>
        <w:t xml:space="preserve"> is the total Transmitted Energy by the Transmission Service Provider </w:t>
      </w:r>
      <w:r w:rsidRPr="00B03C4A">
        <w:rPr>
          <w:rFonts w:eastAsiaTheme="minorEastAsia" w:cstheme="minorHAnsi"/>
          <w:i/>
          <w:iCs/>
        </w:rPr>
        <w:t>k</w:t>
      </w:r>
      <w:r w:rsidR="00BE7904" w:rsidRPr="00B03C4A">
        <w:rPr>
          <w:rFonts w:eastAsiaTheme="minorEastAsia" w:cstheme="minorHAnsi"/>
        </w:rPr>
        <w:t>;</w:t>
      </w:r>
      <w:r w:rsidRPr="00B03C4A">
        <w:rPr>
          <w:rFonts w:eastAsiaTheme="minorEastAsia" w:cstheme="minorHAnsi"/>
        </w:rPr>
        <w:t xml:space="preserve"> </w:t>
      </w:r>
    </w:p>
    <w:p w14:paraId="605120FD" w14:textId="7C52C1A1" w:rsidR="00E73A08" w:rsidRPr="00263B9E" w:rsidRDefault="00E73A08" w:rsidP="00FF4826">
      <w:pPr>
        <w:pStyle w:val="BodyText"/>
        <w:numPr>
          <w:ilvl w:val="0"/>
          <w:numId w:val="23"/>
        </w:numPr>
      </w:pPr>
      <w:r w:rsidRPr="00263B9E">
        <w:rPr>
          <w:i/>
          <w:iCs/>
        </w:rPr>
        <w:t>E</w:t>
      </w:r>
      <w:r w:rsidRPr="00263B9E">
        <w:rPr>
          <w:i/>
          <w:iCs/>
          <w:vertAlign w:val="subscript"/>
        </w:rPr>
        <w:t>MPi,k,h</w:t>
      </w:r>
      <w:r w:rsidRPr="00263B9E">
        <w:t xml:space="preserve"> is the </w:t>
      </w:r>
      <w:r w:rsidR="0046412E" w:rsidRPr="00263B9E">
        <w:t>Energy</w:t>
      </w:r>
      <w:r w:rsidRPr="00263B9E">
        <w:t xml:space="preserve"> registered by the Commercial Metering System at the Metering Point </w:t>
      </w:r>
      <w:r w:rsidRPr="00263B9E">
        <w:rPr>
          <w:i/>
          <w:iCs/>
        </w:rPr>
        <w:t>i</w:t>
      </w:r>
      <w:r w:rsidRPr="00263B9E">
        <w:t xml:space="preserve">, corresponding to the Transmission Service Provider </w:t>
      </w:r>
      <w:r w:rsidRPr="00263B9E">
        <w:rPr>
          <w:i/>
          <w:iCs/>
        </w:rPr>
        <w:t>k</w:t>
      </w:r>
      <w:r w:rsidRPr="00263B9E">
        <w:t xml:space="preserve"> in the hour </w:t>
      </w:r>
      <w:r w:rsidRPr="00263B9E">
        <w:rPr>
          <w:i/>
          <w:iCs/>
        </w:rPr>
        <w:t>h</w:t>
      </w:r>
      <w:r w:rsidR="00BE7904" w:rsidRPr="00263B9E">
        <w:t>;</w:t>
      </w:r>
    </w:p>
    <w:p w14:paraId="236B6D45" w14:textId="63F4C5B9" w:rsidR="00E73A08" w:rsidRPr="00B03C4A" w:rsidRDefault="00E73A08" w:rsidP="00FF4826">
      <w:pPr>
        <w:pStyle w:val="ListParagraph"/>
        <w:numPr>
          <w:ilvl w:val="0"/>
          <w:numId w:val="23"/>
        </w:numPr>
        <w:rPr>
          <w:rFonts w:eastAsiaTheme="minorEastAsia" w:cstheme="minorHAnsi"/>
        </w:rPr>
      </w:pPr>
      <w:r w:rsidRPr="00263B9E">
        <w:rPr>
          <w:rFonts w:ascii="Cambria Math" w:eastAsiaTheme="minorEastAsia" w:hAnsi="Cambria Math" w:cs="Cambria Math"/>
          <w:i/>
          <w:iCs/>
        </w:rPr>
        <w:t>∀</w:t>
      </w:r>
      <w:r w:rsidRPr="00B03C4A">
        <w:rPr>
          <w:rFonts w:eastAsiaTheme="minorEastAsia" w:cstheme="minorHAnsi"/>
          <w:i/>
          <w:iCs/>
        </w:rPr>
        <w:t xml:space="preserve"> i </w:t>
      </w:r>
      <w:r w:rsidRPr="00263B9E">
        <w:rPr>
          <w:rFonts w:ascii="Cambria Math" w:eastAsiaTheme="minorEastAsia" w:hAnsi="Cambria Math" w:cs="Cambria Math"/>
          <w:i/>
          <w:iCs/>
        </w:rPr>
        <w:t>∈</w:t>
      </w:r>
      <w:r w:rsidRPr="00B03C4A">
        <w:rPr>
          <w:rFonts w:eastAsiaTheme="minorEastAsia" w:cstheme="minorHAnsi"/>
          <w:i/>
          <w:iCs/>
        </w:rPr>
        <w:t xml:space="preserve"> MP</w:t>
      </w:r>
      <w:r w:rsidRPr="00B03C4A">
        <w:rPr>
          <w:rFonts w:eastAsiaTheme="minorEastAsia" w:cstheme="minorHAnsi"/>
          <w:i/>
          <w:iCs/>
          <w:vertAlign w:val="subscript"/>
        </w:rPr>
        <w:t>G</w:t>
      </w:r>
      <w:r w:rsidRPr="00B03C4A">
        <w:rPr>
          <w:rFonts w:ascii="Arial" w:eastAsiaTheme="minorEastAsia" w:hAnsi="Arial" w:cs="Arial"/>
          <w:i/>
          <w:iCs/>
          <w:vertAlign w:val="subscript"/>
        </w:rPr>
        <w:t>→</w:t>
      </w:r>
      <w:r w:rsidR="00EA77C9" w:rsidRPr="00B03C4A">
        <w:rPr>
          <w:rFonts w:eastAsiaTheme="minorEastAsia" w:cstheme="minorHAnsi"/>
          <w:i/>
          <w:iCs/>
          <w:vertAlign w:val="subscript"/>
        </w:rPr>
        <w:t xml:space="preserve">T </w:t>
      </w:r>
      <w:r w:rsidR="00EA77C9" w:rsidRPr="00B03C4A">
        <w:rPr>
          <w:rFonts w:eastAsiaTheme="minorEastAsia" w:cstheme="minorHAnsi"/>
          <w:i/>
          <w:iCs/>
        </w:rPr>
        <w:t>means</w:t>
      </w:r>
      <w:r w:rsidRPr="00B03C4A">
        <w:rPr>
          <w:rFonts w:eastAsiaTheme="minorEastAsia" w:cstheme="minorHAnsi"/>
        </w:rPr>
        <w:t xml:space="preserve"> all those boundary points between a Transmission Network and</w:t>
      </w:r>
    </w:p>
    <w:p w14:paraId="258C8C36" w14:textId="77777777" w:rsidR="00496DF4" w:rsidRPr="00B03C4A" w:rsidRDefault="00E73A08" w:rsidP="00FF4826">
      <w:pPr>
        <w:pStyle w:val="ListParagraph"/>
        <w:numPr>
          <w:ilvl w:val="1"/>
          <w:numId w:val="23"/>
        </w:numPr>
        <w:rPr>
          <w:rFonts w:eastAsiaTheme="minorEastAsia" w:cstheme="minorHAnsi"/>
        </w:rPr>
      </w:pPr>
      <w:r w:rsidRPr="00B03C4A">
        <w:rPr>
          <w:rFonts w:eastAsiaTheme="minorEastAsia" w:cstheme="minorHAnsi"/>
        </w:rPr>
        <w:t xml:space="preserve">a </w:t>
      </w:r>
      <w:r w:rsidR="00496DF4" w:rsidRPr="00B03C4A">
        <w:rPr>
          <w:rFonts w:eastAsiaTheme="minorEastAsia" w:cstheme="minorHAnsi"/>
        </w:rPr>
        <w:t>Generator; or</w:t>
      </w:r>
    </w:p>
    <w:p w14:paraId="6B4BA976" w14:textId="3EC5E3BB" w:rsidR="00E73A08" w:rsidRPr="00B03C4A" w:rsidRDefault="00496DF4" w:rsidP="00FF4826">
      <w:pPr>
        <w:pStyle w:val="ListParagraph"/>
        <w:numPr>
          <w:ilvl w:val="1"/>
          <w:numId w:val="23"/>
        </w:numPr>
        <w:rPr>
          <w:rFonts w:eastAsiaTheme="minorEastAsia" w:cstheme="minorHAnsi"/>
        </w:rPr>
      </w:pPr>
      <w:r w:rsidRPr="00B03C4A">
        <w:rPr>
          <w:rFonts w:eastAsiaTheme="minorEastAsia" w:cstheme="minorHAnsi"/>
        </w:rPr>
        <w:t xml:space="preserve">a </w:t>
      </w:r>
      <w:r w:rsidR="00E73A08" w:rsidRPr="00B03C4A">
        <w:rPr>
          <w:rFonts w:eastAsiaTheme="minorEastAsia" w:cstheme="minorHAnsi"/>
        </w:rPr>
        <w:t>Distribution Network; or</w:t>
      </w:r>
    </w:p>
    <w:p w14:paraId="50B0F2F3" w14:textId="77777777" w:rsidR="00E73A08" w:rsidRPr="00B03C4A" w:rsidRDefault="00E73A08" w:rsidP="00FF4826">
      <w:pPr>
        <w:pStyle w:val="ListParagraph"/>
        <w:numPr>
          <w:ilvl w:val="1"/>
          <w:numId w:val="23"/>
        </w:numPr>
        <w:rPr>
          <w:rFonts w:eastAsiaTheme="minorEastAsia" w:cstheme="minorHAnsi"/>
        </w:rPr>
      </w:pPr>
      <w:r w:rsidRPr="00B03C4A">
        <w:rPr>
          <w:rFonts w:eastAsiaTheme="minorEastAsia" w:cstheme="minorHAnsi"/>
        </w:rPr>
        <w:t>a BPC; or</w:t>
      </w:r>
    </w:p>
    <w:p w14:paraId="2F654173" w14:textId="4FD57464" w:rsidR="00E73A08" w:rsidRPr="00B03C4A" w:rsidRDefault="00E73A08" w:rsidP="00FF4826">
      <w:pPr>
        <w:pStyle w:val="ListParagraph"/>
        <w:numPr>
          <w:ilvl w:val="1"/>
          <w:numId w:val="23"/>
        </w:numPr>
        <w:rPr>
          <w:rFonts w:eastAsiaTheme="minorEastAsia" w:cstheme="minorHAnsi"/>
        </w:rPr>
      </w:pPr>
      <w:r w:rsidRPr="00B03C4A">
        <w:rPr>
          <w:rFonts w:eastAsiaTheme="minorEastAsia" w:cstheme="minorHAnsi"/>
        </w:rPr>
        <w:t>an Import point; or</w:t>
      </w:r>
    </w:p>
    <w:p w14:paraId="5A8CA534" w14:textId="77777777" w:rsidR="00E73A08" w:rsidRPr="00B03C4A" w:rsidRDefault="00E73A08" w:rsidP="00FF4826">
      <w:pPr>
        <w:pStyle w:val="ListParagraph"/>
        <w:numPr>
          <w:ilvl w:val="1"/>
          <w:numId w:val="23"/>
        </w:numPr>
        <w:rPr>
          <w:rFonts w:eastAsiaTheme="minorEastAsia" w:cstheme="minorHAnsi"/>
        </w:rPr>
      </w:pPr>
      <w:r w:rsidRPr="00B03C4A">
        <w:rPr>
          <w:rFonts w:eastAsiaTheme="minorEastAsia" w:cstheme="minorHAnsi"/>
        </w:rPr>
        <w:t>a Transmission Network of another Transmission Service Provider</w:t>
      </w:r>
    </w:p>
    <w:p w14:paraId="60AAA038" w14:textId="60866119" w:rsidR="00E73A08" w:rsidRPr="00B03C4A" w:rsidRDefault="00E73A08" w:rsidP="00E73A08">
      <w:pPr>
        <w:pStyle w:val="ListParagraph"/>
        <w:ind w:left="1996"/>
        <w:rPr>
          <w:rFonts w:eastAsiaTheme="minorEastAsia" w:cstheme="minorHAnsi"/>
        </w:rPr>
      </w:pPr>
      <w:r w:rsidRPr="00B03C4A">
        <w:rPr>
          <w:rFonts w:eastAsiaTheme="minorEastAsia" w:cstheme="minorHAnsi"/>
        </w:rPr>
        <w:t xml:space="preserve">in which the </w:t>
      </w:r>
      <w:r w:rsidR="0046412E" w:rsidRPr="00B03C4A">
        <w:rPr>
          <w:rFonts w:eastAsiaTheme="minorEastAsia" w:cstheme="minorHAnsi"/>
        </w:rPr>
        <w:t>Energy</w:t>
      </w:r>
      <w:r w:rsidRPr="00B03C4A">
        <w:rPr>
          <w:rFonts w:eastAsiaTheme="minorEastAsia" w:cstheme="minorHAnsi"/>
        </w:rPr>
        <w:t xml:space="preserve"> is </w:t>
      </w:r>
      <w:r w:rsidR="00F10147" w:rsidRPr="00B03C4A">
        <w:rPr>
          <w:rFonts w:eastAsiaTheme="minorEastAsia" w:cstheme="minorHAnsi"/>
        </w:rPr>
        <w:t xml:space="preserve">injected </w:t>
      </w:r>
      <w:r w:rsidR="00496DF4" w:rsidRPr="00B03C4A">
        <w:rPr>
          <w:rFonts w:eastAsiaTheme="minorEastAsia" w:cstheme="minorHAnsi"/>
        </w:rPr>
        <w:t>in</w:t>
      </w:r>
      <w:r w:rsidRPr="00B03C4A">
        <w:rPr>
          <w:rFonts w:eastAsiaTheme="minorEastAsia" w:cstheme="minorHAnsi"/>
        </w:rPr>
        <w:t xml:space="preserve">to the Transmission Network </w:t>
      </w:r>
      <w:r w:rsidR="00496DF4" w:rsidRPr="00B03C4A">
        <w:rPr>
          <w:rFonts w:eastAsiaTheme="minorEastAsia" w:cstheme="minorHAnsi"/>
        </w:rPr>
        <w:t xml:space="preserve">of the Transmission Service Provider </w:t>
      </w:r>
      <w:r w:rsidR="00496DF4" w:rsidRPr="00B03C4A">
        <w:rPr>
          <w:rFonts w:eastAsiaTheme="minorEastAsia" w:cstheme="minorHAnsi"/>
          <w:i/>
          <w:iCs/>
        </w:rPr>
        <w:t>k</w:t>
      </w:r>
      <w:r w:rsidR="00496DF4" w:rsidRPr="00B03C4A">
        <w:rPr>
          <w:rFonts w:eastAsiaTheme="minorEastAsia" w:cstheme="minorHAnsi"/>
        </w:rPr>
        <w:t xml:space="preserve"> </w:t>
      </w:r>
      <w:r w:rsidRPr="00B03C4A">
        <w:rPr>
          <w:rFonts w:eastAsiaTheme="minorEastAsia" w:cstheme="minorHAnsi"/>
        </w:rPr>
        <w:t xml:space="preserve">(positive value according </w:t>
      </w:r>
      <w:r w:rsidR="00F10147" w:rsidRPr="00B03C4A">
        <w:rPr>
          <w:rFonts w:eastAsiaTheme="minorEastAsia" w:cstheme="minorHAnsi"/>
        </w:rPr>
        <w:t xml:space="preserve">to </w:t>
      </w:r>
      <w:r w:rsidRPr="00B03C4A">
        <w:rPr>
          <w:rFonts w:eastAsiaTheme="minorEastAsia" w:cstheme="minorHAnsi"/>
        </w:rPr>
        <w:t xml:space="preserve">the sign convention </w:t>
      </w:r>
      <w:r w:rsidR="00F10147" w:rsidRPr="00B03C4A">
        <w:rPr>
          <w:rFonts w:eastAsiaTheme="minorEastAsia" w:cstheme="minorHAnsi"/>
        </w:rPr>
        <w:t xml:space="preserve">provided </w:t>
      </w:r>
      <w:r w:rsidRPr="00B03C4A">
        <w:rPr>
          <w:rFonts w:eastAsiaTheme="minorEastAsia" w:cstheme="minorHAnsi"/>
        </w:rPr>
        <w:t xml:space="preserve">in Clause </w:t>
      </w:r>
      <w:r w:rsidRPr="00B03C4A">
        <w:rPr>
          <w:rFonts w:eastAsiaTheme="minorEastAsia" w:cstheme="minorHAnsi"/>
        </w:rPr>
        <w:fldChar w:fldCharType="begin"/>
      </w:r>
      <w:r w:rsidRPr="00B03C4A">
        <w:rPr>
          <w:rFonts w:eastAsiaTheme="minorEastAsia" w:cstheme="minorHAnsi"/>
        </w:rPr>
        <w:instrText xml:space="preserve"> REF _Ref61208664 \r \h </w:instrText>
      </w:r>
      <w:r w:rsidR="00263B9E">
        <w:rPr>
          <w:rFonts w:eastAsiaTheme="minorEastAsia" w:cstheme="minorHAnsi"/>
        </w:rPr>
        <w:instrText xml:space="preserve"> \* MERGEFORMAT </w:instrText>
      </w:r>
      <w:r w:rsidRPr="00B03C4A">
        <w:rPr>
          <w:rFonts w:eastAsiaTheme="minorEastAsia" w:cstheme="minorHAnsi"/>
        </w:rPr>
      </w:r>
      <w:r w:rsidRPr="00B03C4A">
        <w:rPr>
          <w:rFonts w:eastAsiaTheme="minorEastAsia" w:cstheme="minorHAnsi"/>
        </w:rPr>
        <w:fldChar w:fldCharType="separate"/>
      </w:r>
      <w:r w:rsidR="00251DBF" w:rsidRPr="00B03C4A">
        <w:rPr>
          <w:rFonts w:eastAsiaTheme="minorEastAsia" w:cstheme="minorHAnsi"/>
        </w:rPr>
        <w:t>12.2.2.2</w:t>
      </w:r>
      <w:r w:rsidRPr="00B03C4A">
        <w:rPr>
          <w:rFonts w:eastAsiaTheme="minorEastAsia" w:cstheme="minorHAnsi"/>
        </w:rPr>
        <w:fldChar w:fldCharType="end"/>
      </w:r>
      <w:r w:rsidRPr="00B03C4A">
        <w:rPr>
          <w:rFonts w:eastAsiaTheme="minorEastAsia" w:cstheme="minorHAnsi"/>
        </w:rPr>
        <w:t xml:space="preserve">), during hour </w:t>
      </w:r>
      <w:r w:rsidRPr="00B03C4A">
        <w:rPr>
          <w:rFonts w:eastAsiaTheme="minorEastAsia" w:cstheme="minorHAnsi"/>
          <w:i/>
          <w:iCs/>
        </w:rPr>
        <w:t>h</w:t>
      </w:r>
      <w:r w:rsidR="00BE7904" w:rsidRPr="00B03C4A">
        <w:rPr>
          <w:rFonts w:eastAsiaTheme="minorEastAsia" w:cstheme="minorHAnsi"/>
          <w:i/>
          <w:iCs/>
        </w:rPr>
        <w:t>;</w:t>
      </w:r>
    </w:p>
    <w:p w14:paraId="58561464" w14:textId="47DA8E65" w:rsidR="00E73A08" w:rsidRPr="00263B9E" w:rsidRDefault="004D6075" w:rsidP="00FF4826">
      <w:pPr>
        <w:pStyle w:val="BodyText"/>
        <w:numPr>
          <w:ilvl w:val="0"/>
          <w:numId w:val="23"/>
        </w:numPr>
      </w:pPr>
      <m:oMath>
        <m:nary>
          <m:naryPr>
            <m:chr m:val="∑"/>
            <m:limLoc m:val="undOvr"/>
            <m:ctrlPr>
              <w:rPr>
                <w:rFonts w:ascii="Cambria Math" w:hAnsi="Cambria Math"/>
                <w:i/>
              </w:rPr>
            </m:ctrlPr>
          </m:naryPr>
          <m:sub>
            <m:r>
              <w:rPr>
                <w:rFonts w:ascii="Cambria Math" w:hAnsi="Cambria Math"/>
              </w:rPr>
              <m:t>h=1</m:t>
            </m:r>
          </m:sub>
          <m:sup>
            <m:r>
              <w:rPr>
                <w:rFonts w:ascii="Cambria Math" w:hAnsi="Cambria Math"/>
              </w:rPr>
              <m:t>h=n</m:t>
            </m:r>
          </m:sup>
          <m:e>
            <m:d>
              <m:dPr>
                <m:ctrlPr>
                  <w:rPr>
                    <w:rFonts w:ascii="Cambria Math" w:hAnsi="Cambria Math"/>
                    <w:i/>
                  </w:rPr>
                </m:ctrlPr>
              </m:dPr>
              <m:e/>
            </m:d>
          </m:e>
        </m:nary>
      </m:oMath>
      <w:r w:rsidR="00E73A08" w:rsidRPr="00263B9E">
        <w:t xml:space="preserve"> means the </w:t>
      </w:r>
      <w:r w:rsidR="003E06D4" w:rsidRPr="00263B9E">
        <w:t xml:space="preserve">sum </w:t>
      </w:r>
      <w:r w:rsidR="00E73A08" w:rsidRPr="00263B9E">
        <w:t>over the total number of hours of the previous fiscal year (8,760 or 8,784 hours, as the case may be)</w:t>
      </w:r>
      <w:r w:rsidR="00BE7904" w:rsidRPr="00263B9E">
        <w:t>.</w:t>
      </w:r>
    </w:p>
    <w:p w14:paraId="79591CA3" w14:textId="519F2E89" w:rsidR="00E73A08" w:rsidRPr="00E22A64" w:rsidRDefault="00E73A08" w:rsidP="00E73A08">
      <w:pPr>
        <w:pStyle w:val="Heading3"/>
      </w:pPr>
      <w:r w:rsidRPr="00E22A64">
        <w:t xml:space="preserve">Calculation of </w:t>
      </w:r>
      <w:r>
        <w:t>Annual Losses</w:t>
      </w:r>
      <w:r w:rsidR="003E06D4">
        <w:t xml:space="preserve"> Percentage</w:t>
      </w:r>
      <w:r>
        <w:t xml:space="preserve"> </w:t>
      </w:r>
      <w:r w:rsidR="003E06D4">
        <w:t xml:space="preserve">of A </w:t>
      </w:r>
      <w:r>
        <w:t>Transmission Service Provider</w:t>
      </w:r>
    </w:p>
    <w:p w14:paraId="6AAC9106" w14:textId="249414EB" w:rsidR="00E73A08" w:rsidRDefault="00E73A08" w:rsidP="005B295A">
      <w:pPr>
        <w:pStyle w:val="Heading4"/>
      </w:pPr>
      <w:bookmarkStart w:id="684" w:name="_Ref76973488"/>
      <w:r>
        <w:t xml:space="preserve">The Market Operator </w:t>
      </w:r>
      <w:r w:rsidR="003E06D4">
        <w:t xml:space="preserve">shall </w:t>
      </w:r>
      <w:r>
        <w:t xml:space="preserve">determine the </w:t>
      </w:r>
      <w:bookmarkStart w:id="685" w:name="_Hlk66266475"/>
      <w:r>
        <w:t>Annual Loss</w:t>
      </w:r>
      <w:r w:rsidR="00472684">
        <w:t xml:space="preserve"> expressed in percentage</w:t>
      </w:r>
      <w:r>
        <w:t xml:space="preserve"> </w:t>
      </w:r>
      <w:bookmarkEnd w:id="685"/>
      <w:r>
        <w:t xml:space="preserve">of a Transmission Service Provider, for the previous fiscal year, </w:t>
      </w:r>
      <w:r w:rsidRPr="00DC3267">
        <w:t xml:space="preserve">by </w:t>
      </w:r>
      <w:r>
        <w:t xml:space="preserve">dividing the </w:t>
      </w:r>
      <w:r w:rsidR="00472684">
        <w:t>t</w:t>
      </w:r>
      <w:r>
        <w:t xml:space="preserve">otal Transmission </w:t>
      </w:r>
      <w:r w:rsidR="000D0689">
        <w:t>l</w:t>
      </w:r>
      <w:r>
        <w:t xml:space="preserve">osses by the Transmitted Energy of the </w:t>
      </w:r>
      <w:r w:rsidR="003E06D4">
        <w:t>relevant Transmission Service Provider</w:t>
      </w:r>
      <w:r>
        <w:t>.</w:t>
      </w:r>
      <w:bookmarkEnd w:id="684"/>
      <w:r>
        <w:t xml:space="preserve"> </w:t>
      </w:r>
    </w:p>
    <w:p w14:paraId="53A68D00" w14:textId="36BF8CDD" w:rsidR="00E73A08" w:rsidRDefault="004D6075" w:rsidP="00E73A08">
      <m:oMathPara>
        <m:oMath>
          <m:sSub>
            <m:sSubPr>
              <m:ctrlPr>
                <w:rPr>
                  <w:rFonts w:ascii="Cambria Math" w:hAnsi="Cambria Math"/>
                  <w:i/>
                </w:rPr>
              </m:ctrlPr>
            </m:sSubPr>
            <m:e>
              <m:r>
                <w:rPr>
                  <w:rFonts w:ascii="Cambria Math" w:hAnsi="Cambria Math"/>
                </w:rPr>
                <m:t>AnnualLoss</m:t>
              </m:r>
            </m:e>
            <m:sub>
              <m:r>
                <w:rPr>
                  <w:rFonts w:ascii="Cambria Math" w:hAnsi="Cambria Math"/>
                </w:rPr>
                <m:t>k</m:t>
              </m:r>
            </m:sub>
          </m:sSub>
          <m:d>
            <m:dPr>
              <m:begChr m:val="["/>
              <m:endChr m:val="]"/>
              <m:ctrlPr>
                <w:rPr>
                  <w:rFonts w:ascii="Cambria Math" w:hAnsi="Cambria Math"/>
                  <w:i/>
                </w:rPr>
              </m:ctrlPr>
            </m:dPr>
            <m:e>
              <m:r>
                <w:rPr>
                  <w:rFonts w:ascii="Cambria Math" w:hAnsi="Cambria Math"/>
                </w:rPr>
                <m: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TransLoss</m:t>
                  </m:r>
                </m:e>
                <m:sub>
                  <m:r>
                    <w:rPr>
                      <w:rFonts w:ascii="Cambria Math" w:hAnsi="Cambria Math"/>
                    </w:rPr>
                    <m:t>k</m:t>
                  </m:r>
                </m:sub>
              </m:sSub>
            </m:num>
            <m:den>
              <m:sSub>
                <m:sSubPr>
                  <m:ctrlPr>
                    <w:rPr>
                      <w:rFonts w:ascii="Cambria Math" w:hAnsi="Cambria Math"/>
                      <w:i/>
                    </w:rPr>
                  </m:ctrlPr>
                </m:sSubPr>
                <m:e>
                  <m:r>
                    <w:rPr>
                      <w:rFonts w:ascii="Cambria Math" w:hAnsi="Cambria Math"/>
                    </w:rPr>
                    <m:t>TransEnergy</m:t>
                  </m:r>
                </m:e>
                <m:sub>
                  <m:r>
                    <w:rPr>
                      <w:rFonts w:ascii="Cambria Math" w:hAnsi="Cambria Math"/>
                    </w:rPr>
                    <m:t>k</m:t>
                  </m:r>
                </m:sub>
              </m:sSub>
              <m:d>
                <m:dPr>
                  <m:begChr m:val="["/>
                  <m:endChr m:val="]"/>
                  <m:ctrlPr>
                    <w:rPr>
                      <w:rFonts w:ascii="Cambria Math" w:hAnsi="Cambria Math"/>
                      <w:i/>
                    </w:rPr>
                  </m:ctrlPr>
                </m:dPr>
                <m:e>
                  <m:r>
                    <w:rPr>
                      <w:rFonts w:ascii="Cambria Math" w:hAnsi="Cambria Math"/>
                    </w:rPr>
                    <m:t>MWh</m:t>
                  </m:r>
                </m:e>
              </m:d>
            </m:den>
          </m:f>
          <m:r>
            <w:rPr>
              <w:rFonts w:ascii="Cambria Math" w:hAnsi="Cambria Math"/>
            </w:rPr>
            <m:t>*100</m:t>
          </m:r>
        </m:oMath>
      </m:oMathPara>
    </w:p>
    <w:p w14:paraId="377C2606" w14:textId="77777777" w:rsidR="00E73A08" w:rsidRDefault="00E73A08" w:rsidP="00E73A08">
      <w:pPr>
        <w:pStyle w:val="Heading3"/>
      </w:pPr>
      <w:r>
        <w:t xml:space="preserve">Determination of Excess Losses </w:t>
      </w:r>
    </w:p>
    <w:p w14:paraId="30CB72AC" w14:textId="569C961A" w:rsidR="00E73A08" w:rsidRDefault="00E73A08" w:rsidP="005B295A">
      <w:pPr>
        <w:pStyle w:val="Heading4"/>
      </w:pPr>
      <w:bookmarkStart w:id="686" w:name="_Ref64371018"/>
      <w:r>
        <w:t>In case the Transmission Service Provider</w:t>
      </w:r>
      <w:r w:rsidR="00BA26DE">
        <w:t>’s</w:t>
      </w:r>
      <w:r>
        <w:t xml:space="preserve"> Annual </w:t>
      </w:r>
      <w:r w:rsidR="00BA26DE">
        <w:t>L</w:t>
      </w:r>
      <w:r>
        <w:t>oss</w:t>
      </w:r>
      <w:r w:rsidR="003E06D4">
        <w:t xml:space="preserve"> Percentage</w:t>
      </w:r>
      <w:r>
        <w:t xml:space="preserve"> is lower or equal to the allowed </w:t>
      </w:r>
      <w:r w:rsidR="003E06D4">
        <w:t>l</w:t>
      </w:r>
      <w:r>
        <w:t xml:space="preserve">osses, </w:t>
      </w:r>
      <w:r w:rsidR="003E06D4">
        <w:t xml:space="preserve">as </w:t>
      </w:r>
      <w:r>
        <w:t xml:space="preserve">determined by the Authority in the latest Tariff Determination for the </w:t>
      </w:r>
      <w:r w:rsidR="003E06D4">
        <w:t xml:space="preserve">relevant </w:t>
      </w:r>
      <w:r>
        <w:t xml:space="preserve">Transmission Service Provider, the </w:t>
      </w:r>
      <w:bookmarkStart w:id="687" w:name="_Hlk66266503"/>
      <w:r>
        <w:t xml:space="preserve">Excess Losses </w:t>
      </w:r>
      <w:bookmarkEnd w:id="687"/>
      <w:r>
        <w:t xml:space="preserve">will be zero for such Transmission Service Provider and there will be no charges imposed </w:t>
      </w:r>
      <w:r w:rsidR="003E06D4">
        <w:t xml:space="preserve">on </w:t>
      </w:r>
      <w:r>
        <w:t>it. Otherwise, the amount of excess losses (in MWh) shall be calculated as:</w:t>
      </w:r>
      <w:bookmarkEnd w:id="686"/>
      <w:r>
        <w:t xml:space="preserve"> </w:t>
      </w:r>
    </w:p>
    <w:p w14:paraId="07FAF6B2" w14:textId="77777777" w:rsidR="00E73A08" w:rsidRPr="00C11DA8" w:rsidRDefault="004D6075" w:rsidP="00E73A08">
      <w:pPr>
        <w:rPr>
          <w:rFonts w:eastAsiaTheme="minorEastAsia"/>
        </w:rPr>
      </w:pPr>
      <m:oMathPara>
        <m:oMath>
          <m:sSub>
            <m:sSubPr>
              <m:ctrlPr>
                <w:rPr>
                  <w:rFonts w:ascii="Cambria Math" w:hAnsi="Cambria Math"/>
                  <w:i/>
                </w:rPr>
              </m:ctrlPr>
            </m:sSubPr>
            <m:e>
              <m:r>
                <w:rPr>
                  <w:rFonts w:ascii="Cambria Math" w:hAnsi="Cambria Math"/>
                </w:rPr>
                <m:t xml:space="preserve">TSP Excess Losses </m:t>
              </m:r>
              <m:d>
                <m:dPr>
                  <m:ctrlPr>
                    <w:rPr>
                      <w:rFonts w:ascii="Cambria Math" w:hAnsi="Cambria Math"/>
                      <w:i/>
                    </w:rPr>
                  </m:ctrlPr>
                </m:dPr>
                <m:e>
                  <m:r>
                    <w:rPr>
                      <w:rFonts w:ascii="Cambria Math" w:hAnsi="Cambria Math"/>
                    </w:rPr>
                    <m:t>MWh</m:t>
                  </m:r>
                </m:e>
              </m:d>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TransLoss</m:t>
              </m:r>
            </m:e>
            <m:sub>
              <m:r>
                <w:rPr>
                  <w:rFonts w:ascii="Cambria Math" w:hAnsi="Cambria Math"/>
                </w:rPr>
                <m:t>k</m:t>
              </m:r>
            </m:sub>
          </m:sSub>
          <m:d>
            <m:dPr>
              <m:begChr m:val="["/>
              <m:endChr m:val="]"/>
              <m:ctrlPr>
                <w:rPr>
                  <w:rFonts w:ascii="Cambria Math" w:hAnsi="Cambria Math"/>
                  <w:i/>
                </w:rPr>
              </m:ctrlPr>
            </m:dPr>
            <m:e>
              <m:r>
                <w:rPr>
                  <w:rFonts w:ascii="Cambria Math" w:hAnsi="Cambria Math"/>
                </w:rPr>
                <m:t>MWh</m:t>
              </m:r>
            </m:e>
          </m:d>
          <m:r>
            <w:rPr>
              <w:rFonts w:ascii="Cambria Math" w:hAnsi="Cambria Math"/>
            </w:rPr>
            <m:t>-</m:t>
          </m:r>
          <m:sSub>
            <m:sSubPr>
              <m:ctrlPr>
                <w:rPr>
                  <w:rFonts w:ascii="Cambria Math" w:hAnsi="Cambria Math"/>
                  <w:i/>
                </w:rPr>
              </m:ctrlPr>
            </m:sSubPr>
            <m:e>
              <m:r>
                <w:rPr>
                  <w:rFonts w:ascii="Cambria Math" w:hAnsi="Cambria Math"/>
                </w:rPr>
                <m:t xml:space="preserve">AllowLoss </m:t>
              </m:r>
              <m:d>
                <m:dPr>
                  <m:ctrlPr>
                    <w:rPr>
                      <w:rFonts w:ascii="Cambria Math" w:hAnsi="Cambria Math"/>
                      <w:i/>
                    </w:rPr>
                  </m:ctrlPr>
                </m:dPr>
                <m:e>
                  <m:r>
                    <w:rPr>
                      <w:rFonts w:ascii="Cambria Math" w:hAnsi="Cambria Math"/>
                    </w:rPr>
                    <m:t>%</m:t>
                  </m:r>
                </m:e>
              </m:d>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TransEnergy</m:t>
              </m:r>
            </m:e>
            <m:sub>
              <m:r>
                <w:rPr>
                  <w:rFonts w:ascii="Cambria Math" w:hAnsi="Cambria Math"/>
                </w:rPr>
                <m:t>k</m:t>
              </m:r>
            </m:sub>
          </m:sSub>
          <m:d>
            <m:dPr>
              <m:begChr m:val="["/>
              <m:endChr m:val="]"/>
              <m:ctrlPr>
                <w:rPr>
                  <w:rFonts w:ascii="Cambria Math" w:hAnsi="Cambria Math"/>
                  <w:i/>
                </w:rPr>
              </m:ctrlPr>
            </m:dPr>
            <m:e>
              <m:r>
                <w:rPr>
                  <w:rFonts w:ascii="Cambria Math" w:hAnsi="Cambria Math"/>
                </w:rPr>
                <m:t>MWh</m:t>
              </m:r>
            </m:e>
          </m:d>
        </m:oMath>
      </m:oMathPara>
    </w:p>
    <w:p w14:paraId="41D6C5B5" w14:textId="77777777" w:rsidR="00E73A08" w:rsidRPr="00546184" w:rsidRDefault="00E73A08" w:rsidP="00A22D29">
      <w:pPr>
        <w:pStyle w:val="BodyText"/>
      </w:pPr>
      <w:r w:rsidRPr="00546184">
        <w:t xml:space="preserve">Where: </w:t>
      </w:r>
    </w:p>
    <w:p w14:paraId="676B8FB0" w14:textId="698720FF" w:rsidR="00E73A08" w:rsidRPr="00C11DA8" w:rsidRDefault="00E73A08" w:rsidP="00FF4826">
      <w:pPr>
        <w:pStyle w:val="BodyText"/>
        <w:numPr>
          <w:ilvl w:val="0"/>
          <w:numId w:val="23"/>
        </w:numPr>
      </w:pPr>
      <w:r>
        <w:rPr>
          <w:i/>
          <w:iCs/>
        </w:rPr>
        <w:t>TSP Excess Losses</w:t>
      </w:r>
      <w:r w:rsidRPr="00C11DA8">
        <w:rPr>
          <w:i/>
          <w:iCs/>
          <w:vertAlign w:val="subscript"/>
        </w:rPr>
        <w:t>k</w:t>
      </w:r>
      <w:r>
        <w:rPr>
          <w:i/>
          <w:iCs/>
          <w:vertAlign w:val="subscript"/>
        </w:rPr>
        <w:t xml:space="preserve"> </w:t>
      </w:r>
      <w:r>
        <w:t xml:space="preserve">is the amount of Excess Losses of the Transmission Service Provider </w:t>
      </w:r>
      <w:r w:rsidRPr="00C11DA8">
        <w:rPr>
          <w:i/>
          <w:iCs/>
        </w:rPr>
        <w:t>k</w:t>
      </w:r>
      <w:r>
        <w:t>, expressed in MWh</w:t>
      </w:r>
      <w:r w:rsidR="00BE7904">
        <w:t>;</w:t>
      </w:r>
    </w:p>
    <w:p w14:paraId="24743219" w14:textId="0009CBD4" w:rsidR="00E73A08" w:rsidRPr="00546184" w:rsidRDefault="00E73A08" w:rsidP="00FF4826">
      <w:pPr>
        <w:pStyle w:val="BodyText"/>
        <w:numPr>
          <w:ilvl w:val="0"/>
          <w:numId w:val="23"/>
        </w:numPr>
      </w:pPr>
      <w:r>
        <w:rPr>
          <w:i/>
          <w:iCs/>
        </w:rPr>
        <w:t xml:space="preserve"> </w:t>
      </w:r>
      <w:r w:rsidRPr="00546184">
        <w:rPr>
          <w:i/>
          <w:iCs/>
        </w:rPr>
        <w:t>TransLoss</w:t>
      </w:r>
      <w:r>
        <w:rPr>
          <w:i/>
          <w:iCs/>
          <w:vertAlign w:val="subscript"/>
        </w:rPr>
        <w:t>k</w:t>
      </w:r>
      <w:r w:rsidRPr="00546184">
        <w:t xml:space="preserve"> are the </w:t>
      </w:r>
      <w:r>
        <w:t>total T</w:t>
      </w:r>
      <w:r w:rsidRPr="00546184">
        <w:t xml:space="preserve">ransmission </w:t>
      </w:r>
      <w:r w:rsidR="000D0689">
        <w:t>l</w:t>
      </w:r>
      <w:r w:rsidRPr="00546184">
        <w:t xml:space="preserve">osses </w:t>
      </w:r>
      <w:r>
        <w:t xml:space="preserve">of the Transmission Service Provider </w:t>
      </w:r>
      <w:r w:rsidRPr="00F43810">
        <w:rPr>
          <w:i/>
          <w:iCs/>
        </w:rPr>
        <w:t>k</w:t>
      </w:r>
      <w:r>
        <w:t xml:space="preserve"> </w:t>
      </w:r>
      <w:r w:rsidRPr="00546184">
        <w:t xml:space="preserve">in </w:t>
      </w:r>
      <w:r>
        <w:t>the previous fiscal year</w:t>
      </w:r>
      <w:r w:rsidRPr="00546184">
        <w:t>, expressed in MWh</w:t>
      </w:r>
      <w:r>
        <w:t xml:space="preserve">, calculated </w:t>
      </w:r>
      <w:r w:rsidR="003E06D4">
        <w:t>pursuant to</w:t>
      </w:r>
      <w:r>
        <w:t xml:space="preserve"> Clause</w:t>
      </w:r>
      <w:r w:rsidRPr="00546184">
        <w:t xml:space="preserve"> </w:t>
      </w:r>
      <w:r>
        <w:t>2.6.2.1</w:t>
      </w:r>
      <w:r w:rsidR="00BE7904">
        <w:t>;</w:t>
      </w:r>
    </w:p>
    <w:p w14:paraId="18B2B6C9" w14:textId="12DD3ACB" w:rsidR="00E73A08" w:rsidRPr="00C11DA8" w:rsidRDefault="00EA77C9" w:rsidP="00FF4826">
      <w:pPr>
        <w:pStyle w:val="BodyText"/>
        <w:numPr>
          <w:ilvl w:val="0"/>
          <w:numId w:val="23"/>
        </w:numPr>
      </w:pPr>
      <w:r>
        <w:rPr>
          <w:i/>
          <w:iCs/>
        </w:rPr>
        <w:t>AllowLoss</w:t>
      </w:r>
      <w:r w:rsidRPr="00C11DA8">
        <w:rPr>
          <w:i/>
          <w:iCs/>
          <w:vertAlign w:val="subscript"/>
        </w:rPr>
        <w:t xml:space="preserve">k </w:t>
      </w:r>
      <w:r>
        <w:t>is</w:t>
      </w:r>
      <w:r w:rsidR="00E73A08">
        <w:t xml:space="preserve"> the allowed losses, expressed in percent, as determined by the Authority in the latest Tariff Determination of Transmission Service Provider </w:t>
      </w:r>
      <w:r w:rsidR="00E73A08" w:rsidRPr="00C11DA8">
        <w:rPr>
          <w:i/>
          <w:iCs/>
        </w:rPr>
        <w:t>k</w:t>
      </w:r>
      <w:r w:rsidR="00BE7904">
        <w:t>;</w:t>
      </w:r>
    </w:p>
    <w:p w14:paraId="1B1AFE5C" w14:textId="2A7F371B" w:rsidR="00E73A08" w:rsidRPr="00546184" w:rsidRDefault="00E73A08" w:rsidP="00FF4826">
      <w:pPr>
        <w:pStyle w:val="BodyText"/>
        <w:numPr>
          <w:ilvl w:val="0"/>
          <w:numId w:val="23"/>
        </w:numPr>
      </w:pPr>
      <w:r w:rsidRPr="00DC3267">
        <w:rPr>
          <w:rFonts w:asciiTheme="minorHAnsi" w:eastAsiaTheme="minorEastAsia" w:hAnsiTheme="minorHAnsi" w:cstheme="minorHAnsi"/>
          <w:i/>
          <w:iCs/>
        </w:rPr>
        <w:t>T</w:t>
      </w:r>
      <w:r>
        <w:rPr>
          <w:rFonts w:asciiTheme="minorHAnsi" w:eastAsiaTheme="minorEastAsia" w:hAnsiTheme="minorHAnsi" w:cstheme="minorHAnsi"/>
          <w:i/>
          <w:iCs/>
        </w:rPr>
        <w:t>ransEnergy</w:t>
      </w:r>
      <w:r>
        <w:rPr>
          <w:rFonts w:asciiTheme="minorHAnsi" w:eastAsiaTheme="minorEastAsia" w:hAnsiTheme="minorHAnsi" w:cstheme="minorHAnsi"/>
          <w:i/>
          <w:iCs/>
          <w:vertAlign w:val="subscript"/>
        </w:rPr>
        <w:t>k</w:t>
      </w:r>
      <w:r w:rsidRPr="00DC3267">
        <w:rPr>
          <w:rFonts w:asciiTheme="minorHAnsi" w:eastAsiaTheme="minorEastAsia" w:hAnsiTheme="minorHAnsi" w:cstheme="minorHAnsi"/>
        </w:rPr>
        <w:t xml:space="preserve"> is the total </w:t>
      </w:r>
      <w:r>
        <w:rPr>
          <w:rFonts w:asciiTheme="minorHAnsi" w:eastAsiaTheme="minorEastAsia" w:hAnsiTheme="minorHAnsi" w:cstheme="minorHAnsi"/>
        </w:rPr>
        <w:t xml:space="preserve">Transmitted Energy by the Transmission Service Provider </w:t>
      </w:r>
      <w:r w:rsidRPr="00C11DA8">
        <w:rPr>
          <w:rFonts w:asciiTheme="minorHAnsi" w:eastAsiaTheme="minorEastAsia" w:hAnsiTheme="minorHAnsi" w:cstheme="minorHAnsi"/>
          <w:i/>
          <w:iCs/>
        </w:rPr>
        <w:t>k</w:t>
      </w:r>
      <w:r>
        <w:rPr>
          <w:rFonts w:asciiTheme="minorHAnsi" w:eastAsiaTheme="minorEastAsia" w:hAnsiTheme="minorHAnsi" w:cstheme="minorHAnsi"/>
        </w:rPr>
        <w:t xml:space="preserve"> </w:t>
      </w:r>
      <w:r w:rsidRPr="00546184">
        <w:t xml:space="preserve">in </w:t>
      </w:r>
      <w:r>
        <w:t>the previous fiscal year</w:t>
      </w:r>
      <w:r w:rsidRPr="00546184">
        <w:t>, expressed in MWh</w:t>
      </w:r>
      <w:r>
        <w:t>, calculated as per Clause</w:t>
      </w:r>
      <w:r w:rsidRPr="00546184">
        <w:t xml:space="preserve"> </w:t>
      </w:r>
      <w:r>
        <w:fldChar w:fldCharType="begin"/>
      </w:r>
      <w:r>
        <w:instrText xml:space="preserve"> REF _Ref61210353 \r \h </w:instrText>
      </w:r>
      <w:r>
        <w:fldChar w:fldCharType="separate"/>
      </w:r>
      <w:r w:rsidR="00251DBF">
        <w:t>12.2.3.2</w:t>
      </w:r>
      <w:r>
        <w:fldChar w:fldCharType="end"/>
      </w:r>
      <w:r w:rsidR="00BE7904">
        <w:t>.</w:t>
      </w:r>
    </w:p>
    <w:p w14:paraId="759CD1E1" w14:textId="4C2528C2" w:rsidR="00E73A08" w:rsidRPr="00B65380" w:rsidRDefault="003E06D4" w:rsidP="00E73A08">
      <w:pPr>
        <w:pStyle w:val="Heading3"/>
      </w:pPr>
      <w:r>
        <w:t>Determination</w:t>
      </w:r>
      <w:r w:rsidRPr="00B65380">
        <w:t xml:space="preserve"> </w:t>
      </w:r>
      <w:r w:rsidR="00E73A08" w:rsidRPr="00B65380">
        <w:t>of Charges to</w:t>
      </w:r>
      <w:r>
        <w:t xml:space="preserve"> be imposed on</w:t>
      </w:r>
      <w:r w:rsidR="00E73A08" w:rsidRPr="00B65380">
        <w:t xml:space="preserve"> a TSP for Excess losses:</w:t>
      </w:r>
    </w:p>
    <w:p w14:paraId="455DEA7A" w14:textId="2C477D68" w:rsidR="00B65380" w:rsidRPr="00B65380" w:rsidRDefault="00B65380" w:rsidP="005B295A">
      <w:pPr>
        <w:pStyle w:val="Heading4"/>
      </w:pPr>
      <w:r w:rsidRPr="00B65380">
        <w:t xml:space="preserve">The charges for Excess losses of a Transmission Service Provider shall be </w:t>
      </w:r>
      <w:r w:rsidR="003E06D4">
        <w:t>determined</w:t>
      </w:r>
      <w:r w:rsidR="003E06D4" w:rsidRPr="00B65380">
        <w:t xml:space="preserve"> </w:t>
      </w:r>
      <w:r w:rsidRPr="00B65380">
        <w:t xml:space="preserve">multiplying the Excess Losses, expressed in MWh, by the weighted average </w:t>
      </w:r>
      <w:r w:rsidR="003E06D4">
        <w:t xml:space="preserve">System </w:t>
      </w:r>
      <w:r w:rsidRPr="00B65380">
        <w:t xml:space="preserve">Marginal Price of the previous fiscal year. </w:t>
      </w:r>
    </w:p>
    <w:p w14:paraId="413D4304" w14:textId="7F88D167" w:rsidR="00B65380" w:rsidRPr="00B65380" w:rsidRDefault="00E73A08" w:rsidP="005B295A">
      <w:pPr>
        <w:pStyle w:val="Heading4"/>
      </w:pPr>
      <w:bookmarkStart w:id="688" w:name="_Ref61215054"/>
      <w:r w:rsidRPr="00B65380">
        <w:t xml:space="preserve">The yearly </w:t>
      </w:r>
      <w:r w:rsidR="00B65380" w:rsidRPr="00B65380">
        <w:t xml:space="preserve">weighted </w:t>
      </w:r>
      <w:r w:rsidRPr="00B65380">
        <w:t>average</w:t>
      </w:r>
      <w:r w:rsidR="003E06D4">
        <w:t xml:space="preserve"> System</w:t>
      </w:r>
      <w:r w:rsidRPr="00B65380">
        <w:t xml:space="preserve"> </w:t>
      </w:r>
      <w:r w:rsidR="00B65380" w:rsidRPr="00B65380">
        <w:t xml:space="preserve">Marginal Price, </w:t>
      </w:r>
      <w:r w:rsidRPr="00B65380">
        <w:t>expressed in PKR/MWh, shall be calculated as</w:t>
      </w:r>
      <w:r w:rsidR="00B65380" w:rsidRPr="00B65380">
        <w:t>:</w:t>
      </w:r>
      <w:bookmarkEnd w:id="688"/>
      <w:r w:rsidR="00B65380" w:rsidRPr="00B65380">
        <w:t xml:space="preserve"> </w:t>
      </w:r>
    </w:p>
    <w:p w14:paraId="60553D21" w14:textId="6A540B19" w:rsidR="00B65380" w:rsidRPr="00B65380" w:rsidRDefault="00B65380" w:rsidP="00E73A08">
      <w:pPr>
        <w:rPr>
          <w:sz w:val="24"/>
        </w:rPr>
      </w:pPr>
      <m:oMathPara>
        <m:oMath>
          <m:r>
            <w:rPr>
              <w:rFonts w:ascii="Cambria Math" w:hAnsi="Cambria Math"/>
              <w:sz w:val="24"/>
            </w:rPr>
            <m:t>YMP</m:t>
          </m:r>
          <m:d>
            <m:dPr>
              <m:begChr m:val="["/>
              <m:endChr m:val="]"/>
              <m:ctrlPr>
                <w:rPr>
                  <w:rFonts w:ascii="Cambria Math" w:hAnsi="Cambria Math"/>
                  <w:i/>
                  <w:sz w:val="24"/>
                </w:rPr>
              </m:ctrlPr>
            </m:dPr>
            <m:e>
              <m:f>
                <m:fPr>
                  <m:type m:val="skw"/>
                  <m:ctrlPr>
                    <w:rPr>
                      <w:rFonts w:ascii="Cambria Math" w:hAnsi="Cambria Math"/>
                      <w:i/>
                      <w:sz w:val="24"/>
                    </w:rPr>
                  </m:ctrlPr>
                </m:fPr>
                <m:num>
                  <m:r>
                    <w:rPr>
                      <w:rFonts w:ascii="Cambria Math" w:hAnsi="Cambria Math"/>
                      <w:sz w:val="24"/>
                    </w:rPr>
                    <m:t>PKR</m:t>
                  </m:r>
                </m:num>
                <m:den>
                  <m:r>
                    <w:rPr>
                      <w:rFonts w:ascii="Cambria Math" w:hAnsi="Cambria Math"/>
                      <w:sz w:val="24"/>
                    </w:rPr>
                    <m:t>MWh</m:t>
                  </m:r>
                </m:den>
              </m:f>
            </m:e>
          </m:d>
          <m:r>
            <w:rPr>
              <w:rFonts w:ascii="Cambria Math" w:hAnsi="Cambria Math"/>
              <w:sz w:val="24"/>
            </w:rPr>
            <m:t>=</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h=1</m:t>
                  </m:r>
                </m:sub>
                <m:sup>
                  <m:r>
                    <w:rPr>
                      <w:rFonts w:ascii="Cambria Math" w:hAnsi="Cambria Math"/>
                      <w:sz w:val="24"/>
                    </w:rPr>
                    <m:t>h=n</m:t>
                  </m:r>
                </m:sup>
                <m:e>
                  <m:d>
                    <m:dPr>
                      <m:ctrlPr>
                        <w:rPr>
                          <w:rFonts w:ascii="Cambria Math" w:hAnsi="Cambria Math"/>
                          <w:i/>
                          <w:sz w:val="24"/>
                        </w:rPr>
                      </m:ctrlPr>
                    </m:dPr>
                    <m:e>
                      <m:sSub>
                        <m:sSubPr>
                          <m:ctrlPr>
                            <w:rPr>
                              <w:rFonts w:ascii="Cambria Math" w:eastAsiaTheme="minorEastAsia" w:hAnsi="Cambria Math"/>
                            </w:rPr>
                          </m:ctrlPr>
                        </m:sSubPr>
                        <m:e>
                          <m:r>
                            <w:rPr>
                              <w:rFonts w:ascii="Cambria Math" w:hAnsi="Cambria Math"/>
                            </w:rPr>
                            <m:t>TotDem</m:t>
                          </m:r>
                        </m:e>
                        <m:sub>
                          <m:r>
                            <w:rPr>
                              <w:rFonts w:ascii="Cambria Math" w:eastAsiaTheme="minorEastAsia" w:hAnsi="Cambria Math"/>
                            </w:rPr>
                            <m:t>h</m:t>
                          </m:r>
                        </m:sub>
                      </m:sSub>
                      <m:d>
                        <m:dPr>
                          <m:begChr m:val="["/>
                          <m:endChr m:val="]"/>
                          <m:ctrlPr>
                            <w:rPr>
                              <w:rFonts w:ascii="Cambria Math" w:hAnsi="Cambria Math"/>
                            </w:rPr>
                          </m:ctrlPr>
                        </m:dPr>
                        <m:e>
                          <m:r>
                            <w:rPr>
                              <w:rFonts w:ascii="Cambria Math" w:hAnsi="Cambria Math"/>
                            </w:rPr>
                            <m:t>MWh</m:t>
                          </m:r>
                        </m:e>
                      </m:d>
                      <m:r>
                        <w:rPr>
                          <w:rFonts w:ascii="Cambria Math" w:hAnsi="Cambria Math"/>
                        </w:rPr>
                        <m:t>*</m:t>
                      </m:r>
                      <m:sSub>
                        <m:sSubPr>
                          <m:ctrlPr>
                            <w:rPr>
                              <w:rFonts w:ascii="Cambria Math" w:hAnsi="Cambria Math"/>
                              <w:i/>
                            </w:rPr>
                          </m:ctrlPr>
                        </m:sSubPr>
                        <m:e>
                          <m:r>
                            <w:rPr>
                              <w:rFonts w:ascii="Cambria Math" w:hAnsi="Cambria Math"/>
                            </w:rPr>
                            <m:t>Marg</m:t>
                          </m:r>
                        </m:e>
                        <m:sub>
                          <m:r>
                            <w:rPr>
                              <w:rFonts w:ascii="Cambria Math" w:hAnsi="Cambria Math"/>
                            </w:rPr>
                            <m:t>h</m:t>
                          </m:r>
                        </m:sub>
                      </m:sSub>
                      <m:r>
                        <w:rPr>
                          <w:rFonts w:ascii="Cambria Math" w:hAnsi="Cambria Math"/>
                        </w:rPr>
                        <m:t>[</m:t>
                      </m:r>
                      <m:f>
                        <m:fPr>
                          <m:type m:val="skw"/>
                          <m:ctrlPr>
                            <w:rPr>
                              <w:rFonts w:ascii="Cambria Math" w:hAnsi="Cambria Math"/>
                              <w:i/>
                            </w:rPr>
                          </m:ctrlPr>
                        </m:fPr>
                        <m:num>
                          <m:r>
                            <w:rPr>
                              <w:rFonts w:ascii="Cambria Math" w:hAnsi="Cambria Math"/>
                            </w:rPr>
                            <m:t>PKR</m:t>
                          </m:r>
                        </m:num>
                        <m:den>
                          <m:r>
                            <w:rPr>
                              <w:rFonts w:ascii="Cambria Math" w:hAnsi="Cambria Math"/>
                            </w:rPr>
                            <m:t>MWh</m:t>
                          </m:r>
                        </m:den>
                      </m:f>
                      <m:r>
                        <w:rPr>
                          <w:rFonts w:ascii="Cambria Math" w:hAnsi="Cambria Math"/>
                        </w:rPr>
                        <m:t>]</m:t>
                      </m:r>
                    </m:e>
                  </m:d>
                </m:e>
              </m:nary>
            </m:num>
            <m:den>
              <m:nary>
                <m:naryPr>
                  <m:chr m:val="∑"/>
                  <m:limLoc m:val="undOvr"/>
                  <m:ctrlPr>
                    <w:rPr>
                      <w:rFonts w:ascii="Cambria Math" w:hAnsi="Cambria Math"/>
                      <w:i/>
                      <w:sz w:val="24"/>
                    </w:rPr>
                  </m:ctrlPr>
                </m:naryPr>
                <m:sub>
                  <m:r>
                    <w:rPr>
                      <w:rFonts w:ascii="Cambria Math" w:hAnsi="Cambria Math"/>
                      <w:sz w:val="24"/>
                    </w:rPr>
                    <m:t>h=1</m:t>
                  </m:r>
                </m:sub>
                <m:sup>
                  <m:r>
                    <w:rPr>
                      <w:rFonts w:ascii="Cambria Math" w:hAnsi="Cambria Math"/>
                      <w:sz w:val="24"/>
                    </w:rPr>
                    <m:t>h=8760</m:t>
                  </m:r>
                </m:sup>
                <m:e>
                  <m:sSub>
                    <m:sSubPr>
                      <m:ctrlPr>
                        <w:rPr>
                          <w:rFonts w:ascii="Cambria Math" w:eastAsiaTheme="minorEastAsia" w:hAnsi="Cambria Math"/>
                        </w:rPr>
                      </m:ctrlPr>
                    </m:sSubPr>
                    <m:e>
                      <m:r>
                        <w:rPr>
                          <w:rFonts w:ascii="Cambria Math" w:hAnsi="Cambria Math"/>
                        </w:rPr>
                        <m:t>TotDem</m:t>
                      </m:r>
                    </m:e>
                    <m:sub>
                      <m:r>
                        <w:rPr>
                          <w:rFonts w:ascii="Cambria Math" w:eastAsiaTheme="minorEastAsia" w:hAnsi="Cambria Math"/>
                        </w:rPr>
                        <m:t>h</m:t>
                      </m:r>
                    </m:sub>
                  </m:sSub>
                  <m:d>
                    <m:dPr>
                      <m:begChr m:val="["/>
                      <m:endChr m:val="]"/>
                      <m:ctrlPr>
                        <w:rPr>
                          <w:rFonts w:ascii="Cambria Math" w:hAnsi="Cambria Math"/>
                        </w:rPr>
                      </m:ctrlPr>
                    </m:dPr>
                    <m:e>
                      <m:r>
                        <w:rPr>
                          <w:rFonts w:ascii="Cambria Math" w:hAnsi="Cambria Math"/>
                        </w:rPr>
                        <m:t>MWh</m:t>
                      </m:r>
                    </m:e>
                  </m:d>
                </m:e>
              </m:nary>
            </m:den>
          </m:f>
        </m:oMath>
      </m:oMathPara>
    </w:p>
    <w:p w14:paraId="3D8E677F" w14:textId="77777777" w:rsidR="008762E6" w:rsidRPr="00546184" w:rsidRDefault="008762E6" w:rsidP="00A22D29">
      <w:pPr>
        <w:pStyle w:val="BodyText"/>
      </w:pPr>
      <w:r w:rsidRPr="00546184">
        <w:t xml:space="preserve">Where: </w:t>
      </w:r>
    </w:p>
    <w:p w14:paraId="1B029B9F" w14:textId="0C8524DC" w:rsidR="008762E6" w:rsidRDefault="008762E6" w:rsidP="00FF4826">
      <w:pPr>
        <w:pStyle w:val="BodyText"/>
        <w:numPr>
          <w:ilvl w:val="0"/>
          <w:numId w:val="23"/>
        </w:numPr>
      </w:pPr>
      <w:r>
        <w:rPr>
          <w:i/>
          <w:iCs/>
        </w:rPr>
        <w:t xml:space="preserve">YMP </w:t>
      </w:r>
      <w:r>
        <w:t xml:space="preserve">is the </w:t>
      </w:r>
      <w:r w:rsidR="00A11688" w:rsidRPr="00B65380">
        <w:t xml:space="preserve">weighted </w:t>
      </w:r>
      <w:r>
        <w:t xml:space="preserve">average yearly </w:t>
      </w:r>
      <w:r w:rsidR="00A11688">
        <w:t xml:space="preserve">System </w:t>
      </w:r>
      <w:r w:rsidR="00BA26DE">
        <w:t>M</w:t>
      </w:r>
      <w:r>
        <w:t xml:space="preserve">arginal </w:t>
      </w:r>
      <w:r w:rsidR="00BA26DE">
        <w:t>P</w:t>
      </w:r>
      <w:r>
        <w:t xml:space="preserve">rice, </w:t>
      </w:r>
      <w:r w:rsidR="00A11688">
        <w:t xml:space="preserve">for </w:t>
      </w:r>
      <w:r>
        <w:t>the previous fiscal year</w:t>
      </w:r>
      <w:r w:rsidR="007C739B">
        <w:t>, expressed in PKR/MWh</w:t>
      </w:r>
      <w:r w:rsidR="00BE7904">
        <w:t>;</w:t>
      </w:r>
      <w:r>
        <w:t xml:space="preserve"> </w:t>
      </w:r>
    </w:p>
    <w:p w14:paraId="6E61AA3A" w14:textId="4D2B0F6E" w:rsidR="008762E6" w:rsidRPr="008762E6" w:rsidRDefault="008762E6" w:rsidP="00FF4826">
      <w:pPr>
        <w:pStyle w:val="BodyText"/>
        <w:numPr>
          <w:ilvl w:val="0"/>
          <w:numId w:val="23"/>
        </w:numPr>
      </w:pPr>
      <w:r w:rsidRPr="008762E6">
        <w:rPr>
          <w:i/>
          <w:iCs/>
        </w:rPr>
        <w:t>Marg</w:t>
      </w:r>
      <w:r w:rsidRPr="008762E6">
        <w:rPr>
          <w:i/>
          <w:iCs/>
          <w:vertAlign w:val="subscript"/>
        </w:rPr>
        <w:t>h</w:t>
      </w:r>
      <w:r>
        <w:t xml:space="preserve"> is the </w:t>
      </w:r>
      <w:r w:rsidR="00A11688">
        <w:t>S</w:t>
      </w:r>
      <w:r>
        <w:t xml:space="preserve">ystem </w:t>
      </w:r>
      <w:r w:rsidR="00BA26DE">
        <w:t>M</w:t>
      </w:r>
      <w:r>
        <w:t xml:space="preserve">arginal </w:t>
      </w:r>
      <w:r w:rsidR="00BA26DE">
        <w:t>P</w:t>
      </w:r>
      <w:r>
        <w:t xml:space="preserve">rice, </w:t>
      </w:r>
      <w:r w:rsidR="00A11688">
        <w:t>for</w:t>
      </w:r>
      <w:r>
        <w:t xml:space="preserve"> the hour h, calculated </w:t>
      </w:r>
      <w:r w:rsidR="00A11688">
        <w:t>pursuant to</w:t>
      </w:r>
      <w:r>
        <w:t xml:space="preserve"> Clause </w:t>
      </w:r>
      <w:r>
        <w:fldChar w:fldCharType="begin"/>
      </w:r>
      <w:r>
        <w:instrText xml:space="preserve"> REF _Ref61214447 \r \h </w:instrText>
      </w:r>
      <w:r>
        <w:fldChar w:fldCharType="separate"/>
      </w:r>
      <w:r w:rsidR="00251DBF">
        <w:t>6.3.2.3</w:t>
      </w:r>
      <w:r>
        <w:fldChar w:fldCharType="end"/>
      </w:r>
      <w:r w:rsidR="00BE7904">
        <w:t>;</w:t>
      </w:r>
      <w:r>
        <w:t xml:space="preserve"> </w:t>
      </w:r>
    </w:p>
    <w:p w14:paraId="15C917FF" w14:textId="63DFB4C9" w:rsidR="008762E6" w:rsidRPr="00B03C4A" w:rsidRDefault="008762E6" w:rsidP="00FF4826">
      <w:pPr>
        <w:pStyle w:val="ListParagraph"/>
        <w:numPr>
          <w:ilvl w:val="0"/>
          <w:numId w:val="23"/>
        </w:numPr>
        <w:rPr>
          <w:rFonts w:ascii="Cambria Math" w:hAnsi="Cambria Math"/>
          <w:oMath/>
        </w:rPr>
      </w:pPr>
      <w:r w:rsidRPr="00B03C4A">
        <w:rPr>
          <w:rFonts w:eastAsiaTheme="minorEastAsia" w:cstheme="minorHAnsi"/>
          <w:i/>
          <w:iCs/>
        </w:rPr>
        <w:t>TotDem</w:t>
      </w:r>
      <w:r w:rsidRPr="00B03C4A">
        <w:rPr>
          <w:rFonts w:eastAsiaTheme="minorEastAsia" w:cstheme="minorHAnsi"/>
          <w:i/>
          <w:iCs/>
          <w:vertAlign w:val="subscript"/>
        </w:rPr>
        <w:t>h</w:t>
      </w:r>
      <w:r w:rsidRPr="00B03C4A">
        <w:rPr>
          <w:rFonts w:eastAsiaTheme="minorEastAsia" w:cstheme="minorHAnsi"/>
        </w:rPr>
        <w:t xml:space="preserve"> is the total </w:t>
      </w:r>
      <w:r w:rsidR="00BA26DE" w:rsidRPr="00B03C4A">
        <w:rPr>
          <w:rFonts w:eastAsiaTheme="minorEastAsia" w:cstheme="minorHAnsi"/>
        </w:rPr>
        <w:t>E</w:t>
      </w:r>
      <w:r w:rsidRPr="00B03C4A">
        <w:rPr>
          <w:rFonts w:eastAsiaTheme="minorEastAsia" w:cstheme="minorHAnsi"/>
        </w:rPr>
        <w:t xml:space="preserve">nergy demanded by Market Participants in hour h, calculated </w:t>
      </w:r>
      <w:r w:rsidR="00A11688" w:rsidRPr="00B03C4A">
        <w:rPr>
          <w:rFonts w:eastAsiaTheme="minorEastAsia" w:cstheme="minorHAnsi"/>
        </w:rPr>
        <w:t>Perusant to</w:t>
      </w:r>
      <w:r w:rsidRPr="00B03C4A">
        <w:rPr>
          <w:rFonts w:eastAsiaTheme="minorEastAsia" w:cstheme="minorHAnsi"/>
        </w:rPr>
        <w:t xml:space="preserve"> Clause </w:t>
      </w:r>
      <w:r w:rsidRPr="00B03C4A">
        <w:rPr>
          <w:rFonts w:eastAsiaTheme="minorEastAsia" w:cstheme="minorHAnsi"/>
        </w:rPr>
        <w:fldChar w:fldCharType="begin"/>
      </w:r>
      <w:r w:rsidRPr="00B03C4A">
        <w:rPr>
          <w:rFonts w:eastAsiaTheme="minorEastAsia" w:cstheme="minorHAnsi"/>
        </w:rPr>
        <w:instrText xml:space="preserve"> REF _Ref61214447 \r \h </w:instrText>
      </w:r>
      <w:r w:rsidR="00BE7904">
        <w:rPr>
          <w:rFonts w:eastAsiaTheme="minorEastAsia" w:cstheme="minorHAnsi"/>
        </w:rPr>
        <w:instrText xml:space="preserve"> \* MERGEFORMAT </w:instrText>
      </w:r>
      <w:r w:rsidRPr="00B03C4A">
        <w:rPr>
          <w:rFonts w:eastAsiaTheme="minorEastAsia" w:cstheme="minorHAnsi"/>
        </w:rPr>
      </w:r>
      <w:r w:rsidRPr="00B03C4A">
        <w:rPr>
          <w:rFonts w:eastAsiaTheme="minorEastAsia" w:cstheme="minorHAnsi"/>
        </w:rPr>
        <w:fldChar w:fldCharType="separate"/>
      </w:r>
      <w:r w:rsidR="00251DBF" w:rsidRPr="00B03C4A">
        <w:rPr>
          <w:rFonts w:eastAsiaTheme="minorEastAsia" w:cstheme="minorHAnsi"/>
        </w:rPr>
        <w:t>6.3.2.3</w:t>
      </w:r>
      <w:r w:rsidRPr="00B03C4A">
        <w:rPr>
          <w:rFonts w:eastAsiaTheme="minorEastAsia" w:cstheme="minorHAnsi"/>
        </w:rPr>
        <w:fldChar w:fldCharType="end"/>
      </w:r>
      <w:r w:rsidR="00BE7904" w:rsidRPr="00B03C4A">
        <w:rPr>
          <w:rFonts w:eastAsiaTheme="minorEastAsia" w:cstheme="minorHAnsi"/>
        </w:rPr>
        <w:t>;</w:t>
      </w:r>
    </w:p>
    <w:p w14:paraId="1D8D8B10" w14:textId="3C9A6DA2" w:rsidR="008762E6" w:rsidRDefault="004D6075" w:rsidP="00FF4826">
      <w:pPr>
        <w:pStyle w:val="BodyText"/>
        <w:numPr>
          <w:ilvl w:val="0"/>
          <w:numId w:val="23"/>
        </w:numPr>
      </w:pPr>
      <m:oMath>
        <m:nary>
          <m:naryPr>
            <m:chr m:val="∑"/>
            <m:limLoc m:val="undOvr"/>
            <m:ctrlPr>
              <w:rPr>
                <w:rFonts w:ascii="Cambria Math" w:hAnsi="Cambria Math"/>
                <w:i/>
              </w:rPr>
            </m:ctrlPr>
          </m:naryPr>
          <m:sub>
            <m:r>
              <w:rPr>
                <w:rFonts w:ascii="Cambria Math" w:hAnsi="Cambria Math"/>
              </w:rPr>
              <m:t>h=1</m:t>
            </m:r>
          </m:sub>
          <m:sup>
            <m:r>
              <w:rPr>
                <w:rFonts w:ascii="Cambria Math" w:hAnsi="Cambria Math"/>
              </w:rPr>
              <m:t>h=n</m:t>
            </m:r>
          </m:sup>
          <m:e>
            <m:d>
              <m:dPr>
                <m:ctrlPr>
                  <w:rPr>
                    <w:rFonts w:ascii="Cambria Math" w:hAnsi="Cambria Math"/>
                    <w:i/>
                  </w:rPr>
                </m:ctrlPr>
              </m:dPr>
              <m:e/>
            </m:d>
          </m:e>
        </m:nary>
      </m:oMath>
      <w:r w:rsidR="008762E6">
        <w:t xml:space="preserve"> means the </w:t>
      </w:r>
      <w:r w:rsidR="00A11688">
        <w:t xml:space="preserve">sum </w:t>
      </w:r>
      <w:r w:rsidR="008762E6">
        <w:t>over the total number of hours of the previous fiscal year (8,760 or 8,784 hours, as the case may be)</w:t>
      </w:r>
      <w:r w:rsidR="00BE7904">
        <w:t>.</w:t>
      </w:r>
    </w:p>
    <w:p w14:paraId="78982293" w14:textId="7EF53EC3" w:rsidR="008762E6" w:rsidRPr="0000096C" w:rsidRDefault="008762E6" w:rsidP="00A11688">
      <w:pPr>
        <w:pStyle w:val="Heading4"/>
        <w:rPr>
          <w:rFonts w:eastAsiaTheme="minorEastAsia"/>
        </w:rPr>
      </w:pPr>
      <w:r>
        <w:rPr>
          <w:rFonts w:eastAsiaTheme="minorEastAsia"/>
        </w:rPr>
        <w:t xml:space="preserve">The Charges to be </w:t>
      </w:r>
      <w:r w:rsidR="00A11688">
        <w:rPr>
          <w:rFonts w:eastAsiaTheme="minorEastAsia"/>
        </w:rPr>
        <w:t>imposed on</w:t>
      </w:r>
      <w:r>
        <w:rPr>
          <w:rFonts w:eastAsiaTheme="minorEastAsia"/>
        </w:rPr>
        <w:t xml:space="preserve"> </w:t>
      </w:r>
      <w:r w:rsidRPr="0000096C">
        <w:rPr>
          <w:rFonts w:eastAsiaTheme="minorEastAsia"/>
        </w:rPr>
        <w:t xml:space="preserve">the Transmission Service Provider which has incurred </w:t>
      </w:r>
      <w:r w:rsidR="00A11688">
        <w:rPr>
          <w:rFonts w:eastAsiaTheme="minorEastAsia"/>
        </w:rPr>
        <w:t>such</w:t>
      </w:r>
      <w:r w:rsidR="00A11688" w:rsidRPr="0000096C">
        <w:rPr>
          <w:rFonts w:eastAsiaTheme="minorEastAsia"/>
        </w:rPr>
        <w:t xml:space="preserve"> </w:t>
      </w:r>
      <w:r w:rsidRPr="0000096C">
        <w:rPr>
          <w:rFonts w:eastAsiaTheme="minorEastAsia"/>
        </w:rPr>
        <w:t xml:space="preserve">Excess Losses, for the previous fiscal year, shall be </w:t>
      </w:r>
      <w:r w:rsidR="00A11688">
        <w:rPr>
          <w:rFonts w:eastAsiaTheme="minorEastAsia"/>
        </w:rPr>
        <w:t>determined</w:t>
      </w:r>
      <w:r w:rsidR="00A11688" w:rsidRPr="0000096C">
        <w:rPr>
          <w:rFonts w:eastAsiaTheme="minorEastAsia"/>
        </w:rPr>
        <w:t xml:space="preserve"> </w:t>
      </w:r>
      <w:r w:rsidRPr="0000096C">
        <w:rPr>
          <w:rFonts w:eastAsiaTheme="minorEastAsia"/>
        </w:rPr>
        <w:t xml:space="preserve">as: </w:t>
      </w:r>
    </w:p>
    <w:p w14:paraId="0837EBDA" w14:textId="52B5B421" w:rsidR="008762E6" w:rsidRPr="0000096C" w:rsidRDefault="004D6075" w:rsidP="008762E6">
      <w:pPr>
        <w:rPr>
          <w:rFonts w:asciiTheme="minorHAnsi" w:eastAsiaTheme="minorEastAsia" w:hAnsiTheme="minorHAnsi" w:cstheme="minorHAnsi"/>
        </w:rPr>
      </w:pPr>
      <m:oMathPara>
        <m:oMath>
          <m:sSub>
            <m:sSubPr>
              <m:ctrlPr>
                <w:rPr>
                  <w:rFonts w:ascii="Cambria Math" w:hAnsi="Cambria Math"/>
                  <w:i/>
                </w:rPr>
              </m:ctrlPr>
            </m:sSubPr>
            <m:e>
              <m:r>
                <w:rPr>
                  <w:rFonts w:ascii="Cambria Math" w:hAnsi="Cambria Math"/>
                </w:rPr>
                <m:t>ExcLossCharge</m:t>
              </m:r>
            </m:e>
            <m:sub>
              <m:r>
                <w:rPr>
                  <w:rFonts w:ascii="Cambria Math" w:hAnsi="Cambria Math"/>
                </w:rPr>
                <m:t>k</m:t>
              </m:r>
            </m:sub>
          </m:sSub>
          <m:d>
            <m:dPr>
              <m:begChr m:val="["/>
              <m:endChr m:val="]"/>
              <m:ctrlPr>
                <w:rPr>
                  <w:rFonts w:ascii="Cambria Math" w:hAnsi="Cambria Math"/>
                  <w:i/>
                </w:rPr>
              </m:ctrlPr>
            </m:dPr>
            <m:e>
              <m:r>
                <w:rPr>
                  <w:rFonts w:ascii="Cambria Math" w:hAnsi="Cambria Math"/>
                </w:rPr>
                <m:t>PKR</m:t>
              </m:r>
            </m:e>
          </m:d>
          <m:r>
            <w:rPr>
              <w:rFonts w:ascii="Cambria Math" w:hAnsi="Cambria Math"/>
            </w:rPr>
            <m:t>= YMP</m:t>
          </m:r>
          <m:d>
            <m:dPr>
              <m:ctrlPr>
                <w:rPr>
                  <w:rFonts w:ascii="Cambria Math" w:hAnsi="Cambria Math"/>
                  <w:i/>
                </w:rPr>
              </m:ctrlPr>
            </m:dPr>
            <m:e>
              <m:f>
                <m:fPr>
                  <m:type m:val="skw"/>
                  <m:ctrlPr>
                    <w:rPr>
                      <w:rFonts w:ascii="Cambria Math" w:hAnsi="Cambria Math"/>
                      <w:i/>
                    </w:rPr>
                  </m:ctrlPr>
                </m:fPr>
                <m:num>
                  <m:r>
                    <w:rPr>
                      <w:rFonts w:ascii="Cambria Math" w:hAnsi="Cambria Math"/>
                    </w:rPr>
                    <m:t>PKR</m:t>
                  </m:r>
                </m:num>
                <m:den>
                  <m:r>
                    <w:rPr>
                      <w:rFonts w:ascii="Cambria Math" w:hAnsi="Cambria Math"/>
                    </w:rPr>
                    <m:t>MWh</m:t>
                  </m:r>
                </m:den>
              </m:f>
            </m:e>
          </m:d>
          <m:r>
            <w:rPr>
              <w:rFonts w:ascii="Cambria Math" w:hAnsi="Cambria Math"/>
            </w:rPr>
            <m:t>×</m:t>
          </m:r>
          <m:sSub>
            <m:sSubPr>
              <m:ctrlPr>
                <w:rPr>
                  <w:rFonts w:ascii="Cambria Math" w:hAnsi="Cambria Math"/>
                  <w:i/>
                </w:rPr>
              </m:ctrlPr>
            </m:sSubPr>
            <m:e>
              <m:r>
                <w:rPr>
                  <w:rFonts w:ascii="Cambria Math" w:hAnsi="Cambria Math"/>
                </w:rPr>
                <m:t xml:space="preserve">TSP Excess Losses </m:t>
              </m:r>
              <m:d>
                <m:dPr>
                  <m:ctrlPr>
                    <w:rPr>
                      <w:rFonts w:ascii="Cambria Math" w:hAnsi="Cambria Math"/>
                      <w:i/>
                    </w:rPr>
                  </m:ctrlPr>
                </m:dPr>
                <m:e>
                  <m:r>
                    <w:rPr>
                      <w:rFonts w:ascii="Cambria Math" w:hAnsi="Cambria Math"/>
                    </w:rPr>
                    <m:t>MWh</m:t>
                  </m:r>
                </m:e>
              </m:d>
            </m:e>
            <m:sub>
              <m:r>
                <w:rPr>
                  <w:rFonts w:ascii="Cambria Math" w:hAnsi="Cambria Math"/>
                </w:rPr>
                <m:t>k</m:t>
              </m:r>
            </m:sub>
          </m:sSub>
        </m:oMath>
      </m:oMathPara>
    </w:p>
    <w:p w14:paraId="21B7B4BD" w14:textId="77777777" w:rsidR="0000096C" w:rsidRPr="0000096C" w:rsidRDefault="0000096C" w:rsidP="00A22D29">
      <w:pPr>
        <w:pStyle w:val="BodyText"/>
      </w:pPr>
      <w:r w:rsidRPr="0000096C">
        <w:t xml:space="preserve">Where: </w:t>
      </w:r>
    </w:p>
    <w:p w14:paraId="2B6AB4DF" w14:textId="1BC7EEC9" w:rsidR="0000096C" w:rsidRPr="0000096C" w:rsidRDefault="0000096C" w:rsidP="00FF4826">
      <w:pPr>
        <w:pStyle w:val="BodyText"/>
        <w:numPr>
          <w:ilvl w:val="0"/>
          <w:numId w:val="23"/>
        </w:numPr>
      </w:pPr>
      <w:r w:rsidRPr="0000096C">
        <w:rPr>
          <w:i/>
          <w:iCs/>
        </w:rPr>
        <w:t>ExcLossCharge</w:t>
      </w:r>
      <w:r w:rsidRPr="0000096C">
        <w:rPr>
          <w:i/>
          <w:iCs/>
          <w:vertAlign w:val="subscript"/>
        </w:rPr>
        <w:t>k</w:t>
      </w:r>
      <w:r w:rsidRPr="0000096C">
        <w:rPr>
          <w:i/>
          <w:iCs/>
        </w:rPr>
        <w:t xml:space="preserve"> </w:t>
      </w:r>
      <w:r w:rsidRPr="0000096C">
        <w:t xml:space="preserve">is the charge to be </w:t>
      </w:r>
      <w:r w:rsidR="00A11688">
        <w:t>imposed on</w:t>
      </w:r>
      <w:r w:rsidR="00A11688" w:rsidRPr="0000096C">
        <w:t xml:space="preserve"> </w:t>
      </w:r>
      <w:r w:rsidR="00A11688">
        <w:t>the</w:t>
      </w:r>
      <w:r w:rsidR="00A11688" w:rsidRPr="0000096C">
        <w:t xml:space="preserve"> </w:t>
      </w:r>
      <w:r w:rsidRPr="0000096C">
        <w:t xml:space="preserve">Transmission Service Provide k, for Excess Losses, </w:t>
      </w:r>
      <w:r w:rsidR="00A11688">
        <w:t>for</w:t>
      </w:r>
      <w:r w:rsidRPr="0000096C">
        <w:t xml:space="preserve"> the previous fiscal year</w:t>
      </w:r>
      <w:r w:rsidR="00BE7904">
        <w:t>;</w:t>
      </w:r>
      <w:r w:rsidRPr="0000096C">
        <w:t xml:space="preserve"> </w:t>
      </w:r>
    </w:p>
    <w:p w14:paraId="1F9D84E3" w14:textId="05537B9B" w:rsidR="0000096C" w:rsidRDefault="0000096C" w:rsidP="00FF4826">
      <w:pPr>
        <w:pStyle w:val="BodyText"/>
        <w:numPr>
          <w:ilvl w:val="0"/>
          <w:numId w:val="23"/>
        </w:numPr>
      </w:pPr>
      <w:r w:rsidRPr="0000096C">
        <w:t xml:space="preserve">YMP is the </w:t>
      </w:r>
      <w:r w:rsidR="00A11688" w:rsidRPr="00B65380">
        <w:t xml:space="preserve">weighted </w:t>
      </w:r>
      <w:r w:rsidRPr="0000096C">
        <w:t>average</w:t>
      </w:r>
      <w:r>
        <w:t xml:space="preserve"> yearly </w:t>
      </w:r>
      <w:r w:rsidR="00A11688">
        <w:t xml:space="preserve">System </w:t>
      </w:r>
      <w:r w:rsidR="00BA26DE">
        <w:t>M</w:t>
      </w:r>
      <w:r>
        <w:t xml:space="preserve">arginal </w:t>
      </w:r>
      <w:r w:rsidR="00BA26DE">
        <w:t>P</w:t>
      </w:r>
      <w:r>
        <w:t xml:space="preserve">rice, </w:t>
      </w:r>
      <w:r w:rsidR="00A11688">
        <w:t>for</w:t>
      </w:r>
      <w:r>
        <w:t xml:space="preserve"> the previous fiscal year, as </w:t>
      </w:r>
      <w:r w:rsidR="00A11688">
        <w:t xml:space="preserve">provided </w:t>
      </w:r>
      <w:r>
        <w:t xml:space="preserve">in Clause. </w:t>
      </w:r>
      <w:r>
        <w:fldChar w:fldCharType="begin"/>
      </w:r>
      <w:r>
        <w:instrText xml:space="preserve"> REF _Ref61215054 \r \h </w:instrText>
      </w:r>
      <w:r>
        <w:fldChar w:fldCharType="separate"/>
      </w:r>
      <w:r w:rsidR="00251DBF">
        <w:t>12.2.6.2</w:t>
      </w:r>
      <w:r>
        <w:fldChar w:fldCharType="end"/>
      </w:r>
      <w:r w:rsidR="00BE7904">
        <w:t>;</w:t>
      </w:r>
    </w:p>
    <w:p w14:paraId="58C0F185" w14:textId="62AC5216" w:rsidR="0000096C" w:rsidRPr="0000096C" w:rsidRDefault="00F51E89" w:rsidP="00FF4826">
      <w:pPr>
        <w:pStyle w:val="ListParagraph"/>
        <w:numPr>
          <w:ilvl w:val="0"/>
          <w:numId w:val="23"/>
        </w:numPr>
        <w:rPr>
          <w:rFonts w:asciiTheme="minorHAnsi" w:eastAsiaTheme="minorEastAsia" w:hAnsiTheme="minorHAnsi" w:cstheme="minorHAnsi"/>
        </w:rPr>
      </w:pPr>
      <w:r>
        <w:rPr>
          <w:i/>
          <w:iCs/>
        </w:rPr>
        <w:t>TSP Excess Losses</w:t>
      </w:r>
      <w:r w:rsidRPr="00C11DA8">
        <w:rPr>
          <w:i/>
          <w:iCs/>
          <w:vertAlign w:val="subscript"/>
        </w:rPr>
        <w:t>k</w:t>
      </w:r>
      <w:r>
        <w:rPr>
          <w:i/>
          <w:iCs/>
          <w:vertAlign w:val="subscript"/>
        </w:rPr>
        <w:t xml:space="preserve"> </w:t>
      </w:r>
      <w:r>
        <w:t>is the amount</w:t>
      </w:r>
      <w:r w:rsidR="00BE7904">
        <w:t xml:space="preserve"> </w:t>
      </w:r>
      <w:r>
        <w:t xml:space="preserve">of Excess Losses of the Transmission Service Provider </w:t>
      </w:r>
      <w:r w:rsidRPr="003018FA">
        <w:rPr>
          <w:i/>
          <w:iCs/>
        </w:rPr>
        <w:t>k</w:t>
      </w:r>
      <w:r w:rsidRPr="00BE7904">
        <w:t>, expressed in MWh</w:t>
      </w:r>
      <w:r w:rsidR="0000096C" w:rsidRPr="00B03C4A">
        <w:rPr>
          <w:rFonts w:eastAsiaTheme="minorEastAsia" w:cstheme="minorHAnsi"/>
          <w:i/>
          <w:iCs/>
        </w:rPr>
        <w:t xml:space="preserve">, </w:t>
      </w:r>
      <w:r w:rsidR="0000096C" w:rsidRPr="00B03C4A">
        <w:rPr>
          <w:rFonts w:eastAsiaTheme="minorEastAsia" w:cstheme="minorHAnsi"/>
        </w:rPr>
        <w:t xml:space="preserve">in the previous fiscal year, as </w:t>
      </w:r>
      <w:r w:rsidR="00A11688" w:rsidRPr="00B03C4A">
        <w:rPr>
          <w:rFonts w:eastAsiaTheme="minorEastAsia" w:cstheme="minorHAnsi"/>
        </w:rPr>
        <w:t xml:space="preserve">provided </w:t>
      </w:r>
      <w:r w:rsidR="0000096C" w:rsidRPr="00B03C4A">
        <w:rPr>
          <w:rFonts w:eastAsiaTheme="minorEastAsia" w:cstheme="minorHAnsi"/>
        </w:rPr>
        <w:t xml:space="preserve">in Clause </w:t>
      </w:r>
      <w:r w:rsidRPr="00B03C4A">
        <w:rPr>
          <w:rFonts w:eastAsiaTheme="minorEastAsia" w:cstheme="minorHAnsi"/>
        </w:rPr>
        <w:fldChar w:fldCharType="begin"/>
      </w:r>
      <w:r w:rsidRPr="00B03C4A">
        <w:rPr>
          <w:rFonts w:eastAsiaTheme="minorEastAsia" w:cstheme="minorHAnsi"/>
        </w:rPr>
        <w:instrText xml:space="preserve"> REF _Ref64371018 \r \h </w:instrText>
      </w:r>
      <w:r w:rsidR="00BE7904">
        <w:rPr>
          <w:rFonts w:eastAsiaTheme="minorEastAsia" w:cstheme="minorHAnsi"/>
        </w:rPr>
        <w:instrText xml:space="preserve"> \* MERGEFORMAT </w:instrText>
      </w:r>
      <w:r w:rsidRPr="00B03C4A">
        <w:rPr>
          <w:rFonts w:eastAsiaTheme="minorEastAsia" w:cstheme="minorHAnsi"/>
        </w:rPr>
      </w:r>
      <w:r w:rsidRPr="00B03C4A">
        <w:rPr>
          <w:rFonts w:eastAsiaTheme="minorEastAsia" w:cstheme="minorHAnsi"/>
        </w:rPr>
        <w:fldChar w:fldCharType="separate"/>
      </w:r>
      <w:r w:rsidR="00251DBF" w:rsidRPr="00B03C4A">
        <w:rPr>
          <w:rFonts w:eastAsiaTheme="minorEastAsia" w:cstheme="minorHAnsi"/>
        </w:rPr>
        <w:t>12.2.5.1</w:t>
      </w:r>
      <w:r w:rsidRPr="00B03C4A">
        <w:rPr>
          <w:rFonts w:eastAsiaTheme="minorEastAsia" w:cstheme="minorHAnsi"/>
        </w:rPr>
        <w:fldChar w:fldCharType="end"/>
      </w:r>
      <w:r w:rsidR="00BE7904">
        <w:rPr>
          <w:rFonts w:eastAsiaTheme="minorEastAsia" w:cstheme="minorHAnsi"/>
        </w:rPr>
        <w:t>.</w:t>
      </w:r>
    </w:p>
    <w:p w14:paraId="44811EBA" w14:textId="07D5F6BA" w:rsidR="0000096C" w:rsidRPr="00B65380" w:rsidRDefault="0000096C" w:rsidP="0000096C">
      <w:pPr>
        <w:pStyle w:val="Heading3"/>
      </w:pPr>
      <w:r w:rsidRPr="00B65380">
        <w:t xml:space="preserve">Calculation of </w:t>
      </w:r>
      <w:r>
        <w:t>Compensation to Market Participants Representing Demand</w:t>
      </w:r>
      <w:r w:rsidRPr="00B65380">
        <w:t xml:space="preserve"> </w:t>
      </w:r>
    </w:p>
    <w:p w14:paraId="148D12B3" w14:textId="1DC2E493" w:rsidR="00BC0FEA" w:rsidRDefault="00E73A08" w:rsidP="005B295A">
      <w:pPr>
        <w:pStyle w:val="Heading4"/>
      </w:pPr>
      <w:r w:rsidRPr="0000096C">
        <w:t xml:space="preserve">The amounts </w:t>
      </w:r>
      <w:r w:rsidR="00A11688">
        <w:t>received from the</w:t>
      </w:r>
      <w:r w:rsidR="0000096C" w:rsidRPr="0000096C">
        <w:t xml:space="preserve"> Transmission Service Provider</w:t>
      </w:r>
      <w:r w:rsidR="00F16DDF">
        <w:t>s</w:t>
      </w:r>
      <w:r w:rsidR="0000096C" w:rsidRPr="0000096C">
        <w:t xml:space="preserve"> </w:t>
      </w:r>
      <w:r w:rsidRPr="0000096C">
        <w:t xml:space="preserve">for Excess Losses </w:t>
      </w:r>
      <w:r w:rsidR="00F16DDF">
        <w:t>shall</w:t>
      </w:r>
      <w:r w:rsidR="00F16DDF" w:rsidRPr="0000096C">
        <w:t xml:space="preserve"> </w:t>
      </w:r>
      <w:r w:rsidRPr="0000096C">
        <w:t xml:space="preserve">be </w:t>
      </w:r>
      <w:r w:rsidR="00A11688" w:rsidRPr="0000096C">
        <w:t>transfer</w:t>
      </w:r>
      <w:r w:rsidR="00A11688">
        <w:t>red</w:t>
      </w:r>
      <w:r w:rsidRPr="0000096C">
        <w:t xml:space="preserve"> to the Market Participants in the </w:t>
      </w:r>
      <w:r w:rsidR="0000096C" w:rsidRPr="0000096C">
        <w:t>Yearly</w:t>
      </w:r>
      <w:r w:rsidRPr="0000096C">
        <w:t xml:space="preserve"> Settlement Statement</w:t>
      </w:r>
      <w:r w:rsidR="00F16DDF">
        <w:t>s</w:t>
      </w:r>
      <w:r w:rsidRPr="0000096C">
        <w:t>, proportiona</w:t>
      </w:r>
      <w:r w:rsidR="00F16DDF">
        <w:t>tely</w:t>
      </w:r>
      <w:r w:rsidRPr="0000096C">
        <w:t xml:space="preserve"> to the total </w:t>
      </w:r>
      <w:r w:rsidR="0046412E">
        <w:t>Energy</w:t>
      </w:r>
      <w:r w:rsidRPr="0000096C">
        <w:t xml:space="preserve"> </w:t>
      </w:r>
      <w:r w:rsidR="00F16DDF">
        <w:t>withdrawn</w:t>
      </w:r>
      <w:r w:rsidR="00F16DDF" w:rsidRPr="0000096C">
        <w:t xml:space="preserve"> </w:t>
      </w:r>
      <w:r w:rsidRPr="0000096C">
        <w:t>by each Market Participant</w:t>
      </w:r>
      <w:r w:rsidR="00335607">
        <w:t xml:space="preserve">, from the </w:t>
      </w:r>
      <w:r w:rsidR="00F16DDF">
        <w:t>Grid System</w:t>
      </w:r>
      <w:r w:rsidR="00335607">
        <w:t>,</w:t>
      </w:r>
      <w:r w:rsidRPr="0000096C">
        <w:t xml:space="preserve"> in the </w:t>
      </w:r>
      <w:r w:rsidR="0000096C" w:rsidRPr="0000096C">
        <w:t xml:space="preserve">previous fiscal </w:t>
      </w:r>
      <w:r w:rsidRPr="0000096C">
        <w:t>year</w:t>
      </w:r>
      <w:r w:rsidR="00BC0FEA">
        <w:t>.</w:t>
      </w:r>
    </w:p>
    <w:p w14:paraId="1C677961" w14:textId="26CB3225" w:rsidR="0000096C" w:rsidRDefault="00176F12" w:rsidP="005B295A">
      <w:pPr>
        <w:pStyle w:val="Heading4"/>
      </w:pPr>
      <w:bookmarkStart w:id="689" w:name="_Ref64375124"/>
      <w:r>
        <w:t xml:space="preserve">The total </w:t>
      </w:r>
      <w:r w:rsidR="0046412E">
        <w:t>Energy</w:t>
      </w:r>
      <w:r>
        <w:t xml:space="preserve"> withdraw</w:t>
      </w:r>
      <w:r w:rsidR="00F16DDF">
        <w:t>n</w:t>
      </w:r>
      <w:r>
        <w:t xml:space="preserve"> from the </w:t>
      </w:r>
      <w:r w:rsidR="00A11688">
        <w:t>Grid System</w:t>
      </w:r>
      <w:r>
        <w:t xml:space="preserve">, by a Market </w:t>
      </w:r>
      <w:r w:rsidR="00EA77C9">
        <w:t>Participant shall</w:t>
      </w:r>
      <w:r>
        <w:t xml:space="preserve"> be </w:t>
      </w:r>
      <w:r w:rsidR="00F16DDF">
        <w:t xml:space="preserve">determined </w:t>
      </w:r>
      <w:r>
        <w:t>as:</w:t>
      </w:r>
      <w:bookmarkEnd w:id="689"/>
    </w:p>
    <w:p w14:paraId="2AF8C1C1" w14:textId="599F427D" w:rsidR="00BD41AC" w:rsidRPr="00335607" w:rsidRDefault="004D6075" w:rsidP="00BD41AC">
      <w:pPr>
        <w:pStyle w:val="BodyText"/>
        <w:rPr>
          <w:rFonts w:eastAsiaTheme="minorEastAsia"/>
        </w:rPr>
      </w:pPr>
      <m:oMathPara>
        <m:oMath>
          <m:sSub>
            <m:sSubPr>
              <m:ctrlPr>
                <w:rPr>
                  <w:rFonts w:ascii="Cambria Math" w:hAnsi="Cambria Math"/>
                  <w:i/>
                </w:rPr>
              </m:ctrlPr>
            </m:sSubPr>
            <m:e>
              <m:r>
                <w:rPr>
                  <w:rFonts w:ascii="Cambria Math" w:hAnsi="Cambria Math"/>
                </w:rPr>
                <m:t>YEW</m:t>
              </m:r>
            </m:e>
            <m:sub>
              <m:r>
                <w:rPr>
                  <w:rFonts w:ascii="Cambria Math" w:hAnsi="Cambria Math"/>
                </w:rPr>
                <m:t>j</m:t>
              </m:r>
            </m:sub>
          </m:sSub>
          <m:d>
            <m:dPr>
              <m:begChr m:val="["/>
              <m:endChr m:val="]"/>
              <m:ctrlPr>
                <w:rPr>
                  <w:rFonts w:ascii="Cambria Math" w:hAnsi="Cambria Math"/>
                  <w:i/>
                </w:rPr>
              </m:ctrlPr>
            </m:dPr>
            <m:e>
              <m:r>
                <w:rPr>
                  <w:rFonts w:ascii="Cambria Math" w:hAnsi="Cambria Math"/>
                </w:rPr>
                <m:t>MWh</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n</m:t>
              </m:r>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 i∈</m:t>
                      </m:r>
                      <m:sSub>
                        <m:sSubPr>
                          <m:ctrlPr>
                            <w:rPr>
                              <w:rFonts w:ascii="Cambria Math" w:hAnsi="Cambria Math"/>
                              <w:i/>
                            </w:rPr>
                          </m:ctrlPr>
                        </m:sSubPr>
                        <m:e>
                          <m:r>
                            <w:rPr>
                              <w:rFonts w:ascii="Cambria Math" w:hAnsi="Cambria Math"/>
                            </w:rPr>
                            <m:t>MP</m:t>
                          </m:r>
                        </m:e>
                        <m:sub>
                          <m:r>
                            <w:rPr>
                              <w:rFonts w:ascii="Cambria Math" w:hAnsi="Cambria Math"/>
                            </w:rPr>
                            <m:t>j</m:t>
                          </m:r>
                        </m:sub>
                      </m:sSub>
                    </m:sub>
                    <m:sup/>
                    <m:e>
                      <m:d>
                        <m:dPr>
                          <m:ctrlPr>
                            <w:rPr>
                              <w:rFonts w:ascii="Cambria Math" w:hAnsi="Cambria Math"/>
                              <w:i/>
                            </w:rPr>
                          </m:ctrlPr>
                        </m:dPr>
                        <m:e>
                          <m:sSub>
                            <m:sSubPr>
                              <m:ctrlPr>
                                <w:rPr>
                                  <w:rFonts w:ascii="Cambria Math" w:hAnsi="Cambria Math"/>
                                </w:rPr>
                              </m:ctrlPr>
                            </m:sSubPr>
                            <m:e>
                              <m:r>
                                <w:rPr>
                                  <w:rFonts w:ascii="Cambria Math" w:hAnsi="Cambria Math"/>
                                  <w:lang w:val="en-US"/>
                                </w:rPr>
                                <m:t>Act</m:t>
                              </m:r>
                              <m:r>
                                <m:rPr>
                                  <m:sty m:val="p"/>
                                </m:rPr>
                                <w:rPr>
                                  <w:rFonts w:ascii="Cambria Math" w:hAnsi="Cambria Math"/>
                                  <w:lang w:val="en-US"/>
                                </w:rPr>
                                <m:t>_</m:t>
                              </m:r>
                              <m:r>
                                <w:rPr>
                                  <w:rFonts w:ascii="Cambria Math" w:hAnsi="Cambria Math"/>
                                </w:rPr>
                                <m:t>E</m:t>
                              </m:r>
                            </m:e>
                            <m:sub>
                              <m:r>
                                <w:rPr>
                                  <w:rFonts w:ascii="Cambria Math" w:hAnsi="Cambria Math"/>
                                </w:rPr>
                                <m:t>i</m:t>
                              </m:r>
                              <m:r>
                                <m:rPr>
                                  <m:sty m:val="p"/>
                                </m:rPr>
                                <w:rPr>
                                  <w:rFonts w:ascii="Cambria Math" w:hAnsi="Cambria Math"/>
                                  <w:lang w:val="en-US"/>
                                </w:rPr>
                                <m:t>,</m:t>
                              </m:r>
                              <m:r>
                                <w:rPr>
                                  <w:rFonts w:ascii="Cambria Math" w:hAnsi="Cambria Math"/>
                                  <w:lang w:val="en-US"/>
                                </w:rPr>
                                <m:t>h</m:t>
                              </m:r>
                            </m:sub>
                          </m:sSub>
                          <m:d>
                            <m:dPr>
                              <m:begChr m:val="["/>
                              <m:endChr m:val="]"/>
                              <m:ctrlPr>
                                <w:rPr>
                                  <w:rFonts w:ascii="Cambria Math" w:hAnsi="Cambria Math"/>
                                  <w:i/>
                                </w:rPr>
                              </m:ctrlPr>
                            </m:dPr>
                            <m:e>
                              <m:r>
                                <w:rPr>
                                  <w:rFonts w:ascii="Cambria Math" w:hAnsi="Cambria Math"/>
                                </w:rPr>
                                <m:t>MWh</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ih</m:t>
                              </m:r>
                            </m:sub>
                          </m:sSub>
                        </m:e>
                      </m:d>
                    </m:e>
                  </m:nary>
                </m:e>
              </m:d>
            </m:e>
          </m:nary>
        </m:oMath>
      </m:oMathPara>
    </w:p>
    <w:p w14:paraId="30E10EAC" w14:textId="77777777" w:rsidR="00E73779" w:rsidRPr="00BC0FEA" w:rsidRDefault="00E73779" w:rsidP="00E73779">
      <w:pPr>
        <w:ind w:left="1276"/>
        <w:rPr>
          <w:rFonts w:eastAsiaTheme="minorEastAsia" w:cstheme="minorHAnsi"/>
        </w:rPr>
      </w:pPr>
      <w:r w:rsidRPr="00BC0FEA">
        <w:rPr>
          <w:rFonts w:eastAsiaTheme="minorEastAsia" w:cstheme="minorHAnsi"/>
        </w:rPr>
        <w:t xml:space="preserve">Where: </w:t>
      </w:r>
    </w:p>
    <w:p w14:paraId="44FCAC95" w14:textId="7947A44E" w:rsidR="00E73779" w:rsidRPr="00BC0FEA" w:rsidRDefault="00E73779" w:rsidP="00FF4826">
      <w:pPr>
        <w:pStyle w:val="ListParagraph"/>
        <w:numPr>
          <w:ilvl w:val="0"/>
          <w:numId w:val="23"/>
        </w:numPr>
        <w:rPr>
          <w:rFonts w:eastAsiaTheme="minorEastAsia" w:cstheme="minorHAnsi"/>
        </w:rPr>
      </w:pPr>
      <w:r w:rsidRPr="00BC0FEA">
        <w:rPr>
          <w:rFonts w:eastAsiaTheme="minorEastAsia" w:cstheme="minorHAnsi"/>
          <w:i/>
          <w:iCs/>
        </w:rPr>
        <w:t>YEW</w:t>
      </w:r>
      <w:r w:rsidRPr="00BC0FEA">
        <w:rPr>
          <w:rFonts w:eastAsiaTheme="minorEastAsia" w:cstheme="minorHAnsi"/>
          <w:i/>
          <w:iCs/>
          <w:vertAlign w:val="subscript"/>
        </w:rPr>
        <w:t>j</w:t>
      </w:r>
      <w:r w:rsidRPr="00BC0FEA">
        <w:rPr>
          <w:rFonts w:eastAsiaTheme="minorEastAsia" w:cstheme="minorHAnsi"/>
        </w:rPr>
        <w:t xml:space="preserve"> is the total </w:t>
      </w:r>
      <w:r w:rsidR="0046412E">
        <w:rPr>
          <w:rFonts w:eastAsiaTheme="minorEastAsia" w:cstheme="minorHAnsi"/>
        </w:rPr>
        <w:t>Energy</w:t>
      </w:r>
      <w:r w:rsidRPr="00BC0FEA">
        <w:rPr>
          <w:rFonts w:eastAsiaTheme="minorEastAsia" w:cstheme="minorHAnsi"/>
        </w:rPr>
        <w:t xml:space="preserve"> withdraw</w:t>
      </w:r>
      <w:r w:rsidR="00F16DDF">
        <w:rPr>
          <w:rFonts w:eastAsiaTheme="minorEastAsia" w:cstheme="minorHAnsi"/>
        </w:rPr>
        <w:t>n</w:t>
      </w:r>
      <w:r w:rsidRPr="00BC0FEA">
        <w:rPr>
          <w:rFonts w:eastAsiaTheme="minorEastAsia" w:cstheme="minorHAnsi"/>
        </w:rPr>
        <w:t xml:space="preserve"> by Market Participant </w:t>
      </w:r>
      <w:r w:rsidR="00F16DDF">
        <w:rPr>
          <w:rFonts w:eastAsiaTheme="minorEastAsia" w:cstheme="minorHAnsi"/>
        </w:rPr>
        <w:t>“</w:t>
      </w:r>
      <w:r w:rsidRPr="00BC0FEA">
        <w:rPr>
          <w:rFonts w:eastAsiaTheme="minorEastAsia" w:cstheme="minorHAnsi"/>
          <w:i/>
          <w:iCs/>
        </w:rPr>
        <w:t>j</w:t>
      </w:r>
      <w:r w:rsidR="00F16DDF">
        <w:rPr>
          <w:rFonts w:eastAsiaTheme="minorEastAsia" w:cstheme="minorHAnsi"/>
          <w:i/>
          <w:iCs/>
        </w:rPr>
        <w:t>”</w:t>
      </w:r>
      <w:r w:rsidRPr="00BC0FEA">
        <w:rPr>
          <w:rFonts w:eastAsiaTheme="minorEastAsia" w:cstheme="minorHAnsi"/>
        </w:rPr>
        <w:t xml:space="preserve"> from the </w:t>
      </w:r>
      <w:r w:rsidR="00F16DDF">
        <w:rPr>
          <w:rFonts w:eastAsiaTheme="minorEastAsia" w:cstheme="minorHAnsi"/>
        </w:rPr>
        <w:t>Grid System</w:t>
      </w:r>
      <w:r w:rsidRPr="00BC0FEA">
        <w:rPr>
          <w:rFonts w:eastAsiaTheme="minorEastAsia" w:cstheme="minorHAnsi"/>
        </w:rPr>
        <w:t>, in the previous fiscal year, expressed in MWh</w:t>
      </w:r>
      <w:r w:rsidR="00BE7904">
        <w:rPr>
          <w:rFonts w:eastAsiaTheme="minorEastAsia" w:cstheme="minorHAnsi"/>
        </w:rPr>
        <w:t>;</w:t>
      </w:r>
      <w:r w:rsidRPr="00BC0FEA">
        <w:rPr>
          <w:rFonts w:eastAsiaTheme="minorEastAsia" w:cstheme="minorHAnsi"/>
        </w:rPr>
        <w:t xml:space="preserve"> </w:t>
      </w:r>
    </w:p>
    <w:p w14:paraId="2C75B0A3" w14:textId="192280E7" w:rsidR="00E73779" w:rsidRPr="00BC0FEA" w:rsidRDefault="00E73779" w:rsidP="00FF4826">
      <w:pPr>
        <w:pStyle w:val="ListParagraph"/>
        <w:numPr>
          <w:ilvl w:val="0"/>
          <w:numId w:val="23"/>
        </w:numPr>
        <w:rPr>
          <w:rFonts w:eastAsiaTheme="minorEastAsia" w:cstheme="minorHAnsi"/>
        </w:rPr>
      </w:pPr>
      <w:r w:rsidRPr="00BC0FEA">
        <w:rPr>
          <w:rFonts w:eastAsiaTheme="minorEastAsia" w:cstheme="minorHAnsi"/>
          <w:i/>
          <w:iCs/>
        </w:rPr>
        <w:t>Act_E</w:t>
      </w:r>
      <w:r w:rsidRPr="00BC0FEA">
        <w:rPr>
          <w:rFonts w:eastAsiaTheme="minorEastAsia" w:cstheme="minorHAnsi"/>
          <w:i/>
          <w:iCs/>
          <w:vertAlign w:val="subscript"/>
        </w:rPr>
        <w:t>i,h</w:t>
      </w:r>
      <w:r w:rsidRPr="00BC0FEA">
        <w:rPr>
          <w:rFonts w:eastAsiaTheme="minorEastAsia" w:cstheme="minorHAnsi"/>
        </w:rPr>
        <w:t xml:space="preserve"> is the </w:t>
      </w:r>
      <w:r w:rsidR="00BA26DE">
        <w:rPr>
          <w:rFonts w:eastAsiaTheme="minorEastAsia" w:cstheme="minorHAnsi"/>
        </w:rPr>
        <w:t>E</w:t>
      </w:r>
      <w:r w:rsidRPr="00BC0FEA">
        <w:rPr>
          <w:rFonts w:eastAsiaTheme="minorEastAsia" w:cstheme="minorHAnsi"/>
        </w:rPr>
        <w:t xml:space="preserve">nergy interchanged at the </w:t>
      </w:r>
      <w:r w:rsidR="005A3B71">
        <w:rPr>
          <w:rFonts w:eastAsiaTheme="minorEastAsia" w:cstheme="minorHAnsi"/>
        </w:rPr>
        <w:t>Trading Point</w:t>
      </w:r>
      <w:r w:rsidRPr="00BC0FEA">
        <w:rPr>
          <w:rFonts w:eastAsiaTheme="minorEastAsia" w:cstheme="minorHAnsi"/>
        </w:rPr>
        <w:t xml:space="preserve"> </w:t>
      </w:r>
      <w:r w:rsidRPr="00BC0FEA">
        <w:rPr>
          <w:rFonts w:eastAsiaTheme="minorEastAsia" w:cstheme="minorHAnsi"/>
          <w:i/>
          <w:iCs/>
        </w:rPr>
        <w:t>i</w:t>
      </w:r>
      <w:r w:rsidRPr="00BC0FEA">
        <w:rPr>
          <w:rFonts w:eastAsiaTheme="minorEastAsia" w:cstheme="minorHAnsi"/>
        </w:rPr>
        <w:t xml:space="preserve"> in the hour </w:t>
      </w:r>
      <w:r w:rsidRPr="00BC0FEA">
        <w:rPr>
          <w:rFonts w:eastAsiaTheme="minorEastAsia" w:cstheme="minorHAnsi"/>
          <w:i/>
          <w:iCs/>
        </w:rPr>
        <w:t>h</w:t>
      </w:r>
      <w:r w:rsidR="00BC0FEA">
        <w:rPr>
          <w:rFonts w:eastAsiaTheme="minorEastAsia" w:cstheme="minorHAnsi"/>
        </w:rPr>
        <w:t xml:space="preserve">, calculated </w:t>
      </w:r>
      <w:r w:rsidR="00F16DDF">
        <w:rPr>
          <w:rFonts w:eastAsiaTheme="minorEastAsia" w:cstheme="minorHAnsi"/>
        </w:rPr>
        <w:t>pursuant to</w:t>
      </w:r>
      <w:r w:rsidR="00BC0FEA">
        <w:rPr>
          <w:rFonts w:eastAsiaTheme="minorEastAsia" w:cstheme="minorHAnsi"/>
        </w:rPr>
        <w:t xml:space="preserve"> Clause </w:t>
      </w:r>
      <w:r w:rsidR="00BC0FEA">
        <w:rPr>
          <w:rFonts w:eastAsiaTheme="minorEastAsia" w:cstheme="minorHAnsi"/>
        </w:rPr>
        <w:fldChar w:fldCharType="begin"/>
      </w:r>
      <w:r w:rsidR="00BC0FEA">
        <w:rPr>
          <w:rFonts w:eastAsiaTheme="minorEastAsia" w:cstheme="minorHAnsi"/>
        </w:rPr>
        <w:instrText xml:space="preserve"> REF _Ref59456858 \r \h </w:instrText>
      </w:r>
      <w:r w:rsidR="00BC0FEA">
        <w:rPr>
          <w:rFonts w:eastAsiaTheme="minorEastAsia" w:cstheme="minorHAnsi"/>
        </w:rPr>
      </w:r>
      <w:r w:rsidR="00BC0FEA">
        <w:rPr>
          <w:rFonts w:eastAsiaTheme="minorEastAsia" w:cstheme="minorHAnsi"/>
        </w:rPr>
        <w:fldChar w:fldCharType="separate"/>
      </w:r>
      <w:r w:rsidR="00251DBF">
        <w:rPr>
          <w:rFonts w:eastAsiaTheme="minorEastAsia" w:cstheme="minorHAnsi"/>
        </w:rPr>
        <w:t>6.3.3.3</w:t>
      </w:r>
      <w:r w:rsidR="00BC0FEA">
        <w:rPr>
          <w:rFonts w:eastAsiaTheme="minorEastAsia" w:cstheme="minorHAnsi"/>
        </w:rPr>
        <w:fldChar w:fldCharType="end"/>
      </w:r>
      <w:r w:rsidR="00BE7904">
        <w:rPr>
          <w:rFonts w:eastAsiaTheme="minorEastAsia" w:cstheme="minorHAnsi"/>
        </w:rPr>
        <w:t>;</w:t>
      </w:r>
    </w:p>
    <w:p w14:paraId="5B61A7A3" w14:textId="77777777" w:rsidR="00E73779" w:rsidRPr="00BC0FEA" w:rsidRDefault="00E73779" w:rsidP="00FF4826">
      <w:pPr>
        <w:pStyle w:val="ListParagraph"/>
        <w:numPr>
          <w:ilvl w:val="0"/>
          <w:numId w:val="23"/>
        </w:numPr>
        <w:rPr>
          <w:rFonts w:eastAsiaTheme="minorEastAsia" w:cstheme="minorHAnsi"/>
        </w:rPr>
      </w:pPr>
      <w:r w:rsidRPr="00BC0FEA">
        <w:rPr>
          <w:rFonts w:eastAsiaTheme="minorEastAsia" w:cstheme="minorHAnsi"/>
          <w:i/>
          <w:iCs/>
        </w:rPr>
        <w:t>N</w:t>
      </w:r>
      <w:r w:rsidRPr="00BC0FEA">
        <w:rPr>
          <w:rFonts w:eastAsiaTheme="minorEastAsia" w:cstheme="minorHAnsi"/>
          <w:i/>
          <w:iCs/>
          <w:vertAlign w:val="subscript"/>
        </w:rPr>
        <w:t>i,h</w:t>
      </w:r>
      <w:r w:rsidRPr="00BC0FEA">
        <w:rPr>
          <w:rFonts w:eastAsiaTheme="minorEastAsia" w:cstheme="minorHAnsi"/>
        </w:rPr>
        <w:t xml:space="preserve"> is a number which takes the values of:</w:t>
      </w:r>
    </w:p>
    <w:p w14:paraId="75AD8E4E" w14:textId="378C8E7C" w:rsidR="00BC0FEA" w:rsidRPr="00BC0FEA" w:rsidRDefault="00E73779" w:rsidP="00C979B7">
      <w:pPr>
        <w:pStyle w:val="ListParagraph"/>
        <w:numPr>
          <w:ilvl w:val="0"/>
          <w:numId w:val="38"/>
        </w:numPr>
        <w:ind w:left="2694"/>
        <w:rPr>
          <w:rFonts w:eastAsiaTheme="minorEastAsia" w:cstheme="minorHAnsi"/>
        </w:rPr>
      </w:pPr>
      <w:r w:rsidRPr="00BC0FEA">
        <w:rPr>
          <w:rFonts w:eastAsiaTheme="minorEastAsia" w:cstheme="minorHAnsi"/>
          <w:i/>
          <w:iCs/>
        </w:rPr>
        <w:t xml:space="preserve">-1 </w:t>
      </w:r>
      <w:r w:rsidRPr="00BC0FEA">
        <w:rPr>
          <w:rFonts w:eastAsiaTheme="minorEastAsia" w:cstheme="minorHAnsi"/>
        </w:rPr>
        <w:t xml:space="preserve">if the value of </w:t>
      </w:r>
      <w:r w:rsidR="00BC0FEA" w:rsidRPr="00BC0FEA">
        <w:rPr>
          <w:rFonts w:eastAsiaTheme="minorEastAsia" w:cstheme="minorHAnsi"/>
          <w:i/>
          <w:iCs/>
        </w:rPr>
        <w:t>Act_E</w:t>
      </w:r>
      <w:r w:rsidR="00BC0FEA" w:rsidRPr="00BC0FEA">
        <w:rPr>
          <w:rFonts w:eastAsiaTheme="minorEastAsia" w:cstheme="minorHAnsi"/>
          <w:i/>
          <w:iCs/>
          <w:vertAlign w:val="subscript"/>
        </w:rPr>
        <w:t>i,h</w:t>
      </w:r>
      <w:r w:rsidR="00BC0FEA" w:rsidRPr="00BC0FEA">
        <w:rPr>
          <w:rFonts w:eastAsiaTheme="minorEastAsia" w:cstheme="minorHAnsi"/>
        </w:rPr>
        <w:t xml:space="preserve"> is negative (</w:t>
      </w:r>
      <w:r w:rsidR="00BA26DE">
        <w:rPr>
          <w:rFonts w:eastAsiaTheme="minorEastAsia" w:cstheme="minorHAnsi"/>
        </w:rPr>
        <w:t>E</w:t>
      </w:r>
      <w:r w:rsidR="00BC0FEA" w:rsidRPr="00BC0FEA">
        <w:rPr>
          <w:rFonts w:eastAsiaTheme="minorEastAsia" w:cstheme="minorHAnsi"/>
        </w:rPr>
        <w:t xml:space="preserve">nergy flowing out of the Transmission or Distribution Network, according </w:t>
      </w:r>
      <w:r w:rsidR="00F16DDF">
        <w:rPr>
          <w:rFonts w:eastAsiaTheme="minorEastAsia" w:cstheme="minorHAnsi"/>
        </w:rPr>
        <w:t>to</w:t>
      </w:r>
      <w:r w:rsidR="00F16DDF" w:rsidRPr="00BC0FEA">
        <w:rPr>
          <w:rFonts w:eastAsiaTheme="minorEastAsia" w:cstheme="minorHAnsi"/>
        </w:rPr>
        <w:t xml:space="preserve"> </w:t>
      </w:r>
      <w:r w:rsidR="00BC0FEA" w:rsidRPr="00BC0FEA">
        <w:rPr>
          <w:rFonts w:eastAsiaTheme="minorEastAsia" w:cstheme="minorHAnsi"/>
        </w:rPr>
        <w:t xml:space="preserve">the sign convention </w:t>
      </w:r>
      <w:r w:rsidR="00F16DDF">
        <w:rPr>
          <w:rFonts w:eastAsiaTheme="minorEastAsia" w:cstheme="minorHAnsi"/>
        </w:rPr>
        <w:t>provided</w:t>
      </w:r>
      <w:r w:rsidR="00F16DDF" w:rsidRPr="00BC0FEA">
        <w:rPr>
          <w:rFonts w:eastAsiaTheme="minorEastAsia" w:cstheme="minorHAnsi"/>
        </w:rPr>
        <w:t xml:space="preserve"> </w:t>
      </w:r>
      <w:r w:rsidR="00BC0FEA" w:rsidRPr="00BC0FEA">
        <w:rPr>
          <w:rFonts w:eastAsiaTheme="minorEastAsia" w:cstheme="minorHAnsi"/>
        </w:rPr>
        <w:t xml:space="preserve">in Clause </w:t>
      </w:r>
      <w:r w:rsidR="00BC0FEA" w:rsidRPr="00BC0FEA">
        <w:rPr>
          <w:rFonts w:eastAsiaTheme="minorEastAsia" w:cstheme="minorHAnsi"/>
        </w:rPr>
        <w:fldChar w:fldCharType="begin"/>
      </w:r>
      <w:r w:rsidR="00BC0FEA" w:rsidRPr="00BC0FEA">
        <w:rPr>
          <w:rFonts w:eastAsiaTheme="minorEastAsia" w:cstheme="minorHAnsi"/>
        </w:rPr>
        <w:instrText xml:space="preserve"> REF _Ref59383007 \r \h </w:instrText>
      </w:r>
      <w:r w:rsidR="00BC0FEA">
        <w:rPr>
          <w:rFonts w:eastAsiaTheme="minorEastAsia" w:cstheme="minorHAnsi"/>
        </w:rPr>
        <w:instrText xml:space="preserve"> \* MERGEFORMAT </w:instrText>
      </w:r>
      <w:r w:rsidR="00BC0FEA" w:rsidRPr="00BC0FEA">
        <w:rPr>
          <w:rFonts w:eastAsiaTheme="minorEastAsia" w:cstheme="minorHAnsi"/>
        </w:rPr>
      </w:r>
      <w:r w:rsidR="00BC0FEA" w:rsidRPr="00BC0FEA">
        <w:rPr>
          <w:rFonts w:eastAsiaTheme="minorEastAsia" w:cstheme="minorHAnsi"/>
        </w:rPr>
        <w:fldChar w:fldCharType="separate"/>
      </w:r>
      <w:r w:rsidR="00251DBF">
        <w:rPr>
          <w:rFonts w:eastAsiaTheme="minorEastAsia" w:cstheme="minorHAnsi"/>
        </w:rPr>
        <w:t>6.3.1.4</w:t>
      </w:r>
      <w:r w:rsidR="00BC0FEA" w:rsidRPr="00BC0FEA">
        <w:rPr>
          <w:rFonts w:eastAsiaTheme="minorEastAsia" w:cstheme="minorHAnsi"/>
        </w:rPr>
        <w:fldChar w:fldCharType="end"/>
      </w:r>
      <w:r w:rsidR="00BC0FEA" w:rsidRPr="00BC0FEA">
        <w:rPr>
          <w:rFonts w:eastAsiaTheme="minorEastAsia" w:cstheme="minorHAnsi"/>
        </w:rPr>
        <w:t>)</w:t>
      </w:r>
      <w:r w:rsidR="00D156CD">
        <w:rPr>
          <w:rFonts w:eastAsiaTheme="minorEastAsia" w:cstheme="minorHAnsi"/>
        </w:rPr>
        <w:t>;</w:t>
      </w:r>
      <w:r w:rsidR="00BC0FEA" w:rsidRPr="00BC0FEA">
        <w:rPr>
          <w:rFonts w:eastAsiaTheme="minorEastAsia" w:cstheme="minorHAnsi"/>
        </w:rPr>
        <w:t xml:space="preserve"> </w:t>
      </w:r>
    </w:p>
    <w:p w14:paraId="5B57B050" w14:textId="4E60E940" w:rsidR="00BC0FEA" w:rsidRPr="00BC0FEA" w:rsidRDefault="00BC0FEA" w:rsidP="00C979B7">
      <w:pPr>
        <w:pStyle w:val="ListParagraph"/>
        <w:numPr>
          <w:ilvl w:val="0"/>
          <w:numId w:val="38"/>
        </w:numPr>
        <w:ind w:left="2694"/>
        <w:rPr>
          <w:rFonts w:eastAsiaTheme="minorEastAsia" w:cstheme="minorHAnsi"/>
        </w:rPr>
      </w:pPr>
      <w:r w:rsidRPr="00BC0FEA">
        <w:rPr>
          <w:rFonts w:eastAsiaTheme="minorEastAsia" w:cstheme="minorHAnsi"/>
          <w:i/>
          <w:iCs/>
        </w:rPr>
        <w:t xml:space="preserve">0 </w:t>
      </w:r>
      <w:r w:rsidRPr="00BC0FEA">
        <w:rPr>
          <w:rFonts w:eastAsiaTheme="minorEastAsia" w:cstheme="minorHAnsi"/>
        </w:rPr>
        <w:t>otherwise</w:t>
      </w:r>
      <w:r w:rsidR="00D156CD">
        <w:rPr>
          <w:rFonts w:eastAsiaTheme="minorEastAsia" w:cstheme="minorHAnsi"/>
        </w:rPr>
        <w:t>;</w:t>
      </w:r>
    </w:p>
    <w:p w14:paraId="0CE2E4FA" w14:textId="76E11AF5" w:rsidR="00BC0FEA" w:rsidRPr="00BC0FEA" w:rsidRDefault="00E73779" w:rsidP="00FF4826">
      <w:pPr>
        <w:pStyle w:val="ListParagraph"/>
        <w:numPr>
          <w:ilvl w:val="0"/>
          <w:numId w:val="23"/>
        </w:numPr>
        <w:rPr>
          <w:rFonts w:eastAsiaTheme="minorEastAsia" w:cstheme="minorHAnsi"/>
        </w:rPr>
      </w:pPr>
      <w:r w:rsidRPr="00BC0FEA">
        <w:rPr>
          <w:rFonts w:ascii="Cambria Math" w:eastAsiaTheme="minorEastAsia" w:hAnsi="Cambria Math" w:cs="Cambria Math"/>
          <w:i/>
          <w:iCs/>
        </w:rPr>
        <w:t>∀</w:t>
      </w:r>
      <w:r w:rsidRPr="00BC0FEA">
        <w:rPr>
          <w:rFonts w:eastAsiaTheme="minorEastAsia" w:cstheme="minorHAnsi"/>
          <w:i/>
          <w:iCs/>
        </w:rPr>
        <w:t xml:space="preserve"> i </w:t>
      </w:r>
      <w:r w:rsidRPr="00BC0FEA">
        <w:rPr>
          <w:rFonts w:ascii="Cambria Math" w:eastAsiaTheme="minorEastAsia" w:hAnsi="Cambria Math" w:cs="Cambria Math"/>
          <w:i/>
          <w:iCs/>
        </w:rPr>
        <w:t>∈</w:t>
      </w:r>
      <w:r w:rsidRPr="00BC0FEA">
        <w:rPr>
          <w:rFonts w:eastAsiaTheme="minorEastAsia" w:cstheme="minorHAnsi"/>
          <w:i/>
          <w:iCs/>
        </w:rPr>
        <w:t xml:space="preserve"> MP</w:t>
      </w:r>
      <w:r w:rsidR="00BC0FEA" w:rsidRPr="00BC0FEA">
        <w:rPr>
          <w:rFonts w:eastAsiaTheme="minorEastAsia" w:cstheme="minorHAnsi"/>
          <w:i/>
          <w:iCs/>
          <w:vertAlign w:val="subscript"/>
        </w:rPr>
        <w:t>j</w:t>
      </w:r>
      <w:r w:rsidRPr="00BC0FEA">
        <w:rPr>
          <w:rFonts w:eastAsiaTheme="minorEastAsia" w:cstheme="minorHAnsi"/>
          <w:i/>
          <w:iCs/>
          <w:vertAlign w:val="subscript"/>
        </w:rPr>
        <w:t xml:space="preserve"> </w:t>
      </w:r>
      <w:r w:rsidR="00BC0FEA" w:rsidRPr="00BC0FEA">
        <w:rPr>
          <w:rFonts w:eastAsiaTheme="minorEastAsia" w:cstheme="minorHAnsi"/>
        </w:rPr>
        <w:t xml:space="preserve"> m</w:t>
      </w:r>
      <w:r w:rsidRPr="00BC0FEA">
        <w:rPr>
          <w:rFonts w:eastAsiaTheme="minorEastAsia" w:cstheme="minorHAnsi"/>
        </w:rPr>
        <w:t xml:space="preserve">eans all those </w:t>
      </w:r>
      <w:r w:rsidR="005A3B71">
        <w:rPr>
          <w:rFonts w:eastAsiaTheme="minorEastAsia" w:cstheme="minorHAnsi"/>
        </w:rPr>
        <w:t>Trading Point</w:t>
      </w:r>
      <w:r w:rsidR="00BC0FEA" w:rsidRPr="00BC0FEA">
        <w:rPr>
          <w:rFonts w:eastAsiaTheme="minorEastAsia" w:cstheme="minorHAnsi"/>
        </w:rPr>
        <w:t xml:space="preserve">s in which Market Participant </w:t>
      </w:r>
      <w:r w:rsidR="00BC0FEA" w:rsidRPr="00BC0FEA">
        <w:rPr>
          <w:rFonts w:eastAsiaTheme="minorEastAsia" w:cstheme="minorHAnsi"/>
          <w:i/>
          <w:iCs/>
        </w:rPr>
        <w:t>j</w:t>
      </w:r>
      <w:r w:rsidR="00BC0FEA" w:rsidRPr="00BC0FEA">
        <w:rPr>
          <w:rFonts w:eastAsiaTheme="minorEastAsia" w:cstheme="minorHAnsi"/>
        </w:rPr>
        <w:t xml:space="preserve"> is involved</w:t>
      </w:r>
      <w:r w:rsidR="00D156CD">
        <w:rPr>
          <w:rFonts w:eastAsiaTheme="minorEastAsia" w:cstheme="minorHAnsi"/>
        </w:rPr>
        <w:t>.</w:t>
      </w:r>
    </w:p>
    <w:p w14:paraId="78509E4E" w14:textId="2642EA37" w:rsidR="00335607" w:rsidRDefault="00176F12" w:rsidP="005B295A">
      <w:pPr>
        <w:pStyle w:val="Heading4"/>
      </w:pPr>
      <w:r>
        <w:t xml:space="preserve">The compensation a Market Participant will receive for Excess Losses of the Transmission Service Providers will be </w:t>
      </w:r>
      <w:r w:rsidR="00F16DDF">
        <w:t xml:space="preserve">determined </w:t>
      </w:r>
      <w:r>
        <w:t xml:space="preserve">as: </w:t>
      </w:r>
    </w:p>
    <w:p w14:paraId="45B78E52" w14:textId="77777777" w:rsidR="00BC0FEA" w:rsidRDefault="00BC0FEA" w:rsidP="00BD41AC">
      <w:pPr>
        <w:pStyle w:val="BodyText"/>
      </w:pPr>
    </w:p>
    <w:p w14:paraId="213E385C" w14:textId="794326BB" w:rsidR="00BD41AC" w:rsidRDefault="004D6075" w:rsidP="00BD41AC">
      <w:pPr>
        <w:pStyle w:val="BodyText"/>
      </w:pPr>
      <m:oMathPara>
        <m:oMath>
          <m:sSub>
            <m:sSubPr>
              <m:ctrlPr>
                <w:rPr>
                  <w:rFonts w:ascii="Cambria Math" w:hAnsi="Cambria Math"/>
                  <w:i/>
                </w:rPr>
              </m:ctrlPr>
            </m:sSubPr>
            <m:e>
              <m:r>
                <w:rPr>
                  <w:rFonts w:ascii="Cambria Math" w:hAnsi="Cambria Math"/>
                </w:rPr>
                <m:t>CA_EL</m:t>
              </m:r>
            </m:e>
            <m:sub>
              <m:r>
                <w:rPr>
                  <w:rFonts w:ascii="Cambria Math" w:hAnsi="Cambria Math"/>
                </w:rPr>
                <m:t>j</m:t>
              </m:r>
            </m:sub>
          </m:sSub>
          <m:d>
            <m:dPr>
              <m:begChr m:val="["/>
              <m:endChr m:val="]"/>
              <m:ctrlPr>
                <w:rPr>
                  <w:rFonts w:ascii="Cambria Math" w:hAnsi="Cambria Math"/>
                  <w:i/>
                </w:rPr>
              </m:ctrlPr>
            </m:dPr>
            <m:e>
              <m:r>
                <w:rPr>
                  <w:rFonts w:ascii="Cambria Math" w:hAnsi="Cambria Math"/>
                </w:rPr>
                <m:t>PKR</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YEW</m:t>
                  </m:r>
                </m:e>
                <m:sub>
                  <m:r>
                    <w:rPr>
                      <w:rFonts w:ascii="Cambria Math" w:hAnsi="Cambria Math"/>
                    </w:rPr>
                    <m:t>J</m:t>
                  </m:r>
                </m:sub>
              </m:sSub>
              <m:d>
                <m:dPr>
                  <m:begChr m:val="["/>
                  <m:endChr m:val="]"/>
                  <m:ctrlPr>
                    <w:rPr>
                      <w:rFonts w:ascii="Cambria Math" w:hAnsi="Cambria Math"/>
                      <w:i/>
                    </w:rPr>
                  </m:ctrlPr>
                </m:dPr>
                <m:e>
                  <m:r>
                    <w:rPr>
                      <w:rFonts w:ascii="Cambria Math" w:hAnsi="Cambria Math"/>
                    </w:rPr>
                    <m:t>MWh</m:t>
                  </m:r>
                </m:e>
              </m:d>
            </m:num>
            <m:den>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YEW</m:t>
                      </m:r>
                    </m:e>
                    <m:sub>
                      <m:r>
                        <w:rPr>
                          <w:rFonts w:ascii="Cambria Math" w:hAnsi="Cambria Math"/>
                        </w:rPr>
                        <m:t>j</m:t>
                      </m:r>
                    </m:sub>
                  </m:sSub>
                </m:e>
              </m:nary>
              <m:d>
                <m:dPr>
                  <m:begChr m:val="["/>
                  <m:endChr m:val="]"/>
                  <m:ctrlPr>
                    <w:rPr>
                      <w:rFonts w:ascii="Cambria Math" w:hAnsi="Cambria Math"/>
                      <w:i/>
                    </w:rPr>
                  </m:ctrlPr>
                </m:dPr>
                <m:e>
                  <m:r>
                    <w:rPr>
                      <w:rFonts w:ascii="Cambria Math" w:hAnsi="Cambria Math"/>
                    </w:rPr>
                    <m:t>MWh</m:t>
                  </m:r>
                </m:e>
              </m:d>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ExcLossCharge</m:t>
                  </m:r>
                </m:e>
                <m:sub>
                  <m:r>
                    <w:rPr>
                      <w:rFonts w:ascii="Cambria Math" w:hAnsi="Cambria Math"/>
                    </w:rPr>
                    <m:t>k</m:t>
                  </m:r>
                </m:sub>
              </m:sSub>
              <m:d>
                <m:dPr>
                  <m:begChr m:val="["/>
                  <m:endChr m:val="]"/>
                  <m:ctrlPr>
                    <w:rPr>
                      <w:rFonts w:ascii="Cambria Math" w:hAnsi="Cambria Math"/>
                      <w:i/>
                    </w:rPr>
                  </m:ctrlPr>
                </m:dPr>
                <m:e>
                  <m:r>
                    <w:rPr>
                      <w:rFonts w:ascii="Cambria Math" w:hAnsi="Cambria Math"/>
                    </w:rPr>
                    <m:t>PKR</m:t>
                  </m:r>
                </m:e>
              </m:d>
            </m:e>
          </m:nary>
        </m:oMath>
      </m:oMathPara>
    </w:p>
    <w:p w14:paraId="4726CC68" w14:textId="77777777" w:rsidR="00BC0FEA" w:rsidRPr="00BC0FEA" w:rsidRDefault="00BC0FEA" w:rsidP="00BC0FEA">
      <w:pPr>
        <w:ind w:left="1276"/>
        <w:rPr>
          <w:rFonts w:eastAsiaTheme="minorEastAsia" w:cstheme="minorHAnsi"/>
        </w:rPr>
      </w:pPr>
      <w:r w:rsidRPr="00BC0FEA">
        <w:rPr>
          <w:rFonts w:eastAsiaTheme="minorEastAsia" w:cstheme="minorHAnsi"/>
        </w:rPr>
        <w:t xml:space="preserve">Where: </w:t>
      </w:r>
    </w:p>
    <w:p w14:paraId="608D40DD" w14:textId="34D4199F" w:rsidR="00F16DDF" w:rsidRPr="00F16DDF" w:rsidRDefault="004D6075" w:rsidP="00FF4826">
      <w:pPr>
        <w:pStyle w:val="BodyText"/>
        <w:numPr>
          <w:ilvl w:val="0"/>
          <w:numId w:val="23"/>
        </w:numPr>
      </w:pPr>
      <m:oMath>
        <m:sSub>
          <m:sSubPr>
            <m:ctrlPr>
              <w:rPr>
                <w:rFonts w:ascii="Cambria Math" w:hAnsi="Cambria Math"/>
                <w:i/>
              </w:rPr>
            </m:ctrlPr>
          </m:sSubPr>
          <m:e>
            <m:r>
              <w:rPr>
                <w:rFonts w:ascii="Cambria Math" w:hAnsi="Cambria Math"/>
              </w:rPr>
              <m:t>CA_EL</m:t>
            </m:r>
          </m:e>
          <m:sub>
            <m:r>
              <w:rPr>
                <w:rFonts w:ascii="Cambria Math" w:hAnsi="Cambria Math"/>
              </w:rPr>
              <m:t>j</m:t>
            </m:r>
          </m:sub>
        </m:sSub>
      </m:oMath>
      <w:r w:rsidR="00F16DDF">
        <w:rPr>
          <w:rFonts w:eastAsiaTheme="minorEastAsia"/>
        </w:rPr>
        <w:t xml:space="preserve"> is the amount to be compensated to Market Participant j expressed in PKR</w:t>
      </w:r>
      <w:r w:rsidR="00D156CD">
        <w:rPr>
          <w:rFonts w:eastAsiaTheme="minorEastAsia"/>
        </w:rPr>
        <w:t>;</w:t>
      </w:r>
    </w:p>
    <w:p w14:paraId="0C1A9055" w14:textId="723A0187" w:rsidR="00BC0FEA" w:rsidRPr="0000096C" w:rsidRDefault="00BC0FEA" w:rsidP="00FF4826">
      <w:pPr>
        <w:pStyle w:val="BodyText"/>
        <w:numPr>
          <w:ilvl w:val="0"/>
          <w:numId w:val="23"/>
        </w:numPr>
      </w:pPr>
      <w:r w:rsidRPr="0000096C">
        <w:rPr>
          <w:i/>
          <w:iCs/>
        </w:rPr>
        <w:t>ExcLossCharge</w:t>
      </w:r>
      <w:r w:rsidRPr="0000096C">
        <w:rPr>
          <w:i/>
          <w:iCs/>
          <w:vertAlign w:val="subscript"/>
        </w:rPr>
        <w:t>k</w:t>
      </w:r>
      <w:r w:rsidRPr="0000096C">
        <w:rPr>
          <w:i/>
          <w:iCs/>
        </w:rPr>
        <w:t xml:space="preserve"> </w:t>
      </w:r>
      <w:r w:rsidRPr="0000096C">
        <w:t xml:space="preserve">is the charge </w:t>
      </w:r>
      <w:r w:rsidR="00F16DDF">
        <w:t>imposed on</w:t>
      </w:r>
      <w:r w:rsidR="00F16DDF" w:rsidRPr="0000096C">
        <w:t xml:space="preserve"> </w:t>
      </w:r>
      <w:r w:rsidRPr="0000096C">
        <w:t xml:space="preserve">Transmission Service Provide </w:t>
      </w:r>
      <w:r w:rsidRPr="00BC0FEA">
        <w:rPr>
          <w:i/>
          <w:iCs/>
        </w:rPr>
        <w:t>k</w:t>
      </w:r>
      <w:r w:rsidRPr="0000096C">
        <w:t xml:space="preserve">, </w:t>
      </w:r>
      <w:r w:rsidR="00F16DDF">
        <w:t>pursuant to</w:t>
      </w:r>
      <w:r>
        <w:t xml:space="preserve"> </w:t>
      </w:r>
      <w:r w:rsidR="00176F12">
        <w:fldChar w:fldCharType="begin"/>
      </w:r>
      <w:r w:rsidR="00176F12">
        <w:instrText xml:space="preserve"> REF _Ref64375124 \r \h </w:instrText>
      </w:r>
      <w:r w:rsidR="00176F12">
        <w:fldChar w:fldCharType="separate"/>
      </w:r>
      <w:r w:rsidR="00251DBF">
        <w:t>12.2.7.2</w:t>
      </w:r>
      <w:r w:rsidR="00176F12">
        <w:fldChar w:fldCharType="end"/>
      </w:r>
      <w:r w:rsidR="00D156CD">
        <w:t>;</w:t>
      </w:r>
      <w:r w:rsidRPr="0000096C">
        <w:t xml:space="preserve"> </w:t>
      </w:r>
    </w:p>
    <w:p w14:paraId="07BBD46A" w14:textId="24B70BB5" w:rsidR="00BC0FEA" w:rsidRDefault="00BC0FEA" w:rsidP="00FF4826">
      <w:pPr>
        <w:pStyle w:val="ListParagraph"/>
        <w:numPr>
          <w:ilvl w:val="0"/>
          <w:numId w:val="23"/>
        </w:numPr>
        <w:rPr>
          <w:rFonts w:eastAsiaTheme="minorEastAsia" w:cstheme="minorHAnsi"/>
        </w:rPr>
      </w:pPr>
      <w:r w:rsidRPr="00BC0FEA">
        <w:rPr>
          <w:rFonts w:eastAsiaTheme="minorEastAsia" w:cstheme="minorHAnsi"/>
          <w:i/>
          <w:iCs/>
        </w:rPr>
        <w:lastRenderedPageBreak/>
        <w:t>YEW</w:t>
      </w:r>
      <w:r w:rsidRPr="00BC0FEA">
        <w:rPr>
          <w:rFonts w:eastAsiaTheme="minorEastAsia" w:cstheme="minorHAnsi"/>
          <w:i/>
          <w:iCs/>
          <w:vertAlign w:val="subscript"/>
        </w:rPr>
        <w:t>j</w:t>
      </w:r>
      <w:r w:rsidRPr="00BC0FEA">
        <w:rPr>
          <w:rFonts w:eastAsiaTheme="minorEastAsia" w:cstheme="minorHAnsi"/>
        </w:rPr>
        <w:t xml:space="preserve"> is the </w:t>
      </w:r>
      <w:r w:rsidR="0046412E">
        <w:rPr>
          <w:rFonts w:eastAsiaTheme="minorEastAsia" w:cstheme="minorHAnsi"/>
        </w:rPr>
        <w:t>Energy</w:t>
      </w:r>
      <w:r w:rsidRPr="00BC0FEA">
        <w:rPr>
          <w:rFonts w:eastAsiaTheme="minorEastAsia" w:cstheme="minorHAnsi"/>
        </w:rPr>
        <w:t xml:space="preserve"> withdraw</w:t>
      </w:r>
      <w:r w:rsidR="00F16DDF">
        <w:rPr>
          <w:rFonts w:eastAsiaTheme="minorEastAsia" w:cstheme="minorHAnsi"/>
        </w:rPr>
        <w:t>n</w:t>
      </w:r>
      <w:r w:rsidRPr="00BC0FEA">
        <w:rPr>
          <w:rFonts w:eastAsiaTheme="minorEastAsia" w:cstheme="minorHAnsi"/>
        </w:rPr>
        <w:t xml:space="preserve"> by Market Participant </w:t>
      </w:r>
      <w:r w:rsidRPr="00BC0FEA">
        <w:rPr>
          <w:rFonts w:eastAsiaTheme="minorEastAsia" w:cstheme="minorHAnsi"/>
          <w:i/>
          <w:iCs/>
        </w:rPr>
        <w:t>j</w:t>
      </w:r>
      <w:r w:rsidRPr="00BC0FEA">
        <w:rPr>
          <w:rFonts w:eastAsiaTheme="minorEastAsia" w:cstheme="minorHAnsi"/>
        </w:rPr>
        <w:t xml:space="preserve"> from the </w:t>
      </w:r>
      <w:r w:rsidR="00F16DDF">
        <w:rPr>
          <w:rFonts w:eastAsiaTheme="minorEastAsia" w:cstheme="minorHAnsi"/>
        </w:rPr>
        <w:t>Grid System</w:t>
      </w:r>
      <w:r w:rsidRPr="00BC0FEA">
        <w:rPr>
          <w:rFonts w:eastAsiaTheme="minorEastAsia" w:cstheme="minorHAnsi"/>
        </w:rPr>
        <w:t>, in the previous fiscal year, expressed in MWh</w:t>
      </w:r>
      <w:r w:rsidR="00D156CD">
        <w:rPr>
          <w:rFonts w:eastAsiaTheme="minorEastAsia" w:cstheme="minorHAnsi"/>
        </w:rPr>
        <w:t>;</w:t>
      </w:r>
      <w:r w:rsidRPr="00BC0FEA">
        <w:rPr>
          <w:rFonts w:eastAsiaTheme="minorEastAsia" w:cstheme="minorHAnsi"/>
        </w:rPr>
        <w:t xml:space="preserve"> </w:t>
      </w:r>
    </w:p>
    <w:p w14:paraId="35E390A5" w14:textId="0FB87BF6" w:rsidR="00BD41AC" w:rsidRDefault="00176F12" w:rsidP="00FF4826">
      <w:pPr>
        <w:pStyle w:val="ListParagraph"/>
        <w:numPr>
          <w:ilvl w:val="0"/>
          <w:numId w:val="23"/>
        </w:numPr>
      </w:pPr>
      <w:r w:rsidRPr="00176F12">
        <w:rPr>
          <w:rFonts w:ascii="Symbol" w:eastAsiaTheme="minorEastAsia" w:hAnsi="Symbol" w:cstheme="minorHAnsi"/>
          <w:i/>
          <w:iCs/>
        </w:rPr>
        <w:t>S</w:t>
      </w:r>
      <w:r w:rsidRPr="00176F12">
        <w:rPr>
          <w:rFonts w:eastAsiaTheme="minorEastAsia" w:cstheme="minorHAnsi"/>
          <w:i/>
          <w:iCs/>
          <w:vertAlign w:val="subscript"/>
        </w:rPr>
        <w:t>k</w:t>
      </w:r>
      <w:r w:rsidRPr="00176F12">
        <w:rPr>
          <w:rFonts w:eastAsiaTheme="minorEastAsia" w:cstheme="minorHAnsi"/>
          <w:i/>
          <w:iCs/>
        </w:rPr>
        <w:t xml:space="preserve"> </w:t>
      </w:r>
      <w:r>
        <w:t xml:space="preserve">means the </w:t>
      </w:r>
      <w:r w:rsidR="00B253D5">
        <w:t xml:space="preserve">sum over </w:t>
      </w:r>
      <w:r>
        <w:t>all Transmission Service Providers</w:t>
      </w:r>
      <w:r w:rsidR="00D156CD">
        <w:t>;</w:t>
      </w:r>
    </w:p>
    <w:p w14:paraId="6FEB5180" w14:textId="4D3F07AF" w:rsidR="00F16DDF" w:rsidRDefault="00F16DDF" w:rsidP="00FF4826">
      <w:pPr>
        <w:pStyle w:val="ListParagraph"/>
        <w:numPr>
          <w:ilvl w:val="0"/>
          <w:numId w:val="23"/>
        </w:numPr>
      </w:pPr>
      <w:r w:rsidRPr="00176F12">
        <w:rPr>
          <w:rFonts w:ascii="Symbol" w:eastAsiaTheme="minorEastAsia" w:hAnsi="Symbol" w:cstheme="minorHAnsi"/>
          <w:i/>
          <w:iCs/>
        </w:rPr>
        <w:t>S</w:t>
      </w:r>
      <w:r>
        <w:rPr>
          <w:rFonts w:eastAsiaTheme="minorEastAsia" w:cstheme="minorHAnsi"/>
          <w:i/>
          <w:iCs/>
          <w:vertAlign w:val="subscript"/>
        </w:rPr>
        <w:t xml:space="preserve">j </w:t>
      </w:r>
      <w:r>
        <w:t xml:space="preserve">means the sum </w:t>
      </w:r>
      <w:r w:rsidR="00B253D5">
        <w:t>over</w:t>
      </w:r>
      <w:r w:rsidR="00D156CD">
        <w:t xml:space="preserve"> </w:t>
      </w:r>
      <w:r>
        <w:t>all Market Participants representing demand</w:t>
      </w:r>
      <w:r w:rsidR="00D156CD">
        <w:t>.</w:t>
      </w:r>
    </w:p>
    <w:p w14:paraId="21B84490" w14:textId="3075B6C6" w:rsidR="0065420E" w:rsidRPr="00B03C4A" w:rsidRDefault="0065420E" w:rsidP="0065420E">
      <w:pPr>
        <w:pStyle w:val="Heading4"/>
        <w:rPr>
          <w:highlight w:val="yellow"/>
        </w:rPr>
      </w:pPr>
      <w:r w:rsidRPr="00BE1A24">
        <w:rPr>
          <w:highlight w:val="yellow"/>
        </w:rPr>
        <w:t xml:space="preserve">The Amounts Payable </w:t>
      </w:r>
      <w:r>
        <w:rPr>
          <w:highlight w:val="yellow"/>
        </w:rPr>
        <w:t xml:space="preserve">by a Transmission Service Provider </w:t>
      </w:r>
      <w:r w:rsidRPr="00BE1A24">
        <w:rPr>
          <w:highlight w:val="yellow"/>
        </w:rPr>
        <w:t>in [six] equal monthly instalments and the Amounts Payable shall be paid to the relevant Market Participants in same manner</w:t>
      </w:r>
      <w:r>
        <w:t xml:space="preserve">. </w:t>
      </w:r>
      <w:r w:rsidRPr="00B03C4A">
        <w:rPr>
          <w:highlight w:val="yellow"/>
        </w:rPr>
        <w:t xml:space="preserve">The Security Cover to be paid by a Transmission Service Provider shall not be lower the amount of [2] monthly </w:t>
      </w:r>
      <w:r w:rsidRPr="0065420E">
        <w:rPr>
          <w:highlight w:val="yellow"/>
        </w:rPr>
        <w:t>instalments</w:t>
      </w:r>
      <w:r w:rsidRPr="00B03C4A">
        <w:rPr>
          <w:highlight w:val="yellow"/>
        </w:rPr>
        <w:t>.</w:t>
      </w:r>
    </w:p>
    <w:p w14:paraId="06169C05" w14:textId="77777777" w:rsidR="0065420E" w:rsidRDefault="0065420E" w:rsidP="00B03C4A"/>
    <w:p w14:paraId="6180FBF6" w14:textId="3F255151" w:rsidR="00321697" w:rsidRDefault="00321697" w:rsidP="00321697">
      <w:pPr>
        <w:pStyle w:val="Heading2"/>
      </w:pPr>
      <w:bookmarkStart w:id="690" w:name="_Toc61258210"/>
      <w:bookmarkStart w:id="691" w:name="_Toc61258211"/>
      <w:bookmarkStart w:id="692" w:name="_Toc61258212"/>
      <w:bookmarkStart w:id="693" w:name="_Toc61258213"/>
      <w:bookmarkStart w:id="694" w:name="_Toc61258214"/>
      <w:bookmarkStart w:id="695" w:name="_Toc61258215"/>
      <w:bookmarkStart w:id="696" w:name="_Toc61258216"/>
      <w:bookmarkStart w:id="697" w:name="_Toc61258217"/>
      <w:bookmarkStart w:id="698" w:name="_Toc61258218"/>
      <w:bookmarkStart w:id="699" w:name="_Toc61258219"/>
      <w:bookmarkStart w:id="700" w:name="_Toc61258220"/>
      <w:bookmarkStart w:id="701" w:name="_Toc61258221"/>
      <w:bookmarkStart w:id="702" w:name="_Toc61258222"/>
      <w:bookmarkStart w:id="703" w:name="_Toc64846712"/>
      <w:bookmarkStart w:id="704" w:name="_Toc69477012"/>
      <w:bookmarkEnd w:id="690"/>
      <w:bookmarkEnd w:id="691"/>
      <w:bookmarkEnd w:id="692"/>
      <w:bookmarkEnd w:id="693"/>
      <w:bookmarkEnd w:id="694"/>
      <w:bookmarkEnd w:id="695"/>
      <w:bookmarkEnd w:id="696"/>
      <w:bookmarkEnd w:id="697"/>
      <w:bookmarkEnd w:id="698"/>
      <w:bookmarkEnd w:id="699"/>
      <w:bookmarkEnd w:id="700"/>
      <w:bookmarkEnd w:id="701"/>
      <w:bookmarkEnd w:id="702"/>
      <w:r>
        <w:t>Settlement Statements</w:t>
      </w:r>
      <w:bookmarkEnd w:id="703"/>
      <w:bookmarkEnd w:id="704"/>
    </w:p>
    <w:p w14:paraId="2C4F05D4" w14:textId="3E2A7237" w:rsidR="00321697" w:rsidRDefault="00321697" w:rsidP="00321697">
      <w:pPr>
        <w:pStyle w:val="Heading3"/>
      </w:pPr>
      <w:bookmarkStart w:id="705" w:name="_Ref66629289"/>
      <w:r>
        <w:t>P</w:t>
      </w:r>
      <w:r w:rsidRPr="0067086E">
        <w:t xml:space="preserve">reliminary </w:t>
      </w:r>
      <w:r w:rsidR="003C2FC8">
        <w:t xml:space="preserve">Yearly </w:t>
      </w:r>
      <w:r w:rsidRPr="0067086E">
        <w:t>settlement statements</w:t>
      </w:r>
      <w:bookmarkEnd w:id="705"/>
    </w:p>
    <w:p w14:paraId="6E9F5A59" w14:textId="56452C06" w:rsidR="00321697" w:rsidRDefault="00321697" w:rsidP="005B295A">
      <w:pPr>
        <w:pStyle w:val="Heading4"/>
      </w:pPr>
      <w:r w:rsidRPr="003858A9">
        <w:t xml:space="preserve">Within ten (10) </w:t>
      </w:r>
      <w:r w:rsidR="00B253D5">
        <w:t>Business Days</w:t>
      </w:r>
      <w:r w:rsidRPr="003858A9">
        <w:t xml:space="preserve"> of </w:t>
      </w:r>
      <w:r w:rsidR="00B253D5">
        <w:t xml:space="preserve">intimation of </w:t>
      </w:r>
      <w:r w:rsidRPr="003858A9">
        <w:t xml:space="preserve">the </w:t>
      </w:r>
      <w:r w:rsidR="00B253D5">
        <w:t xml:space="preserve">results of the </w:t>
      </w:r>
      <w:r w:rsidR="00412A53">
        <w:t xml:space="preserve">Balancing Mechanism for </w:t>
      </w:r>
      <w:commentRangeStart w:id="706"/>
      <w:commentRangeEnd w:id="706"/>
      <w:r w:rsidR="00C07C72">
        <w:rPr>
          <w:rStyle w:val="CommentReference"/>
          <w:rFonts w:eastAsiaTheme="minorHAnsi" w:cstheme="minorBidi"/>
          <w:bCs w:val="0"/>
          <w:iCs w:val="0"/>
          <w:color w:val="1C1C1C"/>
        </w:rPr>
        <w:commentReference w:id="706"/>
      </w:r>
      <w:r w:rsidR="00E73A08">
        <w:t>Capacity</w:t>
      </w:r>
      <w:r w:rsidR="00B253D5">
        <w:t xml:space="preserve"> to the Market Participants</w:t>
      </w:r>
      <w:r w:rsidR="00D46EBE">
        <w:t xml:space="preserve"> or </w:t>
      </w:r>
      <w:r w:rsidR="00C0413A">
        <w:t>within one month of completion of a fiscal year</w:t>
      </w:r>
      <w:r w:rsidRPr="003858A9">
        <w:t xml:space="preserve">, the </w:t>
      </w:r>
      <w:r>
        <w:t>Market Operator</w:t>
      </w:r>
      <w:r w:rsidRPr="003858A9">
        <w:t xml:space="preserve"> shall send</w:t>
      </w:r>
      <w:r>
        <w:t>, through electronic means,</w:t>
      </w:r>
      <w:r w:rsidRPr="003858A9">
        <w:t xml:space="preserve"> to each Market Participant</w:t>
      </w:r>
      <w:r>
        <w:t xml:space="preserve"> and to the Service Providers</w:t>
      </w:r>
      <w:r w:rsidRPr="003858A9">
        <w:t xml:space="preserve">, a Preliminary </w:t>
      </w:r>
      <w:r w:rsidR="00E73A08">
        <w:t xml:space="preserve">Yearly </w:t>
      </w:r>
      <w:r w:rsidRPr="003858A9">
        <w:t>Settlement Statement</w:t>
      </w:r>
      <w:r>
        <w:t>.</w:t>
      </w:r>
    </w:p>
    <w:p w14:paraId="7259FB58" w14:textId="76BD0673" w:rsidR="00321697" w:rsidRPr="003858A9" w:rsidRDefault="00B253D5" w:rsidP="005B295A">
      <w:pPr>
        <w:pStyle w:val="Heading4"/>
      </w:pPr>
      <w:r>
        <w:t>For Market Participants, t</w:t>
      </w:r>
      <w:r w:rsidR="00321697">
        <w:t>he P</w:t>
      </w:r>
      <w:r w:rsidR="00321697" w:rsidRPr="003858A9">
        <w:t xml:space="preserve">reliminary </w:t>
      </w:r>
      <w:r w:rsidR="00E73A08">
        <w:t xml:space="preserve">Yearly </w:t>
      </w:r>
      <w:r w:rsidR="00321697">
        <w:t>S</w:t>
      </w:r>
      <w:r w:rsidR="00321697" w:rsidRPr="003858A9">
        <w:t xml:space="preserve">ettlement </w:t>
      </w:r>
      <w:r w:rsidR="00321697">
        <w:t>S</w:t>
      </w:r>
      <w:r w:rsidR="00321697" w:rsidRPr="003858A9">
        <w:t>tatement shall</w:t>
      </w:r>
      <w:r w:rsidR="00321697">
        <w:t xml:space="preserve">, </w:t>
      </w:r>
      <w:r w:rsidRPr="00B253D5">
        <w:rPr>
          <w:i/>
          <w:iCs w:val="0"/>
        </w:rPr>
        <w:t>inter alia</w:t>
      </w:r>
      <w:r w:rsidR="00321697">
        <w:t>,</w:t>
      </w:r>
      <w:r w:rsidR="00321697" w:rsidRPr="003858A9">
        <w:t xml:space="preserve"> include:</w:t>
      </w:r>
    </w:p>
    <w:p w14:paraId="010C5848" w14:textId="3907CDBC" w:rsidR="00321697" w:rsidRPr="007B1234" w:rsidRDefault="00D156CD" w:rsidP="00B03234">
      <w:pPr>
        <w:pStyle w:val="Heading5"/>
      </w:pPr>
      <w:r>
        <w:t>t</w:t>
      </w:r>
      <w:r w:rsidR="00321697" w:rsidRPr="007B1234">
        <w:t xml:space="preserve">he </w:t>
      </w:r>
      <w:r w:rsidR="00B253D5">
        <w:t>Amounts Payable and Amounts Receivable in</w:t>
      </w:r>
      <w:r w:rsidR="00321697" w:rsidRPr="007B1234">
        <w:t xml:space="preserve"> the Balancing Mechanism for </w:t>
      </w:r>
      <w:r w:rsidR="00E73A08">
        <w:t>Capacity</w:t>
      </w:r>
      <w:r>
        <w:t>;</w:t>
      </w:r>
    </w:p>
    <w:p w14:paraId="12552EDB" w14:textId="5DE3BB51" w:rsidR="00321697" w:rsidRDefault="00D156CD" w:rsidP="00B03234">
      <w:pPr>
        <w:pStyle w:val="Heading5"/>
      </w:pPr>
      <w:r>
        <w:t>t</w:t>
      </w:r>
      <w:r w:rsidR="00321697" w:rsidRPr="009F08F3">
        <w:t xml:space="preserve">he </w:t>
      </w:r>
      <w:r w:rsidR="00B253D5">
        <w:t>compensation for</w:t>
      </w:r>
      <w:r w:rsidR="00E73A08">
        <w:t xml:space="preserve"> Excess Losses for the previous fiscal year, if </w:t>
      </w:r>
      <w:r w:rsidR="00B253D5">
        <w:t>applicable</w:t>
      </w:r>
      <w:r>
        <w:t>;</w:t>
      </w:r>
      <w:r w:rsidR="00E73A08">
        <w:t xml:space="preserve"> </w:t>
      </w:r>
    </w:p>
    <w:p w14:paraId="68F34107" w14:textId="390624B1" w:rsidR="00321697" w:rsidRPr="00A514BB" w:rsidRDefault="00D156CD" w:rsidP="00B03234">
      <w:pPr>
        <w:pStyle w:val="Heading5"/>
      </w:pPr>
      <w:r>
        <w:t>t</w:t>
      </w:r>
      <w:r w:rsidR="00321697" w:rsidRPr="00A514BB">
        <w:t xml:space="preserve">he </w:t>
      </w:r>
      <w:r w:rsidR="00B253D5">
        <w:t xml:space="preserve">interest </w:t>
      </w:r>
      <w:r w:rsidR="00321697" w:rsidRPr="00A514BB">
        <w:t>accrued</w:t>
      </w:r>
      <w:r w:rsidR="00B253D5">
        <w:t xml:space="preserve"> and payable</w:t>
      </w:r>
      <w:r w:rsidR="00321697" w:rsidRPr="00A514BB">
        <w:t xml:space="preserve"> for previous </w:t>
      </w:r>
      <w:r w:rsidR="00B253D5">
        <w:t xml:space="preserve">late </w:t>
      </w:r>
      <w:r w:rsidR="00321697" w:rsidRPr="00A514BB">
        <w:t>payments</w:t>
      </w:r>
      <w:r w:rsidR="00B253D5">
        <w:t xml:space="preserve"> or default in making payments</w:t>
      </w:r>
      <w:r w:rsidR="00321697">
        <w:t xml:space="preserve">; </w:t>
      </w:r>
      <w:r w:rsidR="00E73A08">
        <w:t>and</w:t>
      </w:r>
    </w:p>
    <w:p w14:paraId="7E1BA331" w14:textId="05B2B89A" w:rsidR="00321697" w:rsidRDefault="00D156CD" w:rsidP="00B03234">
      <w:pPr>
        <w:pStyle w:val="Heading5"/>
      </w:pPr>
      <w:r>
        <w:t>i</w:t>
      </w:r>
      <w:r w:rsidR="009F5293">
        <w:t>f applicable, t</w:t>
      </w:r>
      <w:r w:rsidR="00321697">
        <w:t xml:space="preserve">he corrections </w:t>
      </w:r>
      <w:r w:rsidR="00B253D5">
        <w:t xml:space="preserve">resulting from an </w:t>
      </w:r>
      <w:r w:rsidR="00321697">
        <w:t xml:space="preserve">Extraordinary </w:t>
      </w:r>
      <w:r w:rsidR="009F5293">
        <w:t>Y</w:t>
      </w:r>
      <w:r w:rsidR="00CF149C">
        <w:t xml:space="preserve">early </w:t>
      </w:r>
      <w:r w:rsidR="00321697">
        <w:t>Settlement</w:t>
      </w:r>
      <w:r w:rsidR="00B253D5">
        <w:t xml:space="preserve"> Statement</w:t>
      </w:r>
      <w:r w:rsidR="00E73A08">
        <w:t>.</w:t>
      </w:r>
    </w:p>
    <w:p w14:paraId="2C8658E8" w14:textId="24C0AD8B" w:rsidR="00E73A08" w:rsidRDefault="00B253D5" w:rsidP="005B295A">
      <w:pPr>
        <w:pStyle w:val="Heading4"/>
      </w:pPr>
      <w:r>
        <w:t>For Transmission Service Providers, t</w:t>
      </w:r>
      <w:r w:rsidR="00321697">
        <w:t>he P</w:t>
      </w:r>
      <w:r w:rsidR="00321697" w:rsidRPr="003858A9">
        <w:t xml:space="preserve">reliminary </w:t>
      </w:r>
      <w:r w:rsidR="00321697">
        <w:t>S</w:t>
      </w:r>
      <w:r w:rsidR="00321697" w:rsidRPr="003858A9">
        <w:t xml:space="preserve">ettlement </w:t>
      </w:r>
      <w:r w:rsidR="00321697">
        <w:t>S</w:t>
      </w:r>
      <w:r w:rsidR="00321697" w:rsidRPr="003858A9">
        <w:t>tatement shall</w:t>
      </w:r>
      <w:r w:rsidR="00E73A08">
        <w:t xml:space="preserve">, </w:t>
      </w:r>
      <w:r w:rsidRPr="00B253D5">
        <w:rPr>
          <w:i/>
          <w:iCs w:val="0"/>
        </w:rPr>
        <w:t>inter alia</w:t>
      </w:r>
      <w:r w:rsidR="00E73A08">
        <w:t xml:space="preserve">, </w:t>
      </w:r>
      <w:r w:rsidR="00321697" w:rsidRPr="003858A9">
        <w:t>include</w:t>
      </w:r>
      <w:r w:rsidR="00E97904">
        <w:t>:</w:t>
      </w:r>
      <w:r w:rsidR="00E73A08">
        <w:t xml:space="preserve"> </w:t>
      </w:r>
    </w:p>
    <w:p w14:paraId="05507B00" w14:textId="449C7A1C" w:rsidR="00321697" w:rsidRPr="003858A9" w:rsidRDefault="00B253D5" w:rsidP="00B03234">
      <w:pPr>
        <w:pStyle w:val="Heading5"/>
      </w:pPr>
      <w:r>
        <w:t>t</w:t>
      </w:r>
      <w:r w:rsidR="00E73A08" w:rsidRPr="009F08F3">
        <w:t xml:space="preserve">he </w:t>
      </w:r>
      <w:r>
        <w:t>Amount Payable to the Market Operator for</w:t>
      </w:r>
      <w:r w:rsidR="00E73A08">
        <w:t xml:space="preserve"> Excess Losses for the previous fiscal year, if </w:t>
      </w:r>
      <w:r>
        <w:t>applicable;</w:t>
      </w:r>
    </w:p>
    <w:p w14:paraId="6F8795BB" w14:textId="5FA9F842" w:rsidR="00321697" w:rsidRDefault="009F5293" w:rsidP="00B03234">
      <w:pPr>
        <w:pStyle w:val="Heading5"/>
      </w:pPr>
      <w:r>
        <w:t xml:space="preserve">if applicable, </w:t>
      </w:r>
      <w:r w:rsidR="00B253D5">
        <w:t xml:space="preserve">the corrections resulting from an Extraordinary </w:t>
      </w:r>
      <w:r w:rsidR="00CF149C">
        <w:t xml:space="preserve">Yearly </w:t>
      </w:r>
      <w:r w:rsidR="00B253D5">
        <w:t>Settlement Statement;</w:t>
      </w:r>
      <w:r w:rsidR="00B253D5" w:rsidDel="00B253D5">
        <w:t xml:space="preserve"> </w:t>
      </w:r>
      <w:r w:rsidR="00321697">
        <w:t xml:space="preserve"> and</w:t>
      </w:r>
    </w:p>
    <w:p w14:paraId="3F8820B1" w14:textId="054C7332" w:rsidR="00321697" w:rsidRPr="00D7694A" w:rsidRDefault="00B253D5" w:rsidP="00B03234">
      <w:pPr>
        <w:pStyle w:val="Heading5"/>
      </w:pPr>
      <w:r>
        <w:t>t</w:t>
      </w:r>
      <w:r w:rsidR="00321697" w:rsidRPr="00D7694A">
        <w:t xml:space="preserve">he interest </w:t>
      </w:r>
      <w:r w:rsidRPr="00D7694A">
        <w:t xml:space="preserve">payable </w:t>
      </w:r>
      <w:r w:rsidR="00321697" w:rsidRPr="00D7694A">
        <w:t xml:space="preserve">for previous </w:t>
      </w:r>
      <w:r>
        <w:t xml:space="preserve">late </w:t>
      </w:r>
      <w:r w:rsidR="00321697" w:rsidRPr="00D7694A">
        <w:t xml:space="preserve">payments </w:t>
      </w:r>
      <w:r>
        <w:t>or d</w:t>
      </w:r>
      <w:r w:rsidR="00570329">
        <w:t>efault in making payments</w:t>
      </w:r>
      <w:r w:rsidR="00321697" w:rsidRPr="00D7694A">
        <w:t xml:space="preserve">. </w:t>
      </w:r>
    </w:p>
    <w:p w14:paraId="64DC4479" w14:textId="4678F32F" w:rsidR="00C065AD" w:rsidRDefault="00C065AD" w:rsidP="00C065AD">
      <w:pPr>
        <w:pStyle w:val="Heading3"/>
      </w:pPr>
      <w:r>
        <w:t>Claims against the P</w:t>
      </w:r>
      <w:r w:rsidRPr="0067086E">
        <w:t>reliminary</w:t>
      </w:r>
      <w:r>
        <w:t xml:space="preserve"> Ye</w:t>
      </w:r>
      <w:r w:rsidRPr="0067086E">
        <w:t xml:space="preserve"> settlement statements</w:t>
      </w:r>
    </w:p>
    <w:p w14:paraId="713BD149" w14:textId="30684CE1" w:rsidR="00C065AD" w:rsidRDefault="00C065AD" w:rsidP="00C065AD">
      <w:pPr>
        <w:pStyle w:val="Heading4"/>
      </w:pPr>
      <w:r>
        <w:t>Where a Market</w:t>
      </w:r>
      <w:r w:rsidRPr="003858A9">
        <w:t xml:space="preserve"> Participant </w:t>
      </w:r>
      <w:r>
        <w:t xml:space="preserve">or a Transmission Service Provider </w:t>
      </w:r>
      <w:r w:rsidRPr="003858A9">
        <w:t>c</w:t>
      </w:r>
      <w:r>
        <w:t xml:space="preserve">onsiders that </w:t>
      </w:r>
      <w:r w:rsidRPr="003858A9">
        <w:t xml:space="preserve">an error or discrepancy exists in the Preliminary </w:t>
      </w:r>
      <w:r>
        <w:t xml:space="preserve">Yearly </w:t>
      </w:r>
      <w:r w:rsidRPr="003858A9">
        <w:t xml:space="preserve">Settlement Statement, </w:t>
      </w:r>
      <w:r>
        <w:t xml:space="preserve">it shall submit to the Market Operator a written </w:t>
      </w:r>
      <w:r w:rsidR="008B666F">
        <w:t>Review Request</w:t>
      </w:r>
      <w:r>
        <w:t xml:space="preserve"> </w:t>
      </w:r>
      <w:r w:rsidRPr="003858A9">
        <w:t xml:space="preserve">within </w:t>
      </w:r>
      <w:r>
        <w:t>[</w:t>
      </w:r>
      <w:r w:rsidRPr="003858A9">
        <w:t>five (5)</w:t>
      </w:r>
      <w:r>
        <w:t>]</w:t>
      </w:r>
      <w:r w:rsidRPr="003858A9">
        <w:t xml:space="preserve"> </w:t>
      </w:r>
      <w:r>
        <w:t>Business Days</w:t>
      </w:r>
      <w:r w:rsidRPr="003858A9">
        <w:t xml:space="preserve"> </w:t>
      </w:r>
      <w:r>
        <w:t xml:space="preserve">of receipt of </w:t>
      </w:r>
      <w:r w:rsidRPr="003858A9">
        <w:t xml:space="preserve">the Preliminary </w:t>
      </w:r>
      <w:r>
        <w:t xml:space="preserve">Yearly </w:t>
      </w:r>
      <w:r w:rsidRPr="003858A9">
        <w:t>Settlement Statement.</w:t>
      </w:r>
    </w:p>
    <w:p w14:paraId="1ED8DCFA" w14:textId="00164DFB" w:rsidR="00C065AD" w:rsidRDefault="00C065AD" w:rsidP="00C065AD">
      <w:pPr>
        <w:pStyle w:val="Heading4"/>
      </w:pPr>
      <w:r>
        <w:t xml:space="preserve">The </w:t>
      </w:r>
      <w:r w:rsidR="008B666F">
        <w:t>Review Request</w:t>
      </w:r>
      <w:r>
        <w:t xml:space="preserve"> shall clearly state the issuance date of the Preliminary Yearly Settlement Statement, the item claimed, the reasons for the claim, the amount claimed, and shall be accompanied with supporting documents.</w:t>
      </w:r>
    </w:p>
    <w:p w14:paraId="00A21540" w14:textId="717ED8B5" w:rsidR="00C065AD" w:rsidRDefault="00C065AD" w:rsidP="00C065AD">
      <w:pPr>
        <w:pStyle w:val="Heading4"/>
      </w:pPr>
      <w:r>
        <w:lastRenderedPageBreak/>
        <w:t xml:space="preserve">After receipt of the </w:t>
      </w:r>
      <w:r w:rsidR="008B666F">
        <w:t>Review Request</w:t>
      </w:r>
      <w:r>
        <w:t>, t</w:t>
      </w:r>
      <w:r w:rsidRPr="003858A9">
        <w:t xml:space="preserve">he </w:t>
      </w:r>
      <w:r>
        <w:t>Market Operator</w:t>
      </w:r>
      <w:r w:rsidRPr="003858A9">
        <w:t xml:space="preserve"> shall review</w:t>
      </w:r>
      <w:r>
        <w:t xml:space="preserve"> the </w:t>
      </w:r>
      <w:r w:rsidR="008B666F">
        <w:t>request</w:t>
      </w:r>
      <w:r w:rsidRPr="003858A9">
        <w:t xml:space="preserve"> and </w:t>
      </w:r>
      <w:r>
        <w:t>decide</w:t>
      </w:r>
      <w:r w:rsidRPr="003858A9">
        <w:t xml:space="preserve"> whether </w:t>
      </w:r>
      <w:r>
        <w:t xml:space="preserve">there is any error or discrepancy in the Preliminary Yearly Settlement Statement and if required, it may hold a meeting with the relevant Market Participant or Transmission Service Provider to settle the matter.  If the Market Operator does not agree with the </w:t>
      </w:r>
      <w:r w:rsidR="008B666F">
        <w:t>Review Request</w:t>
      </w:r>
      <w:r>
        <w:t xml:space="preserve">, it shall intimate the same to the relevant Market Participants or Transmission Service Providers along with reasons thereof. </w:t>
      </w:r>
    </w:p>
    <w:p w14:paraId="6515F517" w14:textId="1584CEF6" w:rsidR="00C065AD" w:rsidRDefault="00C065AD" w:rsidP="00C065AD">
      <w:pPr>
        <w:pStyle w:val="Heading4"/>
      </w:pPr>
      <w:bookmarkStart w:id="707" w:name="_Ref76205757"/>
      <w:r>
        <w:t>Where the Market Operator, after review of the Preliminary Yearly Settlement Statement finds that there is an error or discrepancy as claimed by the relevant Market Participant or Transmission Service Provider, it shall rectify the error before issuing the Final Yearly Settlement Statement</w:t>
      </w:r>
      <w:r w:rsidRPr="003858A9">
        <w:t xml:space="preserve"> </w:t>
      </w:r>
      <w:r>
        <w:t xml:space="preserve">and </w:t>
      </w:r>
      <w:r w:rsidRPr="003858A9">
        <w:t xml:space="preserve">shall </w:t>
      </w:r>
      <w:r>
        <w:t>inform all the relevant</w:t>
      </w:r>
      <w:r w:rsidRPr="003858A9">
        <w:t xml:space="preserve"> Market Participants</w:t>
      </w:r>
      <w:r>
        <w:t xml:space="preserve"> and Transmission Service Providers</w:t>
      </w:r>
      <w:r w:rsidRPr="003858A9">
        <w:t xml:space="preserve"> </w:t>
      </w:r>
      <w:r>
        <w:t>accordingly.</w:t>
      </w:r>
      <w:bookmarkEnd w:id="707"/>
    </w:p>
    <w:p w14:paraId="16686015" w14:textId="48CB2939" w:rsidR="00C065AD" w:rsidRDefault="00C065AD" w:rsidP="00C065AD">
      <w:pPr>
        <w:pStyle w:val="Heading3"/>
      </w:pPr>
      <w:r>
        <w:t>F</w:t>
      </w:r>
      <w:r w:rsidRPr="0067086E">
        <w:t xml:space="preserve">inal </w:t>
      </w:r>
      <w:r>
        <w:t>Yearl</w:t>
      </w:r>
      <w:r w:rsidR="00CF149C">
        <w:t>y</w:t>
      </w:r>
      <w:r>
        <w:t xml:space="preserve"> </w:t>
      </w:r>
      <w:r w:rsidRPr="0067086E">
        <w:t>settlement statements</w:t>
      </w:r>
    </w:p>
    <w:p w14:paraId="3D3AB3B6" w14:textId="3902EAC6" w:rsidR="00C065AD" w:rsidRPr="003858A9" w:rsidRDefault="00CF149C" w:rsidP="00C065AD">
      <w:pPr>
        <w:pStyle w:val="Heading4"/>
      </w:pPr>
      <w:r w:rsidRPr="003858A9">
        <w:t>Within twenty</w:t>
      </w:r>
      <w:r>
        <w:t>-five</w:t>
      </w:r>
      <w:r w:rsidRPr="003858A9">
        <w:t xml:space="preserve"> </w:t>
      </w:r>
      <w:r>
        <w:t>[</w:t>
      </w:r>
      <w:r w:rsidRPr="003858A9">
        <w:t>2</w:t>
      </w:r>
      <w:r>
        <w:t>5]</w:t>
      </w:r>
      <w:r w:rsidRPr="003858A9">
        <w:t xml:space="preserve"> </w:t>
      </w:r>
      <w:r>
        <w:t>Business Days</w:t>
      </w:r>
      <w:r w:rsidRPr="003858A9">
        <w:t xml:space="preserve"> after </w:t>
      </w:r>
      <w:r>
        <w:t>issuance of the Preliminary Yearly Settlement Statement</w:t>
      </w:r>
      <w:r w:rsidR="00C065AD" w:rsidRPr="003858A9">
        <w:t xml:space="preserve">, the </w:t>
      </w:r>
      <w:r w:rsidR="00C065AD">
        <w:t>Market Operator</w:t>
      </w:r>
      <w:r w:rsidR="00C065AD" w:rsidRPr="003858A9">
        <w:t xml:space="preserve"> shall </w:t>
      </w:r>
      <w:r w:rsidR="00C065AD">
        <w:t>issue</w:t>
      </w:r>
      <w:r w:rsidR="00C065AD" w:rsidRPr="003858A9">
        <w:t xml:space="preserve"> the Final</w:t>
      </w:r>
      <w:r>
        <w:t xml:space="preserve"> Yearly</w:t>
      </w:r>
      <w:r w:rsidR="00C065AD" w:rsidRPr="003858A9">
        <w:t xml:space="preserve"> Settlement Statement to each Market Participant</w:t>
      </w:r>
      <w:r w:rsidR="00C065AD">
        <w:t xml:space="preserve"> </w:t>
      </w:r>
      <w:r w:rsidR="00C065AD" w:rsidRPr="00CF149C">
        <w:t xml:space="preserve">and </w:t>
      </w:r>
      <w:r w:rsidRPr="00CF149C">
        <w:t xml:space="preserve">Transmission </w:t>
      </w:r>
      <w:r w:rsidR="00C065AD" w:rsidRPr="00CF149C">
        <w:t>Service Provider</w:t>
      </w:r>
      <w:r w:rsidR="00C065AD" w:rsidRPr="003858A9">
        <w:t xml:space="preserve">, using a format similar to the Preliminary </w:t>
      </w:r>
      <w:r>
        <w:t xml:space="preserve">Yearly </w:t>
      </w:r>
      <w:r w:rsidR="00C065AD" w:rsidRPr="003858A9">
        <w:t>Settlement Statement</w:t>
      </w:r>
      <w:r w:rsidR="00C065AD">
        <w:t>.</w:t>
      </w:r>
    </w:p>
    <w:p w14:paraId="100D1BCC" w14:textId="6BDC28DB" w:rsidR="00C065AD" w:rsidRPr="000E1DAE" w:rsidRDefault="00C065AD" w:rsidP="00C065AD">
      <w:pPr>
        <w:pStyle w:val="Heading4"/>
      </w:pPr>
      <w:r w:rsidRPr="000E1DAE">
        <w:t>A Market Participan</w:t>
      </w:r>
      <w:r w:rsidRPr="00C80AA0">
        <w:t xml:space="preserve">t or a </w:t>
      </w:r>
      <w:r w:rsidR="00CF149C" w:rsidRPr="00C80AA0">
        <w:t xml:space="preserve">Transmission </w:t>
      </w:r>
      <w:r w:rsidRPr="00C80AA0">
        <w:t>Service Provider may</w:t>
      </w:r>
      <w:r w:rsidRPr="000E1DAE">
        <w:t xml:space="preserve"> challenge the Final </w:t>
      </w:r>
      <w:r w:rsidR="00CF149C">
        <w:t xml:space="preserve">Yearly </w:t>
      </w:r>
      <w:r w:rsidRPr="000E1DAE">
        <w:t xml:space="preserve">Settlement Statement </w:t>
      </w:r>
      <w:r>
        <w:t>along with reasons thereof</w:t>
      </w:r>
      <w:r w:rsidRPr="000E1DAE">
        <w:t xml:space="preserve"> within [15] </w:t>
      </w:r>
      <w:r>
        <w:t>Business Days</w:t>
      </w:r>
      <w:r w:rsidRPr="000E1DAE">
        <w:t xml:space="preserve"> of its issuance. </w:t>
      </w:r>
      <w:r>
        <w:t>The challenge may</w:t>
      </w:r>
      <w:r w:rsidRPr="000E1DAE">
        <w:t xml:space="preserve"> relate to:</w:t>
      </w:r>
    </w:p>
    <w:p w14:paraId="61F009F2" w14:textId="213C390C" w:rsidR="00C065AD" w:rsidRPr="000E1DAE" w:rsidRDefault="00D156CD" w:rsidP="00C065AD">
      <w:pPr>
        <w:pStyle w:val="Heading5"/>
      </w:pPr>
      <w:r>
        <w:t>t</w:t>
      </w:r>
      <w:r w:rsidR="00C065AD" w:rsidRPr="000E1DAE">
        <w:t xml:space="preserve">he </w:t>
      </w:r>
      <w:r w:rsidR="00C065AD">
        <w:t xml:space="preserve">metered values and contracted quantities of </w:t>
      </w:r>
      <w:r w:rsidR="00CF149C">
        <w:t>Capacity</w:t>
      </w:r>
      <w:r>
        <w:t>;</w:t>
      </w:r>
      <w:r w:rsidR="00C065AD" w:rsidRPr="000E1DAE">
        <w:t xml:space="preserve"> or</w:t>
      </w:r>
    </w:p>
    <w:p w14:paraId="50BA6287" w14:textId="2EF8C144" w:rsidR="00C065AD" w:rsidRPr="000E1DAE" w:rsidRDefault="00D156CD" w:rsidP="00C065AD">
      <w:pPr>
        <w:pStyle w:val="Heading5"/>
      </w:pPr>
      <w:r>
        <w:t>t</w:t>
      </w:r>
      <w:r w:rsidR="00C065AD" w:rsidRPr="000E1DAE">
        <w:t>he settle</w:t>
      </w:r>
      <w:r w:rsidR="00C065AD">
        <w:t xml:space="preserve">d </w:t>
      </w:r>
      <w:r w:rsidR="00C065AD" w:rsidRPr="000E1DAE">
        <w:t>amounts</w:t>
      </w:r>
      <w:r w:rsidR="00CF149C">
        <w:t xml:space="preserve"> in the Balancing Mechanism for Capacity</w:t>
      </w:r>
      <w:r w:rsidR="00C065AD" w:rsidRPr="000E1DAE">
        <w:t xml:space="preserve">, </w:t>
      </w:r>
      <w:r w:rsidR="00C065AD">
        <w:t>Default Interest</w:t>
      </w:r>
      <w:r w:rsidR="00C065AD" w:rsidRPr="000E1DAE">
        <w:t xml:space="preserve"> for late payments</w:t>
      </w:r>
      <w:r w:rsidR="00C065AD">
        <w:t xml:space="preserve"> or any other item which has been included in the Final </w:t>
      </w:r>
      <w:r w:rsidR="00CF149C">
        <w:t xml:space="preserve">Yearly </w:t>
      </w:r>
      <w:r w:rsidR="00C065AD">
        <w:t>Settlement Statement</w:t>
      </w:r>
      <w:r w:rsidR="00C065AD" w:rsidRPr="000E1DAE">
        <w:t>.</w:t>
      </w:r>
    </w:p>
    <w:p w14:paraId="1962B82D" w14:textId="3BB394E3" w:rsidR="00C065AD" w:rsidRPr="000E1DAE" w:rsidRDefault="00C065AD" w:rsidP="00C065AD">
      <w:pPr>
        <w:pStyle w:val="Heading4"/>
      </w:pPr>
      <w:r w:rsidRPr="000E1DAE">
        <w:t xml:space="preserve">The Market Operator and the Market Participant </w:t>
      </w:r>
      <w:r w:rsidR="00CF149C">
        <w:t>or Transmission Service Provider</w:t>
      </w:r>
      <w:r w:rsidR="00CF149C" w:rsidRPr="000E1DAE">
        <w:t xml:space="preserve"> </w:t>
      </w:r>
      <w:r w:rsidRPr="000E1DAE">
        <w:t xml:space="preserve">shall make reasonable efforts </w:t>
      </w:r>
      <w:r>
        <w:t xml:space="preserve">to mutually </w:t>
      </w:r>
      <w:r w:rsidRPr="000E1DAE">
        <w:t xml:space="preserve">settle the </w:t>
      </w:r>
      <w:r>
        <w:t>matter</w:t>
      </w:r>
      <w:r w:rsidRPr="000E1DAE">
        <w:t xml:space="preserve"> within [</w:t>
      </w:r>
      <w:r w:rsidR="00CF149C">
        <w:t>3</w:t>
      </w:r>
      <w:r>
        <w:t>0</w:t>
      </w:r>
      <w:r w:rsidRPr="000E1DAE">
        <w:t xml:space="preserve">] </w:t>
      </w:r>
      <w:r>
        <w:t>Business Days</w:t>
      </w:r>
      <w:r w:rsidRPr="000E1DAE">
        <w:t xml:space="preserve"> after the </w:t>
      </w:r>
      <w:r>
        <w:t>challenge</w:t>
      </w:r>
      <w:r w:rsidRPr="000E1DAE">
        <w:t xml:space="preserve"> is submitted to the Market Operator</w:t>
      </w:r>
      <w:r>
        <w:t xml:space="preserve"> as per</w:t>
      </w:r>
      <w:r w:rsidRPr="000E1DAE">
        <w:t xml:space="preserve"> dispute resolution mechanism </w:t>
      </w:r>
      <w:r>
        <w:t>provided in</w:t>
      </w:r>
      <w:r w:rsidRPr="000E1DAE">
        <w:t xml:space="preserve"> </w:t>
      </w:r>
      <w:r>
        <w:fldChar w:fldCharType="begin"/>
      </w:r>
      <w:r>
        <w:instrText xml:space="preserve"> REF _Ref54986427 \r \h </w:instrText>
      </w:r>
      <w:r>
        <w:fldChar w:fldCharType="separate"/>
      </w:r>
      <w:r>
        <w:t>Chapter 15</w:t>
      </w:r>
      <w:r>
        <w:fldChar w:fldCharType="end"/>
      </w:r>
      <w:r w:rsidRPr="000E1DAE">
        <w:t>.</w:t>
      </w:r>
    </w:p>
    <w:p w14:paraId="7B4055BC" w14:textId="48EFD58C" w:rsidR="00C065AD" w:rsidRPr="006556B5" w:rsidRDefault="00C065AD" w:rsidP="00C065AD">
      <w:pPr>
        <w:pStyle w:val="Heading3"/>
      </w:pPr>
      <w:r>
        <w:t xml:space="preserve">EXTRAORDINARY </w:t>
      </w:r>
      <w:r w:rsidR="00CF149C">
        <w:t xml:space="preserve">YEARLY </w:t>
      </w:r>
      <w:r>
        <w:t>SETTLEMENTS</w:t>
      </w:r>
    </w:p>
    <w:p w14:paraId="6E2600C2" w14:textId="426EB1F4" w:rsidR="00C065AD" w:rsidRDefault="00C065AD" w:rsidP="00C065AD">
      <w:pPr>
        <w:pStyle w:val="Heading4"/>
      </w:pPr>
      <w:bookmarkStart w:id="708" w:name="_Ref76974008"/>
      <w:r>
        <w:t>Market Operator</w:t>
      </w:r>
      <w:r w:rsidRPr="00150EE7">
        <w:t xml:space="preserve"> shall </w:t>
      </w:r>
      <w:r>
        <w:t xml:space="preserve">issue an Extraordinary </w:t>
      </w:r>
      <w:r w:rsidR="00CF149C">
        <w:t xml:space="preserve">Yearly </w:t>
      </w:r>
      <w:r>
        <w:t xml:space="preserve">Settlement Statement for a </w:t>
      </w:r>
      <w:r w:rsidR="00CF149C">
        <w:t>year</w:t>
      </w:r>
      <w:r>
        <w:t>, where:</w:t>
      </w:r>
      <w:bookmarkEnd w:id="708"/>
    </w:p>
    <w:p w14:paraId="42F80F3B" w14:textId="6C96D056" w:rsidR="00C065AD" w:rsidRPr="00294BC3" w:rsidRDefault="00C065AD" w:rsidP="00B03C4A">
      <w:pPr>
        <w:pStyle w:val="Heading5"/>
        <w:ind w:left="1418"/>
      </w:pPr>
      <w:r>
        <w:t xml:space="preserve">a </w:t>
      </w:r>
      <w:r w:rsidRPr="000E1DAE">
        <w:t xml:space="preserve">Market Participant </w:t>
      </w:r>
      <w:r w:rsidR="00CF149C">
        <w:t xml:space="preserve">or a Transmission Service Provider </w:t>
      </w:r>
      <w:r w:rsidRPr="000E1DAE">
        <w:t xml:space="preserve">and the Market Operator </w:t>
      </w:r>
      <w:r>
        <w:t>settle</w:t>
      </w:r>
      <w:r w:rsidRPr="000E1DAE">
        <w:t xml:space="preserve"> a </w:t>
      </w:r>
      <w:r>
        <w:t>challenge</w:t>
      </w:r>
      <w:r w:rsidRPr="000E1DAE">
        <w:t xml:space="preserve"> </w:t>
      </w:r>
      <w:r>
        <w:t xml:space="preserve">made under Clause </w:t>
      </w:r>
      <w:r w:rsidR="00C80AA0">
        <w:rPr>
          <w:highlight w:val="yellow"/>
        </w:rPr>
        <w:fldChar w:fldCharType="begin"/>
      </w:r>
      <w:r w:rsidR="00C80AA0">
        <w:instrText xml:space="preserve"> REF _Ref76205757 \r \h </w:instrText>
      </w:r>
      <w:r w:rsidR="00C80AA0">
        <w:rPr>
          <w:highlight w:val="yellow"/>
        </w:rPr>
      </w:r>
      <w:r w:rsidR="00C80AA0">
        <w:rPr>
          <w:highlight w:val="yellow"/>
        </w:rPr>
        <w:fldChar w:fldCharType="separate"/>
      </w:r>
      <w:r w:rsidR="00C80AA0">
        <w:t>12.3.2.4</w:t>
      </w:r>
      <w:r w:rsidR="00C80AA0">
        <w:rPr>
          <w:highlight w:val="yellow"/>
        </w:rPr>
        <w:fldChar w:fldCharType="end"/>
      </w:r>
      <w:r>
        <w:t xml:space="preserve">, </w:t>
      </w:r>
      <w:r w:rsidRPr="000E1DAE">
        <w:t>in a</w:t>
      </w:r>
      <w:r>
        <w:t>n amicable</w:t>
      </w:r>
      <w:r w:rsidRPr="000E1DAE">
        <w:t xml:space="preserve"> manner that </w:t>
      </w:r>
      <w:r>
        <w:t xml:space="preserve">results in an amount which is different </w:t>
      </w:r>
      <w:r w:rsidRPr="00294BC3">
        <w:t xml:space="preserve">from the Final </w:t>
      </w:r>
      <w:r w:rsidR="00CF149C">
        <w:t xml:space="preserve">Yearly </w:t>
      </w:r>
      <w:r w:rsidRPr="00294BC3">
        <w:t xml:space="preserve">Settlement Statement; or </w:t>
      </w:r>
    </w:p>
    <w:p w14:paraId="416D34E8" w14:textId="4B66CF6F" w:rsidR="00C065AD" w:rsidRDefault="00C065AD" w:rsidP="00C065AD">
      <w:pPr>
        <w:pStyle w:val="Heading5"/>
        <w:ind w:left="1440"/>
      </w:pPr>
      <w:r>
        <w:t>t</w:t>
      </w:r>
      <w:r w:rsidRPr="00294BC3">
        <w:t xml:space="preserve">he </w:t>
      </w:r>
      <w:r>
        <w:t xml:space="preserve">dispute is settled according to the dispute resolution mechanism which requires modification in the amounts included in the Final </w:t>
      </w:r>
      <w:r w:rsidR="00CF149C">
        <w:t xml:space="preserve">Yearly </w:t>
      </w:r>
      <w:r>
        <w:t xml:space="preserve">Settlement Statement. </w:t>
      </w:r>
    </w:p>
    <w:p w14:paraId="15938665" w14:textId="293AB697" w:rsidR="00C065AD" w:rsidRDefault="00C065AD" w:rsidP="00C065AD">
      <w:pPr>
        <w:pStyle w:val="Heading4"/>
      </w:pPr>
      <w:r>
        <w:t xml:space="preserve">The Extraordinary Settlement Statement </w:t>
      </w:r>
      <w:r w:rsidR="00D156CD" w:rsidRPr="00B03C4A">
        <w:t>as provided</w:t>
      </w:r>
      <w:r w:rsidRPr="00B03C4A">
        <w:t xml:space="preserve"> in </w:t>
      </w:r>
      <w:r w:rsidR="00D156CD" w:rsidRPr="00B03C4A">
        <w:t>C</w:t>
      </w:r>
      <w:r w:rsidRPr="00B03C4A">
        <w:t xml:space="preserve">lause </w:t>
      </w:r>
      <w:r w:rsidR="00D156CD" w:rsidRPr="00B03C4A">
        <w:fldChar w:fldCharType="begin"/>
      </w:r>
      <w:r w:rsidR="00D156CD" w:rsidRPr="00B03C4A">
        <w:instrText xml:space="preserve"> REF _Ref76974008 \r \h </w:instrText>
      </w:r>
      <w:r w:rsidR="00D156CD">
        <w:instrText xml:space="preserve"> \* MERGEFORMAT </w:instrText>
      </w:r>
      <w:r w:rsidR="00D156CD" w:rsidRPr="00B03C4A">
        <w:fldChar w:fldCharType="separate"/>
      </w:r>
      <w:r w:rsidR="00D156CD" w:rsidRPr="00B03C4A">
        <w:t>12.3.4.1</w:t>
      </w:r>
      <w:r w:rsidR="00D156CD" w:rsidRPr="00B03C4A">
        <w:fldChar w:fldCharType="end"/>
      </w:r>
      <w:r>
        <w:t xml:space="preserve"> </w:t>
      </w:r>
      <w:r w:rsidR="00D156CD">
        <w:t>shall</w:t>
      </w:r>
      <w:r>
        <w:t xml:space="preserve"> supersede the issued Final </w:t>
      </w:r>
      <w:r w:rsidR="00CF149C">
        <w:t xml:space="preserve">Yearly </w:t>
      </w:r>
      <w:r>
        <w:t xml:space="preserve">Settlement Statement for such </w:t>
      </w:r>
      <w:r w:rsidR="00CF149C">
        <w:t>year</w:t>
      </w:r>
      <w:r>
        <w:t xml:space="preserve">. </w:t>
      </w:r>
    </w:p>
    <w:p w14:paraId="57978990" w14:textId="63D61FC5" w:rsidR="00C065AD" w:rsidRDefault="00C065AD" w:rsidP="00C065AD">
      <w:pPr>
        <w:pStyle w:val="Heading4"/>
      </w:pPr>
      <w:r>
        <w:t>The Market Operator shall calculate, for each Market Participant, the difference between the Extraordinary</w:t>
      </w:r>
      <w:r w:rsidR="009F5293">
        <w:t xml:space="preserve"> Yearly</w:t>
      </w:r>
      <w:r>
        <w:t xml:space="preserve"> Settlement Statement and the Final </w:t>
      </w:r>
      <w:r w:rsidR="009F5293">
        <w:t xml:space="preserve">Yearly </w:t>
      </w:r>
      <w:r>
        <w:t xml:space="preserve">Settlement Statement originally issued according to </w:t>
      </w:r>
      <w:r w:rsidR="008C02F7">
        <w:t>Sub-Section</w:t>
      </w:r>
      <w:r>
        <w:t xml:space="preserve"> </w:t>
      </w:r>
      <w:r w:rsidR="00C80AA0">
        <w:rPr>
          <w:highlight w:val="yellow"/>
        </w:rPr>
        <w:fldChar w:fldCharType="begin"/>
      </w:r>
      <w:r w:rsidR="00C80AA0">
        <w:instrText xml:space="preserve"> REF _Ref66629289 \r \h </w:instrText>
      </w:r>
      <w:r w:rsidR="00C80AA0">
        <w:rPr>
          <w:highlight w:val="yellow"/>
        </w:rPr>
      </w:r>
      <w:r w:rsidR="00C80AA0">
        <w:rPr>
          <w:highlight w:val="yellow"/>
        </w:rPr>
        <w:fldChar w:fldCharType="separate"/>
      </w:r>
      <w:r w:rsidR="00C80AA0">
        <w:t>12.3.1</w:t>
      </w:r>
      <w:r w:rsidR="00C80AA0">
        <w:rPr>
          <w:highlight w:val="yellow"/>
        </w:rPr>
        <w:fldChar w:fldCharType="end"/>
      </w:r>
      <w:r>
        <w:t xml:space="preserve">, and </w:t>
      </w:r>
      <w:r w:rsidR="009F5293">
        <w:t xml:space="preserve">shall decide whether to include such amounts in the next </w:t>
      </w:r>
      <w:r>
        <w:t xml:space="preserve">Preliminary and </w:t>
      </w:r>
      <w:r w:rsidRPr="00150EE7">
        <w:t xml:space="preserve">Final </w:t>
      </w:r>
      <w:r w:rsidR="009F5293">
        <w:t xml:space="preserve">Yearly </w:t>
      </w:r>
      <w:r w:rsidRPr="00150EE7">
        <w:t>Settlement Statement</w:t>
      </w:r>
      <w:r w:rsidR="009F5293">
        <w:t>, as the case m</w:t>
      </w:r>
      <w:r w:rsidR="00C80AA0">
        <w:t>a</w:t>
      </w:r>
      <w:r w:rsidR="009F5293">
        <w:t>y be,</w:t>
      </w:r>
      <w:r w:rsidRPr="00150EE7">
        <w:t xml:space="preserve"> </w:t>
      </w:r>
      <w:r w:rsidR="009F5293">
        <w:t xml:space="preserve">or to issue the notifications as per Section </w:t>
      </w:r>
      <w:r w:rsidR="00C80AA0">
        <w:rPr>
          <w:highlight w:val="yellow"/>
        </w:rPr>
        <w:fldChar w:fldCharType="begin"/>
      </w:r>
      <w:r w:rsidR="00C80AA0">
        <w:instrText xml:space="preserve"> REF _Ref76205864 \r \h </w:instrText>
      </w:r>
      <w:r w:rsidR="00C80AA0">
        <w:rPr>
          <w:highlight w:val="yellow"/>
        </w:rPr>
      </w:r>
      <w:r w:rsidR="00C80AA0">
        <w:rPr>
          <w:highlight w:val="yellow"/>
        </w:rPr>
        <w:fldChar w:fldCharType="separate"/>
      </w:r>
      <w:r w:rsidR="00C80AA0">
        <w:t>12.4</w:t>
      </w:r>
      <w:r w:rsidR="00C80AA0">
        <w:rPr>
          <w:highlight w:val="yellow"/>
        </w:rPr>
        <w:fldChar w:fldCharType="end"/>
      </w:r>
      <w:r w:rsidR="00C80AA0">
        <w:t xml:space="preserve"> </w:t>
      </w:r>
      <w:r w:rsidR="009F5293">
        <w:t>below</w:t>
      </w:r>
      <w:r w:rsidRPr="00150EE7">
        <w:t>.</w:t>
      </w:r>
    </w:p>
    <w:p w14:paraId="6B852DFB" w14:textId="77777777" w:rsidR="00C065AD" w:rsidRPr="006556B5" w:rsidRDefault="00C065AD" w:rsidP="00C065AD">
      <w:pPr>
        <w:pStyle w:val="Heading3"/>
      </w:pPr>
      <w:r>
        <w:lastRenderedPageBreak/>
        <w:t>FAILURE OF THE Market SETTLEMENT SYSTEM</w:t>
      </w:r>
    </w:p>
    <w:p w14:paraId="6F41D9C3" w14:textId="1A7CD986" w:rsidR="00C065AD" w:rsidRPr="00EF2E17" w:rsidRDefault="00C065AD" w:rsidP="00C065AD">
      <w:pPr>
        <w:pStyle w:val="Heading4"/>
      </w:pPr>
      <w:r w:rsidRPr="00EF2E17">
        <w:t xml:space="preserve">In case of </w:t>
      </w:r>
      <w:r>
        <w:t xml:space="preserve">an </w:t>
      </w:r>
      <w:r w:rsidRPr="00EF2E17">
        <w:t>emergenc</w:t>
      </w:r>
      <w:r>
        <w:t>y</w:t>
      </w:r>
      <w:r w:rsidRPr="00EF2E17">
        <w:t xml:space="preserve"> or failure of the </w:t>
      </w:r>
      <w:r>
        <w:t>Market S</w:t>
      </w:r>
      <w:r w:rsidRPr="00EF2E17">
        <w:t xml:space="preserve">ettlement </w:t>
      </w:r>
      <w:r>
        <w:t>S</w:t>
      </w:r>
      <w:r w:rsidRPr="00EF2E17">
        <w:t xml:space="preserve">ystem, the Market Operator may issue an Estimated </w:t>
      </w:r>
      <w:r w:rsidR="009F5293">
        <w:t xml:space="preserve">Yearly </w:t>
      </w:r>
      <w:r w:rsidRPr="00EF2E17">
        <w:t xml:space="preserve">Settlement Statement </w:t>
      </w:r>
      <w:r>
        <w:t>and may</w:t>
      </w:r>
      <w:r w:rsidRPr="00EF2E17">
        <w:t xml:space="preserve"> modify the schedule for issuing Preliminary </w:t>
      </w:r>
      <w:r w:rsidR="009F5293">
        <w:t xml:space="preserve">Yearly </w:t>
      </w:r>
      <w:r w:rsidRPr="00EF2E17">
        <w:t xml:space="preserve">Settlement Statements or Final </w:t>
      </w:r>
      <w:r w:rsidR="009F5293">
        <w:t xml:space="preserve">Yearly </w:t>
      </w:r>
      <w:r w:rsidRPr="00EF2E17">
        <w:t>Settlement Statements</w:t>
      </w:r>
      <w:r>
        <w:t>, as the case may be</w:t>
      </w:r>
      <w:r w:rsidRPr="00EF2E17">
        <w:t>. In such cases, the Market Operator shall inform all Market Participants</w:t>
      </w:r>
      <w:r>
        <w:t xml:space="preserve"> and Service Providers</w:t>
      </w:r>
      <w:r w:rsidRPr="00EF2E17">
        <w:t xml:space="preserve"> the temporary procedural changes as soon as </w:t>
      </w:r>
      <w:r>
        <w:t>possible</w:t>
      </w:r>
      <w:r w:rsidRPr="00EF2E17">
        <w:t>.</w:t>
      </w:r>
    </w:p>
    <w:p w14:paraId="4C4BF71D" w14:textId="77777777" w:rsidR="00C065AD" w:rsidRDefault="00C065AD" w:rsidP="00C065AD">
      <w:pPr>
        <w:pStyle w:val="Heading2"/>
      </w:pPr>
      <w:bookmarkStart w:id="709" w:name="_Ref76205864"/>
      <w:r>
        <w:t>Debit and Credit Notifications</w:t>
      </w:r>
      <w:bookmarkEnd w:id="709"/>
    </w:p>
    <w:p w14:paraId="1953F552" w14:textId="77777777" w:rsidR="00C065AD" w:rsidRPr="007531D9" w:rsidRDefault="00C065AD" w:rsidP="00C065AD">
      <w:pPr>
        <w:pStyle w:val="Heading3"/>
      </w:pPr>
      <w:r>
        <w:t>Notifications to Market Participants</w:t>
      </w:r>
    </w:p>
    <w:p w14:paraId="44F6FFD7" w14:textId="583B8E6C" w:rsidR="00C065AD" w:rsidRPr="00EF2E17" w:rsidRDefault="00C065AD" w:rsidP="00C065AD">
      <w:pPr>
        <w:pStyle w:val="Heading4"/>
      </w:pPr>
      <w:bookmarkStart w:id="710" w:name="_Ref76205931"/>
      <w:r w:rsidRPr="00EF2E17">
        <w:t xml:space="preserve">The Market Operator, within </w:t>
      </w:r>
      <w:r>
        <w:t>[</w:t>
      </w:r>
      <w:r w:rsidR="009F5293">
        <w:t>5</w:t>
      </w:r>
      <w:r>
        <w:t>] Business Days</w:t>
      </w:r>
      <w:r w:rsidRPr="00EF2E17">
        <w:t xml:space="preserve"> after issuance of the Final </w:t>
      </w:r>
      <w:r w:rsidR="009F5293">
        <w:t xml:space="preserve">Yearly </w:t>
      </w:r>
      <w:r w:rsidRPr="00EF2E17">
        <w:t>Settlement Statement</w:t>
      </w:r>
      <w:r w:rsidR="005D0CC7">
        <w:t xml:space="preserve"> or Extraordinary Yearly Settlement Statement</w:t>
      </w:r>
      <w:r w:rsidRPr="00EF2E17">
        <w:t>,</w:t>
      </w:r>
      <w:r w:rsidR="005D0CC7">
        <w:t xml:space="preserve"> as the case may be,</w:t>
      </w:r>
      <w:r w:rsidRPr="00EF2E17">
        <w:t xml:space="preserve"> shall:</w:t>
      </w:r>
      <w:bookmarkEnd w:id="710"/>
    </w:p>
    <w:p w14:paraId="52C1A5A9" w14:textId="5E6D79BB" w:rsidR="00C065AD" w:rsidRPr="00EF2E17" w:rsidRDefault="00A87AFB" w:rsidP="00C065AD">
      <w:pPr>
        <w:pStyle w:val="Heading5"/>
      </w:pPr>
      <w:r>
        <w:t>i</w:t>
      </w:r>
      <w:r w:rsidR="005D0CC7" w:rsidRPr="006E41E6">
        <w:t xml:space="preserve">ssue a </w:t>
      </w:r>
      <w:r w:rsidR="005D0CC7">
        <w:t>Debit Notification</w:t>
      </w:r>
      <w:r w:rsidR="005D0CC7" w:rsidRPr="006E41E6">
        <w:t xml:space="preserve"> to all Market Participants </w:t>
      </w:r>
      <w:r w:rsidR="005D0CC7">
        <w:t xml:space="preserve">and Transmission Service Providers </w:t>
      </w:r>
      <w:r w:rsidR="005D0CC7" w:rsidRPr="006E41E6">
        <w:t xml:space="preserve">which </w:t>
      </w:r>
      <w:r w:rsidR="005D0CC7">
        <w:t>have to pay the Amounts Payable as per the</w:t>
      </w:r>
      <w:r w:rsidR="005D0CC7" w:rsidRPr="006E41E6">
        <w:t xml:space="preserve"> Final Yearly Settlement Statement </w:t>
      </w:r>
      <w:r w:rsidR="005D0CC7">
        <w:t>or the Extraordinary Yearly Settlement Statement, as the case may be</w:t>
      </w:r>
      <w:r w:rsidR="00C065AD" w:rsidRPr="00EF2E17">
        <w:t>.</w:t>
      </w:r>
      <w:r w:rsidR="005D0CC7">
        <w:t xml:space="preserve"> For the avoidance of doubt, in the Amounts Payable shall exclude the amounts already paid to the Market Operator before the final administration of the Balancing Mechanism for Capacity.</w:t>
      </w:r>
    </w:p>
    <w:p w14:paraId="69FD13F7" w14:textId="4B127750" w:rsidR="00C065AD" w:rsidRDefault="00A87AFB" w:rsidP="00C065AD">
      <w:pPr>
        <w:pStyle w:val="Heading5"/>
      </w:pPr>
      <w:r>
        <w:t>i</w:t>
      </w:r>
      <w:r w:rsidR="00C065AD" w:rsidRPr="00EF2E17">
        <w:t>ssue a Credit Notification to all Market Participants</w:t>
      </w:r>
      <w:r w:rsidR="005D0CC7">
        <w:t xml:space="preserve"> or the Transmission Service Providers</w:t>
      </w:r>
      <w:r w:rsidR="00C065AD" w:rsidRPr="00EF2E17">
        <w:t xml:space="preserve"> </w:t>
      </w:r>
      <w:r w:rsidR="00C065AD">
        <w:t>who will receive a payment as per the</w:t>
      </w:r>
      <w:r w:rsidR="00C065AD" w:rsidRPr="00EF2E17">
        <w:t xml:space="preserve"> Final</w:t>
      </w:r>
      <w:r w:rsidR="005D0CC7">
        <w:t xml:space="preserve"> Yearly</w:t>
      </w:r>
      <w:r w:rsidR="00C065AD" w:rsidRPr="00EF2E17">
        <w:t xml:space="preserve"> Settlement Statement</w:t>
      </w:r>
      <w:r w:rsidR="005D0CC7">
        <w:t xml:space="preserve"> or the Extraordinary Yearly Settlement Statement, as the case may be</w:t>
      </w:r>
      <w:r w:rsidR="00C065AD" w:rsidRPr="00EF2E17">
        <w:t>.</w:t>
      </w:r>
    </w:p>
    <w:p w14:paraId="2CF3E730" w14:textId="49BD2B78" w:rsidR="00C065AD" w:rsidRPr="00507512" w:rsidRDefault="00C065AD" w:rsidP="00C065AD">
      <w:pPr>
        <w:pStyle w:val="Heading4"/>
      </w:pPr>
      <w:r w:rsidRPr="00507512">
        <w:t xml:space="preserve">The Market Operator, in this process, shall act as an independent entity, without assuming </w:t>
      </w:r>
      <w:r>
        <w:t xml:space="preserve">any </w:t>
      </w:r>
      <w:r w:rsidRPr="00507512">
        <w:t>payment responsibilit</w:t>
      </w:r>
      <w:r>
        <w:t>y</w:t>
      </w:r>
      <w:r w:rsidRPr="00507512">
        <w:t xml:space="preserve">. Obligation of </w:t>
      </w:r>
      <w:r>
        <w:t>p</w:t>
      </w:r>
      <w:r w:rsidRPr="00507512">
        <w:t>ayment shall remain with the relevant Market Participants. For the avoidance of doubt, the Market Operator shall not be held liable for any kind of non-payment by any of the Market Participants</w:t>
      </w:r>
      <w:r>
        <w:t xml:space="preserve"> </w:t>
      </w:r>
      <w:r w:rsidRPr="00C80AA0">
        <w:t xml:space="preserve">or </w:t>
      </w:r>
      <w:r w:rsidR="005D0CC7" w:rsidRPr="00C80AA0">
        <w:t xml:space="preserve">Transmission </w:t>
      </w:r>
      <w:r w:rsidRPr="00C80AA0">
        <w:t>Service Providers</w:t>
      </w:r>
      <w:r w:rsidRPr="00507512">
        <w:t>.</w:t>
      </w:r>
    </w:p>
    <w:p w14:paraId="23F8EAF7" w14:textId="77777777" w:rsidR="00C065AD" w:rsidRDefault="00C065AD" w:rsidP="00C065AD">
      <w:pPr>
        <w:pStyle w:val="Heading3"/>
      </w:pPr>
      <w:r>
        <w:t>Disagreements with the Notifications</w:t>
      </w:r>
    </w:p>
    <w:p w14:paraId="1F5AC6FF" w14:textId="3F683DED" w:rsidR="00C065AD" w:rsidRDefault="00C065AD" w:rsidP="00C065AD">
      <w:pPr>
        <w:pStyle w:val="Heading4"/>
      </w:pPr>
      <w:bookmarkStart w:id="711" w:name="_Ref76205999"/>
      <w:r>
        <w:t>Each Market Participant</w:t>
      </w:r>
      <w:r w:rsidR="005D0CC7">
        <w:t xml:space="preserve"> or Transmission Service Provider</w:t>
      </w:r>
      <w:r>
        <w:t xml:space="preserve"> which receives a Debit or Credit Notification, as per clause </w:t>
      </w:r>
      <w:r w:rsidR="00C80AA0">
        <w:rPr>
          <w:highlight w:val="yellow"/>
        </w:rPr>
        <w:fldChar w:fldCharType="begin"/>
      </w:r>
      <w:r w:rsidR="00C80AA0">
        <w:instrText xml:space="preserve"> REF _Ref76205931 \r \h </w:instrText>
      </w:r>
      <w:r w:rsidR="00C80AA0">
        <w:rPr>
          <w:highlight w:val="yellow"/>
        </w:rPr>
      </w:r>
      <w:r w:rsidR="00C80AA0">
        <w:rPr>
          <w:highlight w:val="yellow"/>
        </w:rPr>
        <w:fldChar w:fldCharType="separate"/>
      </w:r>
      <w:r w:rsidR="00C80AA0">
        <w:t>12.4.1.1</w:t>
      </w:r>
      <w:r w:rsidR="00C80AA0">
        <w:rPr>
          <w:highlight w:val="yellow"/>
        </w:rPr>
        <w:fldChar w:fldCharType="end"/>
      </w:r>
      <w:r>
        <w:t xml:space="preserve"> above, shall pay the required amount, and shall be entitled to receive the amount, shown in the Final </w:t>
      </w:r>
      <w:r w:rsidR="005D0CC7">
        <w:t xml:space="preserve">Yearly </w:t>
      </w:r>
      <w:r>
        <w:t>Settlement Statement</w:t>
      </w:r>
      <w:r w:rsidR="005D0CC7">
        <w:t xml:space="preserve"> or the Extraordinary Yearly Settlement Statement, as the case may be</w:t>
      </w:r>
      <w:r>
        <w:t>, on the Payment Due Date, whether or not there is any dispute regarding the Amount Payable or the Amount Receivable.</w:t>
      </w:r>
      <w:bookmarkEnd w:id="711"/>
      <w:r>
        <w:t xml:space="preserve">  </w:t>
      </w:r>
    </w:p>
    <w:p w14:paraId="3D22E09D" w14:textId="1E7BAD4C" w:rsidR="00842B74" w:rsidRPr="003018FA" w:rsidRDefault="00C065AD">
      <w:pPr>
        <w:pStyle w:val="Heading4"/>
      </w:pPr>
      <w:r w:rsidRPr="00507512">
        <w:t>The payment of the amount by the Market Participant</w:t>
      </w:r>
      <w:r w:rsidR="005D0CC7">
        <w:t xml:space="preserve"> or Transmission Service Provider</w:t>
      </w:r>
      <w:r w:rsidRPr="00507512">
        <w:t xml:space="preserve"> or</w:t>
      </w:r>
      <w:r w:rsidR="00C80AA0">
        <w:t xml:space="preserve"> </w:t>
      </w:r>
      <w:r w:rsidRPr="00507512">
        <w:t xml:space="preserve">the Market Operator, as the case may be, pursuant to clause </w:t>
      </w:r>
      <w:r w:rsidR="00C80AA0">
        <w:rPr>
          <w:bCs w:val="0"/>
          <w:iCs w:val="0"/>
          <w:highlight w:val="yellow"/>
        </w:rPr>
        <w:fldChar w:fldCharType="begin"/>
      </w:r>
      <w:r w:rsidR="00C80AA0">
        <w:instrText xml:space="preserve"> REF _Ref76205999 \r \h </w:instrText>
      </w:r>
      <w:r w:rsidR="00C80AA0">
        <w:rPr>
          <w:bCs w:val="0"/>
          <w:iCs w:val="0"/>
          <w:highlight w:val="yellow"/>
        </w:rPr>
      </w:r>
      <w:r w:rsidR="00C80AA0">
        <w:rPr>
          <w:bCs w:val="0"/>
          <w:iCs w:val="0"/>
          <w:highlight w:val="yellow"/>
        </w:rPr>
        <w:fldChar w:fldCharType="separate"/>
      </w:r>
      <w:r w:rsidR="00C80AA0">
        <w:t>12.4.2.1</w:t>
      </w:r>
      <w:r w:rsidR="00C80AA0">
        <w:rPr>
          <w:bCs w:val="0"/>
          <w:iCs w:val="0"/>
          <w:highlight w:val="yellow"/>
        </w:rPr>
        <w:fldChar w:fldCharType="end"/>
      </w:r>
      <w:r w:rsidRPr="00507512">
        <w:t xml:space="preserve"> shall not prejudice the right of the </w:t>
      </w:r>
      <w:r>
        <w:t xml:space="preserve">Market </w:t>
      </w:r>
      <w:r w:rsidRPr="00507512">
        <w:t xml:space="preserve">Participant </w:t>
      </w:r>
      <w:r w:rsidR="005D0CC7">
        <w:t xml:space="preserve">or the Transmission Service Provider </w:t>
      </w:r>
      <w:r w:rsidRPr="00507512">
        <w:t xml:space="preserve">to seek resolution of the dispute pursuant to </w:t>
      </w:r>
      <w:r w:rsidRPr="00507512">
        <w:rPr>
          <w:bCs w:val="0"/>
          <w:iCs w:val="0"/>
        </w:rPr>
        <w:fldChar w:fldCharType="begin"/>
      </w:r>
      <w:r w:rsidRPr="00507512">
        <w:instrText xml:space="preserve"> REF _Ref54986427 \r \h </w:instrText>
      </w:r>
      <w:r>
        <w:instrText xml:space="preserve"> \* MERGEFORMAT </w:instrText>
      </w:r>
      <w:r w:rsidRPr="00507512">
        <w:rPr>
          <w:bCs w:val="0"/>
          <w:iCs w:val="0"/>
        </w:rPr>
      </w:r>
      <w:r w:rsidRPr="00507512">
        <w:rPr>
          <w:bCs w:val="0"/>
          <w:iCs w:val="0"/>
        </w:rPr>
        <w:fldChar w:fldCharType="separate"/>
      </w:r>
      <w:r>
        <w:t>Chapter 15</w:t>
      </w:r>
      <w:r w:rsidRPr="00507512">
        <w:rPr>
          <w:bCs w:val="0"/>
          <w:iCs w:val="0"/>
        </w:rPr>
        <w:fldChar w:fldCharType="end"/>
      </w:r>
      <w:r w:rsidRPr="00507512">
        <w:t>.</w:t>
      </w:r>
    </w:p>
    <w:p w14:paraId="40BF48D8" w14:textId="4A8E7EA5" w:rsidR="00321697" w:rsidRPr="00507512" w:rsidRDefault="00321697" w:rsidP="00B03C4A">
      <w:pPr>
        <w:pStyle w:val="Heading4"/>
        <w:numPr>
          <w:ilvl w:val="0"/>
          <w:numId w:val="0"/>
        </w:numPr>
        <w:ind w:left="1418"/>
      </w:pPr>
    </w:p>
    <w:p w14:paraId="5C23A13E" w14:textId="77777777" w:rsidR="00293F8F" w:rsidRDefault="00293F8F">
      <w:pPr>
        <w:spacing w:line="240" w:lineRule="auto"/>
        <w:rPr>
          <w:rFonts w:eastAsiaTheme="majorEastAsia" w:cstheme="majorBidi"/>
          <w:b/>
          <w:bCs/>
          <w:smallCaps/>
          <w:color w:val="00153F" w:themeColor="accent1" w:themeShade="80"/>
          <w:sz w:val="34"/>
          <w:szCs w:val="32"/>
        </w:rPr>
      </w:pPr>
      <w:r>
        <w:br w:type="page"/>
      </w:r>
    </w:p>
    <w:p w14:paraId="26CB39A7" w14:textId="21F8AD78" w:rsidR="00293F8F" w:rsidRDefault="00293F8F" w:rsidP="00A40A5D">
      <w:pPr>
        <w:pStyle w:val="Heading1"/>
      </w:pPr>
      <w:bookmarkStart w:id="712" w:name="_Toc64846714"/>
      <w:bookmarkStart w:id="713" w:name="_Toc69477014"/>
      <w:bookmarkStart w:id="714" w:name="_Hlk60947281"/>
      <w:r w:rsidRPr="0067086E">
        <w:lastRenderedPageBreak/>
        <w:t>PAYMENT SYSTE</w:t>
      </w:r>
      <w:r>
        <w:t>M</w:t>
      </w:r>
      <w:bookmarkEnd w:id="712"/>
      <w:bookmarkEnd w:id="713"/>
    </w:p>
    <w:p w14:paraId="5D6F94C2" w14:textId="21ED13B7" w:rsidR="00293F8F" w:rsidRDefault="00293F8F" w:rsidP="00C173D0">
      <w:pPr>
        <w:pStyle w:val="Heading2"/>
      </w:pPr>
      <w:bookmarkStart w:id="715" w:name="_Toc64846715"/>
      <w:bookmarkStart w:id="716" w:name="_Toc69477015"/>
      <w:bookmarkEnd w:id="714"/>
      <w:r>
        <w:t>Components of the Payment System</w:t>
      </w:r>
      <w:bookmarkEnd w:id="715"/>
      <w:bookmarkEnd w:id="716"/>
    </w:p>
    <w:p w14:paraId="2DC964C7" w14:textId="01F1FB24" w:rsidR="00094FD3" w:rsidRPr="008142E9" w:rsidRDefault="00094FD3" w:rsidP="00C173D0">
      <w:pPr>
        <w:pStyle w:val="Heading3"/>
      </w:pPr>
      <w:r>
        <w:t xml:space="preserve">Market Operator </w:t>
      </w:r>
      <w:r w:rsidR="00AB0DD0">
        <w:t xml:space="preserve">Bank </w:t>
      </w:r>
      <w:r w:rsidRPr="008142E9">
        <w:t>Accounts</w:t>
      </w:r>
    </w:p>
    <w:p w14:paraId="222BEB4E" w14:textId="58CC7A28" w:rsidR="00094FD3" w:rsidRPr="00E4159F" w:rsidRDefault="00094FD3" w:rsidP="005B295A">
      <w:pPr>
        <w:pStyle w:val="Heading4"/>
      </w:pPr>
      <w:r w:rsidRPr="00E4159F">
        <w:t xml:space="preserve">The Market Operator </w:t>
      </w:r>
      <w:r w:rsidR="00AC2F13">
        <w:t>shall</w:t>
      </w:r>
      <w:r w:rsidR="00AC2F13" w:rsidRPr="00E4159F">
        <w:t xml:space="preserve"> </w:t>
      </w:r>
      <w:r w:rsidR="00AB0DD0">
        <w:t>open</w:t>
      </w:r>
      <w:r w:rsidR="00E65137">
        <w:t xml:space="preserve"> [2] months prior to CMOD</w:t>
      </w:r>
      <w:r w:rsidR="00AB0DD0">
        <w:t xml:space="preserve"> and </w:t>
      </w:r>
      <w:r w:rsidR="001E4ABA">
        <w:t xml:space="preserve">maintain </w:t>
      </w:r>
      <w:r w:rsidR="00AB0DD0">
        <w:t xml:space="preserve">such </w:t>
      </w:r>
      <w:commentRangeStart w:id="717"/>
      <w:commentRangeStart w:id="718"/>
      <w:r w:rsidR="00AB0DD0">
        <w:t xml:space="preserve">number of </w:t>
      </w:r>
      <w:r w:rsidR="001E4ABA">
        <w:t>bank</w:t>
      </w:r>
      <w:r w:rsidRPr="00E4159F">
        <w:t xml:space="preserve"> accounts </w:t>
      </w:r>
      <w:r w:rsidR="00AC2F13">
        <w:t xml:space="preserve">as </w:t>
      </w:r>
      <w:commentRangeEnd w:id="717"/>
      <w:r w:rsidR="00380386">
        <w:rPr>
          <w:rStyle w:val="CommentReference"/>
          <w:rFonts w:eastAsiaTheme="minorHAnsi" w:cstheme="minorBidi"/>
          <w:bCs w:val="0"/>
          <w:iCs w:val="0"/>
          <w:color w:val="1C1C1C"/>
        </w:rPr>
        <w:commentReference w:id="717"/>
      </w:r>
      <w:commentRangeEnd w:id="718"/>
      <w:r w:rsidR="00380386">
        <w:rPr>
          <w:rStyle w:val="CommentReference"/>
          <w:rFonts w:eastAsiaTheme="minorHAnsi" w:cstheme="minorBidi"/>
          <w:bCs w:val="0"/>
          <w:iCs w:val="0"/>
          <w:color w:val="1C1C1C"/>
        </w:rPr>
        <w:commentReference w:id="718"/>
      </w:r>
      <w:r w:rsidR="00AC2F13">
        <w:t>mentioned</w:t>
      </w:r>
      <w:r w:rsidR="00AC2F13" w:rsidRPr="00E4159F">
        <w:t xml:space="preserve"> </w:t>
      </w:r>
      <w:r w:rsidRPr="00E4159F">
        <w:t xml:space="preserve">in </w:t>
      </w:r>
      <w:r w:rsidR="001B23A5" w:rsidRPr="00E4159F">
        <w:t xml:space="preserve">Clause </w:t>
      </w:r>
      <w:r w:rsidR="001B23A5" w:rsidRPr="00E4159F">
        <w:fldChar w:fldCharType="begin"/>
      </w:r>
      <w:r w:rsidR="001B23A5" w:rsidRPr="00E4159F">
        <w:instrText xml:space="preserve"> REF _Ref60839625 \w \h </w:instrText>
      </w:r>
      <w:r w:rsidR="008142E9" w:rsidRPr="00E4159F">
        <w:instrText xml:space="preserve"> \* MERGEFORMAT </w:instrText>
      </w:r>
      <w:r w:rsidR="001B23A5" w:rsidRPr="00E4159F">
        <w:fldChar w:fldCharType="separate"/>
      </w:r>
      <w:r w:rsidR="00251DBF">
        <w:t>13.1.1.3</w:t>
      </w:r>
      <w:r w:rsidR="001B23A5" w:rsidRPr="00E4159F">
        <w:fldChar w:fldCharType="end"/>
      </w:r>
      <w:r w:rsidRPr="00E4159F">
        <w:t xml:space="preserve">, </w:t>
      </w:r>
      <w:r w:rsidR="00AB0DD0">
        <w:t>in order to perform its duties as mandated under</w:t>
      </w:r>
      <w:r w:rsidRPr="00E4159F">
        <w:t xml:space="preserve"> </w:t>
      </w:r>
      <w:r w:rsidR="00AB0DD0">
        <w:t>th</w:t>
      </w:r>
      <w:r w:rsidR="00AC2F13">
        <w:t>is</w:t>
      </w:r>
      <w:r w:rsidR="00F64A42">
        <w:t xml:space="preserve"> Code</w:t>
      </w:r>
      <w:r w:rsidRPr="00E4159F">
        <w:t xml:space="preserve">. A separate ledger account shall </w:t>
      </w:r>
      <w:r w:rsidR="00AB0DD0">
        <w:t xml:space="preserve">also </w:t>
      </w:r>
      <w:r w:rsidRPr="00E4159F">
        <w:t>be opened for each</w:t>
      </w:r>
      <w:r w:rsidR="00AB0DD0">
        <w:t xml:space="preserve"> Market Participant</w:t>
      </w:r>
      <w:r w:rsidRPr="00E4159F">
        <w:t xml:space="preserve"> </w:t>
      </w:r>
      <w:r w:rsidR="00AB0DD0">
        <w:t>for</w:t>
      </w:r>
      <w:r w:rsidR="00AB0DD0" w:rsidRPr="00E4159F">
        <w:t xml:space="preserve"> </w:t>
      </w:r>
      <w:r w:rsidRPr="00E4159F">
        <w:t xml:space="preserve">the accounts </w:t>
      </w:r>
      <w:r w:rsidR="00AC2F13">
        <w:t xml:space="preserve">as </w:t>
      </w:r>
      <w:r w:rsidRPr="00E4159F">
        <w:t>referred to in</w:t>
      </w:r>
      <w:r w:rsidR="001E54AD" w:rsidRPr="00E4159F">
        <w:t xml:space="preserve"> Clause </w:t>
      </w:r>
      <w:r w:rsidR="001E54AD" w:rsidRPr="00E4159F">
        <w:fldChar w:fldCharType="begin"/>
      </w:r>
      <w:r w:rsidR="001E54AD" w:rsidRPr="00E4159F">
        <w:instrText xml:space="preserve"> REF _Ref60839625 \w \h </w:instrText>
      </w:r>
      <w:r w:rsidR="008142E9" w:rsidRPr="00E4159F">
        <w:instrText xml:space="preserve"> \* MERGEFORMAT </w:instrText>
      </w:r>
      <w:r w:rsidR="001E54AD" w:rsidRPr="00E4159F">
        <w:fldChar w:fldCharType="separate"/>
      </w:r>
      <w:r w:rsidR="00251DBF">
        <w:t>13.1.1.3</w:t>
      </w:r>
      <w:r w:rsidR="001E54AD" w:rsidRPr="00E4159F">
        <w:fldChar w:fldCharType="end"/>
      </w:r>
      <w:r w:rsidRPr="00E4159F">
        <w:t>.</w:t>
      </w:r>
    </w:p>
    <w:p w14:paraId="2960C3F7" w14:textId="63A22EA1" w:rsidR="00094FD3" w:rsidRDefault="00094FD3" w:rsidP="005B295A">
      <w:pPr>
        <w:pStyle w:val="Heading4"/>
      </w:pPr>
      <w:r>
        <w:t xml:space="preserve">Unless otherwise specified in this </w:t>
      </w:r>
      <w:r w:rsidR="00206E65">
        <w:t>Chapter</w:t>
      </w:r>
      <w:r>
        <w:t xml:space="preserve">, the Market Operator </w:t>
      </w:r>
      <w:r w:rsidR="00AC2F13">
        <w:t xml:space="preserve">shall </w:t>
      </w:r>
      <w:r>
        <w:t xml:space="preserve">recover all costs incurred in connection with opening, maintaining and administering </w:t>
      </w:r>
      <w:r w:rsidR="00AB0DD0">
        <w:t>the bank</w:t>
      </w:r>
      <w:r>
        <w:t xml:space="preserve"> </w:t>
      </w:r>
      <w:r w:rsidR="00684D56">
        <w:t>a</w:t>
      </w:r>
      <w:r>
        <w:t xml:space="preserve">ccounts through the </w:t>
      </w:r>
      <w:r w:rsidR="004334A6">
        <w:t>Market</w:t>
      </w:r>
      <w:r>
        <w:t xml:space="preserve"> Operat</w:t>
      </w:r>
      <w:r w:rsidR="004334A6">
        <w:t>or</w:t>
      </w:r>
      <w:r>
        <w:t xml:space="preserve"> </w:t>
      </w:r>
      <w:r w:rsidR="004334A6">
        <w:t>Fee</w:t>
      </w:r>
      <w:r>
        <w:t>.</w:t>
      </w:r>
    </w:p>
    <w:p w14:paraId="4CE437E0" w14:textId="3D5D9346" w:rsidR="00094FD3" w:rsidRDefault="00CB4025" w:rsidP="005B295A">
      <w:pPr>
        <w:pStyle w:val="Heading4"/>
      </w:pPr>
      <w:bookmarkStart w:id="719" w:name="_Ref60839625"/>
      <w:r>
        <w:t>T</w:t>
      </w:r>
      <w:r w:rsidR="00094FD3">
        <w:t xml:space="preserve">he Market Operator </w:t>
      </w:r>
      <w:r w:rsidR="00AC2F13">
        <w:t xml:space="preserve">shall </w:t>
      </w:r>
      <w:r w:rsidR="00094FD3">
        <w:t xml:space="preserve">hold and operate the following separate </w:t>
      </w:r>
      <w:r w:rsidR="001E4ABA">
        <w:t xml:space="preserve">bank </w:t>
      </w:r>
      <w:r w:rsidR="00094FD3">
        <w:t>accounts:</w:t>
      </w:r>
      <w:bookmarkEnd w:id="719"/>
    </w:p>
    <w:p w14:paraId="6A40647D" w14:textId="61BFDD8C" w:rsidR="00094FD3" w:rsidRDefault="00094FD3" w:rsidP="00B03234">
      <w:pPr>
        <w:pStyle w:val="Heading5"/>
      </w:pPr>
      <w:r>
        <w:t xml:space="preserve">Market Operator </w:t>
      </w:r>
      <w:r w:rsidR="00125288">
        <w:t xml:space="preserve">Settlement </w:t>
      </w:r>
      <w:r>
        <w:t>Account</w:t>
      </w:r>
      <w:r w:rsidR="00FF2190">
        <w:t xml:space="preserve"> for Monthly </w:t>
      </w:r>
      <w:r w:rsidR="004C34D7">
        <w:t>Settlements</w:t>
      </w:r>
      <w:r>
        <w:t xml:space="preserve">, to and from which payments according to </w:t>
      </w:r>
      <w:r w:rsidR="00F05124">
        <w:t>this Code</w:t>
      </w:r>
      <w:r w:rsidR="00DE7DC2">
        <w:t xml:space="preserve">, </w:t>
      </w:r>
      <w:r w:rsidR="00AC2F13">
        <w:t xml:space="preserve">shall be </w:t>
      </w:r>
      <w:r w:rsidR="00DE7DC2">
        <w:t>made</w:t>
      </w:r>
      <w:r w:rsidR="00AB0DD0">
        <w:t>,</w:t>
      </w:r>
      <w:r w:rsidR="00AC2F13">
        <w:t xml:space="preserve"> which</w:t>
      </w:r>
      <w:r w:rsidR="00DE7DC2">
        <w:t xml:space="preserve"> includes payments </w:t>
      </w:r>
      <w:r w:rsidR="00AC2F13">
        <w:t>for</w:t>
      </w:r>
      <w:r>
        <w:t>:</w:t>
      </w:r>
    </w:p>
    <w:p w14:paraId="2AE18364" w14:textId="068D9E7D" w:rsidR="001B23A5" w:rsidRDefault="00DE7DC2" w:rsidP="00CF7164">
      <w:pPr>
        <w:pStyle w:val="Heading6"/>
      </w:pPr>
      <w:r>
        <w:t xml:space="preserve">The </w:t>
      </w:r>
      <w:r w:rsidR="004334A6">
        <w:t>Balancing Mechanism for Energy</w:t>
      </w:r>
      <w:r w:rsidR="00AC2F13">
        <w:t>;</w:t>
      </w:r>
    </w:p>
    <w:p w14:paraId="75936904" w14:textId="2D8B58B9" w:rsidR="00094FD3" w:rsidRDefault="00094FD3" w:rsidP="00CF7164">
      <w:pPr>
        <w:pStyle w:val="Heading6"/>
      </w:pPr>
      <w:r>
        <w:t>Ancillary Services</w:t>
      </w:r>
      <w:r w:rsidR="00DE7DC2">
        <w:t xml:space="preserve"> and </w:t>
      </w:r>
      <w:r>
        <w:t>Must-</w:t>
      </w:r>
      <w:r w:rsidR="00172397">
        <w:t>R</w:t>
      </w:r>
      <w:r>
        <w:t xml:space="preserve">un </w:t>
      </w:r>
      <w:r w:rsidR="004334A6">
        <w:t>Generation</w:t>
      </w:r>
      <w:r>
        <w:t>;</w:t>
      </w:r>
    </w:p>
    <w:p w14:paraId="3330B00C" w14:textId="1A86EB65" w:rsidR="00094FD3" w:rsidRPr="00186A98" w:rsidRDefault="004334A6" w:rsidP="00CF7164">
      <w:pPr>
        <w:pStyle w:val="Heading6"/>
      </w:pPr>
      <w:r w:rsidRPr="00186A98">
        <w:t>Market</w:t>
      </w:r>
      <w:r w:rsidR="00094FD3" w:rsidRPr="00186A98">
        <w:t xml:space="preserve"> Operat</w:t>
      </w:r>
      <w:r w:rsidRPr="00186A98">
        <w:t>or Fee</w:t>
      </w:r>
      <w:r w:rsidR="00D62EEB">
        <w:t xml:space="preserve"> and , </w:t>
      </w:r>
      <w:r w:rsidR="00D62EEB" w:rsidRPr="003018FA">
        <w:rPr>
          <w:highlight w:val="yellow"/>
        </w:rPr>
        <w:t xml:space="preserve">if </w:t>
      </w:r>
      <w:r w:rsidR="00172397" w:rsidRPr="00B97ED7">
        <w:rPr>
          <w:highlight w:val="yellow"/>
        </w:rPr>
        <w:t>required</w:t>
      </w:r>
      <w:r w:rsidR="00D62EEB" w:rsidRPr="00B97ED7">
        <w:rPr>
          <w:highlight w:val="yellow"/>
        </w:rPr>
        <w:t>, the System Operator Fee</w:t>
      </w:r>
      <w:r w:rsidR="00094FD3" w:rsidRPr="00B03C4A">
        <w:t>;</w:t>
      </w:r>
    </w:p>
    <w:p w14:paraId="060F8BB8" w14:textId="31C98086" w:rsidR="00545CB6" w:rsidRPr="00B03C4A" w:rsidRDefault="00545CB6" w:rsidP="00CF7164">
      <w:pPr>
        <w:pStyle w:val="Heading6"/>
      </w:pPr>
      <w:r w:rsidRPr="00545CB6">
        <w:rPr>
          <w:rFonts w:eastAsiaTheme="minorHAnsi" w:cstheme="minorBidi"/>
          <w:color w:val="1C1C1C"/>
          <w:lang w:eastAsia="en-US"/>
        </w:rPr>
        <w:t>Default Interest for payments not done at the Payment Date</w:t>
      </w:r>
      <w:r w:rsidR="00613963">
        <w:rPr>
          <w:rFonts w:eastAsiaTheme="minorHAnsi" w:cstheme="minorBidi"/>
          <w:color w:val="1C1C1C"/>
          <w:lang w:eastAsia="en-US"/>
        </w:rPr>
        <w:t xml:space="preserve"> for monthly Settlements</w:t>
      </w:r>
      <w:r w:rsidRPr="00545CB6">
        <w:rPr>
          <w:rFonts w:eastAsiaTheme="minorHAnsi" w:cstheme="minorBidi"/>
          <w:color w:val="1C1C1C"/>
          <w:lang w:eastAsia="en-US"/>
        </w:rPr>
        <w:t xml:space="preserve">, calculated in accordance with </w:t>
      </w:r>
      <w:r w:rsidR="00613963" w:rsidRPr="0059168B">
        <w:t xml:space="preserve">Clause </w:t>
      </w:r>
      <w:r w:rsidR="00613963">
        <w:fldChar w:fldCharType="begin"/>
      </w:r>
      <w:r w:rsidR="00613963">
        <w:instrText xml:space="preserve"> REF _Ref76900502 \r \h </w:instrText>
      </w:r>
      <w:r w:rsidR="00613963">
        <w:fldChar w:fldCharType="separate"/>
      </w:r>
      <w:r w:rsidR="00613963">
        <w:t>13.3.6</w:t>
      </w:r>
      <w:r w:rsidR="00613963">
        <w:fldChar w:fldCharType="end"/>
      </w:r>
      <w:r w:rsidR="00613963">
        <w:t>;</w:t>
      </w:r>
    </w:p>
    <w:p w14:paraId="2882BA44" w14:textId="42EA0F29" w:rsidR="00FE6472" w:rsidRDefault="00094FD3" w:rsidP="00CF7164">
      <w:pPr>
        <w:pStyle w:val="Heading6"/>
      </w:pPr>
      <w:r>
        <w:t xml:space="preserve">other amounts included in </w:t>
      </w:r>
      <w:r w:rsidR="00FE6472">
        <w:t xml:space="preserve">a </w:t>
      </w:r>
      <w:r w:rsidR="008E7D79">
        <w:t>Debit Notification</w:t>
      </w:r>
      <w:r w:rsidRPr="00186A98">
        <w:t xml:space="preserve"> issued by the Market Operator</w:t>
      </w:r>
      <w:r w:rsidR="00FE6472" w:rsidRPr="00186A98">
        <w:t xml:space="preserve"> </w:t>
      </w:r>
      <w:r w:rsidR="006420A3" w:rsidRPr="00186A98">
        <w:t xml:space="preserve">which relates </w:t>
      </w:r>
      <w:r w:rsidR="00AB0DD0">
        <w:t>to</w:t>
      </w:r>
      <w:r w:rsidR="00AB0DD0" w:rsidRPr="00186A98">
        <w:t xml:space="preserve"> </w:t>
      </w:r>
      <w:r w:rsidR="004C34D7">
        <w:t>monthly Settlements</w:t>
      </w:r>
      <w:r w:rsidR="00AA12EC" w:rsidRPr="00186A98">
        <w:t>,</w:t>
      </w:r>
      <w:r w:rsidR="006420A3" w:rsidRPr="00186A98">
        <w:t xml:space="preserve"> </w:t>
      </w:r>
      <w:r w:rsidRPr="00186A98">
        <w:t xml:space="preserve">in accordance with this </w:t>
      </w:r>
      <w:r w:rsidR="004334A6" w:rsidRPr="00186A98">
        <w:t>Code</w:t>
      </w:r>
      <w:r w:rsidR="004C34D7">
        <w:t>;</w:t>
      </w:r>
    </w:p>
    <w:p w14:paraId="54620FFD" w14:textId="41C76DDF" w:rsidR="00125288" w:rsidRPr="00125288" w:rsidRDefault="00125288" w:rsidP="00125288">
      <w:pPr>
        <w:pStyle w:val="Heading6"/>
      </w:pPr>
      <w:r w:rsidRPr="003443CB">
        <w:t xml:space="preserve">any amounts </w:t>
      </w:r>
      <w:r>
        <w:t>deposited by the Market Participants</w:t>
      </w:r>
      <w:r w:rsidRPr="003443CB">
        <w:t xml:space="preserve"> to the Market Operator in respect of </w:t>
      </w:r>
      <w:r>
        <w:t>initial amount of Security Cover</w:t>
      </w:r>
      <w:r w:rsidR="004C34D7">
        <w:t xml:space="preserve"> for monthly Settlements or Guarantee Amount</w:t>
      </w:r>
      <w:r>
        <w:t xml:space="preserve"> or as replenishment of the Security Covers</w:t>
      </w:r>
      <w:r w:rsidR="004C34D7">
        <w:t xml:space="preserve"> </w:t>
      </w:r>
      <w:r w:rsidR="001A5E9F">
        <w:t xml:space="preserve">for </w:t>
      </w:r>
      <w:r w:rsidR="004C34D7">
        <w:t>monthly Settlements or Guarantee Amount</w:t>
      </w:r>
      <w:r w:rsidRPr="003443CB">
        <w:t>,</w:t>
      </w:r>
      <w:r w:rsidR="004C34D7">
        <w:t xml:space="preserve"> </w:t>
      </w:r>
      <w:r w:rsidRPr="003443CB">
        <w:t xml:space="preserve">shall be deposited </w:t>
      </w:r>
      <w:r w:rsidR="00172397">
        <w:t>in</w:t>
      </w:r>
      <w:r w:rsidRPr="003443CB">
        <w:t xml:space="preserve"> th</w:t>
      </w:r>
      <w:r>
        <w:t>is</w:t>
      </w:r>
      <w:r w:rsidRPr="003443CB">
        <w:t xml:space="preserve"> Account</w:t>
      </w:r>
      <w:r w:rsidR="004C34D7">
        <w:t>.</w:t>
      </w:r>
    </w:p>
    <w:p w14:paraId="6350EF37" w14:textId="6E93A3A2" w:rsidR="00545CB6" w:rsidRDefault="00545CB6" w:rsidP="00545CB6">
      <w:pPr>
        <w:pStyle w:val="Heading5"/>
      </w:pPr>
      <w:r>
        <w:t>Market Operator Settlement Account for Annual Settlements, to and from which payments according to this Code, shall be made, which includes payments for:</w:t>
      </w:r>
    </w:p>
    <w:p w14:paraId="16C52293" w14:textId="5E4F2920" w:rsidR="00545CB6" w:rsidRDefault="00545CB6" w:rsidP="00545CB6">
      <w:pPr>
        <w:pStyle w:val="Heading6"/>
      </w:pPr>
      <w:r>
        <w:t>The Balancing Mechanism for Capacity</w:t>
      </w:r>
      <w:r w:rsidR="00D1454D">
        <w:t>;</w:t>
      </w:r>
    </w:p>
    <w:p w14:paraId="32F5F982" w14:textId="78E36795" w:rsidR="00545CB6" w:rsidRDefault="00545CB6" w:rsidP="00545CB6">
      <w:pPr>
        <w:pStyle w:val="Heading6"/>
      </w:pPr>
      <w:r>
        <w:t>The Settlement of Excess Losses;</w:t>
      </w:r>
    </w:p>
    <w:p w14:paraId="5857BBBB" w14:textId="271DBE9D" w:rsidR="00545CB6" w:rsidRDefault="00545CB6" w:rsidP="00545CB6">
      <w:pPr>
        <w:pStyle w:val="Heading6"/>
      </w:pPr>
      <w:r w:rsidRPr="00545CB6">
        <w:t>Default Interest for payments not done at the Payment Date</w:t>
      </w:r>
      <w:r w:rsidR="00613963">
        <w:t xml:space="preserve"> for </w:t>
      </w:r>
      <w:r w:rsidR="00613963">
        <w:rPr>
          <w:rFonts w:eastAsiaTheme="minorHAnsi" w:cstheme="minorBidi"/>
          <w:color w:val="1C1C1C"/>
          <w:lang w:eastAsia="en-US"/>
        </w:rPr>
        <w:t>annual Settlements</w:t>
      </w:r>
      <w:r w:rsidR="00613963" w:rsidRPr="00545CB6">
        <w:rPr>
          <w:rFonts w:eastAsiaTheme="minorHAnsi" w:cstheme="minorBidi"/>
          <w:color w:val="1C1C1C"/>
          <w:lang w:eastAsia="en-US"/>
        </w:rPr>
        <w:t xml:space="preserve">, calculated in accordance with </w:t>
      </w:r>
      <w:r w:rsidR="00613963" w:rsidRPr="0059168B">
        <w:t xml:space="preserve">Clause </w:t>
      </w:r>
      <w:r w:rsidR="00613963">
        <w:fldChar w:fldCharType="begin"/>
      </w:r>
      <w:r w:rsidR="00613963">
        <w:instrText xml:space="preserve"> REF _Ref76900502 \r \h </w:instrText>
      </w:r>
      <w:r w:rsidR="00613963">
        <w:fldChar w:fldCharType="separate"/>
      </w:r>
      <w:r w:rsidR="00613963">
        <w:t>13.3.6</w:t>
      </w:r>
      <w:r w:rsidR="00613963">
        <w:fldChar w:fldCharType="end"/>
      </w:r>
      <w:r w:rsidR="00D1454D">
        <w:t>.</w:t>
      </w:r>
      <w:r w:rsidR="00613963">
        <w:t xml:space="preserve"> </w:t>
      </w:r>
    </w:p>
    <w:p w14:paraId="10A373B5" w14:textId="28546526" w:rsidR="00094FD3" w:rsidRDefault="00094FD3" w:rsidP="00B03234">
      <w:pPr>
        <w:pStyle w:val="Heading5"/>
      </w:pPr>
      <w:r>
        <w:t xml:space="preserve">Market Operator </w:t>
      </w:r>
      <w:r w:rsidR="00545CB6">
        <w:t xml:space="preserve">Miscellaneous </w:t>
      </w:r>
      <w:r>
        <w:t xml:space="preserve">Account, in accordance with </w:t>
      </w:r>
      <w:r w:rsidR="005F3346">
        <w:t xml:space="preserve">Clause </w:t>
      </w:r>
      <w:r w:rsidR="006420A3">
        <w:fldChar w:fldCharType="begin"/>
      </w:r>
      <w:r w:rsidR="006420A3">
        <w:instrText xml:space="preserve"> REF _Ref60841197 \w \h </w:instrText>
      </w:r>
      <w:r w:rsidR="006420A3">
        <w:fldChar w:fldCharType="separate"/>
      </w:r>
      <w:r w:rsidR="00251DBF">
        <w:t>13.1.1.5</w:t>
      </w:r>
      <w:r w:rsidR="006420A3">
        <w:fldChar w:fldCharType="end"/>
      </w:r>
      <w:r w:rsidR="006420A3">
        <w:t>.</w:t>
      </w:r>
    </w:p>
    <w:p w14:paraId="13BB5ED6" w14:textId="4BC10254" w:rsidR="00125D1D" w:rsidRDefault="00125D1D" w:rsidP="00125D1D">
      <w:pPr>
        <w:pStyle w:val="Heading5"/>
      </w:pPr>
      <w:r>
        <w:t>Market Operator Settlement Guarantee Fund</w:t>
      </w:r>
      <w:r w:rsidR="007D039B">
        <w:t xml:space="preserve"> Account</w:t>
      </w:r>
      <w:r>
        <w:t xml:space="preserve">, in accordance with Clause </w:t>
      </w:r>
      <w:r w:rsidR="007D039B">
        <w:fldChar w:fldCharType="begin"/>
      </w:r>
      <w:r w:rsidR="007D039B">
        <w:instrText xml:space="preserve"> REF _Ref73958839 \n \h </w:instrText>
      </w:r>
      <w:r w:rsidR="007D039B">
        <w:fldChar w:fldCharType="separate"/>
      </w:r>
      <w:r w:rsidR="007D039B">
        <w:t>13.1.1.7</w:t>
      </w:r>
      <w:r w:rsidR="007D039B">
        <w:fldChar w:fldCharType="end"/>
      </w:r>
      <w:r>
        <w:t>.</w:t>
      </w:r>
    </w:p>
    <w:p w14:paraId="46831BE5" w14:textId="4A17F3C2" w:rsidR="00FF2190" w:rsidRDefault="00FF2190" w:rsidP="00B03C4A">
      <w:pPr>
        <w:pStyle w:val="Heading5"/>
      </w:pPr>
      <w:r>
        <w:t xml:space="preserve">Market Operator Credit Cover Account for </w:t>
      </w:r>
      <w:r w:rsidR="00545CB6">
        <w:t>M</w:t>
      </w:r>
      <w:r>
        <w:t xml:space="preserve">onthly </w:t>
      </w:r>
      <w:r w:rsidR="00545CB6">
        <w:t>S</w:t>
      </w:r>
      <w:r>
        <w:t xml:space="preserve">ettlements in accordance with Clause </w:t>
      </w:r>
      <w:r w:rsidR="00D1454D">
        <w:fldChar w:fldCharType="begin"/>
      </w:r>
      <w:r w:rsidR="00D1454D">
        <w:instrText xml:space="preserve"> REF _Ref81294123 \r \h </w:instrText>
      </w:r>
      <w:r w:rsidR="00D1454D">
        <w:fldChar w:fldCharType="separate"/>
      </w:r>
      <w:r w:rsidR="00D1454D">
        <w:t>13.1.1.7</w:t>
      </w:r>
      <w:r w:rsidR="00D1454D">
        <w:fldChar w:fldCharType="end"/>
      </w:r>
      <w:r w:rsidR="00D1454D">
        <w:t>.</w:t>
      </w:r>
    </w:p>
    <w:p w14:paraId="2CDC0E6D" w14:textId="13EF32DE" w:rsidR="00FF2190" w:rsidRDefault="00FF2190" w:rsidP="00B03C4A">
      <w:pPr>
        <w:pStyle w:val="Heading5"/>
      </w:pPr>
      <w:r>
        <w:t xml:space="preserve">Market Operator Credit Cover Account for </w:t>
      </w:r>
      <w:r w:rsidR="00545CB6">
        <w:t>A</w:t>
      </w:r>
      <w:r>
        <w:t xml:space="preserve">nnual </w:t>
      </w:r>
      <w:r w:rsidR="00545CB6">
        <w:t>S</w:t>
      </w:r>
      <w:r>
        <w:t xml:space="preserve">ettlements in accordance with Clause </w:t>
      </w:r>
      <w:r w:rsidR="00D1454D">
        <w:fldChar w:fldCharType="begin"/>
      </w:r>
      <w:r w:rsidR="00D1454D">
        <w:instrText xml:space="preserve"> REF _Ref81294165 \r \h </w:instrText>
      </w:r>
      <w:r w:rsidR="00D1454D">
        <w:fldChar w:fldCharType="separate"/>
      </w:r>
      <w:r w:rsidR="00D1454D">
        <w:t>13.1.1.8</w:t>
      </w:r>
      <w:r w:rsidR="00D1454D">
        <w:fldChar w:fldCharType="end"/>
      </w:r>
      <w:r w:rsidR="00D1454D">
        <w:t>.</w:t>
      </w:r>
    </w:p>
    <w:p w14:paraId="7489104E" w14:textId="5A7F3CDF" w:rsidR="009B3D17" w:rsidRPr="009B3D17" w:rsidRDefault="009B3D17" w:rsidP="009B3D17">
      <w:pPr>
        <w:pStyle w:val="Heading5"/>
      </w:pPr>
      <w:r>
        <w:t xml:space="preserve">Market Operator </w:t>
      </w:r>
      <w:r w:rsidR="00D432E0">
        <w:t>o</w:t>
      </w:r>
      <w:r>
        <w:t xml:space="preserve">perational </w:t>
      </w:r>
      <w:r w:rsidR="00D432E0">
        <w:t>a</w:t>
      </w:r>
      <w:r>
        <w:t xml:space="preserve">ccounts, in accordance with Clause </w:t>
      </w:r>
      <w:r>
        <w:fldChar w:fldCharType="begin"/>
      </w:r>
      <w:r>
        <w:instrText xml:space="preserve"> REF _Ref73958839 \n \h </w:instrText>
      </w:r>
      <w:r>
        <w:fldChar w:fldCharType="separate"/>
      </w:r>
      <w:r>
        <w:t>13.1.1.7</w:t>
      </w:r>
      <w:r>
        <w:fldChar w:fldCharType="end"/>
      </w:r>
      <w:r w:rsidR="00D1454D">
        <w:t>.</w:t>
      </w:r>
    </w:p>
    <w:p w14:paraId="6DA0949B" w14:textId="1641415F" w:rsidR="006420A3" w:rsidRDefault="00B86F8C" w:rsidP="005B295A">
      <w:pPr>
        <w:pStyle w:val="Heading4"/>
      </w:pPr>
      <w:r>
        <w:lastRenderedPageBreak/>
        <w:t xml:space="preserve">All </w:t>
      </w:r>
      <w:bookmarkStart w:id="720" w:name="_Ref60833239"/>
      <w:r w:rsidR="006420A3">
        <w:t xml:space="preserve">Market Participants </w:t>
      </w:r>
      <w:r w:rsidR="00172397">
        <w:t xml:space="preserve">or Transmission Service Providers </w:t>
      </w:r>
      <w:r w:rsidR="006420A3">
        <w:t>shall make all payment</w:t>
      </w:r>
      <w:r>
        <w:t>s</w:t>
      </w:r>
      <w:r w:rsidR="006420A3">
        <w:t xml:space="preserve"> due </w:t>
      </w:r>
      <w:r>
        <w:t>under</w:t>
      </w:r>
      <w:r w:rsidR="006420A3">
        <w:t xml:space="preserve"> the </w:t>
      </w:r>
      <w:r w:rsidR="008E7D79">
        <w:t>Debit Notification</w:t>
      </w:r>
      <w:r w:rsidR="006420A3">
        <w:t xml:space="preserve">s into the Market Operator </w:t>
      </w:r>
      <w:r w:rsidR="00125288">
        <w:t xml:space="preserve">Settlement </w:t>
      </w:r>
      <w:r w:rsidR="006420A3">
        <w:t>Account</w:t>
      </w:r>
      <w:r w:rsidR="00613963">
        <w:t xml:space="preserve"> for Monthly Settlement or the Market Operator Settlement Account for Annual Settlement, as the case may be,</w:t>
      </w:r>
      <w:r w:rsidR="006420A3">
        <w:t xml:space="preserve"> by 10:00 hours on the </w:t>
      </w:r>
      <w:r w:rsidR="008E7D79">
        <w:t>Payment Due Date</w:t>
      </w:r>
      <w:r w:rsidR="006420A3">
        <w:t xml:space="preserve">. The Market Operator shall pay </w:t>
      </w:r>
      <w:r w:rsidR="00172397">
        <w:t xml:space="preserve">to the </w:t>
      </w:r>
      <w:r w:rsidR="00136176">
        <w:t>Market Participant</w:t>
      </w:r>
      <w:r w:rsidR="006420A3">
        <w:t>s</w:t>
      </w:r>
      <w:r w:rsidR="00172397">
        <w:t xml:space="preserve"> or the Transmission Service Providers</w:t>
      </w:r>
      <w:r w:rsidR="006420A3">
        <w:t xml:space="preserve"> from the </w:t>
      </w:r>
      <w:r w:rsidR="00613963">
        <w:t>Market Operator Settlement Account for Monthly Settlement or the Market Operator Settlement Account for Annual Settlement, as the case may be,</w:t>
      </w:r>
      <w:r w:rsidR="00613963" w:rsidDel="00613963">
        <w:t xml:space="preserve"> </w:t>
      </w:r>
      <w:r w:rsidR="006420A3">
        <w:t xml:space="preserve"> </w:t>
      </w:r>
      <w:r>
        <w:t>under Credit Notifications</w:t>
      </w:r>
      <w:r w:rsidR="00172397">
        <w:t>,</w:t>
      </w:r>
      <w:r w:rsidR="006420A3">
        <w:t xml:space="preserve"> by </w:t>
      </w:r>
      <w:r w:rsidR="00172397">
        <w:t>C</w:t>
      </w:r>
      <w:r w:rsidR="006420A3">
        <w:t xml:space="preserve">lose of Banking Business on the </w:t>
      </w:r>
      <w:r w:rsidR="00EF749E">
        <w:t>Clearing Day or any other date as specified in the Credit Notification</w:t>
      </w:r>
      <w:r w:rsidR="006420A3">
        <w:t>.</w:t>
      </w:r>
      <w:bookmarkEnd w:id="720"/>
    </w:p>
    <w:p w14:paraId="69FCF3AE" w14:textId="2CB24B72" w:rsidR="00094FD3" w:rsidRPr="003443CB" w:rsidRDefault="00094FD3" w:rsidP="005B295A">
      <w:pPr>
        <w:pStyle w:val="Heading4"/>
      </w:pPr>
      <w:bookmarkStart w:id="721" w:name="_Ref60841197"/>
      <w:r w:rsidRPr="003443CB">
        <w:t xml:space="preserve">The Market Operator shall operate the Market Operator </w:t>
      </w:r>
      <w:r w:rsidR="00613963">
        <w:t>Miscellaneous</w:t>
      </w:r>
      <w:r w:rsidR="00613963" w:rsidRPr="003443CB">
        <w:t xml:space="preserve"> </w:t>
      </w:r>
      <w:commentRangeStart w:id="722"/>
      <w:commentRangeEnd w:id="722"/>
      <w:r w:rsidR="00C839D2">
        <w:rPr>
          <w:rStyle w:val="CommentReference"/>
          <w:rFonts w:eastAsiaTheme="minorHAnsi" w:cstheme="minorBidi"/>
          <w:bCs w:val="0"/>
          <w:iCs w:val="0"/>
          <w:color w:val="1C1C1C"/>
        </w:rPr>
        <w:commentReference w:id="722"/>
      </w:r>
      <w:r w:rsidRPr="003443CB">
        <w:t xml:space="preserve">Account </w:t>
      </w:r>
      <w:r w:rsidR="00B86F8C">
        <w:t>in the following manner</w:t>
      </w:r>
      <w:r w:rsidRPr="003443CB">
        <w:t>:</w:t>
      </w:r>
      <w:bookmarkEnd w:id="721"/>
    </w:p>
    <w:p w14:paraId="281D52B3" w14:textId="71A84B23" w:rsidR="00094FD3" w:rsidRDefault="00094FD3" w:rsidP="00B03234">
      <w:pPr>
        <w:pStyle w:val="Heading5"/>
      </w:pPr>
      <w:bookmarkStart w:id="723" w:name="_Ref76208126"/>
      <w:r w:rsidRPr="003443CB">
        <w:t xml:space="preserve">any amounts </w:t>
      </w:r>
      <w:r w:rsidR="00172397">
        <w:t>paid</w:t>
      </w:r>
      <w:r w:rsidR="00172397" w:rsidRPr="003443CB">
        <w:t xml:space="preserve"> </w:t>
      </w:r>
      <w:r w:rsidRPr="003443CB">
        <w:t>to the Market Operator in respect of</w:t>
      </w:r>
      <w:r w:rsidR="00FB35D4">
        <w:t xml:space="preserve"> Default Interests or</w:t>
      </w:r>
      <w:r w:rsidRPr="003443CB">
        <w:t xml:space="preserve"> </w:t>
      </w:r>
      <w:r w:rsidR="002C0D06" w:rsidRPr="003443CB">
        <w:t xml:space="preserve">financial </w:t>
      </w:r>
      <w:r w:rsidR="008142E9" w:rsidRPr="003443CB">
        <w:t>penalties</w:t>
      </w:r>
      <w:r w:rsidR="002C0D06" w:rsidRPr="003443CB">
        <w:t xml:space="preserve"> </w:t>
      </w:r>
      <w:r w:rsidR="00172397">
        <w:t>imposed on</w:t>
      </w:r>
      <w:r w:rsidR="002C0D06" w:rsidRPr="003443CB">
        <w:t xml:space="preserve"> Market Participants or Service Providers</w:t>
      </w:r>
      <w:r w:rsidR="008142E9" w:rsidRPr="003443CB">
        <w:t xml:space="preserve"> for N</w:t>
      </w:r>
      <w:r w:rsidRPr="003443CB">
        <w:t>on-</w:t>
      </w:r>
      <w:r w:rsidR="008142E9" w:rsidRPr="003443CB">
        <w:t>C</w:t>
      </w:r>
      <w:r w:rsidRPr="003443CB">
        <w:t>ompliance</w:t>
      </w:r>
      <w:r w:rsidR="002C0D06" w:rsidRPr="003443CB">
        <w:t xml:space="preserve"> with the provision</w:t>
      </w:r>
      <w:r w:rsidR="00B86F8C">
        <w:t xml:space="preserve">s </w:t>
      </w:r>
      <w:r w:rsidR="002C0D06" w:rsidRPr="003443CB">
        <w:t xml:space="preserve">of </w:t>
      </w:r>
      <w:r w:rsidR="00F05124">
        <w:t>this Code</w:t>
      </w:r>
      <w:r w:rsidR="008142E9" w:rsidRPr="003443CB">
        <w:t xml:space="preserve">, as </w:t>
      </w:r>
      <w:r w:rsidR="00172397">
        <w:t>provided</w:t>
      </w:r>
      <w:r w:rsidR="00172397" w:rsidRPr="003443CB">
        <w:t xml:space="preserve"> </w:t>
      </w:r>
      <w:r w:rsidR="008142E9" w:rsidRPr="003443CB">
        <w:t xml:space="preserve">in Section </w:t>
      </w:r>
      <w:r w:rsidR="008142E9" w:rsidRPr="003443CB">
        <w:fldChar w:fldCharType="begin"/>
      </w:r>
      <w:r w:rsidR="008142E9" w:rsidRPr="003443CB">
        <w:instrText xml:space="preserve"> REF _Ref60932092 \r \h </w:instrText>
      </w:r>
      <w:r w:rsidR="003443CB">
        <w:instrText xml:space="preserve"> \* MERGEFORMAT </w:instrText>
      </w:r>
      <w:r w:rsidR="008142E9" w:rsidRPr="003443CB">
        <w:fldChar w:fldCharType="separate"/>
      </w:r>
      <w:r w:rsidR="00251DBF">
        <w:t>17.3</w:t>
      </w:r>
      <w:r w:rsidR="008142E9" w:rsidRPr="003443CB">
        <w:fldChar w:fldCharType="end"/>
      </w:r>
      <w:r w:rsidR="002C0D06" w:rsidRPr="003443CB">
        <w:t xml:space="preserve">, including </w:t>
      </w:r>
      <w:r w:rsidR="00172397">
        <w:t>D</w:t>
      </w:r>
      <w:r w:rsidRPr="003443CB">
        <w:t xml:space="preserve">efault </w:t>
      </w:r>
      <w:r w:rsidR="00172397">
        <w:t>I</w:t>
      </w:r>
      <w:r w:rsidRPr="003443CB">
        <w:t>nterest</w:t>
      </w:r>
      <w:r w:rsidR="002C0D06" w:rsidRPr="003443CB">
        <w:t xml:space="preserve"> on such penalties</w:t>
      </w:r>
      <w:r w:rsidRPr="003443CB">
        <w:t xml:space="preserve"> shall be </w:t>
      </w:r>
      <w:r w:rsidR="002C0D06" w:rsidRPr="003443CB">
        <w:t>deposited</w:t>
      </w:r>
      <w:r w:rsidRPr="003443CB">
        <w:t xml:space="preserve"> </w:t>
      </w:r>
      <w:r w:rsidR="00172397">
        <w:t>in</w:t>
      </w:r>
      <w:r w:rsidR="00172397" w:rsidRPr="003443CB">
        <w:t xml:space="preserve"> </w:t>
      </w:r>
      <w:r w:rsidRPr="003443CB">
        <w:t xml:space="preserve">the Market Operator </w:t>
      </w:r>
      <w:r w:rsidR="00613963">
        <w:t>Miscellaneous</w:t>
      </w:r>
      <w:r w:rsidR="00613963" w:rsidRPr="003443CB">
        <w:t xml:space="preserve"> </w:t>
      </w:r>
      <w:r w:rsidR="007D039B" w:rsidRPr="003443CB">
        <w:t>Account</w:t>
      </w:r>
      <w:r w:rsidR="007D039B">
        <w:t>;</w:t>
      </w:r>
      <w:bookmarkEnd w:id="723"/>
    </w:p>
    <w:p w14:paraId="6FE7F68E" w14:textId="172D647B" w:rsidR="003443CB" w:rsidRPr="003443CB" w:rsidRDefault="0059168B" w:rsidP="00B03234">
      <w:pPr>
        <w:pStyle w:val="Heading5"/>
      </w:pPr>
      <w:r w:rsidRPr="0059168B">
        <w:t xml:space="preserve">Default Interest for payments not </w:t>
      </w:r>
      <w:r w:rsidR="00484506">
        <w:t>received</w:t>
      </w:r>
      <w:r w:rsidRPr="0059168B">
        <w:t xml:space="preserve"> at the </w:t>
      </w:r>
      <w:r w:rsidR="008E7D79">
        <w:t>Payment Due Date</w:t>
      </w:r>
      <w:r w:rsidRPr="0059168B">
        <w:t xml:space="preserve">, calculated in accordance with Clause </w:t>
      </w:r>
      <w:r w:rsidR="00613963">
        <w:fldChar w:fldCharType="begin"/>
      </w:r>
      <w:r w:rsidR="00613963">
        <w:instrText xml:space="preserve"> REF _Ref76900502 \r \h </w:instrText>
      </w:r>
      <w:r w:rsidR="00613963">
        <w:fldChar w:fldCharType="separate"/>
      </w:r>
      <w:r w:rsidR="00613963">
        <w:t>13.3.6</w:t>
      </w:r>
      <w:r w:rsidR="00613963">
        <w:fldChar w:fldCharType="end"/>
      </w:r>
      <w:r w:rsidR="00D416D2">
        <w:t xml:space="preserve"> </w:t>
      </w:r>
      <w:r w:rsidR="00B86F8C">
        <w:t xml:space="preserve">and </w:t>
      </w:r>
      <w:r w:rsidR="00094FD3" w:rsidRPr="003443CB">
        <w:t xml:space="preserve">the funds referred to in paragraph </w:t>
      </w:r>
      <w:r w:rsidR="00172397">
        <w:fldChar w:fldCharType="begin"/>
      </w:r>
      <w:r w:rsidR="00172397">
        <w:instrText xml:space="preserve"> REF _Ref76208126 \w \h </w:instrText>
      </w:r>
      <w:r w:rsidR="00172397">
        <w:fldChar w:fldCharType="separate"/>
      </w:r>
      <w:r w:rsidR="00172397">
        <w:t>13.1.1.5.a)</w:t>
      </w:r>
      <w:r w:rsidR="00172397">
        <w:fldChar w:fldCharType="end"/>
      </w:r>
      <w:r w:rsidR="00172397">
        <w:t xml:space="preserve"> above,</w:t>
      </w:r>
      <w:r w:rsidR="00094FD3" w:rsidRPr="003443CB">
        <w:t xml:space="preserve"> shall first be </w:t>
      </w:r>
      <w:r w:rsidR="00270434">
        <w:t>used as compensation for</w:t>
      </w:r>
      <w:r w:rsidR="00094FD3" w:rsidRPr="003443CB">
        <w:t xml:space="preserve"> any expenses, loss or costs incurred by the Market Operator </w:t>
      </w:r>
      <w:r w:rsidR="00484506">
        <w:t>on account of Non-Compliance by</w:t>
      </w:r>
      <w:r w:rsidR="00094FD3" w:rsidRPr="003443CB">
        <w:t xml:space="preserve"> </w:t>
      </w:r>
      <w:r w:rsidR="002C0D06" w:rsidRPr="003443CB">
        <w:t>any Market Participant or Service Provider</w:t>
      </w:r>
      <w:r w:rsidR="003443CB" w:rsidRPr="003443CB">
        <w:t xml:space="preserve">. </w:t>
      </w:r>
    </w:p>
    <w:p w14:paraId="2962315D" w14:textId="45E58F14" w:rsidR="00094FD3" w:rsidRDefault="00270434" w:rsidP="00B03234">
      <w:pPr>
        <w:pStyle w:val="Heading5"/>
      </w:pPr>
      <w:r>
        <w:t>any</w:t>
      </w:r>
      <w:r w:rsidR="00094FD3" w:rsidRPr="003443CB">
        <w:t xml:space="preserve"> excess </w:t>
      </w:r>
      <w:r>
        <w:t>amount shall</w:t>
      </w:r>
      <w:r w:rsidRPr="003443CB">
        <w:t xml:space="preserve"> </w:t>
      </w:r>
      <w:r w:rsidR="00094FD3" w:rsidRPr="003443CB">
        <w:t xml:space="preserve">be used </w:t>
      </w:r>
      <w:r>
        <w:t xml:space="preserve">by the Market Operator in training and capacity building initiatives for the development of the Market. </w:t>
      </w:r>
    </w:p>
    <w:p w14:paraId="53A357E8" w14:textId="7BCD4E4C" w:rsidR="007E0AB4" w:rsidRPr="003443CB" w:rsidRDefault="007E0AB4" w:rsidP="007E0AB4">
      <w:pPr>
        <w:pStyle w:val="Heading4"/>
      </w:pPr>
      <w:bookmarkStart w:id="724" w:name="_Ref73958839"/>
      <w:r w:rsidRPr="003443CB">
        <w:t xml:space="preserve">The Market Operator shall operate the </w:t>
      </w:r>
      <w:r>
        <w:t>Settlement Guarantee Fund Account</w:t>
      </w:r>
      <w:r w:rsidRPr="003443CB">
        <w:t xml:space="preserve"> </w:t>
      </w:r>
      <w:r w:rsidR="00484506">
        <w:t>in the following manner</w:t>
      </w:r>
      <w:r w:rsidRPr="003443CB">
        <w:t>:</w:t>
      </w:r>
      <w:bookmarkEnd w:id="724"/>
    </w:p>
    <w:p w14:paraId="3C70385F" w14:textId="6305D30F" w:rsidR="007E0AB4" w:rsidRPr="00B97ED7" w:rsidRDefault="007E0AB4" w:rsidP="007E0AB4">
      <w:pPr>
        <w:pStyle w:val="Heading5"/>
      </w:pPr>
      <w:r w:rsidRPr="003443CB">
        <w:t xml:space="preserve">any amounts </w:t>
      </w:r>
      <w:r w:rsidR="00270434">
        <w:t>paid</w:t>
      </w:r>
      <w:r>
        <w:t xml:space="preserve"> </w:t>
      </w:r>
      <w:r w:rsidRPr="003443CB">
        <w:t xml:space="preserve">to the Market Operator in respect of </w:t>
      </w:r>
      <w:r>
        <w:t>initial Guarantee</w:t>
      </w:r>
      <w:r w:rsidR="00270434">
        <w:t xml:space="preserve"> Amount</w:t>
      </w:r>
      <w:r>
        <w:t xml:space="preserve"> or as replenishment of the Guarantee Amount</w:t>
      </w:r>
      <w:r w:rsidRPr="003443CB">
        <w:t xml:space="preserve">, shall be deposited </w:t>
      </w:r>
      <w:r w:rsidR="007D039B">
        <w:t>in</w:t>
      </w:r>
      <w:r w:rsidRPr="003443CB">
        <w:t xml:space="preserve"> the Market Operator </w:t>
      </w:r>
      <w:r w:rsidR="007D039B" w:rsidRPr="003018FA">
        <w:t>Settlement Guarantee Fund</w:t>
      </w:r>
      <w:r w:rsidR="007D039B" w:rsidRPr="00B97ED7">
        <w:t xml:space="preserve"> </w:t>
      </w:r>
      <w:r w:rsidR="00484506" w:rsidRPr="00B97ED7">
        <w:t>A</w:t>
      </w:r>
      <w:r w:rsidR="007D039B" w:rsidRPr="00B97ED7">
        <w:t>ccount</w:t>
      </w:r>
      <w:r w:rsidRPr="00B97ED7">
        <w:t>.</w:t>
      </w:r>
    </w:p>
    <w:p w14:paraId="382F6D3A" w14:textId="37686D5E" w:rsidR="007E0AB4" w:rsidRPr="003443CB" w:rsidRDefault="007E0AB4" w:rsidP="007E0AB4">
      <w:pPr>
        <w:pStyle w:val="Heading5"/>
      </w:pPr>
      <w:r w:rsidRPr="00B97ED7">
        <w:t xml:space="preserve">on the </w:t>
      </w:r>
      <w:r w:rsidRPr="00B03C4A">
        <w:t>Clearing Day</w:t>
      </w:r>
      <w:r w:rsidRPr="003018FA">
        <w:t>,</w:t>
      </w:r>
      <w:r w:rsidR="007D039B">
        <w:t xml:space="preserve"> if needed,</w:t>
      </w:r>
      <w:r>
        <w:t xml:space="preserve"> the funds available in the </w:t>
      </w:r>
      <w:r w:rsidR="007D039B" w:rsidRPr="007D039B">
        <w:t>Settlement Guarantee Fund</w:t>
      </w:r>
      <w:r>
        <w:t xml:space="preserve"> account will be transferred to the Market Operator </w:t>
      </w:r>
      <w:r w:rsidR="00D416D2">
        <w:t>Settlement</w:t>
      </w:r>
      <w:r>
        <w:t xml:space="preserve"> </w:t>
      </w:r>
      <w:r w:rsidR="007D039B">
        <w:t>A</w:t>
      </w:r>
      <w:r>
        <w:t xml:space="preserve">ccount </w:t>
      </w:r>
      <w:r w:rsidR="00FB35D4">
        <w:t xml:space="preserve">for Monthly Settlements </w:t>
      </w:r>
      <w:r w:rsidR="00484506">
        <w:t xml:space="preserve">in order </w:t>
      </w:r>
      <w:r>
        <w:t xml:space="preserve">to make payments to Market Participants as per </w:t>
      </w:r>
      <w:r w:rsidR="00270434">
        <w:t xml:space="preserve">relevant </w:t>
      </w:r>
      <w:r>
        <w:t>Settlement Statement</w:t>
      </w:r>
      <w:r w:rsidR="00270434">
        <w:t>s</w:t>
      </w:r>
      <w:r w:rsidRPr="003443CB">
        <w:t xml:space="preserve">. </w:t>
      </w:r>
    </w:p>
    <w:p w14:paraId="0E7E264F" w14:textId="204D4CB6" w:rsidR="007E0AB4" w:rsidRDefault="007E0AB4" w:rsidP="007E0AB4">
      <w:pPr>
        <w:pStyle w:val="Heading5"/>
      </w:pPr>
      <w:r>
        <w:t xml:space="preserve">the </w:t>
      </w:r>
      <w:r w:rsidR="001A6019">
        <w:t>amounts</w:t>
      </w:r>
      <w:r>
        <w:t xml:space="preserve"> </w:t>
      </w:r>
      <w:r w:rsidR="001A6019">
        <w:t xml:space="preserve">used by the Market Operator from the Settlement Guarantee Fund Account shall be replenished upon receipt of payments from </w:t>
      </w:r>
      <w:r w:rsidR="00270434">
        <w:t xml:space="preserve">the </w:t>
      </w:r>
      <w:r w:rsidR="001A6019">
        <w:t xml:space="preserve">Market Participants. </w:t>
      </w:r>
    </w:p>
    <w:p w14:paraId="0B23861B" w14:textId="0F90C0CA" w:rsidR="00613963" w:rsidRPr="003443CB" w:rsidRDefault="00613963" w:rsidP="00613963">
      <w:pPr>
        <w:pStyle w:val="Heading4"/>
      </w:pPr>
      <w:bookmarkStart w:id="725" w:name="_Ref81294123"/>
      <w:r w:rsidRPr="003443CB">
        <w:t xml:space="preserve">The Market Operator shall operate the </w:t>
      </w:r>
      <w:r>
        <w:t>Credit Cover Account for Monthly Settlements in the following manner</w:t>
      </w:r>
      <w:r w:rsidRPr="003443CB">
        <w:t>:</w:t>
      </w:r>
      <w:bookmarkEnd w:id="725"/>
    </w:p>
    <w:p w14:paraId="6CDC827D" w14:textId="79FE8143" w:rsidR="00613963" w:rsidRPr="00B97ED7" w:rsidRDefault="00613963" w:rsidP="00613963">
      <w:pPr>
        <w:pStyle w:val="Heading5"/>
      </w:pPr>
      <w:r w:rsidRPr="003443CB">
        <w:t xml:space="preserve">any amounts </w:t>
      </w:r>
      <w:r>
        <w:t xml:space="preserve">paid </w:t>
      </w:r>
      <w:r w:rsidRPr="003443CB">
        <w:t xml:space="preserve">to the Market Operator in respect of </w:t>
      </w:r>
      <w:r>
        <w:t xml:space="preserve">initial amount of Security Cover for monthly Settlements or as replenishment of the </w:t>
      </w:r>
      <w:r w:rsidR="000859DC">
        <w:t>same</w:t>
      </w:r>
      <w:r w:rsidRPr="003443CB">
        <w:t xml:space="preserve">, shall be deposited </w:t>
      </w:r>
      <w:r>
        <w:t>in</w:t>
      </w:r>
      <w:r w:rsidRPr="003443CB">
        <w:t xml:space="preserve"> the Market Operator </w:t>
      </w:r>
      <w:r>
        <w:t>Credit Cover Account for Monthly Settlements</w:t>
      </w:r>
      <w:r w:rsidRPr="00B97ED7">
        <w:t>.</w:t>
      </w:r>
    </w:p>
    <w:p w14:paraId="14DDF78F" w14:textId="6866F8B9" w:rsidR="001829CC" w:rsidRDefault="00613963" w:rsidP="00613963">
      <w:pPr>
        <w:pStyle w:val="Heading5"/>
      </w:pPr>
      <w:r w:rsidRPr="00B97ED7">
        <w:t xml:space="preserve">on the </w:t>
      </w:r>
      <w:r w:rsidRPr="00BE1A24">
        <w:t>Clearing Day</w:t>
      </w:r>
      <w:r w:rsidRPr="003018FA">
        <w:t>,</w:t>
      </w:r>
      <w:r>
        <w:t xml:space="preserve"> </w:t>
      </w:r>
      <w:r w:rsidR="00822679">
        <w:t>as per requirement</w:t>
      </w:r>
      <w:r>
        <w:t xml:space="preserve">, the funds available in the </w:t>
      </w:r>
      <w:r w:rsidR="001829CC">
        <w:t xml:space="preserve">Credit Cover Account for Monthly Settlements account </w:t>
      </w:r>
      <w:r>
        <w:t>will be transferred to the Market Operator Settlement Account</w:t>
      </w:r>
      <w:r w:rsidR="001829CC">
        <w:t xml:space="preserve"> for Monthly Settlements</w:t>
      </w:r>
      <w:r>
        <w:t xml:space="preserve"> in order to make payments to Market Participants as per </w:t>
      </w:r>
      <w:r w:rsidR="001829CC">
        <w:t>monthly</w:t>
      </w:r>
      <w:r>
        <w:t xml:space="preserve"> Settlement Statements</w:t>
      </w:r>
      <w:r w:rsidRPr="003443CB">
        <w:t>.</w:t>
      </w:r>
    </w:p>
    <w:p w14:paraId="6286D697" w14:textId="274C7236" w:rsidR="00613963" w:rsidRDefault="001829CC" w:rsidP="00613963">
      <w:pPr>
        <w:pStyle w:val="Heading5"/>
      </w:pPr>
      <w:r>
        <w:t>the amounts used by the Market Operator from the Credit Cover Account for Monthly Settlements shall be replenished upon receipt of payments from the Market Participants</w:t>
      </w:r>
    </w:p>
    <w:p w14:paraId="6592D5FA" w14:textId="4EF73D44" w:rsidR="001829CC" w:rsidRPr="003443CB" w:rsidRDefault="001829CC" w:rsidP="001829CC">
      <w:pPr>
        <w:pStyle w:val="Heading4"/>
      </w:pPr>
      <w:bookmarkStart w:id="726" w:name="_Ref81294165"/>
      <w:r w:rsidRPr="003443CB">
        <w:t xml:space="preserve">The Market Operator shall operate the </w:t>
      </w:r>
      <w:r>
        <w:t>Credit Cover Account for Annual Settlements in the following manner</w:t>
      </w:r>
      <w:r w:rsidRPr="003443CB">
        <w:t>:</w:t>
      </w:r>
      <w:bookmarkEnd w:id="726"/>
    </w:p>
    <w:p w14:paraId="4D27C990" w14:textId="2E2D6005" w:rsidR="001829CC" w:rsidRPr="00B97ED7" w:rsidRDefault="001829CC" w:rsidP="001829CC">
      <w:pPr>
        <w:pStyle w:val="Heading5"/>
      </w:pPr>
      <w:r w:rsidRPr="003443CB">
        <w:lastRenderedPageBreak/>
        <w:t xml:space="preserve">any amounts </w:t>
      </w:r>
      <w:r>
        <w:t xml:space="preserve">paid </w:t>
      </w:r>
      <w:r w:rsidRPr="003443CB">
        <w:t xml:space="preserve">to the Market Operator in respect of </w:t>
      </w:r>
      <w:r>
        <w:t>Security Cover for Annual Settlements or as replenishment of the same</w:t>
      </w:r>
      <w:r w:rsidRPr="003443CB">
        <w:t xml:space="preserve">, shall be deposited </w:t>
      </w:r>
      <w:r>
        <w:t>in</w:t>
      </w:r>
      <w:r w:rsidRPr="003443CB">
        <w:t xml:space="preserve"> the Market Operator </w:t>
      </w:r>
      <w:r>
        <w:t>Credit Cover Account for Annual Settlements</w:t>
      </w:r>
      <w:r w:rsidRPr="00B97ED7">
        <w:t>.</w:t>
      </w:r>
    </w:p>
    <w:p w14:paraId="0A6C68D1" w14:textId="0B2BB0F6" w:rsidR="001829CC" w:rsidRDefault="001829CC" w:rsidP="001829CC">
      <w:pPr>
        <w:pStyle w:val="Heading5"/>
      </w:pPr>
      <w:r w:rsidRPr="00B97ED7">
        <w:t xml:space="preserve">on the </w:t>
      </w:r>
      <w:r w:rsidRPr="00BE1A24">
        <w:t>Clearing Day</w:t>
      </w:r>
      <w:r w:rsidRPr="003018FA">
        <w:t>,</w:t>
      </w:r>
      <w:r>
        <w:t xml:space="preserve"> as per requirement, the funds available in the Credit Cover Account for Annual Settlements account will be transferred to the Market Operator Settlement Account for Annual Settlements in order to make payments to Market Participants or Transmission Service Providers as per annual Settlement Statements</w:t>
      </w:r>
      <w:r w:rsidRPr="003443CB">
        <w:t>.</w:t>
      </w:r>
    </w:p>
    <w:p w14:paraId="5084A10E" w14:textId="5304A969" w:rsidR="00613963" w:rsidRPr="00613963" w:rsidRDefault="001829CC">
      <w:pPr>
        <w:pStyle w:val="Heading5"/>
      </w:pPr>
      <w:r>
        <w:t>the amounts used by the Market Operator from the Credit Cover Account for Annual Settlements shall be replenished upon receipt of payments from the Market Participants or Transmission Service Providers, as the case may be.</w:t>
      </w:r>
    </w:p>
    <w:p w14:paraId="370146A2" w14:textId="4A5D46E3" w:rsidR="009B3D17" w:rsidRPr="009B3D17" w:rsidRDefault="00D432E0" w:rsidP="009B3D17">
      <w:pPr>
        <w:pStyle w:val="Heading4"/>
      </w:pPr>
      <w:r>
        <w:t>In addition to the bank accounts mentioned above, t</w:t>
      </w:r>
      <w:r w:rsidR="009B3D17" w:rsidRPr="003443CB">
        <w:t xml:space="preserve">he Market Operator shall </w:t>
      </w:r>
      <w:r>
        <w:t xml:space="preserve">maintain and </w:t>
      </w:r>
      <w:r w:rsidR="009B3D17" w:rsidRPr="003443CB">
        <w:t xml:space="preserve">operate </w:t>
      </w:r>
      <w:r>
        <w:t>such number of bank accounts in scheduled banks as are required to</w:t>
      </w:r>
      <w:r w:rsidR="009B3D17" w:rsidRPr="003443CB">
        <w:t xml:space="preserve"> </w:t>
      </w:r>
      <w:r w:rsidR="009B3D17">
        <w:t xml:space="preserve">manage </w:t>
      </w:r>
      <w:r w:rsidR="00484506">
        <w:t>its</w:t>
      </w:r>
      <w:r w:rsidR="009B3D17">
        <w:t xml:space="preserve"> corporate finance.</w:t>
      </w:r>
    </w:p>
    <w:p w14:paraId="370C8AC9" w14:textId="0CAF4330" w:rsidR="00094FD3" w:rsidRDefault="00E4159F" w:rsidP="00C173D0">
      <w:pPr>
        <w:pStyle w:val="Heading3"/>
      </w:pPr>
      <w:r>
        <w:t xml:space="preserve">Market </w:t>
      </w:r>
      <w:r w:rsidR="00094FD3">
        <w:t xml:space="preserve">Participant’s </w:t>
      </w:r>
      <w:r w:rsidR="00D432E0">
        <w:t xml:space="preserve">bank </w:t>
      </w:r>
      <w:r w:rsidR="00094FD3">
        <w:t>Account</w:t>
      </w:r>
      <w:r w:rsidR="004334A6">
        <w:t xml:space="preserve">. </w:t>
      </w:r>
    </w:p>
    <w:p w14:paraId="77351E3A" w14:textId="5E7A4004" w:rsidR="00094FD3" w:rsidRDefault="00094FD3" w:rsidP="005B295A">
      <w:pPr>
        <w:pStyle w:val="Heading4"/>
      </w:pPr>
      <w:r>
        <w:t xml:space="preserve">Each </w:t>
      </w:r>
      <w:r w:rsidR="00136176">
        <w:t>Market Participant</w:t>
      </w:r>
      <w:r w:rsidR="00783181">
        <w:t xml:space="preserve">, except </w:t>
      </w:r>
      <w:r w:rsidR="00BF564D">
        <w:t>Electric Power Supplier</w:t>
      </w:r>
      <w:r w:rsidR="00783181">
        <w:t>s segregated from EX-WAPDA DISCOs,</w:t>
      </w:r>
      <w:r>
        <w:t xml:space="preserve"> shall maintain a bank account with a </w:t>
      </w:r>
      <w:r w:rsidR="0068349B">
        <w:t xml:space="preserve">scheduled </w:t>
      </w:r>
      <w:r>
        <w:t>bank</w:t>
      </w:r>
      <w:r w:rsidR="00F35503">
        <w:t>(s) approved by the Market Operator</w:t>
      </w:r>
      <w:r>
        <w:t xml:space="preserve"> from which payments to, and </w:t>
      </w:r>
      <w:r w:rsidR="0068349B">
        <w:t>from</w:t>
      </w:r>
      <w:r>
        <w:t xml:space="preserve">, the Market Operator shall be made pursuant to </w:t>
      </w:r>
      <w:r w:rsidR="00F05124">
        <w:t>this Code</w:t>
      </w:r>
      <w:r>
        <w:t xml:space="preserve">. No </w:t>
      </w:r>
      <w:r w:rsidR="00136176">
        <w:t>Market Participant</w:t>
      </w:r>
      <w:r>
        <w:t xml:space="preserve"> shall </w:t>
      </w:r>
      <w:r w:rsidR="0068349B">
        <w:t xml:space="preserve">make </w:t>
      </w:r>
      <w:r>
        <w:t>any change to its bank account without giving a prior written notice to the Market Operator of no</w:t>
      </w:r>
      <w:r w:rsidR="0068349B">
        <w:t>t</w:t>
      </w:r>
      <w:r>
        <w:t xml:space="preserve"> less than </w:t>
      </w:r>
      <w:r w:rsidR="00522692">
        <w:t>ten [</w:t>
      </w:r>
      <w:r>
        <w:t>1</w:t>
      </w:r>
      <w:r w:rsidR="00522692">
        <w:t>0]</w:t>
      </w:r>
      <w:r>
        <w:t xml:space="preserve"> Business Days.</w:t>
      </w:r>
    </w:p>
    <w:p w14:paraId="0DB95984" w14:textId="459DF766" w:rsidR="003443CB" w:rsidRDefault="003443CB" w:rsidP="00C173D0">
      <w:pPr>
        <w:pStyle w:val="Heading3"/>
      </w:pPr>
      <w:r>
        <w:t xml:space="preserve">Service Provider’s Account. </w:t>
      </w:r>
    </w:p>
    <w:p w14:paraId="1AABDDC5" w14:textId="078A46BE" w:rsidR="003443CB" w:rsidRDefault="003443CB" w:rsidP="005B295A">
      <w:pPr>
        <w:pStyle w:val="Heading4"/>
      </w:pPr>
      <w:r>
        <w:t>Each Transmission</w:t>
      </w:r>
      <w:r w:rsidR="00270434">
        <w:t xml:space="preserve"> Service Provider</w:t>
      </w:r>
      <w:r>
        <w:t xml:space="preserve"> and, if </w:t>
      </w:r>
      <w:r w:rsidR="00270434">
        <w:t>applicable</w:t>
      </w:r>
      <w:r>
        <w:t xml:space="preserve">, </w:t>
      </w:r>
      <w:r w:rsidRPr="00B03C4A">
        <w:t>Metering Service Provider</w:t>
      </w:r>
      <w:r>
        <w:t xml:space="preserve"> shall maintain a bank account, with </w:t>
      </w:r>
      <w:r w:rsidR="00F35503">
        <w:t>a scheduled bank(s) approved by the Market Operator</w:t>
      </w:r>
      <w:r w:rsidR="00F35503" w:rsidDel="00F35503">
        <w:t xml:space="preserve"> </w:t>
      </w:r>
      <w:r>
        <w:t>from which payments to</w:t>
      </w:r>
      <w:r w:rsidR="00270434">
        <w:t>,</w:t>
      </w:r>
      <w:r>
        <w:t xml:space="preserve"> </w:t>
      </w:r>
      <w:r w:rsidR="00270434">
        <w:t>and from,</w:t>
      </w:r>
      <w:r w:rsidR="00270434" w:rsidDel="001A6019">
        <w:t xml:space="preserve"> </w:t>
      </w:r>
      <w:r>
        <w:t xml:space="preserve">the Market Operator shall be made pursuant to </w:t>
      </w:r>
      <w:r w:rsidR="00F05124">
        <w:t>this Code</w:t>
      </w:r>
      <w:r>
        <w:t xml:space="preserve">. </w:t>
      </w:r>
      <w:r w:rsidR="007A685B">
        <w:t>The</w:t>
      </w:r>
      <w:r>
        <w:t xml:space="preserve"> Transmission</w:t>
      </w:r>
      <w:r w:rsidR="00270434">
        <w:t xml:space="preserve"> Service Provider</w:t>
      </w:r>
      <w:r>
        <w:t xml:space="preserve"> </w:t>
      </w:r>
      <w:r w:rsidRPr="00B03C4A">
        <w:t>nor Metering Service Providers</w:t>
      </w:r>
      <w:r>
        <w:t xml:space="preserve"> shall </w:t>
      </w:r>
      <w:r w:rsidR="0068349B">
        <w:t xml:space="preserve">make </w:t>
      </w:r>
      <w:r>
        <w:t>any change to its bank account without giving a prior written notice to the Market Operator of no</w:t>
      </w:r>
      <w:r w:rsidR="007A685B">
        <w:t>t</w:t>
      </w:r>
      <w:r>
        <w:t xml:space="preserve"> less than ten [10] Business Days.</w:t>
      </w:r>
    </w:p>
    <w:p w14:paraId="7DD7E443" w14:textId="289E1EC6" w:rsidR="00783181" w:rsidRDefault="00FB35D4" w:rsidP="00783181">
      <w:pPr>
        <w:pStyle w:val="Heading3"/>
      </w:pPr>
      <w:r>
        <w:t>Designated</w:t>
      </w:r>
      <w:r w:rsidR="009A7C27">
        <w:t xml:space="preserve"> Account </w:t>
      </w:r>
      <w:r>
        <w:t>of</w:t>
      </w:r>
      <w:r w:rsidR="009A7C27">
        <w:t xml:space="preserve"> </w:t>
      </w:r>
      <w:r w:rsidR="00BF564D">
        <w:t>Electric Power Supplier</w:t>
      </w:r>
      <w:r w:rsidR="009A7C27">
        <w:t xml:space="preserve">s </w:t>
      </w:r>
      <w:r w:rsidR="00A35DCC">
        <w:t>of</w:t>
      </w:r>
      <w:r w:rsidR="009A7C27">
        <w:t xml:space="preserve"> EX-WAPDA DISCOs</w:t>
      </w:r>
      <w:r>
        <w:t xml:space="preserve"> for Market Settlements</w:t>
      </w:r>
      <w:r w:rsidR="00783181">
        <w:t xml:space="preserve">. </w:t>
      </w:r>
    </w:p>
    <w:p w14:paraId="59D3C725" w14:textId="49DD2935" w:rsidR="00A37CEA" w:rsidRDefault="00FB35D4" w:rsidP="009A7C27">
      <w:pPr>
        <w:pStyle w:val="Heading4"/>
      </w:pPr>
      <w:bookmarkStart w:id="727" w:name="_Ref76976109"/>
      <w:r>
        <w:t>Each</w:t>
      </w:r>
      <w:r w:rsidR="00A37CEA">
        <w:t xml:space="preserve"> </w:t>
      </w:r>
      <w:r w:rsidR="00BF564D">
        <w:t>Electric Power Supplier</w:t>
      </w:r>
      <w:r w:rsidR="00A37CEA">
        <w:t xml:space="preserve">/DISCO shall </w:t>
      </w:r>
      <w:r w:rsidR="005D7476">
        <w:t>open and</w:t>
      </w:r>
      <w:r w:rsidR="00B12E19">
        <w:t>/or</w:t>
      </w:r>
      <w:r w:rsidR="005D7476">
        <w:t xml:space="preserve"> maintain a</w:t>
      </w:r>
      <w:r w:rsidR="00060824">
        <w:t xml:space="preserve"> Designated A</w:t>
      </w:r>
      <w:r w:rsidR="00A37CEA">
        <w:t>ccount</w:t>
      </w:r>
      <w:r w:rsidR="005D7476">
        <w:t xml:space="preserve"> for </w:t>
      </w:r>
      <w:r>
        <w:t>the</w:t>
      </w:r>
      <w:r w:rsidR="005D7476">
        <w:t xml:space="preserve"> purpose</w:t>
      </w:r>
      <w:r>
        <w:t>s of settlements</w:t>
      </w:r>
      <w:r w:rsidR="00060824">
        <w:t xml:space="preserve"> with the Market Operator </w:t>
      </w:r>
      <w:r w:rsidR="00E92FF2">
        <w:t xml:space="preserve">as per </w:t>
      </w:r>
      <w:r w:rsidR="00421A4E">
        <w:t>this Code</w:t>
      </w:r>
      <w:r w:rsidR="00A37CEA">
        <w:t xml:space="preserve"> </w:t>
      </w:r>
      <w:r w:rsidR="00A37CEA" w:rsidRPr="00770F1E">
        <w:t xml:space="preserve">in a </w:t>
      </w:r>
      <w:r w:rsidR="00714160">
        <w:t>Designated B</w:t>
      </w:r>
      <w:r w:rsidR="00A37CEA" w:rsidRPr="00770F1E">
        <w:t>ank having a minimum short term and long term credit rating of “A” and above as published by the State Bank of Pakistan</w:t>
      </w:r>
      <w:r w:rsidR="005D7476">
        <w:t xml:space="preserve"> </w:t>
      </w:r>
      <w:r w:rsidR="005D7476" w:rsidRPr="00770F1E">
        <w:t>that receive, accept and process immediately any payment in accordance with the irrevocable mandate to operate in accordance with the standing instruction given</w:t>
      </w:r>
      <w:r w:rsidR="005D7476">
        <w:t xml:space="preserve"> </w:t>
      </w:r>
      <w:r w:rsidR="00B97ED7">
        <w:t xml:space="preserve">in </w:t>
      </w:r>
      <w:r w:rsidR="005D7476" w:rsidRPr="00770F1E">
        <w:t xml:space="preserve">Clause </w:t>
      </w:r>
      <w:r w:rsidR="005D7476" w:rsidRPr="00770F1E">
        <w:fldChar w:fldCharType="begin"/>
      </w:r>
      <w:r w:rsidR="005D7476" w:rsidRPr="00770F1E">
        <w:instrText xml:space="preserve"> REF _Ref76396752 \w \h </w:instrText>
      </w:r>
      <w:r w:rsidR="005D7476">
        <w:instrText xml:space="preserve"> \* MERGEFORMAT </w:instrText>
      </w:r>
      <w:r w:rsidR="005D7476" w:rsidRPr="00770F1E">
        <w:fldChar w:fldCharType="separate"/>
      </w:r>
      <w:r w:rsidR="005D7476" w:rsidRPr="00770F1E">
        <w:t>13.1.4.4</w:t>
      </w:r>
      <w:r w:rsidR="005D7476" w:rsidRPr="00770F1E">
        <w:fldChar w:fldCharType="end"/>
      </w:r>
      <w:r w:rsidR="005D7476">
        <w:t>.</w:t>
      </w:r>
      <w:bookmarkEnd w:id="727"/>
    </w:p>
    <w:p w14:paraId="41EE95D1" w14:textId="234C0275" w:rsidR="00060824" w:rsidRPr="00060824" w:rsidRDefault="00060824">
      <w:pPr>
        <w:pStyle w:val="Heading4"/>
      </w:pPr>
      <w:r>
        <w:t>The Market Operator, each Electric</w:t>
      </w:r>
      <w:r w:rsidRPr="00060824">
        <w:t xml:space="preserve"> </w:t>
      </w:r>
      <w:r>
        <w:t xml:space="preserve">Power Supplier/DISCO and the Designated Bank shall enter into an agreement to operate the Designated Account as per the terms and condition agreed and provision of </w:t>
      </w:r>
      <w:r w:rsidRPr="00770F1E">
        <w:t xml:space="preserve">Clause </w:t>
      </w:r>
      <w:r w:rsidRPr="00770F1E">
        <w:fldChar w:fldCharType="begin"/>
      </w:r>
      <w:r w:rsidRPr="00770F1E">
        <w:instrText xml:space="preserve"> REF _Ref76396752 \w \h </w:instrText>
      </w:r>
      <w:r>
        <w:instrText xml:space="preserve"> \* MERGEFORMAT </w:instrText>
      </w:r>
      <w:r w:rsidRPr="00770F1E">
        <w:fldChar w:fldCharType="separate"/>
      </w:r>
      <w:r w:rsidRPr="00770F1E">
        <w:t>13.1.4.4</w:t>
      </w:r>
      <w:r w:rsidRPr="00770F1E">
        <w:fldChar w:fldCharType="end"/>
      </w:r>
      <w:r>
        <w:t>.</w:t>
      </w:r>
    </w:p>
    <w:p w14:paraId="166AC5CF" w14:textId="19F1B210" w:rsidR="0018259B" w:rsidRDefault="0018259B" w:rsidP="0018259B">
      <w:pPr>
        <w:pStyle w:val="Heading4"/>
      </w:pPr>
      <w:r w:rsidRPr="00E92FF2">
        <w:t xml:space="preserve">Each </w:t>
      </w:r>
      <w:r w:rsidR="00E92FF2" w:rsidRPr="00B03C4A">
        <w:t>D</w:t>
      </w:r>
      <w:r w:rsidRPr="00E92FF2">
        <w:t>esignated Account</w:t>
      </w:r>
      <w:r w:rsidR="008F46FC" w:rsidRPr="00E92FF2">
        <w:t xml:space="preserve"> shall</w:t>
      </w:r>
      <w:r>
        <w:t xml:space="preserve"> receive </w:t>
      </w:r>
      <w:r w:rsidR="001829CC">
        <w:t>a significant po</w:t>
      </w:r>
      <w:r w:rsidR="00D52595">
        <w:t>r</w:t>
      </w:r>
      <w:r w:rsidR="001829CC">
        <w:t>tion</w:t>
      </w:r>
      <w:r w:rsidR="00B12E19">
        <w:t>, to be determined on case to case basis,</w:t>
      </w:r>
      <w:r w:rsidR="00714160">
        <w:t xml:space="preserve"> </w:t>
      </w:r>
      <w:r w:rsidR="001829CC">
        <w:t>of the revenues</w:t>
      </w:r>
      <w:r>
        <w:t xml:space="preserve"> from sale of </w:t>
      </w:r>
      <w:r w:rsidR="005D7476">
        <w:t>electric power</w:t>
      </w:r>
      <w:r>
        <w:t xml:space="preserve"> </w:t>
      </w:r>
      <w:r w:rsidRPr="00B03C4A">
        <w:t xml:space="preserve">through main </w:t>
      </w:r>
      <w:r w:rsidR="009A7964" w:rsidRPr="00B03C4A">
        <w:t>Revenue Collection Bank Accounts</w:t>
      </w:r>
      <w:r w:rsidRPr="0002343C">
        <w:rPr>
          <w:strike/>
        </w:rPr>
        <w:t>.</w:t>
      </w:r>
    </w:p>
    <w:p w14:paraId="193353F1" w14:textId="1E54E81A" w:rsidR="0018259B" w:rsidRDefault="0018259B" w:rsidP="008F46FC">
      <w:pPr>
        <w:pStyle w:val="Heading4"/>
      </w:pPr>
      <w:r>
        <w:lastRenderedPageBreak/>
        <w:t xml:space="preserve">The </w:t>
      </w:r>
      <w:r w:rsidR="00421A4E">
        <w:t>Designated</w:t>
      </w:r>
      <w:r>
        <w:t xml:space="preserve"> Account </w:t>
      </w:r>
      <w:r w:rsidR="00790F41">
        <w:t>shall</w:t>
      </w:r>
      <w:r>
        <w:t xml:space="preserve"> be operated </w:t>
      </w:r>
      <w:r w:rsidR="00FA509B">
        <w:t>in accordance with the</w:t>
      </w:r>
      <w:r>
        <w:t xml:space="preserve"> standing instructions</w:t>
      </w:r>
      <w:r w:rsidR="00FA509B">
        <w:t>,</w:t>
      </w:r>
      <w:r w:rsidR="00790F41">
        <w:t xml:space="preserve"> issued</w:t>
      </w:r>
      <w:r w:rsidR="00FA509B">
        <w:t xml:space="preserve"> prior to</w:t>
      </w:r>
      <w:r w:rsidR="00FA509B" w:rsidRPr="000A2C34">
        <w:t xml:space="preserve"> CMOD</w:t>
      </w:r>
      <w:r w:rsidR="00FA509B">
        <w:t>,</w:t>
      </w:r>
      <w:r w:rsidR="00790F41">
        <w:t xml:space="preserve"> by the Market </w:t>
      </w:r>
      <w:r w:rsidR="00790F41" w:rsidRPr="00E92FF2">
        <w:t xml:space="preserve">Operator and </w:t>
      </w:r>
      <w:r w:rsidR="00714160" w:rsidRPr="00E92FF2">
        <w:t>the relevant Electric Power Supplier</w:t>
      </w:r>
      <w:r w:rsidR="00790F41" w:rsidRPr="00E92FF2">
        <w:t xml:space="preserve"> jointly, as </w:t>
      </w:r>
      <w:r w:rsidR="00FA509B" w:rsidRPr="00E92FF2">
        <w:t xml:space="preserve">provided </w:t>
      </w:r>
      <w:r w:rsidR="00790F41" w:rsidRPr="00E92FF2">
        <w:t xml:space="preserve">in Clause </w:t>
      </w:r>
      <w:r w:rsidR="00B97ED7" w:rsidRPr="00B03C4A">
        <w:fldChar w:fldCharType="begin"/>
      </w:r>
      <w:r w:rsidR="00B97ED7" w:rsidRPr="00E92FF2">
        <w:instrText xml:space="preserve"> REF _Ref76396752 \w \h  \* MERGEFORMAT </w:instrText>
      </w:r>
      <w:r w:rsidR="00B97ED7" w:rsidRPr="00B03C4A">
        <w:fldChar w:fldCharType="separate"/>
      </w:r>
      <w:r w:rsidR="00B97ED7" w:rsidRPr="00E92FF2">
        <w:t>13.1.4.4</w:t>
      </w:r>
      <w:r w:rsidR="00B97ED7" w:rsidRPr="00B03C4A">
        <w:fldChar w:fldCharType="end"/>
      </w:r>
      <w:r w:rsidR="00790F41" w:rsidRPr="00E92FF2">
        <w:t xml:space="preserve">, as well as the terms and conditions of the </w:t>
      </w:r>
      <w:r w:rsidR="00714160" w:rsidRPr="00B03C4A">
        <w:t xml:space="preserve">agreement entered into among the Market Operator, the </w:t>
      </w:r>
      <w:r w:rsidR="00D52595" w:rsidRPr="00B03C4A">
        <w:t>D</w:t>
      </w:r>
      <w:r w:rsidR="00714160" w:rsidRPr="00B03C4A">
        <w:t xml:space="preserve">esignated </w:t>
      </w:r>
      <w:r w:rsidR="00D52595" w:rsidRPr="00B03C4A">
        <w:t>B</w:t>
      </w:r>
      <w:r w:rsidR="00714160" w:rsidRPr="00B03C4A">
        <w:t>ank and the relevant Electric Power Supplier</w:t>
      </w:r>
      <w:r w:rsidR="00790F41" w:rsidRPr="00E92FF2">
        <w:t xml:space="preserve"> </w:t>
      </w:r>
      <w:r w:rsidRPr="00E92FF2">
        <w:t>for disbursement</w:t>
      </w:r>
      <w:r>
        <w:t xml:space="preserve"> of </w:t>
      </w:r>
      <w:r w:rsidR="00790F41">
        <w:t>payments</w:t>
      </w:r>
      <w:r>
        <w:t xml:space="preserve"> to the Market Operator</w:t>
      </w:r>
      <w:r w:rsidR="0002343C">
        <w:t xml:space="preserve"> and the</w:t>
      </w:r>
      <w:r>
        <w:t xml:space="preserve"> </w:t>
      </w:r>
      <w:r w:rsidR="00BF564D">
        <w:t>Electric Power Supplier</w:t>
      </w:r>
      <w:r>
        <w:t xml:space="preserve">. Such standing instructions shall </w:t>
      </w:r>
      <w:r w:rsidR="00FA509B">
        <w:t>be</w:t>
      </w:r>
      <w:r>
        <w:t xml:space="preserve"> review</w:t>
      </w:r>
      <w:r w:rsidR="00FA509B">
        <w:t>ed on periodic basis by the Market</w:t>
      </w:r>
      <w:r w:rsidR="00714160">
        <w:t xml:space="preserve"> Operator</w:t>
      </w:r>
      <w:r w:rsidR="00FA509B">
        <w:t xml:space="preserve"> </w:t>
      </w:r>
      <w:r w:rsidR="00D47F0C">
        <w:t xml:space="preserve">and the relevant Electric Power Supplier </w:t>
      </w:r>
      <w:r w:rsidR="00FA509B">
        <w:t>jointly</w:t>
      </w:r>
      <w:r>
        <w:t xml:space="preserve"> and necessary </w:t>
      </w:r>
      <w:r w:rsidR="00FA509B">
        <w:t>amendments shall be made.</w:t>
      </w:r>
      <w:r>
        <w:t xml:space="preserve"> </w:t>
      </w:r>
    </w:p>
    <w:p w14:paraId="612811CD" w14:textId="2071EB3D" w:rsidR="0018259B" w:rsidRDefault="00D47F0C" w:rsidP="008F46FC">
      <w:pPr>
        <w:pStyle w:val="Heading4"/>
      </w:pPr>
      <w:bookmarkStart w:id="728" w:name="_Ref76396752"/>
      <w:r>
        <w:t xml:space="preserve">The </w:t>
      </w:r>
      <w:r w:rsidR="00714160">
        <w:t>D</w:t>
      </w:r>
      <w:r>
        <w:t xml:space="preserve">esignated </w:t>
      </w:r>
      <w:r w:rsidR="00714160">
        <w:t>B</w:t>
      </w:r>
      <w:r>
        <w:t>ank</w:t>
      </w:r>
      <w:r w:rsidR="0018259B">
        <w:t xml:space="preserve"> </w:t>
      </w:r>
      <w:r w:rsidR="00FA509B">
        <w:t>shall</w:t>
      </w:r>
      <w:r w:rsidR="0018259B">
        <w:t xml:space="preserve"> be responsible for the timely disbursement of the </w:t>
      </w:r>
      <w:r w:rsidR="00FA509B">
        <w:t>payments</w:t>
      </w:r>
      <w:r w:rsidR="0018259B">
        <w:t xml:space="preserve"> </w:t>
      </w:r>
      <w:r w:rsidR="00FA509B">
        <w:t>from</w:t>
      </w:r>
      <w:r w:rsidR="0018259B">
        <w:t xml:space="preserve"> the </w:t>
      </w:r>
      <w:r w:rsidR="00421A4E">
        <w:t>D</w:t>
      </w:r>
      <w:r w:rsidR="0018259B">
        <w:t xml:space="preserve">esignated </w:t>
      </w:r>
      <w:r w:rsidR="0018259B" w:rsidRPr="00714160">
        <w:t>Account</w:t>
      </w:r>
      <w:r w:rsidR="0018259B">
        <w:t xml:space="preserve"> of </w:t>
      </w:r>
      <w:r w:rsidR="008F46FC">
        <w:t xml:space="preserve">such </w:t>
      </w:r>
      <w:r w:rsidR="00BF564D">
        <w:t>Electric Power Supplier</w:t>
      </w:r>
      <w:r w:rsidR="0018259B">
        <w:t xml:space="preserve"> to </w:t>
      </w:r>
      <w:r>
        <w:t>the Market Operator Settlement Accounts on receipt of instructions from the Market Operat</w:t>
      </w:r>
      <w:bookmarkEnd w:id="728"/>
      <w:r>
        <w:t>or</w:t>
      </w:r>
      <w:r w:rsidR="00D52595">
        <w:t xml:space="preserve"> and the relevant Electric Power Supplier</w:t>
      </w:r>
      <w:r>
        <w:t xml:space="preserve"> as stated below</w:t>
      </w:r>
      <w:r w:rsidR="00D52595">
        <w:t>:</w:t>
      </w:r>
      <w:r>
        <w:t xml:space="preserve"> </w:t>
      </w:r>
    </w:p>
    <w:p w14:paraId="593FC9BA" w14:textId="4D5A40E7" w:rsidR="0018259B" w:rsidRDefault="008F46FC" w:rsidP="008F46FC">
      <w:pPr>
        <w:pStyle w:val="Heading5"/>
      </w:pPr>
      <w:bookmarkStart w:id="729" w:name="_Ref76397356"/>
      <w:r>
        <w:t>t</w:t>
      </w:r>
      <w:r w:rsidR="0018259B">
        <w:t xml:space="preserve">he </w:t>
      </w:r>
      <w:r w:rsidR="0036611F">
        <w:t>D</w:t>
      </w:r>
      <w:r w:rsidR="00714160">
        <w:t xml:space="preserve">esignated </w:t>
      </w:r>
      <w:r w:rsidR="0036611F">
        <w:t>B</w:t>
      </w:r>
      <w:r w:rsidR="00714160">
        <w:t xml:space="preserve">ank </w:t>
      </w:r>
      <w:r w:rsidR="0018259B">
        <w:t xml:space="preserve">shall order the transfer of payments </w:t>
      </w:r>
      <w:r w:rsidR="00DF0388">
        <w:t>as per the</w:t>
      </w:r>
      <w:r w:rsidR="0018259B">
        <w:t xml:space="preserve"> </w:t>
      </w:r>
      <w:r w:rsidR="00DF0388">
        <w:t xml:space="preserve">instructions issued by the Market Operator for </w:t>
      </w:r>
      <w:r w:rsidR="0018259B">
        <w:t xml:space="preserve">the </w:t>
      </w:r>
      <w:r w:rsidR="00DF0388">
        <w:t xml:space="preserve">payment of amounts </w:t>
      </w:r>
      <w:r w:rsidR="008A5279">
        <w:t xml:space="preserve">on account of </w:t>
      </w:r>
      <w:r w:rsidR="0018259B">
        <w:t>Settlement Guarantee Fund to the Market Operator Settlement Account</w:t>
      </w:r>
      <w:r w:rsidR="00B12E19">
        <w:t xml:space="preserve"> for Monthly Settlements</w:t>
      </w:r>
      <w:r w:rsidR="0018259B">
        <w:t>.</w:t>
      </w:r>
      <w:bookmarkEnd w:id="729"/>
    </w:p>
    <w:p w14:paraId="7F2ABFC1" w14:textId="1AD0941E" w:rsidR="0018259B" w:rsidRDefault="008F46FC" w:rsidP="008F46FC">
      <w:pPr>
        <w:pStyle w:val="Heading5"/>
      </w:pPr>
      <w:bookmarkStart w:id="730" w:name="_Ref76397457"/>
      <w:r>
        <w:t>w</w:t>
      </w:r>
      <w:r w:rsidR="0018259B">
        <w:t xml:space="preserve">hen funds remain in the </w:t>
      </w:r>
      <w:r w:rsidR="000E1D74">
        <w:t xml:space="preserve">Designated Account </w:t>
      </w:r>
      <w:r w:rsidR="0018259B">
        <w:t xml:space="preserve">after payment </w:t>
      </w:r>
      <w:r w:rsidR="008A5279">
        <w:t xml:space="preserve">of amounts on account </w:t>
      </w:r>
      <w:r w:rsidR="0018259B">
        <w:t xml:space="preserve">of </w:t>
      </w:r>
      <w:r w:rsidR="0018271D">
        <w:t>S</w:t>
      </w:r>
      <w:r w:rsidR="0018259B">
        <w:t xml:space="preserve">ettlement </w:t>
      </w:r>
      <w:r w:rsidR="0018271D">
        <w:t>G</w:t>
      </w:r>
      <w:r w:rsidR="0018259B">
        <w:t xml:space="preserve">uarantee </w:t>
      </w:r>
      <w:r w:rsidR="0018271D">
        <w:t>F</w:t>
      </w:r>
      <w:r w:rsidR="0018259B">
        <w:t>und</w:t>
      </w:r>
      <w:r w:rsidR="008C4EBF">
        <w:t xml:space="preserve"> under Clause </w:t>
      </w:r>
      <w:r w:rsidR="008C4EBF">
        <w:fldChar w:fldCharType="begin"/>
      </w:r>
      <w:r w:rsidR="008C4EBF">
        <w:instrText xml:space="preserve"> REF _Ref76397356 \w \h </w:instrText>
      </w:r>
      <w:r w:rsidR="008C4EBF">
        <w:fldChar w:fldCharType="separate"/>
      </w:r>
      <w:r w:rsidR="008C4EBF">
        <w:t>13.1.4.4.a)</w:t>
      </w:r>
      <w:r w:rsidR="008C4EBF">
        <w:fldChar w:fldCharType="end"/>
      </w:r>
      <w:r w:rsidR="008C4EBF">
        <w:t xml:space="preserve"> above</w:t>
      </w:r>
      <w:r w:rsidR="0018259B">
        <w:t xml:space="preserve">, the </w:t>
      </w:r>
      <w:r w:rsidR="00714160">
        <w:t xml:space="preserve">Designated </w:t>
      </w:r>
      <w:r w:rsidR="0036611F">
        <w:t>B</w:t>
      </w:r>
      <w:r w:rsidR="00714160">
        <w:t>ank</w:t>
      </w:r>
      <w:r w:rsidR="0018259B">
        <w:t xml:space="preserve"> shall order the transfer of payments </w:t>
      </w:r>
      <w:r w:rsidR="008A5279">
        <w:t>on account of</w:t>
      </w:r>
      <w:r w:rsidR="0018259B">
        <w:t xml:space="preserve"> the </w:t>
      </w:r>
      <w:r w:rsidR="008A5279">
        <w:t>i</w:t>
      </w:r>
      <w:r w:rsidR="0018259B">
        <w:t xml:space="preserve">nitial </w:t>
      </w:r>
      <w:r>
        <w:t>Security</w:t>
      </w:r>
      <w:r w:rsidR="0018259B">
        <w:t xml:space="preserve"> Cover as </w:t>
      </w:r>
      <w:r w:rsidR="008A5279">
        <w:t>instructed</w:t>
      </w:r>
      <w:r w:rsidR="0018259B">
        <w:t xml:space="preserve"> by the Market Operator, to the Market Operator </w:t>
      </w:r>
      <w:r w:rsidR="0018271D">
        <w:t>Settlement</w:t>
      </w:r>
      <w:r w:rsidR="0018259B">
        <w:t xml:space="preserve"> Account</w:t>
      </w:r>
      <w:r w:rsidR="0036611F">
        <w:t xml:space="preserve"> for Monthly Settlements</w:t>
      </w:r>
      <w:r w:rsidR="0018259B">
        <w:t>.</w:t>
      </w:r>
      <w:bookmarkEnd w:id="730"/>
    </w:p>
    <w:p w14:paraId="260B517E" w14:textId="64897DB9" w:rsidR="0018259B" w:rsidRDefault="008F46FC" w:rsidP="008F46FC">
      <w:pPr>
        <w:pStyle w:val="Heading5"/>
      </w:pPr>
      <w:bookmarkStart w:id="731" w:name="_Ref76397530"/>
      <w:r>
        <w:t>w</w:t>
      </w:r>
      <w:r w:rsidR="0018259B">
        <w:t>hen funds remain in the Designated Escrow Account after payment</w:t>
      </w:r>
      <w:r w:rsidR="008A5279">
        <w:t xml:space="preserve"> of amounts</w:t>
      </w:r>
      <w:r w:rsidR="0018259B">
        <w:t xml:space="preserve"> </w:t>
      </w:r>
      <w:r w:rsidR="008A5279">
        <w:t>on account of</w:t>
      </w:r>
      <w:r w:rsidR="0018259B">
        <w:t xml:space="preserve"> initial </w:t>
      </w:r>
      <w:r>
        <w:t>Security</w:t>
      </w:r>
      <w:r w:rsidR="0018259B">
        <w:t xml:space="preserve"> </w:t>
      </w:r>
      <w:r>
        <w:t>C</w:t>
      </w:r>
      <w:r w:rsidR="0018259B">
        <w:t>over</w:t>
      </w:r>
      <w:r w:rsidR="008C4EBF">
        <w:t xml:space="preserve"> under Clause </w:t>
      </w:r>
      <w:r w:rsidR="008C4EBF">
        <w:fldChar w:fldCharType="begin"/>
      </w:r>
      <w:r w:rsidR="008C4EBF">
        <w:instrText xml:space="preserve"> REF _Ref76397457 \w \h </w:instrText>
      </w:r>
      <w:r w:rsidR="008C4EBF">
        <w:fldChar w:fldCharType="separate"/>
      </w:r>
      <w:r w:rsidR="008C4EBF">
        <w:t>13.1.4.4.b)</w:t>
      </w:r>
      <w:r w:rsidR="008C4EBF">
        <w:fldChar w:fldCharType="end"/>
      </w:r>
      <w:r w:rsidR="008C4EBF">
        <w:t xml:space="preserve"> above</w:t>
      </w:r>
      <w:r w:rsidR="0018259B">
        <w:t xml:space="preserve">, the </w:t>
      </w:r>
      <w:r w:rsidR="00714160">
        <w:t xml:space="preserve">Designated </w:t>
      </w:r>
      <w:r w:rsidR="0036611F">
        <w:t>B</w:t>
      </w:r>
      <w:r w:rsidR="00714160">
        <w:t>ank</w:t>
      </w:r>
      <w:r w:rsidR="0018259B">
        <w:t xml:space="preserve"> shall order the transfer of payments </w:t>
      </w:r>
      <w:r w:rsidR="008A5279">
        <w:t>on account of</w:t>
      </w:r>
      <w:r w:rsidR="0018259B">
        <w:t xml:space="preserve"> any</w:t>
      </w:r>
      <w:r w:rsidR="008A5279">
        <w:t xml:space="preserve"> instruction issued by the Market Operator</w:t>
      </w:r>
      <w:r w:rsidR="0018259B">
        <w:t xml:space="preserve"> </w:t>
      </w:r>
      <w:r w:rsidR="00091DBE">
        <w:t xml:space="preserve">pursuant to </w:t>
      </w:r>
      <w:r w:rsidR="00580C72">
        <w:t xml:space="preserve">any </w:t>
      </w:r>
      <w:r w:rsidR="00091DBE">
        <w:t>Settlement Statement</w:t>
      </w:r>
      <w:r w:rsidR="00580C72">
        <w:t xml:space="preserve"> and the resulting Debit Notifications</w:t>
      </w:r>
      <w:r w:rsidR="008A5279">
        <w:t xml:space="preserve"> </w:t>
      </w:r>
      <w:r w:rsidR="0018259B">
        <w:t>to the Market Operator</w:t>
      </w:r>
      <w:r w:rsidR="00580C72">
        <w:t>’s</w:t>
      </w:r>
      <w:r w:rsidR="0018259B">
        <w:t xml:space="preserve"> </w:t>
      </w:r>
      <w:r w:rsidR="0018271D">
        <w:t>Settlement</w:t>
      </w:r>
      <w:r w:rsidR="0018259B">
        <w:t xml:space="preserve"> Account</w:t>
      </w:r>
      <w:r w:rsidR="0036611F">
        <w:t xml:space="preserve"> for Monthly Settlement or Market Operator’s Settlement Account for Annual Settlement, as the case may be</w:t>
      </w:r>
      <w:r w:rsidR="0018259B">
        <w:t>.</w:t>
      </w:r>
      <w:bookmarkEnd w:id="731"/>
      <w:r w:rsidR="0018259B">
        <w:t xml:space="preserve"> </w:t>
      </w:r>
    </w:p>
    <w:p w14:paraId="7ED7FE79" w14:textId="2745EC49" w:rsidR="0018271D" w:rsidRDefault="0018271D" w:rsidP="0018271D">
      <w:pPr>
        <w:pStyle w:val="Heading5"/>
      </w:pPr>
      <w:bookmarkStart w:id="732" w:name="_Ref76397648"/>
      <w:r>
        <w:t xml:space="preserve">when funds remain in the Designated Escrow Account after payment of </w:t>
      </w:r>
      <w:r w:rsidR="00580C72">
        <w:t xml:space="preserve">amount on account of instruction issued by the Market Operator </w:t>
      </w:r>
      <w:r w:rsidR="008C4EBF">
        <w:t xml:space="preserve">under Clause </w:t>
      </w:r>
      <w:r w:rsidR="008C4EBF">
        <w:fldChar w:fldCharType="begin"/>
      </w:r>
      <w:r w:rsidR="008C4EBF">
        <w:instrText xml:space="preserve"> REF _Ref76397530 \w \h </w:instrText>
      </w:r>
      <w:r w:rsidR="008C4EBF">
        <w:fldChar w:fldCharType="separate"/>
      </w:r>
      <w:r w:rsidR="008C4EBF">
        <w:t>13.1.4.4.c)</w:t>
      </w:r>
      <w:r w:rsidR="008C4EBF">
        <w:fldChar w:fldCharType="end"/>
      </w:r>
      <w:r w:rsidR="008C4EBF">
        <w:t xml:space="preserve"> above</w:t>
      </w:r>
      <w:r>
        <w:t xml:space="preserve">, the </w:t>
      </w:r>
      <w:r w:rsidR="00714160">
        <w:t xml:space="preserve">Designated </w:t>
      </w:r>
      <w:r w:rsidR="0036611F">
        <w:t>B</w:t>
      </w:r>
      <w:r w:rsidR="00714160">
        <w:t>ank</w:t>
      </w:r>
      <w:r>
        <w:t xml:space="preserve"> shall order the transfer of payments </w:t>
      </w:r>
      <w:r w:rsidR="00580C72">
        <w:t xml:space="preserve">as instructed by the Market Operator on account of </w:t>
      </w:r>
      <w:r>
        <w:t xml:space="preserve">any periodic </w:t>
      </w:r>
      <w:r w:rsidR="004647E0">
        <w:t>invoice</w:t>
      </w:r>
      <w:r w:rsidR="008C4EBF">
        <w:t>/Debit Notification</w:t>
      </w:r>
      <w:r w:rsidR="004647E0">
        <w:t xml:space="preserve"> </w:t>
      </w:r>
      <w:r>
        <w:t>for deposit of any penalties or Default Interest</w:t>
      </w:r>
      <w:r w:rsidR="00580C72">
        <w:t xml:space="preserve"> to the </w:t>
      </w:r>
      <w:r w:rsidR="005E5C5A">
        <w:t>Market Operator’s Settlement Account for Monthly Settlement or Market Operator’s Settlement Account for Annual Settlement, as the case may be</w:t>
      </w:r>
      <w:r>
        <w:t>.</w:t>
      </w:r>
      <w:bookmarkEnd w:id="732"/>
      <w:r>
        <w:t xml:space="preserve"> </w:t>
      </w:r>
    </w:p>
    <w:p w14:paraId="4EAD9F4D" w14:textId="2091BE0E" w:rsidR="0018259B" w:rsidRDefault="009B3D17" w:rsidP="009B3D17">
      <w:pPr>
        <w:pStyle w:val="Heading5"/>
      </w:pPr>
      <w:bookmarkStart w:id="733" w:name="_Ref76397735"/>
      <w:r>
        <w:t>w</w:t>
      </w:r>
      <w:r w:rsidR="0018259B">
        <w:t>hen funds remain in the Designated Escrow Account after payment of</w:t>
      </w:r>
      <w:r w:rsidR="005E7110">
        <w:t xml:space="preserve"> the amounts specified in the</w:t>
      </w:r>
      <w:r w:rsidR="0018259B">
        <w:t xml:space="preserve"> </w:t>
      </w:r>
      <w:r w:rsidR="008E7D79">
        <w:t>Debit Notification</w:t>
      </w:r>
      <w:r>
        <w:t xml:space="preserve"> by Market Operator</w:t>
      </w:r>
      <w:r w:rsidR="00B235B4" w:rsidRPr="00B235B4">
        <w:t xml:space="preserve"> </w:t>
      </w:r>
      <w:r w:rsidR="00B235B4">
        <w:t xml:space="preserve">under Clause </w:t>
      </w:r>
      <w:r w:rsidR="00B235B4">
        <w:fldChar w:fldCharType="begin"/>
      </w:r>
      <w:r w:rsidR="00B235B4">
        <w:instrText xml:space="preserve"> REF _Ref76397648 \w \h </w:instrText>
      </w:r>
      <w:r w:rsidR="00B235B4">
        <w:fldChar w:fldCharType="separate"/>
      </w:r>
      <w:r w:rsidR="00B235B4">
        <w:t>13.1.4.4.d)</w:t>
      </w:r>
      <w:r w:rsidR="00B235B4">
        <w:fldChar w:fldCharType="end"/>
      </w:r>
      <w:r w:rsidR="00B235B4">
        <w:t xml:space="preserve"> above,</w:t>
      </w:r>
      <w:r w:rsidR="0018259B">
        <w:t xml:space="preserve"> the </w:t>
      </w:r>
      <w:r w:rsidR="00714160">
        <w:t xml:space="preserve">Designated </w:t>
      </w:r>
      <w:r w:rsidR="005E5C5A">
        <w:t>B</w:t>
      </w:r>
      <w:r w:rsidR="00714160">
        <w:t>ank</w:t>
      </w:r>
      <w:r w:rsidR="0018259B">
        <w:t xml:space="preserve"> shall </w:t>
      </w:r>
      <w:r w:rsidR="00D47F0C">
        <w:t>act in accordance with the existing instructions of the relevant Electric Power Supplier</w:t>
      </w:r>
      <w:r w:rsidR="0018259B">
        <w:t>.</w:t>
      </w:r>
      <w:bookmarkEnd w:id="733"/>
    </w:p>
    <w:p w14:paraId="189E44D3" w14:textId="698A9E6A" w:rsidR="0018259B" w:rsidRDefault="0018259B" w:rsidP="0060094E">
      <w:pPr>
        <w:pStyle w:val="Heading4"/>
      </w:pPr>
      <w:r>
        <w:t xml:space="preserve">Each </w:t>
      </w:r>
      <w:r w:rsidR="00714160" w:rsidRPr="007F3E02">
        <w:t xml:space="preserve">Designated </w:t>
      </w:r>
      <w:r w:rsidR="005E5C5A" w:rsidRPr="007F3E02">
        <w:t>B</w:t>
      </w:r>
      <w:r w:rsidR="00714160" w:rsidRPr="007F3E02">
        <w:t>ank</w:t>
      </w:r>
      <w:r w:rsidRPr="007F3E02">
        <w:t xml:space="preserve"> shall issue an irrevocable mandate applicable to </w:t>
      </w:r>
      <w:r w:rsidR="005E5C5A" w:rsidRPr="007F3E02">
        <w:t>d</w:t>
      </w:r>
      <w:r w:rsidRPr="007F3E02">
        <w:t xml:space="preserve">esignated </w:t>
      </w:r>
      <w:r w:rsidR="005E5C5A" w:rsidRPr="007F3E02">
        <w:t>Master</w:t>
      </w:r>
      <w:r w:rsidRPr="007F3E02">
        <w:t xml:space="preserve"> Accounts</w:t>
      </w:r>
      <w:r w:rsidR="00F35503" w:rsidRPr="007F3E02">
        <w:t xml:space="preserve">, in accordance with the format </w:t>
      </w:r>
      <w:r w:rsidR="007F3E02" w:rsidRPr="007F3E02">
        <w:t>mutually</w:t>
      </w:r>
      <w:r w:rsidR="007F3E02">
        <w:t xml:space="preserve"> agreed by the Market Operator and the Electric Power Supplier/DISCO</w:t>
      </w:r>
      <w:r w:rsidR="00F35503">
        <w:t>,</w:t>
      </w:r>
      <w:r>
        <w:t xml:space="preserve"> to receive, accept and immediately process any payment requirement that is received from the Market Operator provided that such payment requirement is fully consistent with the standing instructions given in </w:t>
      </w:r>
      <w:r w:rsidR="0060094E">
        <w:t>C</w:t>
      </w:r>
      <w:r>
        <w:t xml:space="preserve">lause </w:t>
      </w:r>
      <w:r w:rsidR="00B235B4" w:rsidRPr="00770F1E">
        <w:fldChar w:fldCharType="begin"/>
      </w:r>
      <w:r w:rsidR="00B235B4" w:rsidRPr="00770F1E">
        <w:instrText xml:space="preserve"> REF _Ref76396752 \w \h </w:instrText>
      </w:r>
      <w:r w:rsidR="00B235B4">
        <w:instrText xml:space="preserve"> \* MERGEFORMAT </w:instrText>
      </w:r>
      <w:r w:rsidR="00B235B4" w:rsidRPr="00770F1E">
        <w:fldChar w:fldCharType="separate"/>
      </w:r>
      <w:r w:rsidR="00B235B4" w:rsidRPr="00770F1E">
        <w:t>13.1.4.4</w:t>
      </w:r>
      <w:r w:rsidR="00B235B4" w:rsidRPr="00770F1E">
        <w:fldChar w:fldCharType="end"/>
      </w:r>
      <w:r>
        <w:t>.</w:t>
      </w:r>
    </w:p>
    <w:p w14:paraId="1276B369" w14:textId="29336A7C" w:rsidR="0018259B" w:rsidRDefault="0018259B" w:rsidP="0044739F">
      <w:pPr>
        <w:pStyle w:val="Heading4"/>
      </w:pPr>
      <w:r>
        <w:t xml:space="preserve">After the </w:t>
      </w:r>
      <w:r w:rsidR="0044739F">
        <w:t xml:space="preserve">issuance of the </w:t>
      </w:r>
      <w:r w:rsidR="005E5C5A">
        <w:t xml:space="preserve"> invoices/</w:t>
      </w:r>
      <w:r w:rsidR="008E7D79">
        <w:t>Debit Notification</w:t>
      </w:r>
      <w:r w:rsidR="0044739F">
        <w:t>s by the Market Operator as per this Code</w:t>
      </w:r>
      <w:r>
        <w:t xml:space="preserve">, </w:t>
      </w:r>
      <w:r w:rsidR="005E5C5A">
        <w:t>the Designated Bank</w:t>
      </w:r>
      <w:r>
        <w:t xml:space="preserve"> shall determine if there are enough funds in its Escrow Account to afford the required payment to satisfy the payment obligations priority in accordance with </w:t>
      </w:r>
      <w:r w:rsidR="0044739F" w:rsidRPr="00B235B4">
        <w:t>C</w:t>
      </w:r>
      <w:r w:rsidRPr="00B235B4">
        <w:t xml:space="preserve">lause </w:t>
      </w:r>
      <w:r w:rsidR="00B235B4" w:rsidRPr="00B235B4">
        <w:fldChar w:fldCharType="begin"/>
      </w:r>
      <w:r w:rsidR="00B235B4" w:rsidRPr="00B235B4">
        <w:instrText xml:space="preserve"> REF _Ref76396752 \w \h  \* MERGEFORMAT </w:instrText>
      </w:r>
      <w:r w:rsidR="00B235B4" w:rsidRPr="00B235B4">
        <w:fldChar w:fldCharType="separate"/>
      </w:r>
      <w:r w:rsidR="00B235B4" w:rsidRPr="00B235B4">
        <w:t>13.1.4.4</w:t>
      </w:r>
      <w:r w:rsidR="00B235B4" w:rsidRPr="00B235B4">
        <w:fldChar w:fldCharType="end"/>
      </w:r>
      <w:r w:rsidRPr="00B235B4">
        <w:t>.</w:t>
      </w:r>
    </w:p>
    <w:p w14:paraId="5E62FFDE" w14:textId="4ECF1398" w:rsidR="0018259B" w:rsidRDefault="0018259B" w:rsidP="0044739F">
      <w:pPr>
        <w:pStyle w:val="Heading4"/>
      </w:pPr>
      <w:r>
        <w:lastRenderedPageBreak/>
        <w:t xml:space="preserve">Whenever the remaining funds in </w:t>
      </w:r>
      <w:r w:rsidR="000E1D74">
        <w:t xml:space="preserve">Designated Account </w:t>
      </w:r>
      <w:r>
        <w:t xml:space="preserve">are, or deemed to be, insufficient to comply with such obligations, the </w:t>
      </w:r>
      <w:r w:rsidR="005E5C5A">
        <w:t xml:space="preserve">Designated Bank shall inform the relevant Electric Power Supplier and the </w:t>
      </w:r>
      <w:r w:rsidR="00BF564D">
        <w:t>Electric Power Supplier</w:t>
      </w:r>
      <w:r>
        <w:t xml:space="preserve"> shall be responsible for depositing the required difference before the </w:t>
      </w:r>
      <w:r w:rsidR="008E7D79">
        <w:t>Payment Due Date</w:t>
      </w:r>
      <w:r>
        <w:t xml:space="preserve">. </w:t>
      </w:r>
    </w:p>
    <w:p w14:paraId="0866FDEC" w14:textId="792FA01B" w:rsidR="005E5C5A" w:rsidRPr="005E5C5A" w:rsidRDefault="005E5C5A">
      <w:pPr>
        <w:pStyle w:val="Heading4"/>
      </w:pPr>
      <w:r>
        <w:t xml:space="preserve">The standing instructions </w:t>
      </w:r>
      <w:r w:rsidRPr="00DD287E">
        <w:t xml:space="preserve">given in </w:t>
      </w:r>
      <w:r w:rsidRPr="00BE1A24">
        <w:t xml:space="preserve">Clause </w:t>
      </w:r>
      <w:r w:rsidRPr="000E633F">
        <w:fldChar w:fldCharType="begin"/>
      </w:r>
      <w:r w:rsidRPr="00DD287E">
        <w:instrText xml:space="preserve"> REF _Ref76396752 \w \h  \* MERGEFORMAT </w:instrText>
      </w:r>
      <w:r w:rsidRPr="000E633F">
        <w:fldChar w:fldCharType="separate"/>
      </w:r>
      <w:r w:rsidRPr="00DD287E">
        <w:t>13.1.4.4</w:t>
      </w:r>
      <w:r w:rsidRPr="000E633F">
        <w:fldChar w:fldCharType="end"/>
      </w:r>
      <w:r>
        <w:t xml:space="preserve"> shall remain applicable till the Payment Due Date and no funds shall be transferred from the </w:t>
      </w:r>
      <w:r w:rsidR="000E1D74">
        <w:t xml:space="preserve">Designated Account </w:t>
      </w:r>
      <w:r>
        <w:t xml:space="preserve">for any other purpose till the payments are made as per priority given in </w:t>
      </w:r>
      <w:r w:rsidRPr="00BE1A24">
        <w:t xml:space="preserve">Clause </w:t>
      </w:r>
      <w:r w:rsidRPr="000E633F">
        <w:fldChar w:fldCharType="begin"/>
      </w:r>
      <w:r w:rsidRPr="00DD287E">
        <w:instrText xml:space="preserve"> REF _Ref76396752 \w \h  \* MERGEFORMAT </w:instrText>
      </w:r>
      <w:r w:rsidRPr="000E633F">
        <w:fldChar w:fldCharType="separate"/>
      </w:r>
      <w:r w:rsidRPr="00DD287E">
        <w:t>13.1.4.4</w:t>
      </w:r>
      <w:r w:rsidRPr="000E633F">
        <w:fldChar w:fldCharType="end"/>
      </w:r>
      <w:r>
        <w:t>.</w:t>
      </w:r>
    </w:p>
    <w:p w14:paraId="16FED2B9" w14:textId="69B28C70" w:rsidR="0018259B" w:rsidRDefault="0018259B" w:rsidP="000A4316">
      <w:pPr>
        <w:pStyle w:val="Heading4"/>
      </w:pPr>
      <w:r>
        <w:t xml:space="preserve">Actions at the </w:t>
      </w:r>
      <w:r w:rsidR="008E7D79">
        <w:t>Payment Due Date</w:t>
      </w:r>
      <w:r w:rsidR="000A4316">
        <w:t>:</w:t>
      </w:r>
    </w:p>
    <w:p w14:paraId="48E6CC56" w14:textId="326654D1" w:rsidR="0018259B" w:rsidRPr="00DD287E" w:rsidRDefault="0018259B" w:rsidP="000A4316">
      <w:pPr>
        <w:pStyle w:val="Heading5"/>
      </w:pPr>
      <w:r>
        <w:t xml:space="preserve">At the </w:t>
      </w:r>
      <w:r w:rsidR="008E7D79">
        <w:t>Payment Due Date</w:t>
      </w:r>
      <w:r>
        <w:t xml:space="preserve">, the </w:t>
      </w:r>
      <w:r w:rsidR="00714160">
        <w:t xml:space="preserve">Designated </w:t>
      </w:r>
      <w:r w:rsidR="005E5C5A">
        <w:t>B</w:t>
      </w:r>
      <w:r w:rsidR="00714160">
        <w:t>ank</w:t>
      </w:r>
      <w:r>
        <w:t xml:space="preserve"> shall execute the irrevocable mandate of transferring in accordance </w:t>
      </w:r>
      <w:r w:rsidR="00DD287E" w:rsidRPr="003018FA">
        <w:t>with</w:t>
      </w:r>
      <w:r w:rsidRPr="00DD287E">
        <w:t xml:space="preserve"> </w:t>
      </w:r>
      <w:r w:rsidR="000A4316" w:rsidRPr="00B03C4A">
        <w:t>C</w:t>
      </w:r>
      <w:r w:rsidRPr="00B03C4A">
        <w:t xml:space="preserve">lause </w:t>
      </w:r>
      <w:r w:rsidR="0088174E" w:rsidRPr="000E633F">
        <w:fldChar w:fldCharType="begin"/>
      </w:r>
      <w:r w:rsidR="0088174E" w:rsidRPr="00DD287E">
        <w:instrText xml:space="preserve"> REF _Ref76396752 \w \h  \* MERGEFORMAT </w:instrText>
      </w:r>
      <w:r w:rsidR="0088174E" w:rsidRPr="000E633F">
        <w:fldChar w:fldCharType="separate"/>
      </w:r>
      <w:r w:rsidR="0088174E" w:rsidRPr="00DD287E">
        <w:t>13.1.4.4</w:t>
      </w:r>
      <w:r w:rsidR="0088174E" w:rsidRPr="000E633F">
        <w:fldChar w:fldCharType="end"/>
      </w:r>
      <w:r w:rsidRPr="003018FA">
        <w:t xml:space="preserve">, provided the </w:t>
      </w:r>
      <w:r w:rsidR="000E1D74">
        <w:t xml:space="preserve">Designated Account </w:t>
      </w:r>
      <w:r w:rsidRPr="003018FA">
        <w:t>has enough funds at this moment, as to pay in full such amount.</w:t>
      </w:r>
    </w:p>
    <w:p w14:paraId="5939E3DF" w14:textId="6EBA0419" w:rsidR="0018259B" w:rsidRDefault="0018259B" w:rsidP="000A4316">
      <w:pPr>
        <w:pStyle w:val="Heading5"/>
      </w:pPr>
      <w:r w:rsidRPr="00DD287E">
        <w:t xml:space="preserve">In the case that, after the </w:t>
      </w:r>
      <w:r w:rsidR="00714160">
        <w:t>Designated bank</w:t>
      </w:r>
      <w:r w:rsidRPr="00DD287E">
        <w:t xml:space="preserve">  ha</w:t>
      </w:r>
      <w:r w:rsidR="000A4316" w:rsidRPr="00DD287E">
        <w:t>s</w:t>
      </w:r>
      <w:r w:rsidRPr="00DD287E">
        <w:t xml:space="preserve"> executed the irrevocable mandates transferring the amounts to the respective parties in accordance with priority given in </w:t>
      </w:r>
      <w:r w:rsidR="002B147D" w:rsidRPr="00B03C4A">
        <w:t xml:space="preserve">Clause </w:t>
      </w:r>
      <w:r w:rsidR="0088174E" w:rsidRPr="000E633F">
        <w:fldChar w:fldCharType="begin"/>
      </w:r>
      <w:r w:rsidR="0088174E" w:rsidRPr="00DD287E">
        <w:instrText xml:space="preserve"> REF _Ref76396752 \w \h  \* MERGEFORMAT </w:instrText>
      </w:r>
      <w:r w:rsidR="0088174E" w:rsidRPr="000E633F">
        <w:fldChar w:fldCharType="separate"/>
      </w:r>
      <w:r w:rsidR="0088174E" w:rsidRPr="00DD287E">
        <w:t>13.1.4.4</w:t>
      </w:r>
      <w:r w:rsidR="0088174E" w:rsidRPr="000E633F">
        <w:fldChar w:fldCharType="end"/>
      </w:r>
      <w:r w:rsidRPr="003018FA">
        <w:t>, there are add</w:t>
      </w:r>
      <w:r w:rsidRPr="00DD287E">
        <w:t xml:space="preserve">itional funds remaining in such account, the </w:t>
      </w:r>
      <w:r w:rsidR="00714160">
        <w:t xml:space="preserve">Designated </w:t>
      </w:r>
      <w:r w:rsidR="005E5C5A">
        <w:t>B</w:t>
      </w:r>
      <w:r w:rsidR="00714160">
        <w:t>ank</w:t>
      </w:r>
      <w:r w:rsidRPr="00DD287E">
        <w:t xml:space="preserve"> shall execute orders issued by the</w:t>
      </w:r>
      <w:r>
        <w:t xml:space="preserve"> involved </w:t>
      </w:r>
      <w:r w:rsidR="00BF564D">
        <w:t>Electric Power Supplier</w:t>
      </w:r>
      <w:r>
        <w:t>.</w:t>
      </w:r>
    </w:p>
    <w:p w14:paraId="4BD595C6" w14:textId="3926530E" w:rsidR="00094FD3" w:rsidRDefault="00094FD3" w:rsidP="00C173D0">
      <w:pPr>
        <w:pStyle w:val="Heading2"/>
      </w:pPr>
      <w:bookmarkStart w:id="734" w:name="_Toc64846716"/>
      <w:bookmarkStart w:id="735" w:name="_Toc69477016"/>
      <w:r>
        <w:t>Market Operator Payments Calendar</w:t>
      </w:r>
      <w:bookmarkEnd w:id="734"/>
      <w:bookmarkEnd w:id="735"/>
    </w:p>
    <w:p w14:paraId="5BDFACC3" w14:textId="297CDDEF" w:rsidR="00094FD3" w:rsidRDefault="00094FD3" w:rsidP="00C173D0">
      <w:pPr>
        <w:pStyle w:val="Heading3"/>
      </w:pPr>
      <w:r>
        <w:t>Contents of the Market Operator Payments Calendar</w:t>
      </w:r>
    </w:p>
    <w:p w14:paraId="2EF39AE5" w14:textId="63455291" w:rsidR="00094FD3" w:rsidRPr="00E613D6" w:rsidRDefault="00094FD3" w:rsidP="005B295A">
      <w:pPr>
        <w:pStyle w:val="Heading4"/>
      </w:pPr>
      <w:bookmarkStart w:id="736" w:name="_Ref66267459"/>
      <w:r w:rsidRPr="00E613D6">
        <w:t xml:space="preserve">Each year, the Market Operator </w:t>
      </w:r>
      <w:r w:rsidR="006C3FF2">
        <w:t>shall</w:t>
      </w:r>
      <w:r w:rsidR="006C3FF2" w:rsidRPr="00E613D6">
        <w:t xml:space="preserve"> </w:t>
      </w:r>
      <w:r w:rsidRPr="00E613D6">
        <w:t>prepare a draft Market Operator</w:t>
      </w:r>
      <w:r w:rsidR="00522692" w:rsidRPr="00E613D6">
        <w:t>’s</w:t>
      </w:r>
      <w:r w:rsidRPr="00E613D6">
        <w:t xml:space="preserve"> Payments Calendar for the following </w:t>
      </w:r>
      <w:r w:rsidR="00671EEE" w:rsidRPr="00E613D6">
        <w:t>fiscal</w:t>
      </w:r>
      <w:r w:rsidRPr="00E613D6">
        <w:t xml:space="preserve"> year showing:</w:t>
      </w:r>
      <w:bookmarkEnd w:id="736"/>
    </w:p>
    <w:p w14:paraId="528A05CD" w14:textId="68CD1C2A" w:rsidR="00094FD3" w:rsidRDefault="00522692" w:rsidP="00B03234">
      <w:pPr>
        <w:pStyle w:val="Heading5"/>
      </w:pPr>
      <w:r>
        <w:t>t</w:t>
      </w:r>
      <w:r w:rsidR="00094FD3">
        <w:t>he dates on which the Market Operator will issue Preliminary Settlement Statements</w:t>
      </w:r>
      <w:r w:rsidR="00A1359C">
        <w:t xml:space="preserve"> (monthly and </w:t>
      </w:r>
      <w:r w:rsidR="006C3FF2">
        <w:t>y</w:t>
      </w:r>
      <w:r w:rsidR="00A1359C">
        <w:t>early)</w:t>
      </w:r>
      <w:r w:rsidR="00094FD3">
        <w:t xml:space="preserve"> to all </w:t>
      </w:r>
      <w:r>
        <w:t xml:space="preserve">Market </w:t>
      </w:r>
      <w:r w:rsidR="00094FD3">
        <w:t>Participants</w:t>
      </w:r>
      <w:r w:rsidR="000E1D74">
        <w:t xml:space="preserve"> and/or Transmission Service Providers.</w:t>
      </w:r>
    </w:p>
    <w:p w14:paraId="6368060C" w14:textId="02C8764A" w:rsidR="00094FD3" w:rsidRDefault="00094FD3" w:rsidP="00B03234">
      <w:pPr>
        <w:pStyle w:val="Heading5"/>
      </w:pPr>
      <w:r>
        <w:t>the dates on which the Market Operator will issue Final Settlement Statements</w:t>
      </w:r>
      <w:r w:rsidR="00A1359C">
        <w:t xml:space="preserve"> (monthly and yearly)</w:t>
      </w:r>
      <w:r>
        <w:t xml:space="preserve"> to all </w:t>
      </w:r>
      <w:r w:rsidR="006C1BE9">
        <w:t xml:space="preserve">Market </w:t>
      </w:r>
      <w:r>
        <w:t>Participants</w:t>
      </w:r>
      <w:r w:rsidR="00CE2ED3">
        <w:t xml:space="preserve"> and/or Transmission Service Providers</w:t>
      </w:r>
      <w:r>
        <w:t>;</w:t>
      </w:r>
    </w:p>
    <w:p w14:paraId="28BCEDE7" w14:textId="30F670EF" w:rsidR="00094FD3" w:rsidRDefault="00094FD3" w:rsidP="00B03234">
      <w:pPr>
        <w:pStyle w:val="Heading5"/>
      </w:pPr>
      <w:r>
        <w:t xml:space="preserve">the dates on which the Market Operator will issue </w:t>
      </w:r>
      <w:r w:rsidR="006C3FF2">
        <w:t xml:space="preserve">Debit </w:t>
      </w:r>
      <w:r w:rsidR="006C1BE9">
        <w:t xml:space="preserve">Notifications </w:t>
      </w:r>
      <w:r>
        <w:t xml:space="preserve">to </w:t>
      </w:r>
      <w:r w:rsidR="006C1BE9">
        <w:t xml:space="preserve">Market </w:t>
      </w:r>
      <w:r>
        <w:t>Participants</w:t>
      </w:r>
      <w:r w:rsidR="00CE2ED3">
        <w:t xml:space="preserve"> and/or Transmission Service Providers</w:t>
      </w:r>
      <w:r>
        <w:t>;</w:t>
      </w:r>
    </w:p>
    <w:p w14:paraId="4C25B06A" w14:textId="0E4F6000" w:rsidR="00094FD3" w:rsidRDefault="00094FD3" w:rsidP="00B03234">
      <w:pPr>
        <w:pStyle w:val="Heading5"/>
      </w:pPr>
      <w:r>
        <w:t xml:space="preserve">the dates when </w:t>
      </w:r>
      <w:r w:rsidR="00671EEE">
        <w:t xml:space="preserve">Market </w:t>
      </w:r>
      <w:r>
        <w:t>Participants</w:t>
      </w:r>
      <w:r w:rsidR="00CE2ED3">
        <w:t xml:space="preserve"> and/or Transmission Service Providers</w:t>
      </w:r>
      <w:r>
        <w:t xml:space="preserve"> from whom money is owed are required to make payments into the Market Operator </w:t>
      </w:r>
      <w:r w:rsidR="00A1359C">
        <w:t xml:space="preserve">Settlement </w:t>
      </w:r>
      <w:r>
        <w:t>Account</w:t>
      </w:r>
      <w:r w:rsidR="00CE2ED3">
        <w:t>s</w:t>
      </w:r>
      <w:r>
        <w:t xml:space="preserve">, in accordance with the </w:t>
      </w:r>
      <w:r w:rsidR="008E7D79">
        <w:t>Debit Notification</w:t>
      </w:r>
      <w:r w:rsidR="008230F2">
        <w:t>s</w:t>
      </w:r>
      <w:r w:rsidR="00671EEE">
        <w:t xml:space="preserve"> issued</w:t>
      </w:r>
      <w:r>
        <w:t xml:space="preserve">; </w:t>
      </w:r>
    </w:p>
    <w:p w14:paraId="5CEDAE25" w14:textId="4A15A33F" w:rsidR="00094FD3" w:rsidRDefault="00094FD3" w:rsidP="00B03234">
      <w:pPr>
        <w:pStyle w:val="Heading5"/>
      </w:pPr>
      <w:r>
        <w:t xml:space="preserve">the dates when the </w:t>
      </w:r>
      <w:r w:rsidR="00671EEE">
        <w:t xml:space="preserve">Market </w:t>
      </w:r>
      <w:r>
        <w:t xml:space="preserve">Participants </w:t>
      </w:r>
      <w:r w:rsidR="00CE2ED3">
        <w:t xml:space="preserve">and/or Transmission Service Providers </w:t>
      </w:r>
      <w:r>
        <w:t xml:space="preserve">to whom money is owed in accordance with </w:t>
      </w:r>
      <w:r w:rsidR="00671EEE">
        <w:t>the Credit Notifications</w:t>
      </w:r>
      <w:r>
        <w:t xml:space="preserve"> will receive payments from the Market Operator </w:t>
      </w:r>
      <w:r w:rsidR="00A1359C">
        <w:t xml:space="preserve">Settlement </w:t>
      </w:r>
      <w:r>
        <w:t>Account</w:t>
      </w:r>
      <w:r w:rsidR="00842B74">
        <w:t>;</w:t>
      </w:r>
      <w:r w:rsidR="00842B74" w:rsidRPr="00842B74">
        <w:t xml:space="preserve"> </w:t>
      </w:r>
      <w:r w:rsidR="00842B74">
        <w:t>and</w:t>
      </w:r>
    </w:p>
    <w:p w14:paraId="253EA0E7" w14:textId="042F7BA0" w:rsidR="00094FD3" w:rsidRDefault="00094FD3" w:rsidP="00B03234">
      <w:pPr>
        <w:pStyle w:val="Heading5"/>
      </w:pPr>
      <w:r>
        <w:t xml:space="preserve">provided that </w:t>
      </w:r>
      <w:r w:rsidR="006C3FF2">
        <w:t>for</w:t>
      </w:r>
      <w:r>
        <w:t xml:space="preserve"> the first </w:t>
      </w:r>
      <w:r w:rsidR="00671EEE">
        <w:t>fiscal</w:t>
      </w:r>
      <w:r>
        <w:t xml:space="preserve"> year following the </w:t>
      </w:r>
      <w:r w:rsidR="006C3FF2">
        <w:t>CMOD</w:t>
      </w:r>
      <w:r>
        <w:t>, the Market Operator</w:t>
      </w:r>
      <w:r w:rsidR="00671EEE">
        <w:t>’s</w:t>
      </w:r>
      <w:r>
        <w:t xml:space="preserve"> Payments Calendar shall be established pursuant to </w:t>
      </w:r>
      <w:r w:rsidR="00671EEE">
        <w:t xml:space="preserve">Clause </w:t>
      </w:r>
      <w:r w:rsidR="00671EEE">
        <w:fldChar w:fldCharType="begin"/>
      </w:r>
      <w:r w:rsidR="00671EEE">
        <w:instrText xml:space="preserve"> REF _Ref60832819 \r \h </w:instrText>
      </w:r>
      <w:r w:rsidR="00671EEE">
        <w:fldChar w:fldCharType="separate"/>
      </w:r>
      <w:r w:rsidR="00251DBF">
        <w:t>13.2.2.4</w:t>
      </w:r>
      <w:r w:rsidR="00671EEE">
        <w:fldChar w:fldCharType="end"/>
      </w:r>
      <w:r>
        <w:t>.</w:t>
      </w:r>
    </w:p>
    <w:p w14:paraId="5DF9A634" w14:textId="580D32AF" w:rsidR="00094FD3" w:rsidRDefault="00094FD3" w:rsidP="005B295A">
      <w:pPr>
        <w:pStyle w:val="Heading4"/>
      </w:pPr>
      <w:r>
        <w:t>The Market Operator may change the content</w:t>
      </w:r>
      <w:r w:rsidR="00186DDD">
        <w:t>s</w:t>
      </w:r>
      <w:r>
        <w:t xml:space="preserve"> or format of the Market Operator</w:t>
      </w:r>
      <w:r w:rsidR="00671EEE">
        <w:t>’s</w:t>
      </w:r>
      <w:r>
        <w:t xml:space="preserve"> Payments Calendar for future years upon prior written notification to </w:t>
      </w:r>
      <w:r w:rsidR="00671EEE">
        <w:t xml:space="preserve">Market </w:t>
      </w:r>
      <w:r>
        <w:t>Participants</w:t>
      </w:r>
      <w:r w:rsidR="00186DDD">
        <w:t xml:space="preserve"> and Transmission Service Providers.</w:t>
      </w:r>
    </w:p>
    <w:p w14:paraId="4A1F3339" w14:textId="08651E28" w:rsidR="00671EEE" w:rsidRDefault="00671EEE" w:rsidP="00C173D0">
      <w:pPr>
        <w:pStyle w:val="Heading3"/>
      </w:pPr>
      <w:r>
        <w:t>Dates for the Market Operator’s Payments Calendar</w:t>
      </w:r>
    </w:p>
    <w:p w14:paraId="770A2527" w14:textId="495A570A" w:rsidR="00094FD3" w:rsidRDefault="00094FD3" w:rsidP="005B295A">
      <w:pPr>
        <w:pStyle w:val="Heading4"/>
      </w:pPr>
      <w:r>
        <w:t xml:space="preserve">Subject to </w:t>
      </w:r>
      <w:r w:rsidR="00842B74">
        <w:t xml:space="preserve">Sub-Section </w:t>
      </w:r>
      <w:r w:rsidR="00671EEE">
        <w:fldChar w:fldCharType="begin"/>
      </w:r>
      <w:r w:rsidR="00671EEE">
        <w:instrText xml:space="preserve"> REF _Ref60832059 \r \h </w:instrText>
      </w:r>
      <w:r w:rsidR="00671EEE">
        <w:fldChar w:fldCharType="separate"/>
      </w:r>
      <w:r w:rsidR="00842B74">
        <w:t>13.2.3</w:t>
      </w:r>
      <w:r w:rsidR="00671EEE">
        <w:fldChar w:fldCharType="end"/>
      </w:r>
      <w:r>
        <w:t xml:space="preserve">, on </w:t>
      </w:r>
      <w:r w:rsidR="00A1359C">
        <w:t xml:space="preserve">June </w:t>
      </w:r>
      <w:r w:rsidR="00671EEE">
        <w:t>1</w:t>
      </w:r>
      <w:r w:rsidR="00671EEE" w:rsidRPr="00671EEE">
        <w:rPr>
          <w:vertAlign w:val="superscript"/>
        </w:rPr>
        <w:t>st</w:t>
      </w:r>
      <w:r w:rsidR="00671EEE">
        <w:t xml:space="preserve"> </w:t>
      </w:r>
      <w:r>
        <w:t>of each year, the Market Operator shall publish on the</w:t>
      </w:r>
      <w:r w:rsidR="00C1591E">
        <w:t xml:space="preserve"> MO</w:t>
      </w:r>
      <w:r>
        <w:t xml:space="preserve"> Website, a draft of the Market Operator</w:t>
      </w:r>
      <w:r w:rsidR="00671EEE">
        <w:t>’s</w:t>
      </w:r>
      <w:r>
        <w:t xml:space="preserve"> </w:t>
      </w:r>
      <w:bookmarkStart w:id="737" w:name="_Hlk66267409"/>
      <w:r>
        <w:t xml:space="preserve">Payments Calendar </w:t>
      </w:r>
      <w:bookmarkEnd w:id="737"/>
      <w:r>
        <w:t xml:space="preserve">for the following </w:t>
      </w:r>
      <w:r w:rsidR="00186DDD">
        <w:t>fiscal</w:t>
      </w:r>
      <w:r w:rsidR="00A1359C">
        <w:t xml:space="preserve"> </w:t>
      </w:r>
      <w:r>
        <w:t xml:space="preserve">year.  Any </w:t>
      </w:r>
      <w:r w:rsidR="00671EEE">
        <w:t xml:space="preserve">Market </w:t>
      </w:r>
      <w:r>
        <w:t xml:space="preserve">Participant may submit comments to the Market Operator within </w:t>
      </w:r>
      <w:r w:rsidR="00186DDD">
        <w:t xml:space="preserve">[10] Business Days after </w:t>
      </w:r>
      <w:r>
        <w:t>such publication.</w:t>
      </w:r>
    </w:p>
    <w:p w14:paraId="4896FDF0" w14:textId="3C8A1C7B" w:rsidR="00094FD3" w:rsidRDefault="00671EEE" w:rsidP="005B295A">
      <w:pPr>
        <w:pStyle w:val="Heading4"/>
      </w:pPr>
      <w:bookmarkStart w:id="738" w:name="_Ref60832261"/>
      <w:r>
        <w:lastRenderedPageBreak/>
        <w:t>N</w:t>
      </w:r>
      <w:r w:rsidR="00094FD3">
        <w:t xml:space="preserve">o later than </w:t>
      </w:r>
      <w:r>
        <w:t>[</w:t>
      </w:r>
      <w:r w:rsidR="00A1359C">
        <w:t>June 25</w:t>
      </w:r>
      <w:r w:rsidR="00A1359C" w:rsidRPr="00A1359C">
        <w:rPr>
          <w:vertAlign w:val="superscript"/>
        </w:rPr>
        <w:t>th</w:t>
      </w:r>
      <w:r>
        <w:t xml:space="preserve">] </w:t>
      </w:r>
      <w:r w:rsidR="00186DDD">
        <w:t xml:space="preserve">of </w:t>
      </w:r>
      <w:r w:rsidR="00094FD3">
        <w:t xml:space="preserve">each year, the Market Operator shall publish on the </w:t>
      </w:r>
      <w:r w:rsidR="00C1591E">
        <w:t xml:space="preserve">MO </w:t>
      </w:r>
      <w:r w:rsidR="00094FD3">
        <w:t xml:space="preserve">Website, the final </w:t>
      </w:r>
      <w:r w:rsidR="00A1359C">
        <w:t xml:space="preserve">version </w:t>
      </w:r>
      <w:r w:rsidR="00094FD3">
        <w:t>the Market Operator</w:t>
      </w:r>
      <w:r>
        <w:t>’s</w:t>
      </w:r>
      <w:r w:rsidR="00094FD3">
        <w:t xml:space="preserve"> Payments Calendar for the following </w:t>
      </w:r>
      <w:r w:rsidR="00186DDD">
        <w:t xml:space="preserve">fiscal </w:t>
      </w:r>
      <w:r w:rsidR="00094FD3">
        <w:t>year, after considering the comments received pursuant to</w:t>
      </w:r>
      <w:r>
        <w:t xml:space="preserve"> Clause</w:t>
      </w:r>
      <w:r w:rsidR="00094FD3">
        <w:t xml:space="preserve"> </w:t>
      </w:r>
      <w:r w:rsidR="00FB3DA3">
        <w:fldChar w:fldCharType="begin"/>
      </w:r>
      <w:r w:rsidR="00FB3DA3">
        <w:instrText xml:space="preserve"> REF _Ref66267459 \r \h </w:instrText>
      </w:r>
      <w:r w:rsidR="00FB3DA3">
        <w:fldChar w:fldCharType="separate"/>
      </w:r>
      <w:r w:rsidR="00251DBF">
        <w:t>13.2.1.1</w:t>
      </w:r>
      <w:r w:rsidR="00FB3DA3">
        <w:fldChar w:fldCharType="end"/>
      </w:r>
      <w:r w:rsidR="00094FD3">
        <w:t>.</w:t>
      </w:r>
      <w:bookmarkEnd w:id="738"/>
      <w:r w:rsidR="00094FD3">
        <w:t xml:space="preserve">  </w:t>
      </w:r>
    </w:p>
    <w:p w14:paraId="72F4E96E" w14:textId="7CCE9970" w:rsidR="00094FD3" w:rsidRDefault="00094FD3" w:rsidP="005B295A">
      <w:pPr>
        <w:pStyle w:val="Heading4"/>
      </w:pPr>
      <w:r>
        <w:t>The final Market Operator</w:t>
      </w:r>
      <w:r w:rsidR="00671EEE">
        <w:t>’s</w:t>
      </w:r>
      <w:r>
        <w:t xml:space="preserve"> Payments Calendar, made available in accordance with </w:t>
      </w:r>
      <w:r w:rsidR="00671EEE">
        <w:t xml:space="preserve">Clause </w:t>
      </w:r>
      <w:r w:rsidR="00671EEE">
        <w:fldChar w:fldCharType="begin"/>
      </w:r>
      <w:r w:rsidR="00671EEE">
        <w:instrText xml:space="preserve"> REF _Ref60832261 \r \h </w:instrText>
      </w:r>
      <w:r w:rsidR="00671EEE">
        <w:fldChar w:fldCharType="separate"/>
      </w:r>
      <w:r w:rsidR="00251DBF">
        <w:t>13.2.2.2</w:t>
      </w:r>
      <w:r w:rsidR="00671EEE">
        <w:fldChar w:fldCharType="end"/>
      </w:r>
      <w:r w:rsidR="00671EEE">
        <w:t xml:space="preserve"> or Clause </w:t>
      </w:r>
      <w:r w:rsidR="00671EEE">
        <w:fldChar w:fldCharType="begin"/>
      </w:r>
      <w:r w:rsidR="00671EEE">
        <w:instrText xml:space="preserve"> REF _Ref60832059 \r \h </w:instrText>
      </w:r>
      <w:r w:rsidR="00671EEE">
        <w:fldChar w:fldCharType="separate"/>
      </w:r>
      <w:r w:rsidR="00251DBF">
        <w:t>13.2.2.4</w:t>
      </w:r>
      <w:r w:rsidR="00671EEE">
        <w:fldChar w:fldCharType="end"/>
      </w:r>
      <w:r w:rsidR="00186DDD">
        <w:t>, as the case may be,</w:t>
      </w:r>
      <w:r>
        <w:t xml:space="preserve"> shall be binding on the Market Operator and on all </w:t>
      </w:r>
      <w:r w:rsidR="00671EEE">
        <w:t xml:space="preserve">Market </w:t>
      </w:r>
      <w:r>
        <w:t xml:space="preserve">Participants </w:t>
      </w:r>
      <w:r w:rsidR="00186DDD">
        <w:t xml:space="preserve">and Transmission Service Providers </w:t>
      </w:r>
      <w:r>
        <w:t xml:space="preserve">for the </w:t>
      </w:r>
      <w:r w:rsidR="00186DDD">
        <w:t xml:space="preserve">relevant </w:t>
      </w:r>
      <w:r w:rsidR="00A1359C">
        <w:t xml:space="preserve">fiscal </w:t>
      </w:r>
      <w:r>
        <w:t>year.</w:t>
      </w:r>
    </w:p>
    <w:p w14:paraId="38AC1EB1" w14:textId="310534D9" w:rsidR="00094FD3" w:rsidRDefault="005F72EF" w:rsidP="00B03C4A">
      <w:pPr>
        <w:pStyle w:val="Heading3"/>
      </w:pPr>
      <w:bookmarkStart w:id="739" w:name="_Ref60832059"/>
      <w:bookmarkStart w:id="740" w:name="_Ref60832819"/>
      <w:r>
        <w:t xml:space="preserve">First </w:t>
      </w:r>
      <w:r w:rsidR="00094FD3">
        <w:t>Market Operator Payment Calendar</w:t>
      </w:r>
      <w:bookmarkEnd w:id="739"/>
      <w:bookmarkEnd w:id="740"/>
    </w:p>
    <w:p w14:paraId="3E223E59" w14:textId="727D287F" w:rsidR="00094FD3" w:rsidRDefault="00094FD3" w:rsidP="00B03C4A">
      <w:pPr>
        <w:pStyle w:val="Heading4"/>
      </w:pPr>
      <w:bookmarkStart w:id="741" w:name="_Ref76213500"/>
      <w:r>
        <w:t xml:space="preserve">Within </w:t>
      </w:r>
      <w:r w:rsidR="002B05AD">
        <w:t xml:space="preserve">fifteen </w:t>
      </w:r>
      <w:r w:rsidR="00671EEE">
        <w:t>[</w:t>
      </w:r>
      <w:r w:rsidR="002B05AD">
        <w:t>15</w:t>
      </w:r>
      <w:r w:rsidR="00671EEE">
        <w:t>]</w:t>
      </w:r>
      <w:r>
        <w:t xml:space="preserve"> Business Days of the </w:t>
      </w:r>
      <w:r w:rsidR="00D62EEB">
        <w:t>CMOD</w:t>
      </w:r>
      <w:r>
        <w:t xml:space="preserve">, the Market Operator shall publish the </w:t>
      </w:r>
      <w:r w:rsidR="00671EEE">
        <w:t xml:space="preserve">first </w:t>
      </w:r>
      <w:r>
        <w:t>Market Operator</w:t>
      </w:r>
      <w:r w:rsidR="00671EEE">
        <w:t>’s</w:t>
      </w:r>
      <w:r>
        <w:t xml:space="preserve"> Payments Calendar on the </w:t>
      </w:r>
      <w:r w:rsidR="00C1591E">
        <w:t xml:space="preserve">MO </w:t>
      </w:r>
      <w:r>
        <w:t xml:space="preserve">Website. This </w:t>
      </w:r>
      <w:r w:rsidR="00671EEE">
        <w:t>first</w:t>
      </w:r>
      <w:r>
        <w:t xml:space="preserve"> Market Operator</w:t>
      </w:r>
      <w:r w:rsidR="00671EEE">
        <w:t>’s</w:t>
      </w:r>
      <w:r>
        <w:t xml:space="preserve"> Payments Calendar shall be followed by the Market Operator </w:t>
      </w:r>
      <w:r w:rsidR="00186DDD">
        <w:t>for the</w:t>
      </w:r>
      <w:r>
        <w:t xml:space="preserve"> remaining period of the </w:t>
      </w:r>
      <w:r w:rsidR="002B05AD">
        <w:t xml:space="preserve">fiscal </w:t>
      </w:r>
      <w:r>
        <w:t>year.</w:t>
      </w:r>
      <w:bookmarkEnd w:id="741"/>
      <w:r>
        <w:t xml:space="preserve"> </w:t>
      </w:r>
    </w:p>
    <w:p w14:paraId="42BEB233" w14:textId="1C6E2ADF" w:rsidR="00094FD3" w:rsidRDefault="00094FD3" w:rsidP="00B03C4A">
      <w:pPr>
        <w:pStyle w:val="Heading4"/>
      </w:pPr>
      <w:r>
        <w:t xml:space="preserve">Within </w:t>
      </w:r>
      <w:r w:rsidR="002B05AD">
        <w:t xml:space="preserve">five </w:t>
      </w:r>
      <w:r w:rsidR="00671EEE">
        <w:t>[</w:t>
      </w:r>
      <w:r w:rsidR="002B05AD">
        <w:t>5</w:t>
      </w:r>
      <w:r w:rsidR="00671EEE">
        <w:t>]</w:t>
      </w:r>
      <w:r>
        <w:t xml:space="preserve"> Business Days following the </w:t>
      </w:r>
      <w:r w:rsidR="00671EEE">
        <w:t>publication of the first Market Operator’s Payments Calendar</w:t>
      </w:r>
      <w:r>
        <w:t xml:space="preserve">, the </w:t>
      </w:r>
      <w:r w:rsidR="00671EEE">
        <w:t xml:space="preserve">Market </w:t>
      </w:r>
      <w:r>
        <w:t>Participants</w:t>
      </w:r>
      <w:r w:rsidR="00186DDD">
        <w:t xml:space="preserve"> or Transmission Service Provider</w:t>
      </w:r>
      <w:r>
        <w:t xml:space="preserve"> shall submit their comments to the </w:t>
      </w:r>
      <w:r w:rsidR="00671EEE">
        <w:t xml:space="preserve">first </w:t>
      </w:r>
      <w:r>
        <w:t>Market Operator</w:t>
      </w:r>
      <w:r w:rsidR="00671EEE">
        <w:t>’s</w:t>
      </w:r>
      <w:r>
        <w:t xml:space="preserve"> Payments Calendar notified by the Market Operator pursuant to paragraph </w:t>
      </w:r>
      <w:r w:rsidR="00186DDD">
        <w:fldChar w:fldCharType="begin"/>
      </w:r>
      <w:r w:rsidR="00186DDD">
        <w:instrText xml:space="preserve"> REF _Ref76213500 \w \h </w:instrText>
      </w:r>
      <w:r w:rsidR="00186DDD">
        <w:fldChar w:fldCharType="separate"/>
      </w:r>
      <w:r w:rsidR="00186DDD">
        <w:t>13.2.2.4.a)</w:t>
      </w:r>
      <w:r w:rsidR="00186DDD">
        <w:fldChar w:fldCharType="end"/>
      </w:r>
      <w:r>
        <w:t xml:space="preserve"> above</w:t>
      </w:r>
      <w:r w:rsidR="00D62EEB">
        <w:t>.</w:t>
      </w:r>
      <w:r>
        <w:t xml:space="preserve"> </w:t>
      </w:r>
    </w:p>
    <w:p w14:paraId="5759CFB0" w14:textId="52BB42BA" w:rsidR="00094FD3" w:rsidRDefault="00094FD3" w:rsidP="00B03C4A">
      <w:pPr>
        <w:pStyle w:val="Heading4"/>
      </w:pPr>
      <w:r>
        <w:t xml:space="preserve">Within </w:t>
      </w:r>
      <w:r w:rsidR="002B05AD">
        <w:t xml:space="preserve">[5] </w:t>
      </w:r>
      <w:r>
        <w:t xml:space="preserve">Business Days of </w:t>
      </w:r>
      <w:r w:rsidR="00186DDD">
        <w:t xml:space="preserve">receipts of </w:t>
      </w:r>
      <w:r>
        <w:t xml:space="preserve">comments from the </w:t>
      </w:r>
      <w:r w:rsidR="00136176">
        <w:t>Market Participant</w:t>
      </w:r>
      <w:r>
        <w:t>s</w:t>
      </w:r>
      <w:r w:rsidR="00186DDD">
        <w:t xml:space="preserve"> or Transmission Service Providers</w:t>
      </w:r>
      <w:r>
        <w:t xml:space="preserve"> pursuant to paragraph (b) and taking into account their comments, the Market Operator shall amend the </w:t>
      </w:r>
      <w:r w:rsidR="00671EEE">
        <w:t xml:space="preserve">first </w:t>
      </w:r>
      <w:r>
        <w:t>Market Operator</w:t>
      </w:r>
      <w:r w:rsidR="00671EEE">
        <w:t>’s</w:t>
      </w:r>
      <w:r>
        <w:t xml:space="preserve"> Payments Calendar, if required, and notify the Market Operator</w:t>
      </w:r>
      <w:r w:rsidR="00671EEE">
        <w:t>’s</w:t>
      </w:r>
      <w:r>
        <w:t xml:space="preserve"> Payments Calendar for the remaining part, if any, of the first </w:t>
      </w:r>
      <w:r w:rsidR="00671EEE">
        <w:t>fiscal</w:t>
      </w:r>
      <w:r>
        <w:t xml:space="preserve"> year and the next following </w:t>
      </w:r>
      <w:r w:rsidR="00671EEE">
        <w:t>fiscal</w:t>
      </w:r>
      <w:r>
        <w:t xml:space="preserve"> year.</w:t>
      </w:r>
    </w:p>
    <w:p w14:paraId="17DE4AEA" w14:textId="10F32251" w:rsidR="00AC387D" w:rsidRDefault="001C4A85" w:rsidP="00C173D0">
      <w:pPr>
        <w:pStyle w:val="Heading2"/>
      </w:pPr>
      <w:bookmarkStart w:id="742" w:name="_Toc64846717"/>
      <w:bookmarkStart w:id="743" w:name="_Toc69477017"/>
      <w:r w:rsidRPr="001C4A85">
        <w:rPr>
          <w:sz w:val="28"/>
          <w:szCs w:val="28"/>
        </w:rPr>
        <w:t>Payment Procedures</w:t>
      </w:r>
      <w:bookmarkEnd w:id="742"/>
      <w:bookmarkEnd w:id="743"/>
    </w:p>
    <w:p w14:paraId="747BD3D3" w14:textId="77777777" w:rsidR="002B05AD" w:rsidRDefault="002B05AD" w:rsidP="002B05AD">
      <w:pPr>
        <w:pStyle w:val="Heading3"/>
      </w:pPr>
      <w:bookmarkStart w:id="744" w:name="_Hlk74229176"/>
      <w:r>
        <w:t>Payment Process for Monthly Settlements</w:t>
      </w:r>
    </w:p>
    <w:p w14:paraId="29AC8A2A" w14:textId="61B4B861" w:rsidR="007E2C38" w:rsidRDefault="002B05AD" w:rsidP="00CE07B9">
      <w:pPr>
        <w:pStyle w:val="Heading4"/>
      </w:pPr>
      <w:r>
        <w:t>On the Clearing Day</w:t>
      </w:r>
      <w:r w:rsidR="007E2C38">
        <w:t>:</w:t>
      </w:r>
    </w:p>
    <w:p w14:paraId="61F80DEB" w14:textId="0B426F35" w:rsidR="007E2C38" w:rsidRDefault="007E2C38" w:rsidP="007E2C38">
      <w:pPr>
        <w:pStyle w:val="Heading5"/>
      </w:pPr>
      <w:r>
        <w:t>the Market Operator shall make payments</w:t>
      </w:r>
      <w:r w:rsidR="003407D6">
        <w:t xml:space="preserve"> to the relevant Market Participants</w:t>
      </w:r>
      <w:r>
        <w:t xml:space="preserve"> from the </w:t>
      </w:r>
      <w:r w:rsidR="001B224B">
        <w:t>Market Operator Settlement Account</w:t>
      </w:r>
      <w:r w:rsidR="00E35C32">
        <w:t xml:space="preserve"> for Monthly Settlements</w:t>
      </w:r>
      <w:r>
        <w:t>, in accordance with the Credit Notifications;</w:t>
      </w:r>
      <w:r w:rsidR="002B05AD">
        <w:t xml:space="preserve"> </w:t>
      </w:r>
    </w:p>
    <w:p w14:paraId="395B4D3B" w14:textId="75358B8D" w:rsidR="00C81C98" w:rsidRDefault="00C81C98" w:rsidP="00C81C98">
      <w:pPr>
        <w:pStyle w:val="Heading5"/>
      </w:pPr>
      <w:r>
        <w:t xml:space="preserve">the Market Operator shall order the relevant bank to transfer the funds from the Market Operator Credit Cover Account for Monthly Settlement to the Market Operator Settlement Account for Monthly Settlements as per the relevant Settlement Statements. </w:t>
      </w:r>
    </w:p>
    <w:p w14:paraId="7156A55A" w14:textId="0877D5E8" w:rsidR="007E2C38" w:rsidRDefault="007E2C38" w:rsidP="007E2C38">
      <w:pPr>
        <w:pStyle w:val="Heading5"/>
      </w:pPr>
      <w:r>
        <w:t>w</w:t>
      </w:r>
      <w:r w:rsidR="002B05AD">
        <w:t xml:space="preserve">hile making </w:t>
      </w:r>
      <w:r>
        <w:t xml:space="preserve">such </w:t>
      </w:r>
      <w:r w:rsidR="002B05AD">
        <w:t xml:space="preserve">payments to the Market Participants, </w:t>
      </w:r>
      <w:r>
        <w:t xml:space="preserve">the Market Operator shall </w:t>
      </w:r>
      <w:r w:rsidR="002B05AD">
        <w:t xml:space="preserve">ensure proper accounting </w:t>
      </w:r>
      <w:r w:rsidR="00003713">
        <w:t>of</w:t>
      </w:r>
      <w:r w:rsidR="002B05AD">
        <w:t xml:space="preserve"> the </w:t>
      </w:r>
      <w:r w:rsidR="00C81C98">
        <w:t xml:space="preserve">Credit Cover Account for Monthly Settlement </w:t>
      </w:r>
      <w:r w:rsidR="002B05AD">
        <w:t xml:space="preserve">and utilize the </w:t>
      </w:r>
      <w:r w:rsidR="00003713">
        <w:t>amounts deposited by</w:t>
      </w:r>
      <w:r w:rsidR="002B05AD">
        <w:t xml:space="preserve"> the Market Participants from whom the money is owed </w:t>
      </w:r>
      <w:r w:rsidR="00003713">
        <w:t>to</w:t>
      </w:r>
      <w:r w:rsidR="002B05AD">
        <w:t xml:space="preserve"> Market Operator first</w:t>
      </w:r>
      <w:r w:rsidR="00842B74">
        <w:t>;</w:t>
      </w:r>
    </w:p>
    <w:p w14:paraId="79A2A051" w14:textId="3B3F2071" w:rsidR="007E2C38" w:rsidRDefault="007E2C38" w:rsidP="007E2C38">
      <w:pPr>
        <w:pStyle w:val="Heading5"/>
      </w:pPr>
      <w:r>
        <w:t>where</w:t>
      </w:r>
      <w:r w:rsidR="002B05AD">
        <w:t xml:space="preserve"> the money deposited by such Market Participants</w:t>
      </w:r>
      <w:r w:rsidR="003407D6">
        <w:t>,</w:t>
      </w:r>
      <w:r w:rsidR="002B05AD">
        <w:t xml:space="preserve"> </w:t>
      </w:r>
      <w:r w:rsidR="003407D6">
        <w:t xml:space="preserve">who owe money to the Market Operator, </w:t>
      </w:r>
      <w:r w:rsidR="002B05AD">
        <w:t xml:space="preserve">is not enough to </w:t>
      </w:r>
      <w:r w:rsidR="003407D6">
        <w:t>settle the amounts payable under the Credit Notifications</w:t>
      </w:r>
      <w:r w:rsidR="002B05AD">
        <w:t xml:space="preserve">, </w:t>
      </w:r>
      <w:r w:rsidR="003407D6">
        <w:t>the Market Operator may utilize other monies available in the</w:t>
      </w:r>
      <w:r w:rsidR="002B05AD">
        <w:t xml:space="preserve"> </w:t>
      </w:r>
      <w:r w:rsidR="00C81C98">
        <w:t xml:space="preserve">Credit Cover Account for Monthly Settlement </w:t>
      </w:r>
      <w:r w:rsidR="002B05AD">
        <w:t xml:space="preserve">to bridge the gap and </w:t>
      </w:r>
      <w:r w:rsidR="003407D6">
        <w:t>settle all Credit Notifications in full</w:t>
      </w:r>
      <w:r w:rsidR="00842B74">
        <w:t>;</w:t>
      </w:r>
      <w:r w:rsidR="002B05AD">
        <w:t xml:space="preserve"> </w:t>
      </w:r>
    </w:p>
    <w:p w14:paraId="2CC45985" w14:textId="082D242C" w:rsidR="002B05AD" w:rsidRDefault="00003713" w:rsidP="00B03C4A">
      <w:pPr>
        <w:pStyle w:val="Heading5"/>
      </w:pPr>
      <w:bookmarkStart w:id="745" w:name="_Ref76214991"/>
      <w:r>
        <w:t>where</w:t>
      </w:r>
      <w:r w:rsidR="002B05AD">
        <w:t xml:space="preserve"> the total funds available in the </w:t>
      </w:r>
      <w:r w:rsidR="00C81C98">
        <w:t xml:space="preserve">Credit Cover Account for Monthly Settlement </w:t>
      </w:r>
      <w:r w:rsidR="002B05AD">
        <w:t xml:space="preserve">are not </w:t>
      </w:r>
      <w:r w:rsidR="00937FF0">
        <w:t>sufficient</w:t>
      </w:r>
      <w:r w:rsidR="002B05AD">
        <w:t xml:space="preserve"> to make full payments to the Market Participants </w:t>
      </w:r>
      <w:r w:rsidR="00937FF0">
        <w:t>under the Credit Notifications</w:t>
      </w:r>
      <w:r w:rsidR="002B05AD">
        <w:t xml:space="preserve">, the Market Operator </w:t>
      </w:r>
      <w:r w:rsidR="00937FF0">
        <w:t>may</w:t>
      </w:r>
      <w:r w:rsidR="002B05AD">
        <w:t xml:space="preserve"> utilize the </w:t>
      </w:r>
      <w:r w:rsidR="00937FF0">
        <w:t>balance available</w:t>
      </w:r>
      <w:r w:rsidR="002B05AD">
        <w:t xml:space="preserve"> in the Settlement </w:t>
      </w:r>
      <w:r w:rsidR="002B05AD">
        <w:lastRenderedPageBreak/>
        <w:t xml:space="preserve">Guarantee Fund to bridge the gap </w:t>
      </w:r>
      <w:r w:rsidR="00937FF0">
        <w:t>in order to</w:t>
      </w:r>
      <w:r w:rsidR="002B05AD">
        <w:t xml:space="preserve"> make full payment to the </w:t>
      </w:r>
      <w:r w:rsidR="00937FF0">
        <w:t xml:space="preserve">relevant </w:t>
      </w:r>
      <w:r w:rsidR="002B05AD">
        <w:t>Market Participants.</w:t>
      </w:r>
      <w:bookmarkEnd w:id="745"/>
    </w:p>
    <w:p w14:paraId="03AB1E35" w14:textId="402453B4" w:rsidR="002B05AD" w:rsidRDefault="002B05AD" w:rsidP="002B05AD">
      <w:pPr>
        <w:pStyle w:val="Heading4"/>
      </w:pPr>
      <w:r>
        <w:t xml:space="preserve">On the next Business Day </w:t>
      </w:r>
      <w:r w:rsidR="00937FF0">
        <w:t>following</w:t>
      </w:r>
      <w:r>
        <w:t xml:space="preserve"> the Clearing Day, the Market Operator </w:t>
      </w:r>
      <w:r w:rsidR="00CE07B9">
        <w:t>shall</w:t>
      </w:r>
      <w:r>
        <w:t xml:space="preserve"> issue Debit Notifications to all Market Participants </w:t>
      </w:r>
      <w:r w:rsidR="00937FF0">
        <w:t xml:space="preserve">who </w:t>
      </w:r>
      <w:r>
        <w:t>owe</w:t>
      </w:r>
      <w:r w:rsidR="00937FF0">
        <w:t xml:space="preserve"> money</w:t>
      </w:r>
      <w:r>
        <w:t xml:space="preserve"> </w:t>
      </w:r>
      <w:r w:rsidR="001B224B">
        <w:t>to</w:t>
      </w:r>
      <w:r>
        <w:t xml:space="preserve"> the Market Operator </w:t>
      </w:r>
      <w:r w:rsidR="00937FF0">
        <w:t xml:space="preserve">requiring them </w:t>
      </w:r>
      <w:r>
        <w:t xml:space="preserve">to pay </w:t>
      </w:r>
      <w:r w:rsidRPr="003018FA">
        <w:t>the required amounts</w:t>
      </w:r>
      <w:r>
        <w:t xml:space="preserve"> by the </w:t>
      </w:r>
      <w:r w:rsidR="00CE07B9">
        <w:t xml:space="preserve">Payment </w:t>
      </w:r>
      <w:r>
        <w:t xml:space="preserve">Due Date. Any late payment </w:t>
      </w:r>
      <w:r w:rsidR="001D09E4">
        <w:t>from the Payment Due Date shall</w:t>
      </w:r>
      <w:r>
        <w:t xml:space="preserve"> </w:t>
      </w:r>
      <w:r w:rsidR="001D09E4">
        <w:t xml:space="preserve">attract </w:t>
      </w:r>
      <w:r>
        <w:t>Default Interest</w:t>
      </w:r>
      <w:r w:rsidR="00CE07B9">
        <w:t>.</w:t>
      </w:r>
    </w:p>
    <w:p w14:paraId="56B29764" w14:textId="3327EA2E" w:rsidR="002B05AD" w:rsidRPr="00BB4C49" w:rsidRDefault="002B05AD" w:rsidP="002B05AD">
      <w:pPr>
        <w:pStyle w:val="Heading4"/>
      </w:pPr>
      <w:r>
        <w:t xml:space="preserve">Each Market Participant shall remit to the </w:t>
      </w:r>
      <w:r w:rsidR="001B224B">
        <w:t>Market Operator Settlement Account</w:t>
      </w:r>
      <w:r w:rsidR="00C81C98">
        <w:t xml:space="preserve"> for Monthly Settlements</w:t>
      </w:r>
      <w:r w:rsidR="001B224B">
        <w:t xml:space="preserve"> </w:t>
      </w:r>
      <w:r>
        <w:t xml:space="preserve">the amount shown on the Debit Notification, as </w:t>
      </w:r>
      <w:r w:rsidRPr="00BB4C49">
        <w:t xml:space="preserve">payable by </w:t>
      </w:r>
      <w:r w:rsidR="00CE07B9">
        <w:t>the</w:t>
      </w:r>
      <w:r w:rsidRPr="00BB4C49">
        <w:t xml:space="preserve"> Market Participant</w:t>
      </w:r>
      <w:r>
        <w:t>,</w:t>
      </w:r>
      <w:r w:rsidRPr="00BB4C49">
        <w:t xml:space="preserve"> by </w:t>
      </w:r>
      <w:r w:rsidR="001D09E4">
        <w:t>Close of Banking Business on the</w:t>
      </w:r>
      <w:r w:rsidRPr="00624C32">
        <w:t xml:space="preserve"> </w:t>
      </w:r>
      <w:r w:rsidR="008E7D79">
        <w:t>Payment Due Date</w:t>
      </w:r>
      <w:r>
        <w:t>.</w:t>
      </w:r>
    </w:p>
    <w:p w14:paraId="2D707039" w14:textId="05EC3DA0" w:rsidR="002B05AD" w:rsidRPr="00AF35C4" w:rsidRDefault="00C81C98" w:rsidP="002B05AD">
      <w:pPr>
        <w:pStyle w:val="Heading4"/>
      </w:pPr>
      <w:r>
        <w:t>As</w:t>
      </w:r>
      <w:r w:rsidR="002B05AD">
        <w:t xml:space="preserve"> the payments are received in the </w:t>
      </w:r>
      <w:r w:rsidR="004F34DC">
        <w:t>Market Operator Settlement Account</w:t>
      </w:r>
      <w:r>
        <w:t xml:space="preserve"> for Monthly Settlements, the Market Operator shall order the transfer of the amounts to the Market Operator Credit Cover Account for Monthly Settlements firs</w:t>
      </w:r>
      <w:r w:rsidR="007F3E02">
        <w:t>t</w:t>
      </w:r>
      <w:r>
        <w:t xml:space="preserve"> and then</w:t>
      </w:r>
      <w:r w:rsidR="004F34DC">
        <w:t>,</w:t>
      </w:r>
      <w:r w:rsidR="002B05AD">
        <w:t xml:space="preserve"> if any amount was utilized from Settlement Guarantee Fund as per </w:t>
      </w:r>
      <w:r w:rsidR="002B05AD" w:rsidRPr="007C034D">
        <w:t xml:space="preserve">Clause </w:t>
      </w:r>
      <w:r w:rsidR="007C034D" w:rsidRPr="007C034D">
        <w:fldChar w:fldCharType="begin"/>
      </w:r>
      <w:r w:rsidR="007C034D" w:rsidRPr="007C034D">
        <w:instrText xml:space="preserve"> REF _Ref76214991 \w \h </w:instrText>
      </w:r>
      <w:r w:rsidR="007C034D">
        <w:instrText xml:space="preserve"> \* MERGEFORMAT </w:instrText>
      </w:r>
      <w:r w:rsidR="007C034D" w:rsidRPr="007C034D">
        <w:fldChar w:fldCharType="separate"/>
      </w:r>
      <w:r w:rsidR="007C034D" w:rsidRPr="007C034D">
        <w:t>13.3.1.2</w:t>
      </w:r>
      <w:r w:rsidR="007C034D" w:rsidRPr="007C034D">
        <w:fldChar w:fldCharType="end"/>
      </w:r>
      <w:r w:rsidR="002B05AD">
        <w:t xml:space="preserve">, the same amount shall be deposited back in the Settlement Guarantee Fund Account. </w:t>
      </w:r>
    </w:p>
    <w:p w14:paraId="4D8DFB85" w14:textId="77777777" w:rsidR="002B05AD" w:rsidRDefault="002B05AD" w:rsidP="002B05AD">
      <w:pPr>
        <w:pStyle w:val="Heading3"/>
      </w:pPr>
      <w:r>
        <w:t>Payment Process for Yearly Settlements</w:t>
      </w:r>
    </w:p>
    <w:p w14:paraId="04B8BC86" w14:textId="77777777" w:rsidR="00A44FD5" w:rsidRDefault="002B05AD" w:rsidP="007C034D">
      <w:pPr>
        <w:pStyle w:val="Heading4"/>
      </w:pPr>
      <w:r>
        <w:t>On the Clearing Day</w:t>
      </w:r>
      <w:r w:rsidR="00A44FD5">
        <w:t>:</w:t>
      </w:r>
    </w:p>
    <w:p w14:paraId="1A8918AB" w14:textId="416F4867" w:rsidR="00A44FD5" w:rsidRDefault="00A44FD5" w:rsidP="00A44FD5">
      <w:pPr>
        <w:pStyle w:val="Heading5"/>
      </w:pPr>
      <w:r>
        <w:t xml:space="preserve">the Market Operator shall make payments to the relevant Market Participants or Transmission Service Providers, as the case may be, from the Market Operator Settlement Account for yearly Settlements, in accordance with the Credit Notifications; </w:t>
      </w:r>
    </w:p>
    <w:p w14:paraId="18841C62" w14:textId="2237926A" w:rsidR="00A44FD5" w:rsidRDefault="00A44FD5" w:rsidP="00A44FD5">
      <w:pPr>
        <w:pStyle w:val="Heading5"/>
      </w:pPr>
      <w:r>
        <w:t xml:space="preserve">the Market Operator shall order the relevant bank to transfer the funds from the Market Operator Credit Cover Account for Yearly Settlement to the Market Operator Settlement Account for Yearly Settlements as per the relevant Settlement Statements. </w:t>
      </w:r>
    </w:p>
    <w:p w14:paraId="1F41A14A" w14:textId="18B1850F" w:rsidR="00A44FD5" w:rsidRDefault="00A44FD5" w:rsidP="00A44FD5">
      <w:pPr>
        <w:pStyle w:val="Heading5"/>
      </w:pPr>
      <w:r>
        <w:t>while making such payments to the Market Participants and/or Transmission Service Providers, the Market Operator shall ensure proper accounting of the Credit Cover Account for Yearly Settlement and utilize the amounts deposited by the Market Participants from whom the money is owed to Market Operator;</w:t>
      </w:r>
    </w:p>
    <w:p w14:paraId="33D54483" w14:textId="5139279D" w:rsidR="00A44FD5" w:rsidRDefault="00A44FD5" w:rsidP="00A44FD5">
      <w:pPr>
        <w:pStyle w:val="Heading5"/>
      </w:pPr>
      <w:r>
        <w:t>where the money deposited by such Market Participants</w:t>
      </w:r>
      <w:r w:rsidR="00CE2ED3">
        <w:t xml:space="preserve"> and/or Transmission Service Provider</w:t>
      </w:r>
      <w:r>
        <w:t xml:space="preserve">, who owe money to the Market Operator, is not enough to settle the amounts payable under the Credit Notifications, the Market Operator may </w:t>
      </w:r>
      <w:r w:rsidR="00CE2ED3" w:rsidRPr="00CE2ED3">
        <w:t>reduce payments to the Market Participants and/or the Transmission Service Providers on pro-rata basis while taking into account the shortfall amount</w:t>
      </w:r>
      <w:r>
        <w:t xml:space="preserve">; </w:t>
      </w:r>
    </w:p>
    <w:p w14:paraId="5D3C09B0" w14:textId="77777777" w:rsidR="00A44FD5" w:rsidRDefault="00A44FD5" w:rsidP="00A44FD5">
      <w:pPr>
        <w:pStyle w:val="Heading4"/>
      </w:pPr>
      <w:r>
        <w:t xml:space="preserve">On the next Business Day following the Clearing Day, the Market Operator shall issue Debit Notifications to all Market Participants who owe money to the Market Operator requiring them to pay </w:t>
      </w:r>
      <w:r w:rsidRPr="003018FA">
        <w:t>the required amounts</w:t>
      </w:r>
      <w:r>
        <w:t xml:space="preserve"> by the Payment Due Date. Any late payment from the Payment Due Date shall attract Default Interest.</w:t>
      </w:r>
    </w:p>
    <w:p w14:paraId="634C988D" w14:textId="6423848C" w:rsidR="00A44FD5" w:rsidRPr="00BB4C49" w:rsidRDefault="00A44FD5" w:rsidP="00A44FD5">
      <w:pPr>
        <w:pStyle w:val="Heading4"/>
      </w:pPr>
      <w:r>
        <w:t xml:space="preserve">Each Market Participant and/or Transmission Service Provider shall remit to the Market Operator Settlement Account for Yearly Settlements the amount shown on the Debit Notification, as </w:t>
      </w:r>
      <w:r w:rsidRPr="00BB4C49">
        <w:t xml:space="preserve">payable by </w:t>
      </w:r>
      <w:r>
        <w:t>the</w:t>
      </w:r>
      <w:r w:rsidRPr="00BB4C49">
        <w:t xml:space="preserve"> Market Participant</w:t>
      </w:r>
      <w:r w:rsidRPr="00A44FD5">
        <w:t xml:space="preserve"> </w:t>
      </w:r>
      <w:r>
        <w:t>and/or Transmission Service Provider,</w:t>
      </w:r>
      <w:r w:rsidRPr="00BB4C49">
        <w:t xml:space="preserve"> by </w:t>
      </w:r>
      <w:r>
        <w:t>Close of Banking Business on the</w:t>
      </w:r>
      <w:r w:rsidRPr="00624C32">
        <w:t xml:space="preserve"> </w:t>
      </w:r>
      <w:r>
        <w:t>Payment Due Date.</w:t>
      </w:r>
    </w:p>
    <w:p w14:paraId="6F1394B0" w14:textId="5073B07D" w:rsidR="00A44FD5" w:rsidRPr="00B03C4A" w:rsidRDefault="00A44FD5" w:rsidP="00B03C4A">
      <w:pPr>
        <w:pStyle w:val="Heading4"/>
      </w:pPr>
      <w:r>
        <w:t>As the payments are received in the Market Operator Settlement Account for Yearly Settlements, the Market Operator shall order the transfer of the amounts to the Market Operator Credit Cover Account for Yearly Settlements</w:t>
      </w:r>
      <w:r w:rsidR="008C3E26">
        <w:t xml:space="preserve">. Any Default Interest on late payments shall be deposited into the Market Operator Miscellaneous Account. </w:t>
      </w:r>
      <w:r>
        <w:t xml:space="preserve"> </w:t>
      </w:r>
    </w:p>
    <w:p w14:paraId="0BD45E9D" w14:textId="08202F42" w:rsidR="002B05AD" w:rsidRDefault="000661BF" w:rsidP="002B05AD">
      <w:pPr>
        <w:pStyle w:val="Heading3"/>
      </w:pPr>
      <w:r>
        <w:lastRenderedPageBreak/>
        <w:t xml:space="preserve">Default in making </w:t>
      </w:r>
      <w:r w:rsidR="002B05AD">
        <w:t xml:space="preserve">Payment by </w:t>
      </w:r>
      <w:r>
        <w:t xml:space="preserve">a </w:t>
      </w:r>
      <w:r w:rsidR="002B05AD">
        <w:t>Market Participant</w:t>
      </w:r>
    </w:p>
    <w:p w14:paraId="6D3E6BBF" w14:textId="406120A5" w:rsidR="002B05AD" w:rsidRPr="00AB31A7" w:rsidRDefault="008C3E26" w:rsidP="002B05AD">
      <w:pPr>
        <w:pStyle w:val="Heading4"/>
      </w:pPr>
      <w:r>
        <w:t>In case of monthly Settlements, w</w:t>
      </w:r>
      <w:r w:rsidR="000661BF">
        <w:t xml:space="preserve">here a Market Participant defaults in making any payment due under the Debit Notification or otherwise, the Market Operator may make payments from the Settlement Guarantee Fund Account, provided that </w:t>
      </w:r>
      <w:r w:rsidR="009C4FA4">
        <w:t>upon</w:t>
      </w:r>
      <w:r w:rsidR="000661BF">
        <w:t xml:space="preserve"> recovery or receipt of such amount form the defaulting Market Participant</w:t>
      </w:r>
      <w:r w:rsidR="009C4FA4">
        <w:t>,</w:t>
      </w:r>
      <w:r w:rsidR="000661BF">
        <w:t xml:space="preserve"> such amount shall be deposited back to the Settlement Guarantee Fund Account. It is</w:t>
      </w:r>
      <w:r w:rsidR="009C4FA4">
        <w:t xml:space="preserve"> hereby</w:t>
      </w:r>
      <w:r w:rsidR="000661BF">
        <w:t xml:space="preserve"> clarified that payment of any amount from the Settlement Guarantee Fund Account shall be without prejudice to any </w:t>
      </w:r>
      <w:r w:rsidR="002B05AD">
        <w:t>enforcement action</w:t>
      </w:r>
      <w:r w:rsidR="000661BF">
        <w:t xml:space="preserve"> that may be taken</w:t>
      </w:r>
      <w:r w:rsidR="002B05AD">
        <w:t xml:space="preserve"> by the Market Operator under </w:t>
      </w:r>
      <w:r w:rsidR="007C034D">
        <w:fldChar w:fldCharType="begin"/>
      </w:r>
      <w:r w:rsidR="007C034D">
        <w:instrText xml:space="preserve"> REF _Ref54987623 \w \h </w:instrText>
      </w:r>
      <w:r w:rsidR="007C034D">
        <w:fldChar w:fldCharType="separate"/>
      </w:r>
      <w:r w:rsidR="007C034D">
        <w:t>Chapter 17</w:t>
      </w:r>
      <w:r w:rsidR="007C034D">
        <w:fldChar w:fldCharType="end"/>
      </w:r>
      <w:r w:rsidR="002B05AD" w:rsidRPr="00AB31A7">
        <w:t>.</w:t>
      </w:r>
    </w:p>
    <w:p w14:paraId="0EB87FDE" w14:textId="21577EA0" w:rsidR="002B05AD" w:rsidRDefault="009C4FA4" w:rsidP="002B05AD">
      <w:pPr>
        <w:pStyle w:val="Heading4"/>
      </w:pPr>
      <w:r>
        <w:t xml:space="preserve">Where there is no chance of recovery from the defaulting Market Participant, the </w:t>
      </w:r>
      <w:r w:rsidR="002B05AD">
        <w:t xml:space="preserve">Market Operator </w:t>
      </w:r>
      <w:r w:rsidR="00820CF1">
        <w:t>shall</w:t>
      </w:r>
      <w:r w:rsidR="002B05AD">
        <w:t xml:space="preserve"> assess the impact on the Settlement Guarantee Fund and determine if any additional amount</w:t>
      </w:r>
      <w:r>
        <w:t>s</w:t>
      </w:r>
      <w:r w:rsidR="002B05AD">
        <w:t xml:space="preserve"> </w:t>
      </w:r>
      <w:r>
        <w:t>are required</w:t>
      </w:r>
      <w:r w:rsidR="002B05AD">
        <w:t xml:space="preserve"> to be </w:t>
      </w:r>
      <w:r>
        <w:t>deposited</w:t>
      </w:r>
      <w:r w:rsidR="002B05AD">
        <w:t xml:space="preserve"> by all</w:t>
      </w:r>
      <w:r>
        <w:t xml:space="preserve"> the</w:t>
      </w:r>
      <w:r w:rsidR="002B05AD">
        <w:t xml:space="preserve"> Market Participants</w:t>
      </w:r>
      <w:r>
        <w:t>. If the Market Operator determines that additional amounts are required to be deposited in the Settlement Guarantee Fund, all Market Participants shall deposit the requisite amounts within specified timeframe</w:t>
      </w:r>
      <w:r w:rsidR="00820CF1">
        <w:t>.</w:t>
      </w:r>
    </w:p>
    <w:p w14:paraId="1B0A8663" w14:textId="7722CC54" w:rsidR="008C3E26" w:rsidRDefault="008C3E26" w:rsidP="008C3E26">
      <w:pPr>
        <w:pStyle w:val="Heading4"/>
      </w:pPr>
      <w:r>
        <w:t xml:space="preserve">In case of yearly Settlements, where a Market Participant or the Transmission Service Provider defaults in making any payment due under the Debit Notification or otherwise, the Market Operator may reduce payments to the Market Participants and/or Transmission Service Providers on pro-rata basis., provided that upon recovery or receipt of such amount form the defaulting Market Participant or Transmission Service Provider, such amount shall be paid to the relevant parties together with </w:t>
      </w:r>
      <w:r w:rsidRPr="00CE2ED3">
        <w:t xml:space="preserve">the </w:t>
      </w:r>
      <w:r w:rsidRPr="00B03C4A">
        <w:t>D</w:t>
      </w:r>
      <w:r w:rsidRPr="00CE2ED3">
        <w:t xml:space="preserve">efault </w:t>
      </w:r>
      <w:r w:rsidRPr="00B03C4A">
        <w:t>I</w:t>
      </w:r>
      <w:r w:rsidRPr="00CE2ED3">
        <w:t>nterest as received from the defaulting party. Provided that payment with the</w:t>
      </w:r>
      <w:r>
        <w:t xml:space="preserve"> Default Interest will be prejudice to any enforcement action that may be taken by the Market Operator under </w:t>
      </w:r>
      <w:r>
        <w:fldChar w:fldCharType="begin"/>
      </w:r>
      <w:r>
        <w:instrText xml:space="preserve"> REF _Ref54987623 \w \h </w:instrText>
      </w:r>
      <w:r>
        <w:fldChar w:fldCharType="separate"/>
      </w:r>
      <w:r>
        <w:t>Chapter 17</w:t>
      </w:r>
      <w:r>
        <w:fldChar w:fldCharType="end"/>
      </w:r>
      <w:r>
        <w:t>.</w:t>
      </w:r>
    </w:p>
    <w:p w14:paraId="570E1654" w14:textId="77777777" w:rsidR="002B05AD" w:rsidRDefault="002B05AD" w:rsidP="002B05AD">
      <w:pPr>
        <w:pStyle w:val="Heading3"/>
      </w:pPr>
      <w:r>
        <w:t xml:space="preserve">Set-Off. </w:t>
      </w:r>
    </w:p>
    <w:p w14:paraId="527B7493" w14:textId="6D4A4DD0" w:rsidR="002B05AD" w:rsidRPr="00B03C4A" w:rsidRDefault="002B05AD" w:rsidP="002B05AD">
      <w:pPr>
        <w:pStyle w:val="Heading4"/>
      </w:pPr>
      <w:r w:rsidRPr="00B03C4A">
        <w:t xml:space="preserve">The Market Operator is authorised to recoup, set off or apply any amount to which any defaulting Market Participant is, or will be, entitled, for or towards the satisfaction of any of that Market Participant’s debts arising under the Settlement and billing process in accordance with </w:t>
      </w:r>
      <w:r w:rsidR="004D7456" w:rsidRPr="00B03C4A">
        <w:fldChar w:fldCharType="begin"/>
      </w:r>
      <w:r w:rsidR="004D7456" w:rsidRPr="00B03C4A">
        <w:instrText xml:space="preserve"> REF _Ref76216095 \w \h </w:instrText>
      </w:r>
      <w:r w:rsidR="00CE2ED3">
        <w:instrText xml:space="preserve"> \* MERGEFORMAT </w:instrText>
      </w:r>
      <w:r w:rsidR="004D7456" w:rsidRPr="00B03C4A">
        <w:fldChar w:fldCharType="separate"/>
      </w:r>
      <w:r w:rsidR="004D7456" w:rsidRPr="00B03C4A">
        <w:t>Chapter 8</w:t>
      </w:r>
      <w:r w:rsidR="004D7456" w:rsidRPr="00B03C4A">
        <w:fldChar w:fldCharType="end"/>
      </w:r>
      <w:r w:rsidRPr="00B03C4A">
        <w:t xml:space="preserve"> and Chapter 12, or any penalty imposed on the Market Participant by the Market Operator pursuant to </w:t>
      </w:r>
      <w:r w:rsidRPr="00B03C4A">
        <w:fldChar w:fldCharType="begin"/>
      </w:r>
      <w:r w:rsidRPr="00B03C4A">
        <w:instrText xml:space="preserve"> REF _Ref54987623 \r \h  \* MERGEFORMAT </w:instrText>
      </w:r>
      <w:r w:rsidRPr="00B03C4A">
        <w:fldChar w:fldCharType="separate"/>
      </w:r>
      <w:r w:rsidRPr="00B03C4A">
        <w:t>Chapter 17</w:t>
      </w:r>
      <w:r w:rsidRPr="00B03C4A">
        <w:fldChar w:fldCharType="end"/>
      </w:r>
      <w:r w:rsidRPr="00B03C4A">
        <w:t>. The oldest outstanding amounts will be settled first in the order of the creation of such debts.</w:t>
      </w:r>
    </w:p>
    <w:p w14:paraId="6533FFFF" w14:textId="77777777" w:rsidR="002B05AD" w:rsidRPr="004D7456" w:rsidRDefault="002B05AD" w:rsidP="002B05AD">
      <w:pPr>
        <w:pStyle w:val="Heading3"/>
      </w:pPr>
      <w:r w:rsidRPr="004D7456">
        <w:t>Order of Payments</w:t>
      </w:r>
    </w:p>
    <w:p w14:paraId="16F0B640" w14:textId="5CFF0AD7" w:rsidR="002B05AD" w:rsidRDefault="002B05AD" w:rsidP="002B05AD">
      <w:pPr>
        <w:pStyle w:val="Heading4"/>
      </w:pPr>
      <w:r w:rsidRPr="004D7456">
        <w:t>The Market Operator shall apply payments received in respect of amounts ow</w:t>
      </w:r>
      <w:r w:rsidR="009C4FA4">
        <w:t>ed</w:t>
      </w:r>
      <w:r w:rsidRPr="004D7456">
        <w:t xml:space="preserve"> to Market Participants to repay the relevant debts in the order of the creation of such debts</w:t>
      </w:r>
      <w:r>
        <w:t>.</w:t>
      </w:r>
    </w:p>
    <w:p w14:paraId="2B8C7C35" w14:textId="77777777" w:rsidR="002B05AD" w:rsidRDefault="002B05AD" w:rsidP="002B05AD">
      <w:pPr>
        <w:pStyle w:val="Heading3"/>
      </w:pPr>
      <w:bookmarkStart w:id="746" w:name="_Ref76900502"/>
      <w:r>
        <w:t>Default Interest</w:t>
      </w:r>
      <w:bookmarkEnd w:id="746"/>
    </w:p>
    <w:p w14:paraId="4785D79E" w14:textId="56A8C15E" w:rsidR="002B05AD" w:rsidRDefault="009C4FA4" w:rsidP="002B05AD">
      <w:pPr>
        <w:pStyle w:val="Heading4"/>
      </w:pPr>
      <w:r>
        <w:t xml:space="preserve">All </w:t>
      </w:r>
      <w:r w:rsidR="002B05AD">
        <w:t>Market Participant</w:t>
      </w:r>
      <w:r>
        <w:t>s</w:t>
      </w:r>
      <w:r w:rsidR="008C3E26">
        <w:t xml:space="preserve"> or the Transmission Service Providers</w:t>
      </w:r>
      <w:r w:rsidR="002B05AD">
        <w:t xml:space="preserve"> shall pay Default Interest on Default Amounts for the period commencing from the relevant </w:t>
      </w:r>
      <w:r w:rsidR="008E7D79">
        <w:t>Payment Due Date</w:t>
      </w:r>
      <w:r w:rsidR="002B05AD">
        <w:t xml:space="preserve"> </w:t>
      </w:r>
      <w:r>
        <w:t>till</w:t>
      </w:r>
      <w:r w:rsidR="002B05AD">
        <w:t xml:space="preserve"> the date </w:t>
      </w:r>
      <w:r>
        <w:t>on</w:t>
      </w:r>
      <w:r w:rsidR="002B05AD">
        <w:t xml:space="preserve"> which the payment is actually received by the Market Operator, together with any related costs incurred by the Market Operator.</w:t>
      </w:r>
    </w:p>
    <w:p w14:paraId="74ADA47B" w14:textId="00ED2BBB" w:rsidR="002B05AD" w:rsidRDefault="002B05AD" w:rsidP="002B05AD">
      <w:pPr>
        <w:pStyle w:val="Heading4"/>
      </w:pPr>
      <w:r>
        <w:t xml:space="preserve"> The Default Interest shall be deposited in the Market Operator </w:t>
      </w:r>
      <w:r w:rsidR="008C3E26">
        <w:t>Miscellaneous</w:t>
      </w:r>
      <w:r>
        <w:t xml:space="preserve"> Account.</w:t>
      </w:r>
    </w:p>
    <w:p w14:paraId="448C0BF4" w14:textId="77777777" w:rsidR="002B05AD" w:rsidRDefault="002B05AD" w:rsidP="002B05AD">
      <w:pPr>
        <w:pStyle w:val="Heading3"/>
      </w:pPr>
      <w:r>
        <w:lastRenderedPageBreak/>
        <w:t>Overpayments</w:t>
      </w:r>
    </w:p>
    <w:p w14:paraId="4BB3607D" w14:textId="0B369B58" w:rsidR="002B05AD" w:rsidRPr="00E613D6" w:rsidRDefault="00DE32A8" w:rsidP="002B05AD">
      <w:pPr>
        <w:pStyle w:val="Heading4"/>
      </w:pPr>
      <w:r>
        <w:t>Where</w:t>
      </w:r>
      <w:r w:rsidR="002B05AD" w:rsidRPr="00E613D6">
        <w:t xml:space="preserve"> a Market Participant receives an overpayment as a result of </w:t>
      </w:r>
      <w:r>
        <w:t xml:space="preserve">an </w:t>
      </w:r>
      <w:r w:rsidR="002B05AD" w:rsidRPr="00E613D6">
        <w:t xml:space="preserve">error on the part of the Market Operator, it shall </w:t>
      </w:r>
      <w:r w:rsidR="002B05AD">
        <w:t>intimate</w:t>
      </w:r>
      <w:r w:rsidR="002B05AD" w:rsidRPr="00E613D6">
        <w:t xml:space="preserve"> the Market Operator of such overpayment </w:t>
      </w:r>
      <w:r>
        <w:t>immediately, but not later than</w:t>
      </w:r>
      <w:r w:rsidR="002B05AD" w:rsidRPr="00E613D6">
        <w:t xml:space="preserve"> 24 hours of </w:t>
      </w:r>
      <w:r>
        <w:t>the knowledge thereof</w:t>
      </w:r>
      <w:r w:rsidR="002B05AD" w:rsidRPr="00E613D6">
        <w:t>.</w:t>
      </w:r>
    </w:p>
    <w:p w14:paraId="3B8974E0" w14:textId="77777777" w:rsidR="002B05AD" w:rsidRPr="00E613D6" w:rsidRDefault="002B05AD" w:rsidP="002B05AD">
      <w:pPr>
        <w:pStyle w:val="Heading4"/>
      </w:pPr>
      <w:r w:rsidRPr="00E613D6">
        <w:t xml:space="preserve">The Market Participant shall return the received overpayment in full </w:t>
      </w:r>
      <w:r>
        <w:t>by the next Business Day</w:t>
      </w:r>
      <w:r w:rsidRPr="00E613D6">
        <w:t>.</w:t>
      </w:r>
    </w:p>
    <w:p w14:paraId="23558A92" w14:textId="2ED237FD" w:rsidR="002B05AD" w:rsidRDefault="002B05AD" w:rsidP="002B05AD">
      <w:pPr>
        <w:pStyle w:val="Heading4"/>
      </w:pPr>
      <w:r>
        <w:t xml:space="preserve">If the </w:t>
      </w:r>
      <w:r w:rsidRPr="00E613D6">
        <w:t xml:space="preserve">Market Participant </w:t>
      </w:r>
      <w:r>
        <w:t xml:space="preserve">has not remitted the amount back to </w:t>
      </w:r>
      <w:r w:rsidR="00DE32A8">
        <w:t xml:space="preserve">the </w:t>
      </w:r>
      <w:r>
        <w:t xml:space="preserve">Market Operator </w:t>
      </w:r>
      <w:r w:rsidR="004D7456">
        <w:t>within the</w:t>
      </w:r>
      <w:r>
        <w:t xml:space="preserve"> next three</w:t>
      </w:r>
      <w:r w:rsidRPr="00E613D6">
        <w:t xml:space="preserve"> [</w:t>
      </w:r>
      <w:r>
        <w:t>3</w:t>
      </w:r>
      <w:r w:rsidRPr="00E613D6">
        <w:t xml:space="preserve">] </w:t>
      </w:r>
      <w:r>
        <w:t>Business D</w:t>
      </w:r>
      <w:r w:rsidRPr="00E613D6">
        <w:t xml:space="preserve">ays </w:t>
      </w:r>
      <w:r>
        <w:t xml:space="preserve">from </w:t>
      </w:r>
      <w:r w:rsidR="00DE32A8">
        <w:t xml:space="preserve">the </w:t>
      </w:r>
      <w:r>
        <w:t>date of receipt of such overpayment</w:t>
      </w:r>
      <w:r w:rsidRPr="00E613D6">
        <w:t>,  the Market Operator shall be entitled to</w:t>
      </w:r>
      <w:r>
        <w:t xml:space="preserve"> charge</w:t>
      </w:r>
      <w:r w:rsidRPr="00E613D6">
        <w:t xml:space="preserve"> Default Interest on the amount of the overpayment, until the </w:t>
      </w:r>
      <w:r w:rsidR="004D7456">
        <w:t>amount</w:t>
      </w:r>
      <w:r w:rsidRPr="00E613D6">
        <w:t xml:space="preserve"> is credited to the Market Operator </w:t>
      </w:r>
      <w:r w:rsidR="004D7456">
        <w:t>Settlement</w:t>
      </w:r>
      <w:r w:rsidRPr="00E613D6">
        <w:t xml:space="preserve"> Account, and the Market Operator </w:t>
      </w:r>
      <w:r w:rsidR="004D7456">
        <w:t>shall</w:t>
      </w:r>
      <w:r w:rsidRPr="00E613D6">
        <w:t xml:space="preserve"> be entitled to treat the overpayment, and any interest accruing thereon, as a Default Amount to which Clause </w:t>
      </w:r>
      <w:r w:rsidRPr="00E613D6">
        <w:fldChar w:fldCharType="begin"/>
      </w:r>
      <w:r w:rsidRPr="00E613D6">
        <w:instrText xml:space="preserve"> REF _Ref60942652 \r \h  \* MERGEFORMAT </w:instrText>
      </w:r>
      <w:r w:rsidRPr="00E613D6">
        <w:fldChar w:fldCharType="separate"/>
      </w:r>
      <w:r>
        <w:t>13.3.3.1</w:t>
      </w:r>
      <w:r w:rsidRPr="00E613D6">
        <w:fldChar w:fldCharType="end"/>
      </w:r>
      <w:r w:rsidRPr="00E613D6">
        <w:t xml:space="preserve"> and </w:t>
      </w:r>
      <w:r w:rsidRPr="00E613D6">
        <w:fldChar w:fldCharType="begin"/>
      </w:r>
      <w:r w:rsidRPr="00E613D6">
        <w:instrText xml:space="preserve"> REF _Ref60942713 \r \h  \* MERGEFORMAT </w:instrText>
      </w:r>
      <w:r w:rsidRPr="00E613D6">
        <w:fldChar w:fldCharType="separate"/>
      </w:r>
      <w:r>
        <w:t>13.3.3.2</w:t>
      </w:r>
      <w:r w:rsidRPr="00E613D6">
        <w:fldChar w:fldCharType="end"/>
      </w:r>
      <w:r w:rsidRPr="00E613D6">
        <w:t xml:space="preserve"> shall apply.</w:t>
      </w:r>
    </w:p>
    <w:bookmarkEnd w:id="744"/>
    <w:p w14:paraId="58B39820" w14:textId="173AB8AD" w:rsidR="00026DED" w:rsidRPr="00026DED" w:rsidRDefault="00026DED" w:rsidP="00026DED">
      <w:pPr>
        <w:pStyle w:val="BodyText"/>
      </w:pPr>
    </w:p>
    <w:p w14:paraId="0508A846" w14:textId="06D860BC" w:rsidR="00293F8F" w:rsidRPr="00E613D6" w:rsidRDefault="00293F8F" w:rsidP="00E613D6">
      <w:pPr>
        <w:rPr>
          <w:rFonts w:eastAsiaTheme="majorEastAsia" w:cstheme="majorBidi"/>
          <w:color w:val="00153F" w:themeColor="accent1" w:themeShade="80"/>
          <w:sz w:val="34"/>
          <w:szCs w:val="32"/>
        </w:rPr>
      </w:pPr>
      <w:r>
        <w:br w:type="page"/>
      </w:r>
    </w:p>
    <w:p w14:paraId="1696DB19" w14:textId="27425471" w:rsidR="00293F8F" w:rsidRDefault="00293F8F" w:rsidP="00A40A5D">
      <w:pPr>
        <w:pStyle w:val="Heading1"/>
      </w:pPr>
      <w:bookmarkStart w:id="747" w:name="_Ref54689603"/>
      <w:bookmarkStart w:id="748" w:name="_Toc64846718"/>
      <w:bookmarkStart w:id="749" w:name="_Toc69477018"/>
      <w:r w:rsidRPr="008A7586">
        <w:lastRenderedPageBreak/>
        <w:t xml:space="preserve">GUARANTEES AND </w:t>
      </w:r>
      <w:r w:rsidR="00E0447D">
        <w:t>SECURITY</w:t>
      </w:r>
      <w:r w:rsidRPr="008A7586">
        <w:t xml:space="preserve"> COVERS</w:t>
      </w:r>
      <w:bookmarkEnd w:id="747"/>
      <w:bookmarkEnd w:id="748"/>
      <w:bookmarkEnd w:id="749"/>
    </w:p>
    <w:p w14:paraId="7DBE6040" w14:textId="6B095C53" w:rsidR="00D44194" w:rsidRDefault="00436B4C" w:rsidP="00D44194">
      <w:pPr>
        <w:pStyle w:val="Heading2"/>
      </w:pPr>
      <w:bookmarkStart w:id="750" w:name="_Toc69477019"/>
      <w:bookmarkStart w:id="751" w:name="_Hlk67428336"/>
      <w:r>
        <w:t xml:space="preserve">Requirements for Providing </w:t>
      </w:r>
      <w:r w:rsidR="004D7456">
        <w:t xml:space="preserve">Guarantees and </w:t>
      </w:r>
      <w:r w:rsidR="00E0447D">
        <w:t>Security</w:t>
      </w:r>
      <w:r w:rsidR="001C4A85">
        <w:t xml:space="preserve"> Covers</w:t>
      </w:r>
      <w:bookmarkEnd w:id="750"/>
      <w:r w:rsidR="00EA7001">
        <w:t xml:space="preserve"> </w:t>
      </w:r>
    </w:p>
    <w:p w14:paraId="2DA7F43C" w14:textId="6F9CCD8C" w:rsidR="00CE5575" w:rsidRPr="0070366D" w:rsidRDefault="004D7456" w:rsidP="00667BCF">
      <w:pPr>
        <w:pStyle w:val="Heading3"/>
      </w:pPr>
      <w:r>
        <w:t xml:space="preserve">Guarantees and </w:t>
      </w:r>
      <w:r w:rsidR="00CE5575" w:rsidRPr="0070366D">
        <w:t xml:space="preserve">Security Covers </w:t>
      </w:r>
      <w:r w:rsidR="00946A53">
        <w:t xml:space="preserve">to be </w:t>
      </w:r>
      <w:r w:rsidR="00CE5575" w:rsidRPr="0070366D">
        <w:t>Provided</w:t>
      </w:r>
      <w:r w:rsidR="0070366D" w:rsidRPr="0070366D">
        <w:t xml:space="preserve"> by Market Participants</w:t>
      </w:r>
    </w:p>
    <w:p w14:paraId="7B3683B4" w14:textId="296E9637" w:rsidR="00937F04" w:rsidRDefault="004D7456" w:rsidP="005B295A">
      <w:pPr>
        <w:pStyle w:val="Heading4"/>
      </w:pPr>
      <w:bookmarkStart w:id="752" w:name="_Ref76216965"/>
      <w:r>
        <w:t>Each</w:t>
      </w:r>
      <w:r w:rsidRPr="0070366D">
        <w:t xml:space="preserve"> </w:t>
      </w:r>
      <w:r w:rsidR="00514F95" w:rsidRPr="0070366D">
        <w:t xml:space="preserve">Market Participant shall provide to </w:t>
      </w:r>
      <w:r w:rsidR="00D85140">
        <w:t xml:space="preserve">the </w:t>
      </w:r>
      <w:r w:rsidR="00514F95" w:rsidRPr="0070366D">
        <w:t xml:space="preserve">Market Operator </w:t>
      </w:r>
      <w:r w:rsidR="0070366D" w:rsidRPr="0070366D">
        <w:t xml:space="preserve">appropriate </w:t>
      </w:r>
      <w:r w:rsidR="00514F95" w:rsidRPr="0070366D">
        <w:t>Security</w:t>
      </w:r>
      <w:r w:rsidR="00D85140">
        <w:t xml:space="preserve"> Covers </w:t>
      </w:r>
      <w:r w:rsidR="00514F95" w:rsidRPr="0070366D">
        <w:t>for</w:t>
      </w:r>
      <w:r>
        <w:t xml:space="preserve"> guaranteeing their</w:t>
      </w:r>
      <w:r w:rsidR="0070366D" w:rsidRPr="0070366D">
        <w:t>:</w:t>
      </w:r>
      <w:bookmarkEnd w:id="752"/>
    </w:p>
    <w:p w14:paraId="64CD3532" w14:textId="07DBAF9B" w:rsidR="004D7456" w:rsidRDefault="0008682C" w:rsidP="0070366D">
      <w:pPr>
        <w:pStyle w:val="Heading5"/>
      </w:pPr>
      <w:r>
        <w:t xml:space="preserve">Expected </w:t>
      </w:r>
      <w:r w:rsidR="004D7456">
        <w:t xml:space="preserve">Amounts Payable as per Final </w:t>
      </w:r>
      <w:r w:rsidR="00FB709E">
        <w:t>Settlement</w:t>
      </w:r>
      <w:r w:rsidR="004D7456">
        <w:t xml:space="preserve"> </w:t>
      </w:r>
      <w:commentRangeStart w:id="753"/>
      <w:r w:rsidR="004D7456">
        <w:t>Statement</w:t>
      </w:r>
      <w:r w:rsidR="00FB709E">
        <w:t>s</w:t>
      </w:r>
      <w:r w:rsidR="00195581">
        <w:t>;</w:t>
      </w:r>
      <w:r w:rsidR="0070366D" w:rsidRPr="0070366D">
        <w:t xml:space="preserve"> </w:t>
      </w:r>
      <w:commentRangeEnd w:id="753"/>
      <w:r w:rsidR="00585335">
        <w:rPr>
          <w:rStyle w:val="CommentReference"/>
          <w:rFonts w:eastAsiaTheme="minorHAnsi" w:cstheme="minorBidi"/>
          <w:color w:val="1C1C1C"/>
        </w:rPr>
        <w:commentReference w:id="753"/>
      </w:r>
    </w:p>
    <w:p w14:paraId="5FCEF747" w14:textId="37189351" w:rsidR="00B10AA1" w:rsidRDefault="0008682C" w:rsidP="0070366D">
      <w:pPr>
        <w:pStyle w:val="Heading5"/>
      </w:pPr>
      <w:r>
        <w:t xml:space="preserve">Expected </w:t>
      </w:r>
      <w:r w:rsidR="00FB709E">
        <w:t xml:space="preserve">Amounts Payable for the Capacity purchased in </w:t>
      </w:r>
      <w:r w:rsidR="0070366D" w:rsidRPr="0070366D">
        <w:t>the Balancing Mechanism for Capacity</w:t>
      </w:r>
      <w:r w:rsidR="00195581">
        <w:t>;</w:t>
      </w:r>
    </w:p>
    <w:p w14:paraId="2A8B32A7" w14:textId="1E84C86C" w:rsidR="00FB709E" w:rsidRPr="00FB709E" w:rsidRDefault="00585335" w:rsidP="00FB709E">
      <w:pPr>
        <w:pStyle w:val="Heading5"/>
      </w:pPr>
      <w:r>
        <w:t xml:space="preserve">Expected </w:t>
      </w:r>
      <w:r w:rsidR="00FB709E">
        <w:t xml:space="preserve">Amounts Payable </w:t>
      </w:r>
      <w:r>
        <w:t xml:space="preserve">for other amounts </w:t>
      </w:r>
      <w:r w:rsidR="00FB709E">
        <w:t>as per Yearly Settlement Statements (Final or Extraordinary, as the case may be)</w:t>
      </w:r>
      <w:r w:rsidR="00195581">
        <w:t>.</w:t>
      </w:r>
    </w:p>
    <w:p w14:paraId="1F28FFBB" w14:textId="6141C969" w:rsidR="0070366D" w:rsidRPr="0070366D" w:rsidRDefault="00EA7001" w:rsidP="00EA7001">
      <w:pPr>
        <w:pStyle w:val="Heading4"/>
      </w:pPr>
      <w:r>
        <w:t>In addition to Security Covers</w:t>
      </w:r>
      <w:r w:rsidR="00FB709E">
        <w:t xml:space="preserve"> required </w:t>
      </w:r>
      <w:r w:rsidR="00753779">
        <w:t>under</w:t>
      </w:r>
      <w:r w:rsidR="00FB709E">
        <w:t xml:space="preserve"> Clause </w:t>
      </w:r>
      <w:r w:rsidR="00FB709E">
        <w:fldChar w:fldCharType="begin"/>
      </w:r>
      <w:r w:rsidR="00FB709E">
        <w:instrText xml:space="preserve"> REF _Ref76216965 \w \h </w:instrText>
      </w:r>
      <w:r w:rsidR="00FB709E">
        <w:fldChar w:fldCharType="separate"/>
      </w:r>
      <w:r w:rsidR="00FB709E">
        <w:t>14.1.1.1</w:t>
      </w:r>
      <w:r w:rsidR="00FB709E">
        <w:fldChar w:fldCharType="end"/>
      </w:r>
      <w:r w:rsidR="00753779">
        <w:t xml:space="preserve"> above</w:t>
      </w:r>
      <w:r>
        <w:t>, t</w:t>
      </w:r>
      <w:r w:rsidRPr="0070366D">
        <w:t xml:space="preserve">he Market Participants shall </w:t>
      </w:r>
      <w:r>
        <w:t xml:space="preserve">also </w:t>
      </w:r>
      <w:r w:rsidRPr="0070366D">
        <w:t xml:space="preserve">provide to </w:t>
      </w:r>
      <w:r>
        <w:t xml:space="preserve">the </w:t>
      </w:r>
      <w:r w:rsidRPr="0070366D">
        <w:t>Market Operator</w:t>
      </w:r>
      <w:r>
        <w:t xml:space="preserve"> </w:t>
      </w:r>
      <w:r w:rsidR="00753779">
        <w:t>their</w:t>
      </w:r>
      <w:r w:rsidR="00B10AA1">
        <w:t xml:space="preserve"> contribution to the Settlement Guarantee Fund</w:t>
      </w:r>
      <w:r w:rsidR="00334EEA">
        <w:t xml:space="preserve"> (the Guarantee Amount)</w:t>
      </w:r>
      <w:r>
        <w:t xml:space="preserve"> pursuant to clause </w:t>
      </w:r>
      <w:r w:rsidR="00FB709E">
        <w:rPr>
          <w:highlight w:val="yellow"/>
        </w:rPr>
        <w:fldChar w:fldCharType="begin"/>
      </w:r>
      <w:r w:rsidR="00FB709E">
        <w:instrText xml:space="preserve"> REF _Ref76216910 \w \h </w:instrText>
      </w:r>
      <w:r w:rsidR="00FB709E">
        <w:rPr>
          <w:highlight w:val="yellow"/>
        </w:rPr>
      </w:r>
      <w:r w:rsidR="00FB709E">
        <w:rPr>
          <w:highlight w:val="yellow"/>
        </w:rPr>
        <w:fldChar w:fldCharType="separate"/>
      </w:r>
      <w:r w:rsidR="00FB709E">
        <w:t>14.1.3.2</w:t>
      </w:r>
      <w:r w:rsidR="00FB709E">
        <w:rPr>
          <w:highlight w:val="yellow"/>
        </w:rPr>
        <w:fldChar w:fldCharType="end"/>
      </w:r>
      <w:r w:rsidR="0070366D" w:rsidRPr="0070366D">
        <w:t>.</w:t>
      </w:r>
    </w:p>
    <w:p w14:paraId="02E75F69" w14:textId="3B9FA0FB" w:rsidR="0070366D" w:rsidRPr="00436B4C" w:rsidRDefault="00937F04" w:rsidP="005B295A">
      <w:pPr>
        <w:pStyle w:val="Heading4"/>
      </w:pPr>
      <w:r w:rsidRPr="00436B4C">
        <w:t xml:space="preserve">Security Covers for guaranteeing </w:t>
      </w:r>
      <w:r w:rsidR="000B194C">
        <w:t>payment obligation</w:t>
      </w:r>
      <w:r w:rsidR="00753779">
        <w:t>s</w:t>
      </w:r>
      <w:r w:rsidR="000B194C">
        <w:t xml:space="preserve"> under the monthly Settlement Statement</w:t>
      </w:r>
      <w:r w:rsidR="00FB709E">
        <w:t>s</w:t>
      </w:r>
      <w:r w:rsidRPr="00436B4C">
        <w:t xml:space="preserve"> shall be provided by the Market Participants: </w:t>
      </w:r>
    </w:p>
    <w:p w14:paraId="363E560F" w14:textId="3CCF0960" w:rsidR="00D44194" w:rsidRDefault="00FB709E" w:rsidP="00EA77C9">
      <w:pPr>
        <w:pStyle w:val="Heading5"/>
      </w:pPr>
      <w:r>
        <w:t>b</w:t>
      </w:r>
      <w:r w:rsidR="00937F04" w:rsidRPr="00436B4C">
        <w:t>efore Registration as</w:t>
      </w:r>
      <w:r w:rsidR="00D85140">
        <w:t xml:space="preserve"> </w:t>
      </w:r>
      <w:r w:rsidR="00753779">
        <w:t xml:space="preserve">a </w:t>
      </w:r>
      <w:r w:rsidR="00D85140">
        <w:t>Market Participant</w:t>
      </w:r>
      <w:r w:rsidR="00937F04" w:rsidRPr="00436B4C">
        <w:t xml:space="preserve">, </w:t>
      </w:r>
      <w:r w:rsidR="00937F04" w:rsidRPr="003450DF">
        <w:t>pursuant</w:t>
      </w:r>
      <w:r w:rsidR="00753779">
        <w:t xml:space="preserve"> to</w:t>
      </w:r>
      <w:r w:rsidR="00937F04" w:rsidRPr="003450DF">
        <w:t xml:space="preserve"> </w:t>
      </w:r>
      <w:bookmarkStart w:id="754" w:name="_Hlk67428571"/>
      <w:r w:rsidR="00937F04" w:rsidRPr="003450DF">
        <w:t>Clause</w:t>
      </w:r>
      <w:r w:rsidR="003450DF" w:rsidRPr="003450DF">
        <w:t xml:space="preserve"> </w:t>
      </w:r>
      <w:r w:rsidR="003450DF">
        <w:t xml:space="preserve"> </w:t>
      </w:r>
      <w:r w:rsidR="00343314">
        <w:fldChar w:fldCharType="begin"/>
      </w:r>
      <w:r w:rsidR="00343314">
        <w:instrText xml:space="preserve"> REF _Ref68565568 \w \h </w:instrText>
      </w:r>
      <w:r w:rsidR="00343314">
        <w:fldChar w:fldCharType="separate"/>
      </w:r>
      <w:r w:rsidR="00251DBF">
        <w:t>3.3.4.1</w:t>
      </w:r>
      <w:r w:rsidR="00343314">
        <w:fldChar w:fldCharType="end"/>
      </w:r>
      <w:r w:rsidR="00937F04" w:rsidRPr="00436B4C">
        <w:t xml:space="preserve">; </w:t>
      </w:r>
      <w:bookmarkEnd w:id="754"/>
      <w:r w:rsidR="00937F04" w:rsidRPr="00436B4C">
        <w:t>and</w:t>
      </w:r>
    </w:p>
    <w:p w14:paraId="3B98E4F8" w14:textId="7627BED3" w:rsidR="00937F04" w:rsidRPr="001155C1" w:rsidRDefault="00FB709E" w:rsidP="00436B4C">
      <w:pPr>
        <w:pStyle w:val="Heading5"/>
      </w:pPr>
      <w:r>
        <w:t>a</w:t>
      </w:r>
      <w:r w:rsidR="00797553">
        <w:t>t the time of registration of a</w:t>
      </w:r>
      <w:r w:rsidR="00937F04" w:rsidRPr="00436B4C">
        <w:t xml:space="preserve"> </w:t>
      </w:r>
      <w:r w:rsidR="00937F04" w:rsidRPr="001155C1">
        <w:t xml:space="preserve">Contract </w:t>
      </w:r>
      <w:r>
        <w:t>to</w:t>
      </w:r>
      <w:r w:rsidRPr="001155C1">
        <w:t xml:space="preserve"> </w:t>
      </w:r>
      <w:r w:rsidR="00937F04" w:rsidRPr="001155C1">
        <w:t xml:space="preserve">which the Market Participant is a party. </w:t>
      </w:r>
    </w:p>
    <w:p w14:paraId="7394E232" w14:textId="4FD68A65" w:rsidR="00436B4C" w:rsidRDefault="00436B4C" w:rsidP="005B295A">
      <w:pPr>
        <w:pStyle w:val="Heading4"/>
      </w:pPr>
      <w:r w:rsidRPr="001155C1">
        <w:t xml:space="preserve">Security Covers for guaranteeing </w:t>
      </w:r>
      <w:r w:rsidR="000B194C">
        <w:t>payment obligation</w:t>
      </w:r>
      <w:r w:rsidR="00753779">
        <w:t>s</w:t>
      </w:r>
      <w:r w:rsidR="000B194C">
        <w:t xml:space="preserve"> under the Yearly Settlement Statement</w:t>
      </w:r>
      <w:r w:rsidR="005A5ED2">
        <w:t xml:space="preserve"> or Extraordinary Yearly Settlement Statement </w:t>
      </w:r>
      <w:r w:rsidR="000B194C">
        <w:t xml:space="preserve"> </w:t>
      </w:r>
      <w:r w:rsidRPr="001155C1">
        <w:t xml:space="preserve">shall be provided by the Market Participants as </w:t>
      </w:r>
      <w:r w:rsidR="00753779">
        <w:t>stipulated</w:t>
      </w:r>
      <w:r w:rsidR="00753779" w:rsidRPr="001155C1">
        <w:t xml:space="preserve"> </w:t>
      </w:r>
      <w:r w:rsidRPr="001155C1">
        <w:t>in</w:t>
      </w:r>
      <w:r w:rsidR="003450DF" w:rsidRPr="001155C1">
        <w:t xml:space="preserve"> </w:t>
      </w:r>
      <w:r w:rsidR="001155C1" w:rsidRPr="001155C1">
        <w:t xml:space="preserve">Clauses </w:t>
      </w:r>
      <w:r w:rsidR="001155C1" w:rsidRPr="001155C1">
        <w:fldChar w:fldCharType="begin"/>
      </w:r>
      <w:r w:rsidR="001155C1" w:rsidRPr="001155C1">
        <w:instrText xml:space="preserve"> REF _Ref68560911 \w \h </w:instrText>
      </w:r>
      <w:r w:rsidR="001155C1">
        <w:instrText xml:space="preserve"> \* MERGEFORMAT </w:instrText>
      </w:r>
      <w:r w:rsidR="001155C1" w:rsidRPr="001155C1">
        <w:fldChar w:fldCharType="separate"/>
      </w:r>
      <w:r w:rsidR="00251DBF">
        <w:t>10.3.2.1</w:t>
      </w:r>
      <w:r w:rsidR="001155C1" w:rsidRPr="001155C1">
        <w:fldChar w:fldCharType="end"/>
      </w:r>
      <w:r w:rsidR="001155C1" w:rsidRPr="001155C1">
        <w:t xml:space="preserve"> or</w:t>
      </w:r>
      <w:r w:rsidR="00195581">
        <w:t xml:space="preserve"> </w:t>
      </w:r>
      <w:r w:rsidR="00195581">
        <w:fldChar w:fldCharType="begin"/>
      </w:r>
      <w:r w:rsidR="00195581">
        <w:instrText xml:space="preserve"> REF _Ref81303394 \w \h </w:instrText>
      </w:r>
      <w:r w:rsidR="00195581">
        <w:fldChar w:fldCharType="separate"/>
      </w:r>
      <w:r w:rsidR="00195581">
        <w:t>10.3.2.5</w:t>
      </w:r>
      <w:r w:rsidR="00195581">
        <w:fldChar w:fldCharType="end"/>
      </w:r>
      <w:r w:rsidR="001155C1" w:rsidRPr="001155C1">
        <w:t xml:space="preserve">, as </w:t>
      </w:r>
      <w:r w:rsidR="00FB709E">
        <w:t>the case may be</w:t>
      </w:r>
      <w:r w:rsidR="00F1676C">
        <w:t>.</w:t>
      </w:r>
      <w:r w:rsidR="001155C1" w:rsidRPr="001155C1">
        <w:t xml:space="preserve"> </w:t>
      </w:r>
    </w:p>
    <w:p w14:paraId="43F8757A" w14:textId="24D9A108" w:rsidR="00A35B1F" w:rsidRPr="00A35B1F" w:rsidRDefault="00753779" w:rsidP="00093A06">
      <w:pPr>
        <w:pStyle w:val="Heading4"/>
      </w:pPr>
      <w:r>
        <w:t xml:space="preserve">A mechanism for provision of </w:t>
      </w:r>
      <w:commentRangeStart w:id="755"/>
      <w:commentRangeStart w:id="756"/>
      <w:r w:rsidR="00A35B1F" w:rsidRPr="001155C1">
        <w:t xml:space="preserve">Security Cover for guaranteeing </w:t>
      </w:r>
      <w:r w:rsidR="00A35B1F">
        <w:t xml:space="preserve">payment </w:t>
      </w:r>
      <w:r>
        <w:t xml:space="preserve">on account of </w:t>
      </w:r>
      <w:r w:rsidR="00A35B1F" w:rsidRPr="00FB709E">
        <w:t>Excess Loss</w:t>
      </w:r>
      <w:r>
        <w:t>es</w:t>
      </w:r>
      <w:r w:rsidR="00A35B1F">
        <w:t xml:space="preserve"> by </w:t>
      </w:r>
      <w:r>
        <w:t xml:space="preserve">a </w:t>
      </w:r>
      <w:r w:rsidR="00A35B1F">
        <w:t>Transmission Service Provider</w:t>
      </w:r>
      <w:r w:rsidR="000B194C">
        <w:t xml:space="preserve"> under the Yearly Settlement Statement</w:t>
      </w:r>
      <w:r w:rsidR="00FB709E">
        <w:t xml:space="preserve"> or Extraordinary Yearly Settlement Statement</w:t>
      </w:r>
      <w:r w:rsidR="00A35B1F">
        <w:t xml:space="preserve">, </w:t>
      </w:r>
      <w:r w:rsidR="00A35B1F" w:rsidRPr="001155C1">
        <w:t>shall be</w:t>
      </w:r>
      <w:r>
        <w:t xml:space="preserve"> specified separately by the Market Operator with the approval of the Authority. </w:t>
      </w:r>
      <w:r w:rsidR="00A35B1F" w:rsidRPr="001155C1">
        <w:t xml:space="preserve"> </w:t>
      </w:r>
      <w:commentRangeEnd w:id="755"/>
      <w:r w:rsidR="002822DC">
        <w:rPr>
          <w:rStyle w:val="CommentReference"/>
          <w:rFonts w:eastAsiaTheme="minorHAnsi" w:cstheme="minorBidi"/>
          <w:bCs w:val="0"/>
          <w:iCs w:val="0"/>
          <w:color w:val="1C1C1C"/>
        </w:rPr>
        <w:commentReference w:id="755"/>
      </w:r>
      <w:commentRangeEnd w:id="756"/>
      <w:r w:rsidR="00585335">
        <w:rPr>
          <w:rStyle w:val="CommentReference"/>
          <w:rFonts w:eastAsiaTheme="minorHAnsi" w:cstheme="minorBidi"/>
          <w:bCs w:val="0"/>
          <w:iCs w:val="0"/>
          <w:color w:val="1C1C1C"/>
        </w:rPr>
        <w:commentReference w:id="756"/>
      </w:r>
    </w:p>
    <w:p w14:paraId="31B68BC8" w14:textId="4C037690" w:rsidR="00436B4C" w:rsidRPr="001155C1" w:rsidRDefault="00436B4C" w:rsidP="00436B4C">
      <w:pPr>
        <w:pStyle w:val="Heading3"/>
      </w:pPr>
      <w:bookmarkStart w:id="757" w:name="_Ref74405655"/>
      <w:r w:rsidRPr="001155C1">
        <w:t>Acceptable Form of Security covers</w:t>
      </w:r>
      <w:bookmarkEnd w:id="757"/>
      <w:r w:rsidR="003C26DA">
        <w:t xml:space="preserve"> and Guarantee Amount</w:t>
      </w:r>
    </w:p>
    <w:p w14:paraId="37736D43" w14:textId="27743BF0" w:rsidR="00436B4C" w:rsidRDefault="00436B4C" w:rsidP="00797553">
      <w:pPr>
        <w:pStyle w:val="Heading4"/>
      </w:pPr>
      <w:bookmarkStart w:id="758" w:name="_Toc526245586"/>
      <w:bookmarkStart w:id="759" w:name="_Toc526327496"/>
      <w:bookmarkStart w:id="760" w:name="_Ref67403887"/>
      <w:bookmarkStart w:id="761" w:name="_Ref68566242"/>
      <w:bookmarkStart w:id="762" w:name="_Ref68566899"/>
      <w:bookmarkStart w:id="763" w:name="_Ref69813878"/>
      <w:r>
        <w:t>Market Participants</w:t>
      </w:r>
      <w:r w:rsidR="003E6681">
        <w:t xml:space="preserve"> and Transmission Service Providers</w:t>
      </w:r>
      <w:r w:rsidR="00F1676C">
        <w:t>,</w:t>
      </w:r>
      <w:r>
        <w:t xml:space="preserve"> which are required to provide a Security Cover</w:t>
      </w:r>
      <w:r w:rsidR="003C26DA">
        <w:t xml:space="preserve"> and Guarantee Amount</w:t>
      </w:r>
      <w:r>
        <w:t xml:space="preserve"> pursuant</w:t>
      </w:r>
      <w:r w:rsidR="00F1676C">
        <w:t xml:space="preserve"> to</w:t>
      </w:r>
      <w:r>
        <w:t xml:space="preserve"> the provisions of this Code for the amount </w:t>
      </w:r>
      <w:r w:rsidR="00F1676C">
        <w:t xml:space="preserve">determined </w:t>
      </w:r>
      <w:r>
        <w:t>by the Market Operator, shall provide and maintain such Security Cover</w:t>
      </w:r>
      <w:r w:rsidR="003C26DA">
        <w:t>s and Guarantee Amounts</w:t>
      </w:r>
      <w:r>
        <w:t xml:space="preserve">, </w:t>
      </w:r>
      <w:bookmarkEnd w:id="758"/>
      <w:bookmarkEnd w:id="759"/>
      <w:bookmarkEnd w:id="760"/>
      <w:bookmarkEnd w:id="761"/>
      <w:bookmarkEnd w:id="762"/>
      <w:bookmarkEnd w:id="763"/>
      <w:r w:rsidR="00797553">
        <w:t>in cash.</w:t>
      </w:r>
    </w:p>
    <w:p w14:paraId="4DEE2D20" w14:textId="6EA65148" w:rsidR="000B194C" w:rsidRDefault="005A5ED2" w:rsidP="000B194C">
      <w:pPr>
        <w:pStyle w:val="Heading3"/>
      </w:pPr>
      <w:r>
        <w:t>Security</w:t>
      </w:r>
      <w:r w:rsidR="000B194C">
        <w:t xml:space="preserve"> Covers and Settlement Guarantee Fund</w:t>
      </w:r>
    </w:p>
    <w:p w14:paraId="00A66D04" w14:textId="397A45C0" w:rsidR="000B194C" w:rsidRDefault="000B194C" w:rsidP="000B194C">
      <w:pPr>
        <w:pStyle w:val="Heading4"/>
      </w:pPr>
      <w:r>
        <w:t xml:space="preserve">The initial </w:t>
      </w:r>
      <w:r w:rsidR="00CA5335">
        <w:t xml:space="preserve">amount of </w:t>
      </w:r>
      <w:r>
        <w:t xml:space="preserve">Security Cover </w:t>
      </w:r>
      <w:r w:rsidR="00DB04B1">
        <w:t>shall</w:t>
      </w:r>
      <w:r>
        <w:t xml:space="preserve"> be calculated by the Market Operator for </w:t>
      </w:r>
      <w:r w:rsidR="00DB04B1">
        <w:t>each</w:t>
      </w:r>
      <w:r>
        <w:t xml:space="preserve"> Market Participant </w:t>
      </w:r>
      <w:r w:rsidR="00DB04B1">
        <w:t xml:space="preserve">or other person separately </w:t>
      </w:r>
      <w:r>
        <w:t>and</w:t>
      </w:r>
      <w:r w:rsidR="00DB04B1">
        <w:t xml:space="preserve"> the relevant Market Participant</w:t>
      </w:r>
      <w:r>
        <w:t xml:space="preserve"> </w:t>
      </w:r>
      <w:r w:rsidR="00334EEA">
        <w:t xml:space="preserve">or the other person </w:t>
      </w:r>
      <w:r w:rsidR="00DB04B1">
        <w:t>shall be</w:t>
      </w:r>
      <w:r>
        <w:t xml:space="preserve"> required to deposit </w:t>
      </w:r>
      <w:r w:rsidRPr="00585335">
        <w:t xml:space="preserve">such amount in the </w:t>
      </w:r>
      <w:r w:rsidR="00EA7001" w:rsidRPr="00585335">
        <w:t>Market Operator Settlement Account</w:t>
      </w:r>
      <w:r w:rsidR="00585335" w:rsidRPr="00585335">
        <w:t xml:space="preserve"> for Monthly Settlements</w:t>
      </w:r>
      <w:r w:rsidR="00EA7001" w:rsidRPr="00585335">
        <w:t xml:space="preserve"> </w:t>
      </w:r>
      <w:r w:rsidRPr="00585335">
        <w:t xml:space="preserve">in the form of </w:t>
      </w:r>
      <w:r w:rsidRPr="00B03C4A">
        <w:t>cash</w:t>
      </w:r>
      <w:r w:rsidRPr="00585335">
        <w:t xml:space="preserve">. </w:t>
      </w:r>
      <w:r w:rsidRPr="00B03C4A">
        <w:t xml:space="preserve">Any return on </w:t>
      </w:r>
      <w:r w:rsidR="00DB04B1" w:rsidRPr="00B03C4A">
        <w:t>the deposited amounts shall</w:t>
      </w:r>
      <w:r w:rsidR="00585335" w:rsidRPr="00585335">
        <w:t xml:space="preserve"> remain within the Market Operator Credit Cover Account for Monthly Settlement and may be utilized to cover to cov</w:t>
      </w:r>
      <w:r w:rsidR="00585335">
        <w:t>er any default risk in the Market, if any</w:t>
      </w:r>
      <w:r>
        <w:t>.</w:t>
      </w:r>
    </w:p>
    <w:p w14:paraId="0BB0DC31" w14:textId="69494D56" w:rsidR="000B194C" w:rsidRDefault="000B194C" w:rsidP="000B194C">
      <w:pPr>
        <w:pStyle w:val="Heading4"/>
      </w:pPr>
      <w:bookmarkStart w:id="764" w:name="_Ref76216910"/>
      <w:r>
        <w:lastRenderedPageBreak/>
        <w:t>The initial Guarantee Amount</w:t>
      </w:r>
      <w:r w:rsidR="005538A5">
        <w:t xml:space="preserve"> or any </w:t>
      </w:r>
      <w:r w:rsidR="00DB04B1">
        <w:t>revised Guarantee Amount</w:t>
      </w:r>
      <w:r>
        <w:t xml:space="preserve"> </w:t>
      </w:r>
      <w:r w:rsidR="00DB04B1">
        <w:t>shall</w:t>
      </w:r>
      <w:r>
        <w:t xml:space="preserve"> be calculated by the Market Operator for all Market Participants and all Market Participants </w:t>
      </w:r>
      <w:r w:rsidR="002822DC">
        <w:t>shall</w:t>
      </w:r>
      <w:r>
        <w:t xml:space="preserve"> be required to deposit such </w:t>
      </w:r>
      <w:r w:rsidRPr="00585335">
        <w:t xml:space="preserve">amounts in the </w:t>
      </w:r>
      <w:r w:rsidR="00585335" w:rsidRPr="00585335">
        <w:t>Market Operato</w:t>
      </w:r>
      <w:r w:rsidR="00585335">
        <w:t>r</w:t>
      </w:r>
      <w:r w:rsidR="00585335" w:rsidRPr="00585335">
        <w:t xml:space="preserve"> Settlement Account for Monthly Settlement</w:t>
      </w:r>
      <w:r w:rsidRPr="00585335">
        <w:t xml:space="preserve"> in the form of </w:t>
      </w:r>
      <w:r w:rsidRPr="00B03C4A">
        <w:t>cash</w:t>
      </w:r>
      <w:r w:rsidRPr="00585335">
        <w:t>.</w:t>
      </w:r>
      <w:r>
        <w:t xml:space="preserve"> The Market Operator </w:t>
      </w:r>
      <w:r w:rsidR="002822DC">
        <w:t>shall</w:t>
      </w:r>
      <w:r>
        <w:t xml:space="preserve"> be </w:t>
      </w:r>
      <w:r w:rsidR="002822DC">
        <w:t>entitled</w:t>
      </w:r>
      <w:r>
        <w:t xml:space="preserve"> to </w:t>
      </w:r>
      <w:r w:rsidR="00DB04B1">
        <w:t>invest</w:t>
      </w:r>
      <w:r>
        <w:t xml:space="preserve"> these funds in </w:t>
      </w:r>
      <w:r w:rsidRPr="002F0FD3">
        <w:t>approved securities and/or other avenues of investments in accordance with the mechanism as may be approved by the MO Board of Directors. The M</w:t>
      </w:r>
      <w:r w:rsidR="00DB04B1">
        <w:t xml:space="preserve">arket </w:t>
      </w:r>
      <w:r w:rsidRPr="002F0FD3">
        <w:t>O</w:t>
      </w:r>
      <w:r w:rsidR="00DB04B1">
        <w:t>perator</w:t>
      </w:r>
      <w:r w:rsidRPr="002F0FD3">
        <w:t xml:space="preserve"> shall ensure that while depositing the</w:t>
      </w:r>
      <w:r>
        <w:t>se</w:t>
      </w:r>
      <w:r w:rsidRPr="002F0FD3">
        <w:t xml:space="preserve"> funds in alternative securities, the principal amount is not left at risk and shall constraint such investments to risk free securities, interest bearing accounts, saving accounts etc.</w:t>
      </w:r>
      <w:r>
        <w:t xml:space="preserve"> Any returns on such investment will be retained in in the Settlement Guarantee Fund Account. Upon withdrawal of a Market Participant, only the principle amount deposited by such Market Participant</w:t>
      </w:r>
      <w:r w:rsidR="005B072C">
        <w:t>, duly adjusted for any defaults during the previous period,</w:t>
      </w:r>
      <w:r>
        <w:t xml:space="preserve"> will be returned to it.</w:t>
      </w:r>
      <w:bookmarkEnd w:id="764"/>
    </w:p>
    <w:p w14:paraId="1AFBFDF3" w14:textId="29534744" w:rsidR="000B194C" w:rsidRDefault="000B194C" w:rsidP="000B194C">
      <w:pPr>
        <w:pStyle w:val="Heading4"/>
      </w:pPr>
      <w:bookmarkStart w:id="765" w:name="_Ref76220339"/>
      <w:r>
        <w:t xml:space="preserve">Within [18] months of the CMOD, the Market Operator shall </w:t>
      </w:r>
      <w:r w:rsidR="002822DC">
        <w:t>make</w:t>
      </w:r>
      <w:r>
        <w:t xml:space="preserve"> a CCOP to </w:t>
      </w:r>
      <w:r w:rsidR="002822DC">
        <w:t>determine</w:t>
      </w:r>
      <w:r>
        <w:t xml:space="preserve"> the initial amount of Security Cover and Guarantee Amount</w:t>
      </w:r>
      <w:r w:rsidR="002822DC">
        <w:t xml:space="preserve"> and the revisions thereof</w:t>
      </w:r>
      <w:r>
        <w:t>.</w:t>
      </w:r>
      <w:bookmarkEnd w:id="765"/>
    </w:p>
    <w:p w14:paraId="504A1075" w14:textId="3F738F69" w:rsidR="000B194C" w:rsidRDefault="002822DC" w:rsidP="000B194C">
      <w:pPr>
        <w:pStyle w:val="Heading4"/>
      </w:pPr>
      <w:bookmarkStart w:id="766" w:name="_Ref74236954"/>
      <w:r>
        <w:t>Till the time, the</w:t>
      </w:r>
      <w:r w:rsidR="000B194C">
        <w:t xml:space="preserve"> CCOP is </w:t>
      </w:r>
      <w:r w:rsidR="005047C6">
        <w:t>prepared</w:t>
      </w:r>
      <w:r w:rsidR="000B194C">
        <w:t xml:space="preserve"> as per </w:t>
      </w:r>
      <w:r w:rsidR="000B194C" w:rsidRPr="005047C6">
        <w:t xml:space="preserve">Clause </w:t>
      </w:r>
      <w:r w:rsidRPr="005047C6">
        <w:fldChar w:fldCharType="begin"/>
      </w:r>
      <w:r w:rsidRPr="005047C6">
        <w:instrText xml:space="preserve"> REF _Ref76220339 \w \h </w:instrText>
      </w:r>
      <w:r w:rsidR="005047C6">
        <w:instrText xml:space="preserve"> \* MERGEFORMAT </w:instrText>
      </w:r>
      <w:r w:rsidRPr="005047C6">
        <w:fldChar w:fldCharType="separate"/>
      </w:r>
      <w:r w:rsidRPr="005047C6">
        <w:t>14.1.3.3</w:t>
      </w:r>
      <w:r w:rsidRPr="005047C6">
        <w:fldChar w:fldCharType="end"/>
      </w:r>
      <w:r>
        <w:t xml:space="preserve"> above, </w:t>
      </w:r>
      <w:r w:rsidR="000B194C">
        <w:t xml:space="preserve"> </w:t>
      </w:r>
      <w:r w:rsidR="00DB04B1">
        <w:t xml:space="preserve">as an interim measure, </w:t>
      </w:r>
      <w:r w:rsidR="000B194C">
        <w:t>the following criteria shall apply for the calculation of initial amount of Security Covers</w:t>
      </w:r>
      <w:bookmarkEnd w:id="766"/>
      <w:r w:rsidR="002A1AD9">
        <w:t>:</w:t>
      </w:r>
    </w:p>
    <w:p w14:paraId="44662B0A" w14:textId="3311B9E1" w:rsidR="000B194C" w:rsidRDefault="000B194C" w:rsidP="00E35F4A">
      <w:pPr>
        <w:pStyle w:val="BodyText"/>
        <w:numPr>
          <w:ilvl w:val="0"/>
          <w:numId w:val="46"/>
        </w:numPr>
        <w:spacing w:before="120" w:after="120" w:line="276" w:lineRule="auto"/>
        <w:ind w:left="2694"/>
      </w:pPr>
      <w:r>
        <w:t xml:space="preserve">For EX-WAPDA DISCOs, the amount </w:t>
      </w:r>
      <w:r w:rsidR="002A1AD9">
        <w:t>shall</w:t>
      </w:r>
      <w:r>
        <w:t xml:space="preserve"> be equal to the percentage, as given in </w:t>
      </w:r>
      <w:r w:rsidR="00334EEA">
        <w:rPr>
          <w:b/>
          <w:bCs/>
          <w:highlight w:val="yellow"/>
        </w:rPr>
        <w:fldChar w:fldCharType="begin"/>
      </w:r>
      <w:r w:rsidR="00334EEA">
        <w:instrText xml:space="preserve"> REF _Ref76985334 \h </w:instrText>
      </w:r>
      <w:r w:rsidR="00334EEA">
        <w:rPr>
          <w:b/>
          <w:bCs/>
          <w:highlight w:val="yellow"/>
        </w:rPr>
      </w:r>
      <w:r w:rsidR="00334EEA">
        <w:rPr>
          <w:b/>
          <w:bCs/>
          <w:highlight w:val="yellow"/>
        </w:rPr>
        <w:fldChar w:fldCharType="separate"/>
      </w:r>
      <w:r w:rsidR="00334EEA">
        <w:t xml:space="preserve">Table </w:t>
      </w:r>
      <w:r w:rsidR="00334EEA">
        <w:rPr>
          <w:noProof/>
        </w:rPr>
        <w:t>2</w:t>
      </w:r>
      <w:r w:rsidR="00334EEA">
        <w:rPr>
          <w:b/>
          <w:bCs/>
          <w:highlight w:val="yellow"/>
        </w:rPr>
        <w:fldChar w:fldCharType="end"/>
      </w:r>
      <w:r>
        <w:t>, of the average revenue collection over the last [3] years</w:t>
      </w:r>
      <w:r w:rsidR="002A1AD9">
        <w:t xml:space="preserve"> period</w:t>
      </w:r>
      <w:r w:rsidR="005047C6">
        <w:t xml:space="preserve"> prior to the CMOD</w:t>
      </w:r>
      <w:r>
        <w:t>.</w:t>
      </w:r>
    </w:p>
    <w:p w14:paraId="1E8DE837" w14:textId="7A6CF833" w:rsidR="000B194C" w:rsidRDefault="000B194C" w:rsidP="00E35F4A">
      <w:pPr>
        <w:pStyle w:val="BodyText"/>
        <w:numPr>
          <w:ilvl w:val="0"/>
          <w:numId w:val="46"/>
        </w:numPr>
        <w:spacing w:before="120" w:after="120" w:line="276" w:lineRule="auto"/>
        <w:ind w:left="2694"/>
      </w:pPr>
      <w:r>
        <w:t xml:space="preserve">For KE, the amount </w:t>
      </w:r>
      <w:r w:rsidR="002A1AD9">
        <w:t>shall</w:t>
      </w:r>
      <w:r>
        <w:t xml:space="preserve"> be equal to the [0.05] % of the average revenue collection over the last [3] years</w:t>
      </w:r>
      <w:r w:rsidR="005047C6">
        <w:t xml:space="preserve"> </w:t>
      </w:r>
      <w:r w:rsidR="002A1AD9">
        <w:t xml:space="preserve">period </w:t>
      </w:r>
      <w:r w:rsidR="005047C6">
        <w:t>prior to the CMOD</w:t>
      </w:r>
      <w:r>
        <w:t>.</w:t>
      </w:r>
    </w:p>
    <w:p w14:paraId="451247B1" w14:textId="0108DC50" w:rsidR="000B194C" w:rsidRDefault="000B194C" w:rsidP="00E35F4A">
      <w:pPr>
        <w:pStyle w:val="BodyText"/>
        <w:numPr>
          <w:ilvl w:val="0"/>
          <w:numId w:val="46"/>
        </w:numPr>
        <w:spacing w:before="120" w:after="120" w:line="276" w:lineRule="auto"/>
        <w:ind w:left="2694"/>
      </w:pPr>
      <w:r>
        <w:t xml:space="preserve">For other Market </w:t>
      </w:r>
      <w:r w:rsidRPr="003018FA">
        <w:t xml:space="preserve">Participants, the initial amount </w:t>
      </w:r>
      <w:r w:rsidR="002A1AD9" w:rsidRPr="00E90C01">
        <w:t>shall</w:t>
      </w:r>
      <w:r w:rsidRPr="00E90C01">
        <w:t xml:space="preserve"> be equal to the </w:t>
      </w:r>
      <w:r w:rsidR="002A1AD9" w:rsidRPr="00E90C01">
        <w:t xml:space="preserve">one month </w:t>
      </w:r>
      <w:r w:rsidRPr="00E90C01">
        <w:t>maximum possible</w:t>
      </w:r>
      <w:r w:rsidR="005047C6" w:rsidRPr="00E90C01">
        <w:t xml:space="preserve"> </w:t>
      </w:r>
      <w:r w:rsidR="002A1AD9" w:rsidRPr="00E90C01">
        <w:t>payable amount</w:t>
      </w:r>
      <w:r w:rsidR="005047C6" w:rsidRPr="00E90C01">
        <w:t xml:space="preserve"> </w:t>
      </w:r>
      <w:r w:rsidR="002A1AD9" w:rsidRPr="00E90C01">
        <w:t>under a</w:t>
      </w:r>
      <w:r w:rsidR="005047C6" w:rsidRPr="00E90C01">
        <w:t xml:space="preserve"> monthly Settlement Statement </w:t>
      </w:r>
      <w:r w:rsidR="002A1AD9" w:rsidRPr="00E90C01">
        <w:t>out of</w:t>
      </w:r>
      <w:r w:rsidRPr="00E90C01">
        <w:t xml:space="preserve"> the upcoming [6] month</w:t>
      </w:r>
      <w:r w:rsidR="00E65137">
        <w:t>s</w:t>
      </w:r>
      <w:r w:rsidRPr="00E90C01">
        <w:t>.</w:t>
      </w:r>
    </w:p>
    <w:p w14:paraId="63ED0DD0" w14:textId="77777777" w:rsidR="00334EEA" w:rsidRDefault="00334EEA" w:rsidP="00B03C4A">
      <w:pPr>
        <w:pStyle w:val="BodyText"/>
        <w:spacing w:before="120" w:after="120" w:line="276" w:lineRule="auto"/>
        <w:ind w:left="2694"/>
      </w:pPr>
    </w:p>
    <w:p w14:paraId="2A9A8ACB" w14:textId="60899E22" w:rsidR="00334EEA" w:rsidRDefault="00334EEA" w:rsidP="00B03C4A">
      <w:pPr>
        <w:pStyle w:val="Caption"/>
        <w:ind w:left="0"/>
      </w:pPr>
      <w:bookmarkStart w:id="767" w:name="_Ref76985334"/>
      <w:r w:rsidRPr="00B03C4A">
        <w:rPr>
          <w:b w:val="0"/>
          <w:bCs/>
        </w:rPr>
        <w:t xml:space="preserve">Table </w:t>
      </w:r>
      <w:r w:rsidRPr="00B03C4A">
        <w:rPr>
          <w:b w:val="0"/>
          <w:bCs/>
        </w:rPr>
        <w:fldChar w:fldCharType="begin"/>
      </w:r>
      <w:r w:rsidRPr="00B03C4A">
        <w:rPr>
          <w:b w:val="0"/>
          <w:bCs/>
        </w:rPr>
        <w:instrText xml:space="preserve"> SEQ Table \* ARABIC </w:instrText>
      </w:r>
      <w:r w:rsidRPr="00B03C4A">
        <w:rPr>
          <w:b w:val="0"/>
          <w:bCs/>
        </w:rPr>
        <w:fldChar w:fldCharType="separate"/>
      </w:r>
      <w:r w:rsidRPr="00B03C4A">
        <w:rPr>
          <w:b w:val="0"/>
          <w:bCs/>
          <w:noProof/>
        </w:rPr>
        <w:t>2</w:t>
      </w:r>
      <w:r w:rsidRPr="00B03C4A">
        <w:rPr>
          <w:b w:val="0"/>
          <w:bCs/>
        </w:rPr>
        <w:fldChar w:fldCharType="end"/>
      </w:r>
      <w:bookmarkEnd w:id="767"/>
      <w:r w:rsidRPr="00B03C4A">
        <w:rPr>
          <w:b w:val="0"/>
          <w:bCs/>
        </w:rPr>
        <w:t>: Initial Security Cover amount of EX-WAPDA DISCOs</w:t>
      </w:r>
    </w:p>
    <w:tbl>
      <w:tblPr>
        <w:tblStyle w:val="TableGrid"/>
        <w:tblW w:w="0" w:type="auto"/>
        <w:jc w:val="center"/>
        <w:tblInd w:w="0" w:type="dxa"/>
        <w:tblLook w:val="04A0" w:firstRow="1" w:lastRow="0" w:firstColumn="1" w:lastColumn="0" w:noHBand="0" w:noVBand="1"/>
      </w:tblPr>
      <w:tblGrid>
        <w:gridCol w:w="846"/>
        <w:gridCol w:w="2268"/>
        <w:gridCol w:w="1701"/>
      </w:tblGrid>
      <w:tr w:rsidR="00334EEA" w14:paraId="0CBF9B5A" w14:textId="77777777" w:rsidTr="00B03C4A">
        <w:trPr>
          <w:jc w:val="center"/>
        </w:trPr>
        <w:tc>
          <w:tcPr>
            <w:tcW w:w="846" w:type="dxa"/>
          </w:tcPr>
          <w:p w14:paraId="3BABFB5A" w14:textId="2A6607A1" w:rsidR="00334EEA" w:rsidRDefault="00334EEA" w:rsidP="00334EEA">
            <w:pPr>
              <w:pStyle w:val="BodyText"/>
              <w:spacing w:before="120" w:after="120" w:line="276" w:lineRule="auto"/>
              <w:ind w:left="0"/>
            </w:pPr>
            <w:r>
              <w:t>Sr. No.</w:t>
            </w:r>
          </w:p>
        </w:tc>
        <w:tc>
          <w:tcPr>
            <w:tcW w:w="2268" w:type="dxa"/>
          </w:tcPr>
          <w:p w14:paraId="4FD678B9" w14:textId="38C032C5" w:rsidR="00334EEA" w:rsidRDefault="00334EEA" w:rsidP="00B03C4A">
            <w:pPr>
              <w:pStyle w:val="BodyText"/>
              <w:spacing w:before="120" w:after="120" w:line="276" w:lineRule="auto"/>
              <w:ind w:left="0"/>
              <w:jc w:val="center"/>
            </w:pPr>
            <w:r>
              <w:t>Name of EX-WAPDA DISCOs</w:t>
            </w:r>
          </w:p>
        </w:tc>
        <w:tc>
          <w:tcPr>
            <w:tcW w:w="1701" w:type="dxa"/>
          </w:tcPr>
          <w:p w14:paraId="71E22C04" w14:textId="0895AE04" w:rsidR="00334EEA" w:rsidRDefault="00334EEA" w:rsidP="00B03C4A">
            <w:pPr>
              <w:pStyle w:val="BodyText"/>
              <w:spacing w:before="120" w:after="120" w:line="276" w:lineRule="auto"/>
              <w:ind w:left="0"/>
              <w:jc w:val="center"/>
            </w:pPr>
            <w:r w:rsidRPr="00334EEA">
              <w:t>Credit Cover Requirement (% of DISCO Revenue)</w:t>
            </w:r>
          </w:p>
        </w:tc>
      </w:tr>
      <w:tr w:rsidR="00334EEA" w14:paraId="6200552C" w14:textId="77777777" w:rsidTr="00B03C4A">
        <w:trPr>
          <w:trHeight w:val="113"/>
          <w:jc w:val="center"/>
        </w:trPr>
        <w:tc>
          <w:tcPr>
            <w:tcW w:w="846" w:type="dxa"/>
          </w:tcPr>
          <w:p w14:paraId="2DB795F3" w14:textId="714181E1" w:rsidR="00334EEA" w:rsidRPr="0056068D" w:rsidRDefault="00334EEA" w:rsidP="00B03C4A">
            <w:pPr>
              <w:pStyle w:val="BodyText"/>
              <w:spacing w:after="0" w:line="276" w:lineRule="auto"/>
              <w:ind w:left="0"/>
              <w:jc w:val="center"/>
            </w:pPr>
            <w:r w:rsidRPr="003018FA">
              <w:t>1</w:t>
            </w:r>
          </w:p>
        </w:tc>
        <w:tc>
          <w:tcPr>
            <w:tcW w:w="2268" w:type="dxa"/>
          </w:tcPr>
          <w:p w14:paraId="77006557" w14:textId="651E0D00" w:rsidR="00334EEA" w:rsidRPr="0056068D" w:rsidRDefault="0056068D" w:rsidP="00B03C4A">
            <w:pPr>
              <w:pStyle w:val="BodyText"/>
              <w:spacing w:after="0" w:line="276" w:lineRule="auto"/>
              <w:ind w:left="0"/>
              <w:jc w:val="center"/>
            </w:pPr>
            <w:r w:rsidRPr="0056068D">
              <w:t>PESCO</w:t>
            </w:r>
          </w:p>
        </w:tc>
        <w:tc>
          <w:tcPr>
            <w:tcW w:w="1701" w:type="dxa"/>
          </w:tcPr>
          <w:p w14:paraId="653CA12E" w14:textId="4F0347E2" w:rsidR="00334EEA" w:rsidRPr="00B03C4A" w:rsidRDefault="0056068D" w:rsidP="00B03C4A">
            <w:pPr>
              <w:pStyle w:val="BodyText"/>
              <w:spacing w:after="0" w:line="276" w:lineRule="auto"/>
              <w:ind w:left="0"/>
              <w:jc w:val="center"/>
              <w:rPr>
                <w:highlight w:val="yellow"/>
              </w:rPr>
            </w:pPr>
            <w:r w:rsidRPr="00B03C4A">
              <w:rPr>
                <w:highlight w:val="yellow"/>
              </w:rPr>
              <w:t>0.013%</w:t>
            </w:r>
          </w:p>
        </w:tc>
      </w:tr>
      <w:tr w:rsidR="00334EEA" w14:paraId="057A6029" w14:textId="77777777" w:rsidTr="00B03C4A">
        <w:trPr>
          <w:trHeight w:val="113"/>
          <w:jc w:val="center"/>
        </w:trPr>
        <w:tc>
          <w:tcPr>
            <w:tcW w:w="846" w:type="dxa"/>
          </w:tcPr>
          <w:p w14:paraId="41D075AA" w14:textId="792077F1" w:rsidR="00334EEA" w:rsidRPr="0056068D" w:rsidRDefault="00334EEA" w:rsidP="00B03C4A">
            <w:pPr>
              <w:pStyle w:val="BodyText"/>
              <w:spacing w:after="0" w:line="276" w:lineRule="auto"/>
              <w:ind w:left="0"/>
              <w:jc w:val="center"/>
            </w:pPr>
            <w:r w:rsidRPr="003018FA">
              <w:t>2</w:t>
            </w:r>
          </w:p>
        </w:tc>
        <w:tc>
          <w:tcPr>
            <w:tcW w:w="2268" w:type="dxa"/>
          </w:tcPr>
          <w:p w14:paraId="753EDE2F" w14:textId="515DD31C" w:rsidR="00334EEA" w:rsidRPr="0056068D" w:rsidRDefault="0056068D" w:rsidP="00B03C4A">
            <w:pPr>
              <w:pStyle w:val="BodyText"/>
              <w:spacing w:after="0" w:line="276" w:lineRule="auto"/>
              <w:ind w:left="0"/>
              <w:jc w:val="center"/>
            </w:pPr>
            <w:r w:rsidRPr="0056068D">
              <w:t>TESCO</w:t>
            </w:r>
          </w:p>
        </w:tc>
        <w:tc>
          <w:tcPr>
            <w:tcW w:w="1701" w:type="dxa"/>
          </w:tcPr>
          <w:p w14:paraId="07DEB2B4" w14:textId="1ACECB85" w:rsidR="00334EEA" w:rsidRPr="00B03C4A" w:rsidRDefault="0056068D" w:rsidP="00B03C4A">
            <w:pPr>
              <w:pStyle w:val="BodyText"/>
              <w:spacing w:after="0" w:line="276" w:lineRule="auto"/>
              <w:ind w:left="0"/>
              <w:jc w:val="center"/>
              <w:rPr>
                <w:highlight w:val="yellow"/>
              </w:rPr>
            </w:pPr>
            <w:r w:rsidRPr="00B03C4A">
              <w:rPr>
                <w:highlight w:val="yellow"/>
              </w:rPr>
              <w:t>0.006%</w:t>
            </w:r>
          </w:p>
        </w:tc>
      </w:tr>
      <w:tr w:rsidR="00334EEA" w14:paraId="22D0DDB3" w14:textId="77777777" w:rsidTr="00B03C4A">
        <w:trPr>
          <w:trHeight w:val="113"/>
          <w:jc w:val="center"/>
        </w:trPr>
        <w:tc>
          <w:tcPr>
            <w:tcW w:w="846" w:type="dxa"/>
          </w:tcPr>
          <w:p w14:paraId="42C7C449" w14:textId="6DA64545" w:rsidR="00334EEA" w:rsidRPr="0056068D" w:rsidRDefault="00334EEA" w:rsidP="00B03C4A">
            <w:pPr>
              <w:pStyle w:val="BodyText"/>
              <w:spacing w:after="0" w:line="276" w:lineRule="auto"/>
              <w:ind w:left="0"/>
              <w:jc w:val="center"/>
            </w:pPr>
            <w:r w:rsidRPr="003018FA">
              <w:t>3</w:t>
            </w:r>
          </w:p>
        </w:tc>
        <w:tc>
          <w:tcPr>
            <w:tcW w:w="2268" w:type="dxa"/>
          </w:tcPr>
          <w:p w14:paraId="04C1F1A0" w14:textId="271CD701" w:rsidR="00334EEA" w:rsidRPr="0056068D" w:rsidRDefault="0056068D" w:rsidP="00B03C4A">
            <w:pPr>
              <w:pStyle w:val="BodyText"/>
              <w:spacing w:after="0" w:line="276" w:lineRule="auto"/>
              <w:ind w:left="0"/>
              <w:jc w:val="center"/>
            </w:pPr>
            <w:r w:rsidRPr="0056068D">
              <w:t>IESCO</w:t>
            </w:r>
          </w:p>
        </w:tc>
        <w:tc>
          <w:tcPr>
            <w:tcW w:w="1701" w:type="dxa"/>
          </w:tcPr>
          <w:p w14:paraId="1F5F3715" w14:textId="0B0A85F1" w:rsidR="00334EEA" w:rsidRPr="00B03C4A" w:rsidRDefault="0056068D" w:rsidP="00B03C4A">
            <w:pPr>
              <w:pStyle w:val="BodyText"/>
              <w:spacing w:after="0" w:line="276" w:lineRule="auto"/>
              <w:ind w:left="0"/>
              <w:jc w:val="center"/>
              <w:rPr>
                <w:highlight w:val="yellow"/>
              </w:rPr>
            </w:pPr>
            <w:r w:rsidRPr="00B03C4A">
              <w:rPr>
                <w:highlight w:val="yellow"/>
              </w:rPr>
              <w:t>0.003%</w:t>
            </w:r>
          </w:p>
        </w:tc>
      </w:tr>
      <w:tr w:rsidR="00334EEA" w14:paraId="7B7404F8" w14:textId="77777777" w:rsidTr="00B03C4A">
        <w:trPr>
          <w:trHeight w:val="113"/>
          <w:jc w:val="center"/>
        </w:trPr>
        <w:tc>
          <w:tcPr>
            <w:tcW w:w="846" w:type="dxa"/>
          </w:tcPr>
          <w:p w14:paraId="41D5D0ED" w14:textId="1EBC577D" w:rsidR="00334EEA" w:rsidRPr="0056068D" w:rsidRDefault="00334EEA" w:rsidP="00B03C4A">
            <w:pPr>
              <w:pStyle w:val="BodyText"/>
              <w:spacing w:after="0" w:line="276" w:lineRule="auto"/>
              <w:ind w:left="0"/>
              <w:jc w:val="center"/>
            </w:pPr>
            <w:r w:rsidRPr="003018FA">
              <w:t>4</w:t>
            </w:r>
          </w:p>
        </w:tc>
        <w:tc>
          <w:tcPr>
            <w:tcW w:w="2268" w:type="dxa"/>
          </w:tcPr>
          <w:p w14:paraId="42BCF714" w14:textId="4187611B" w:rsidR="00334EEA" w:rsidRPr="003018FA" w:rsidRDefault="0056068D" w:rsidP="00B03C4A">
            <w:pPr>
              <w:pStyle w:val="BodyText"/>
              <w:spacing w:after="0" w:line="276" w:lineRule="auto"/>
              <w:ind w:left="0"/>
              <w:jc w:val="center"/>
            </w:pPr>
            <w:r w:rsidRPr="00B03C4A">
              <w:rPr>
                <w:rFonts w:cs="Tahoma"/>
              </w:rPr>
              <w:t>GEPCO</w:t>
            </w:r>
          </w:p>
        </w:tc>
        <w:tc>
          <w:tcPr>
            <w:tcW w:w="1701" w:type="dxa"/>
          </w:tcPr>
          <w:p w14:paraId="665F9214" w14:textId="7A0644E0" w:rsidR="00334EEA" w:rsidRPr="00B03C4A" w:rsidRDefault="0056068D" w:rsidP="00B03C4A">
            <w:pPr>
              <w:pStyle w:val="BodyText"/>
              <w:spacing w:after="0" w:line="276" w:lineRule="auto"/>
              <w:ind w:left="0"/>
              <w:jc w:val="center"/>
              <w:rPr>
                <w:highlight w:val="yellow"/>
              </w:rPr>
            </w:pPr>
            <w:r w:rsidRPr="00B03C4A">
              <w:rPr>
                <w:highlight w:val="yellow"/>
              </w:rPr>
              <w:t>0.004%</w:t>
            </w:r>
          </w:p>
        </w:tc>
      </w:tr>
      <w:tr w:rsidR="00334EEA" w14:paraId="13B9AB76" w14:textId="77777777" w:rsidTr="00B03C4A">
        <w:trPr>
          <w:trHeight w:val="113"/>
          <w:jc w:val="center"/>
        </w:trPr>
        <w:tc>
          <w:tcPr>
            <w:tcW w:w="846" w:type="dxa"/>
          </w:tcPr>
          <w:p w14:paraId="2CEF9A07" w14:textId="3A750DC8" w:rsidR="00334EEA" w:rsidRPr="0056068D" w:rsidRDefault="00334EEA" w:rsidP="00B03C4A">
            <w:pPr>
              <w:pStyle w:val="BodyText"/>
              <w:spacing w:after="0" w:line="276" w:lineRule="auto"/>
              <w:ind w:left="0"/>
              <w:jc w:val="center"/>
            </w:pPr>
            <w:r w:rsidRPr="003018FA">
              <w:t>5</w:t>
            </w:r>
          </w:p>
        </w:tc>
        <w:tc>
          <w:tcPr>
            <w:tcW w:w="2268" w:type="dxa"/>
          </w:tcPr>
          <w:p w14:paraId="7EF4C2CD" w14:textId="3F012563" w:rsidR="00334EEA" w:rsidRPr="003018FA" w:rsidRDefault="0056068D" w:rsidP="00B03C4A">
            <w:pPr>
              <w:pStyle w:val="BodyText"/>
              <w:spacing w:after="0" w:line="276" w:lineRule="auto"/>
              <w:ind w:left="0"/>
              <w:jc w:val="center"/>
            </w:pPr>
            <w:r w:rsidRPr="00B03C4A">
              <w:rPr>
                <w:rFonts w:cs="Tahoma"/>
              </w:rPr>
              <w:t>LESCO</w:t>
            </w:r>
          </w:p>
        </w:tc>
        <w:tc>
          <w:tcPr>
            <w:tcW w:w="1701" w:type="dxa"/>
          </w:tcPr>
          <w:p w14:paraId="0EE21E86" w14:textId="6CC90159" w:rsidR="00334EEA" w:rsidRPr="00B03C4A" w:rsidRDefault="0056068D" w:rsidP="00B03C4A">
            <w:pPr>
              <w:pStyle w:val="BodyText"/>
              <w:spacing w:after="0" w:line="276" w:lineRule="auto"/>
              <w:ind w:left="0"/>
              <w:jc w:val="center"/>
              <w:rPr>
                <w:highlight w:val="yellow"/>
              </w:rPr>
            </w:pPr>
            <w:r w:rsidRPr="00B03C4A">
              <w:rPr>
                <w:highlight w:val="yellow"/>
              </w:rPr>
              <w:t>0.004%</w:t>
            </w:r>
          </w:p>
        </w:tc>
      </w:tr>
      <w:tr w:rsidR="00334EEA" w14:paraId="4F462A1A" w14:textId="77777777" w:rsidTr="00B03C4A">
        <w:trPr>
          <w:trHeight w:val="113"/>
          <w:jc w:val="center"/>
        </w:trPr>
        <w:tc>
          <w:tcPr>
            <w:tcW w:w="846" w:type="dxa"/>
          </w:tcPr>
          <w:p w14:paraId="3F677536" w14:textId="253F592C" w:rsidR="00334EEA" w:rsidRPr="0056068D" w:rsidRDefault="00334EEA" w:rsidP="00B03C4A">
            <w:pPr>
              <w:pStyle w:val="BodyText"/>
              <w:spacing w:after="0" w:line="276" w:lineRule="auto"/>
              <w:ind w:left="0"/>
              <w:jc w:val="center"/>
            </w:pPr>
            <w:r w:rsidRPr="003018FA">
              <w:t>6</w:t>
            </w:r>
          </w:p>
        </w:tc>
        <w:tc>
          <w:tcPr>
            <w:tcW w:w="2268" w:type="dxa"/>
          </w:tcPr>
          <w:p w14:paraId="7F08674A" w14:textId="27C6FFE7" w:rsidR="00334EEA" w:rsidRPr="0056068D" w:rsidRDefault="0056068D" w:rsidP="00B03C4A">
            <w:pPr>
              <w:pStyle w:val="BodyText"/>
              <w:spacing w:after="0" w:line="276" w:lineRule="auto"/>
              <w:ind w:left="0"/>
              <w:jc w:val="center"/>
            </w:pPr>
            <w:r w:rsidRPr="0056068D">
              <w:t>FESCO</w:t>
            </w:r>
          </w:p>
        </w:tc>
        <w:tc>
          <w:tcPr>
            <w:tcW w:w="1701" w:type="dxa"/>
          </w:tcPr>
          <w:p w14:paraId="006F7773" w14:textId="6B5F6CFF" w:rsidR="00334EEA" w:rsidRPr="00B03C4A" w:rsidRDefault="0056068D" w:rsidP="00B03C4A">
            <w:pPr>
              <w:pStyle w:val="BodyText"/>
              <w:spacing w:after="0" w:line="276" w:lineRule="auto"/>
              <w:ind w:left="0"/>
              <w:jc w:val="center"/>
              <w:rPr>
                <w:highlight w:val="yellow"/>
              </w:rPr>
            </w:pPr>
            <w:r w:rsidRPr="00B03C4A">
              <w:rPr>
                <w:highlight w:val="yellow"/>
              </w:rPr>
              <w:t>0.004%</w:t>
            </w:r>
          </w:p>
        </w:tc>
      </w:tr>
      <w:tr w:rsidR="0056068D" w14:paraId="3A3D3673" w14:textId="77777777" w:rsidTr="00B03C4A">
        <w:trPr>
          <w:trHeight w:val="113"/>
          <w:jc w:val="center"/>
        </w:trPr>
        <w:tc>
          <w:tcPr>
            <w:tcW w:w="846" w:type="dxa"/>
          </w:tcPr>
          <w:p w14:paraId="6F108F4C" w14:textId="0A4CC5A1" w:rsidR="0056068D" w:rsidRPr="0056068D" w:rsidRDefault="0056068D" w:rsidP="00B03C4A">
            <w:pPr>
              <w:pStyle w:val="BodyText"/>
              <w:spacing w:after="0" w:line="276" w:lineRule="auto"/>
              <w:ind w:left="0"/>
              <w:jc w:val="center"/>
            </w:pPr>
            <w:r w:rsidRPr="003018FA">
              <w:t>7</w:t>
            </w:r>
          </w:p>
        </w:tc>
        <w:tc>
          <w:tcPr>
            <w:tcW w:w="2268" w:type="dxa"/>
          </w:tcPr>
          <w:p w14:paraId="69563863" w14:textId="484314E7" w:rsidR="0056068D" w:rsidRPr="003018FA" w:rsidRDefault="0056068D" w:rsidP="00B03C4A">
            <w:pPr>
              <w:pStyle w:val="BodyText"/>
              <w:spacing w:after="0" w:line="276" w:lineRule="auto"/>
              <w:ind w:left="0"/>
              <w:jc w:val="center"/>
            </w:pPr>
            <w:r w:rsidRPr="00B03C4A">
              <w:rPr>
                <w:rFonts w:cs="Tahoma"/>
              </w:rPr>
              <w:t>MEPCO</w:t>
            </w:r>
          </w:p>
        </w:tc>
        <w:tc>
          <w:tcPr>
            <w:tcW w:w="1701" w:type="dxa"/>
          </w:tcPr>
          <w:p w14:paraId="2BBE2FD1" w14:textId="0528F647" w:rsidR="0056068D" w:rsidRPr="00B03C4A" w:rsidRDefault="0056068D" w:rsidP="00B03C4A">
            <w:pPr>
              <w:pStyle w:val="BodyText"/>
              <w:spacing w:after="0" w:line="276" w:lineRule="auto"/>
              <w:ind w:left="0"/>
              <w:jc w:val="center"/>
              <w:rPr>
                <w:highlight w:val="yellow"/>
              </w:rPr>
            </w:pPr>
            <w:r w:rsidRPr="00B03C4A">
              <w:rPr>
                <w:highlight w:val="yellow"/>
              </w:rPr>
              <w:t>0.005%</w:t>
            </w:r>
          </w:p>
        </w:tc>
      </w:tr>
      <w:tr w:rsidR="0056068D" w14:paraId="4188D505" w14:textId="77777777" w:rsidTr="00B03C4A">
        <w:trPr>
          <w:trHeight w:val="113"/>
          <w:jc w:val="center"/>
        </w:trPr>
        <w:tc>
          <w:tcPr>
            <w:tcW w:w="846" w:type="dxa"/>
          </w:tcPr>
          <w:p w14:paraId="0B5806C2" w14:textId="3E466065" w:rsidR="0056068D" w:rsidRPr="0056068D" w:rsidRDefault="0056068D" w:rsidP="00B03C4A">
            <w:pPr>
              <w:pStyle w:val="BodyText"/>
              <w:spacing w:after="0" w:line="276" w:lineRule="auto"/>
              <w:ind w:left="0"/>
              <w:jc w:val="center"/>
            </w:pPr>
            <w:r w:rsidRPr="003018FA">
              <w:t>8</w:t>
            </w:r>
          </w:p>
        </w:tc>
        <w:tc>
          <w:tcPr>
            <w:tcW w:w="2268" w:type="dxa"/>
          </w:tcPr>
          <w:p w14:paraId="4B07FDD8" w14:textId="5085BA1C" w:rsidR="0056068D" w:rsidRPr="003018FA" w:rsidRDefault="0056068D" w:rsidP="00B03C4A">
            <w:pPr>
              <w:pStyle w:val="BodyText"/>
              <w:spacing w:after="0" w:line="276" w:lineRule="auto"/>
              <w:ind w:left="0"/>
              <w:jc w:val="center"/>
            </w:pPr>
            <w:r w:rsidRPr="00B03C4A">
              <w:rPr>
                <w:rFonts w:cs="Tahoma"/>
              </w:rPr>
              <w:t>SEPCO</w:t>
            </w:r>
          </w:p>
        </w:tc>
        <w:tc>
          <w:tcPr>
            <w:tcW w:w="1701" w:type="dxa"/>
          </w:tcPr>
          <w:p w14:paraId="0CA2183F" w14:textId="14FA7DBA" w:rsidR="0056068D" w:rsidRPr="00B03C4A" w:rsidRDefault="0056068D" w:rsidP="00B03C4A">
            <w:pPr>
              <w:pStyle w:val="BodyText"/>
              <w:spacing w:after="0" w:line="276" w:lineRule="auto"/>
              <w:ind w:left="0"/>
              <w:jc w:val="center"/>
              <w:rPr>
                <w:highlight w:val="yellow"/>
              </w:rPr>
            </w:pPr>
            <w:r w:rsidRPr="00B03C4A">
              <w:rPr>
                <w:highlight w:val="yellow"/>
              </w:rPr>
              <w:t>0.004%</w:t>
            </w:r>
          </w:p>
        </w:tc>
      </w:tr>
      <w:tr w:rsidR="0056068D" w14:paraId="4DAAC192" w14:textId="77777777" w:rsidTr="00B03C4A">
        <w:trPr>
          <w:trHeight w:val="113"/>
          <w:jc w:val="center"/>
        </w:trPr>
        <w:tc>
          <w:tcPr>
            <w:tcW w:w="846" w:type="dxa"/>
          </w:tcPr>
          <w:p w14:paraId="1A472F77" w14:textId="2CECD14B" w:rsidR="0056068D" w:rsidRPr="0056068D" w:rsidRDefault="0056068D" w:rsidP="00B03C4A">
            <w:pPr>
              <w:pStyle w:val="BodyText"/>
              <w:spacing w:after="0" w:line="276" w:lineRule="auto"/>
              <w:ind w:left="0"/>
              <w:jc w:val="center"/>
            </w:pPr>
            <w:r w:rsidRPr="003018FA">
              <w:t>9</w:t>
            </w:r>
          </w:p>
        </w:tc>
        <w:tc>
          <w:tcPr>
            <w:tcW w:w="2268" w:type="dxa"/>
          </w:tcPr>
          <w:p w14:paraId="37F4A646" w14:textId="4566E357" w:rsidR="0056068D" w:rsidRPr="003018FA" w:rsidRDefault="0056068D" w:rsidP="00B03C4A">
            <w:pPr>
              <w:pStyle w:val="BodyText"/>
              <w:spacing w:after="0" w:line="276" w:lineRule="auto"/>
              <w:ind w:left="0"/>
              <w:jc w:val="center"/>
            </w:pPr>
            <w:r w:rsidRPr="00B03C4A">
              <w:rPr>
                <w:rFonts w:cs="Tahoma"/>
              </w:rPr>
              <w:t>HESCO</w:t>
            </w:r>
          </w:p>
        </w:tc>
        <w:tc>
          <w:tcPr>
            <w:tcW w:w="1701" w:type="dxa"/>
          </w:tcPr>
          <w:p w14:paraId="3F9B8E31" w14:textId="09A99932" w:rsidR="0056068D" w:rsidRPr="00B03C4A" w:rsidRDefault="0056068D" w:rsidP="00B03C4A">
            <w:pPr>
              <w:pStyle w:val="BodyText"/>
              <w:spacing w:after="0" w:line="276" w:lineRule="auto"/>
              <w:ind w:left="0"/>
              <w:jc w:val="center"/>
              <w:rPr>
                <w:highlight w:val="yellow"/>
              </w:rPr>
            </w:pPr>
            <w:r w:rsidRPr="00B03C4A">
              <w:rPr>
                <w:highlight w:val="yellow"/>
              </w:rPr>
              <w:t>0.001%</w:t>
            </w:r>
          </w:p>
        </w:tc>
      </w:tr>
      <w:tr w:rsidR="0056068D" w14:paraId="1F2546DF" w14:textId="77777777" w:rsidTr="00B03C4A">
        <w:trPr>
          <w:trHeight w:val="113"/>
          <w:jc w:val="center"/>
        </w:trPr>
        <w:tc>
          <w:tcPr>
            <w:tcW w:w="846" w:type="dxa"/>
          </w:tcPr>
          <w:p w14:paraId="4CB022B3" w14:textId="0ED4100F" w:rsidR="0056068D" w:rsidRPr="0056068D" w:rsidRDefault="0056068D" w:rsidP="00B03C4A">
            <w:pPr>
              <w:pStyle w:val="BodyText"/>
              <w:spacing w:after="0" w:line="276" w:lineRule="auto"/>
              <w:ind w:left="0"/>
              <w:jc w:val="center"/>
            </w:pPr>
            <w:r w:rsidRPr="003018FA">
              <w:t>10</w:t>
            </w:r>
          </w:p>
        </w:tc>
        <w:tc>
          <w:tcPr>
            <w:tcW w:w="2268" w:type="dxa"/>
          </w:tcPr>
          <w:p w14:paraId="1C300C90" w14:textId="102B06D5" w:rsidR="0056068D" w:rsidRPr="003018FA" w:rsidRDefault="0056068D" w:rsidP="00B03C4A">
            <w:pPr>
              <w:pStyle w:val="BodyText"/>
              <w:spacing w:after="0" w:line="276" w:lineRule="auto"/>
              <w:ind w:left="0"/>
              <w:jc w:val="center"/>
            </w:pPr>
            <w:r w:rsidRPr="00B03C4A">
              <w:rPr>
                <w:rFonts w:cs="Tahoma"/>
              </w:rPr>
              <w:t>QESCO</w:t>
            </w:r>
          </w:p>
        </w:tc>
        <w:tc>
          <w:tcPr>
            <w:tcW w:w="1701" w:type="dxa"/>
          </w:tcPr>
          <w:p w14:paraId="7A5EBA7D" w14:textId="7CF2E9FC" w:rsidR="0056068D" w:rsidRPr="00B03C4A" w:rsidRDefault="0056068D" w:rsidP="00B03C4A">
            <w:pPr>
              <w:pStyle w:val="BodyText"/>
              <w:spacing w:after="0" w:line="276" w:lineRule="auto"/>
              <w:ind w:left="0"/>
              <w:jc w:val="center"/>
              <w:rPr>
                <w:highlight w:val="yellow"/>
              </w:rPr>
            </w:pPr>
            <w:r w:rsidRPr="00B03C4A">
              <w:rPr>
                <w:highlight w:val="yellow"/>
              </w:rPr>
              <w:t>0.002%</w:t>
            </w:r>
          </w:p>
        </w:tc>
      </w:tr>
    </w:tbl>
    <w:p w14:paraId="278CBE51" w14:textId="77777777" w:rsidR="00334EEA" w:rsidRPr="000C45E4" w:rsidRDefault="00334EEA" w:rsidP="00B03C4A">
      <w:pPr>
        <w:pStyle w:val="BodyText"/>
        <w:spacing w:before="120" w:after="120" w:line="276" w:lineRule="auto"/>
      </w:pPr>
    </w:p>
    <w:p w14:paraId="6955369A" w14:textId="5EB26DE6" w:rsidR="000B194C" w:rsidRDefault="005047C6" w:rsidP="000B194C">
      <w:pPr>
        <w:pStyle w:val="Heading4"/>
      </w:pPr>
      <w:r>
        <w:lastRenderedPageBreak/>
        <w:t xml:space="preserve">Till the time </w:t>
      </w:r>
      <w:r w:rsidR="000B194C">
        <w:t xml:space="preserve">the CCOP is </w:t>
      </w:r>
      <w:r>
        <w:t>prepared</w:t>
      </w:r>
      <w:r w:rsidR="000B194C">
        <w:t xml:space="preserve"> as per </w:t>
      </w:r>
      <w:r w:rsidRPr="005047C6">
        <w:t xml:space="preserve">Clause </w:t>
      </w:r>
      <w:r w:rsidRPr="005047C6">
        <w:fldChar w:fldCharType="begin"/>
      </w:r>
      <w:r w:rsidRPr="005047C6">
        <w:instrText xml:space="preserve"> REF _Ref76220339 \w \h </w:instrText>
      </w:r>
      <w:r>
        <w:instrText xml:space="preserve"> \* MERGEFORMAT </w:instrText>
      </w:r>
      <w:r w:rsidRPr="005047C6">
        <w:fldChar w:fldCharType="separate"/>
      </w:r>
      <w:r w:rsidRPr="005047C6">
        <w:t>14.1.3.3</w:t>
      </w:r>
      <w:r w:rsidRPr="005047C6">
        <w:fldChar w:fldCharType="end"/>
      </w:r>
      <w:r w:rsidR="000B194C">
        <w:t>, the initial requirement for</w:t>
      </w:r>
      <w:r>
        <w:t xml:space="preserve"> Guarantee Amount shall </w:t>
      </w:r>
      <w:r w:rsidR="000B194C">
        <w:t xml:space="preserve">be equal to 1.5 times the initial </w:t>
      </w:r>
      <w:commentRangeStart w:id="768"/>
      <w:r w:rsidR="000B194C">
        <w:t xml:space="preserve">Security Cover amount of each Market Participant calculated </w:t>
      </w:r>
      <w:r w:rsidR="000B194C" w:rsidRPr="003018FA">
        <w:t xml:space="preserve">under </w:t>
      </w:r>
      <w:r w:rsidR="000B194C" w:rsidRPr="00B03C4A">
        <w:t xml:space="preserve">Clause </w:t>
      </w:r>
      <w:r w:rsidR="004B21E8" w:rsidRPr="00B03C4A">
        <w:fldChar w:fldCharType="begin"/>
      </w:r>
      <w:r w:rsidR="004B21E8" w:rsidRPr="00B03C4A">
        <w:instrText xml:space="preserve"> REF _Ref74236954 \w \h </w:instrText>
      </w:r>
      <w:r w:rsidR="001676DA">
        <w:instrText xml:space="preserve"> \* MERGEFORMAT </w:instrText>
      </w:r>
      <w:r w:rsidR="004B21E8" w:rsidRPr="00B03C4A">
        <w:fldChar w:fldCharType="separate"/>
      </w:r>
      <w:r w:rsidR="004B21E8" w:rsidRPr="00B03C4A">
        <w:t>14.1.3.4</w:t>
      </w:r>
      <w:r w:rsidR="004B21E8" w:rsidRPr="00B03C4A">
        <w:fldChar w:fldCharType="end"/>
      </w:r>
      <w:r w:rsidR="004B21E8" w:rsidRPr="003018FA">
        <w:t xml:space="preserve"> above</w:t>
      </w:r>
      <w:r w:rsidR="000B194C">
        <w:t>.</w:t>
      </w:r>
      <w:r w:rsidR="002A1AD9">
        <w:t xml:space="preserve"> </w:t>
      </w:r>
      <w:commentRangeEnd w:id="768"/>
      <w:r w:rsidR="002A1AD9">
        <w:rPr>
          <w:rStyle w:val="CommentReference"/>
          <w:rFonts w:eastAsiaTheme="minorHAnsi" w:cstheme="minorBidi"/>
          <w:bCs w:val="0"/>
          <w:iCs w:val="0"/>
          <w:color w:val="1C1C1C"/>
        </w:rPr>
        <w:commentReference w:id="768"/>
      </w:r>
    </w:p>
    <w:p w14:paraId="051CA1F8" w14:textId="44C9624B" w:rsidR="000B194C" w:rsidRPr="00C9036D" w:rsidRDefault="000B194C" w:rsidP="000B194C">
      <w:pPr>
        <w:pStyle w:val="Heading4"/>
      </w:pPr>
      <w:r>
        <w:t xml:space="preserve">The Market Operator </w:t>
      </w:r>
      <w:r w:rsidR="004B21E8">
        <w:t>shall</w:t>
      </w:r>
      <w:r>
        <w:t xml:space="preserve"> continuously monitor the sufficiency of the initial Security Cover Amounts</w:t>
      </w:r>
      <w:r w:rsidR="00647983">
        <w:t xml:space="preserve"> </w:t>
      </w:r>
      <w:r>
        <w:t xml:space="preserve">and </w:t>
      </w:r>
      <w:r w:rsidR="004B21E8">
        <w:t>shall</w:t>
      </w:r>
      <w:r>
        <w:t xml:space="preserve"> be entitled to increase/decrease it.</w:t>
      </w:r>
    </w:p>
    <w:p w14:paraId="367E4969" w14:textId="1C06ED05" w:rsidR="000B194C" w:rsidRDefault="000B194C" w:rsidP="000B194C">
      <w:pPr>
        <w:pStyle w:val="Heading4"/>
      </w:pPr>
      <w:r>
        <w:t xml:space="preserve"> </w:t>
      </w:r>
      <w:r w:rsidR="004B21E8">
        <w:t xml:space="preserve">Till the time the CCOP is prepared as per </w:t>
      </w:r>
      <w:r w:rsidR="004B21E8" w:rsidRPr="005047C6">
        <w:t xml:space="preserve">Clause </w:t>
      </w:r>
      <w:r w:rsidR="004B21E8" w:rsidRPr="005047C6">
        <w:fldChar w:fldCharType="begin"/>
      </w:r>
      <w:r w:rsidR="004B21E8" w:rsidRPr="005047C6">
        <w:instrText xml:space="preserve"> REF _Ref76220339 \w \h </w:instrText>
      </w:r>
      <w:r w:rsidR="004B21E8">
        <w:instrText xml:space="preserve"> \* MERGEFORMAT </w:instrText>
      </w:r>
      <w:r w:rsidR="004B21E8" w:rsidRPr="005047C6">
        <w:fldChar w:fldCharType="separate"/>
      </w:r>
      <w:r w:rsidR="004B21E8" w:rsidRPr="005047C6">
        <w:t>14.1.3.3</w:t>
      </w:r>
      <w:r w:rsidR="004B21E8" w:rsidRPr="005047C6">
        <w:fldChar w:fldCharType="end"/>
      </w:r>
      <w:r>
        <w:t xml:space="preserve">, the Market Operator </w:t>
      </w:r>
      <w:r w:rsidR="004B21E8">
        <w:t xml:space="preserve">shall determine the revised amounts as </w:t>
      </w:r>
      <w:r w:rsidR="002A1AD9">
        <w:t>under</w:t>
      </w:r>
      <w:r w:rsidR="004B21E8">
        <w:t>:</w:t>
      </w:r>
    </w:p>
    <w:p w14:paraId="25D32254" w14:textId="28B84B6D" w:rsidR="000B194C" w:rsidRDefault="001676DA" w:rsidP="000B194C">
      <w:pPr>
        <w:pStyle w:val="Heading5"/>
      </w:pPr>
      <w:r>
        <w:t>I</w:t>
      </w:r>
      <w:r w:rsidR="000B194C">
        <w:t>f the average amount to be paid by a Market Participant as per previous [3]</w:t>
      </w:r>
      <w:r w:rsidR="004B21E8">
        <w:t xml:space="preserve"> monthly</w:t>
      </w:r>
      <w:r w:rsidR="000B194C">
        <w:t xml:space="preserve"> Settlement Statements</w:t>
      </w:r>
      <w:r w:rsidR="004B21E8">
        <w:t xml:space="preserve"> </w:t>
      </w:r>
      <w:r w:rsidR="000B194C">
        <w:t xml:space="preserve">is higher than the amount deposited </w:t>
      </w:r>
      <w:r w:rsidR="000D7EAE">
        <w:t>as Security Cover</w:t>
      </w:r>
      <w:r w:rsidR="000B194C">
        <w:t xml:space="preserve"> by such Market Participant, the Security Cover Amount requirement of such Market Participant </w:t>
      </w:r>
      <w:r w:rsidR="004B21E8">
        <w:t>shall</w:t>
      </w:r>
      <w:r w:rsidR="000B194C">
        <w:t xml:space="preserve"> be increased to the maximum </w:t>
      </w:r>
      <w:r w:rsidR="004B21E8">
        <w:t>A</w:t>
      </w:r>
      <w:r w:rsidR="000B194C">
        <w:t xml:space="preserve">mount </w:t>
      </w:r>
      <w:r w:rsidR="004B21E8">
        <w:t>P</w:t>
      </w:r>
      <w:r w:rsidR="000B194C">
        <w:t>ayable during the same period</w:t>
      </w:r>
      <w:r>
        <w:t>.</w:t>
      </w:r>
      <w:r w:rsidR="000B194C">
        <w:t xml:space="preserve"> </w:t>
      </w:r>
    </w:p>
    <w:p w14:paraId="2FD8BA8C" w14:textId="2A9D12B8" w:rsidR="000B194C" w:rsidRDefault="001676DA" w:rsidP="000B194C">
      <w:pPr>
        <w:pStyle w:val="Heading5"/>
      </w:pPr>
      <w:bookmarkStart w:id="769" w:name="_Ref76222762"/>
      <w:r>
        <w:t>I</w:t>
      </w:r>
      <w:r w:rsidR="000B194C" w:rsidRPr="005E58DA">
        <w:t xml:space="preserve">f the average amount to be paid by a Market Participant as per previous </w:t>
      </w:r>
      <w:commentRangeStart w:id="770"/>
      <w:r w:rsidR="000B194C" w:rsidRPr="005E58DA">
        <w:t>[</w:t>
      </w:r>
      <w:r w:rsidR="000B194C">
        <w:t>12</w:t>
      </w:r>
      <w:r w:rsidR="000B194C" w:rsidRPr="005E58DA">
        <w:t xml:space="preserve">] </w:t>
      </w:r>
      <w:commentRangeEnd w:id="770"/>
      <w:r w:rsidR="000D7EAE">
        <w:rPr>
          <w:rStyle w:val="CommentReference"/>
          <w:rFonts w:eastAsiaTheme="minorHAnsi" w:cstheme="minorBidi"/>
          <w:color w:val="1C1C1C"/>
        </w:rPr>
        <w:commentReference w:id="770"/>
      </w:r>
      <w:r w:rsidR="004B21E8">
        <w:t xml:space="preserve">monthly </w:t>
      </w:r>
      <w:r w:rsidR="000B194C" w:rsidRPr="005E58DA">
        <w:t xml:space="preserve">Settlement Statements is </w:t>
      </w:r>
      <w:r w:rsidR="000B194C">
        <w:t>lower</w:t>
      </w:r>
      <w:r w:rsidR="000B194C" w:rsidRPr="005E58DA">
        <w:t xml:space="preserve"> than the amount deposited </w:t>
      </w:r>
      <w:r w:rsidR="000D7EAE">
        <w:t>as Security Cover</w:t>
      </w:r>
      <w:r w:rsidR="000B194C" w:rsidRPr="005E58DA">
        <w:t xml:space="preserve"> by such Market Participant, the Security Cover Amount requirement of such Market Participant will be </w:t>
      </w:r>
      <w:r w:rsidR="000B194C">
        <w:t>decreased</w:t>
      </w:r>
      <w:r w:rsidR="000B194C" w:rsidRPr="005E58DA">
        <w:t xml:space="preserve"> to the maximum </w:t>
      </w:r>
      <w:r w:rsidR="004B21E8">
        <w:t>A</w:t>
      </w:r>
      <w:r w:rsidR="000B194C" w:rsidRPr="005E58DA">
        <w:t xml:space="preserve">mount </w:t>
      </w:r>
      <w:r w:rsidR="004B21E8">
        <w:t>P</w:t>
      </w:r>
      <w:r w:rsidR="000B194C" w:rsidRPr="005E58DA">
        <w:t>ayable during the same period</w:t>
      </w:r>
      <w:bookmarkEnd w:id="769"/>
      <w:r>
        <w:t>.</w:t>
      </w:r>
    </w:p>
    <w:p w14:paraId="28795205" w14:textId="76565533" w:rsidR="000B194C" w:rsidRPr="00310E97" w:rsidRDefault="001676DA" w:rsidP="000B194C">
      <w:pPr>
        <w:pStyle w:val="Heading5"/>
      </w:pPr>
      <w:r>
        <w:t>T</w:t>
      </w:r>
      <w:r w:rsidR="000B194C">
        <w:t>he requirement of the Settlement Guarantee Fund</w:t>
      </w:r>
      <w:r w:rsidR="00390E26">
        <w:t xml:space="preserve"> (</w:t>
      </w:r>
      <w:r w:rsidR="001F5266">
        <w:t>the Guarantee Amount</w:t>
      </w:r>
      <w:r w:rsidR="00390E26">
        <w:t>)</w:t>
      </w:r>
      <w:r w:rsidR="000B194C">
        <w:t xml:space="preserve"> shall also be increased</w:t>
      </w:r>
      <w:r w:rsidR="004B21E8">
        <w:t xml:space="preserve"> </w:t>
      </w:r>
      <w:r w:rsidR="000B194C">
        <w:t xml:space="preserve">with corresponding increase in the </w:t>
      </w:r>
      <w:r w:rsidR="004B21E8">
        <w:t>Security</w:t>
      </w:r>
      <w:r w:rsidR="000B194C">
        <w:t xml:space="preserve"> </w:t>
      </w:r>
      <w:r w:rsidR="004B21E8">
        <w:t>C</w:t>
      </w:r>
      <w:r w:rsidR="000B194C">
        <w:t>over requirement multiplying it with a factor of 1.5</w:t>
      </w:r>
      <w:r>
        <w:t>.</w:t>
      </w:r>
    </w:p>
    <w:p w14:paraId="514C5664" w14:textId="6BFF6F78" w:rsidR="000B194C" w:rsidRDefault="000B194C" w:rsidP="000B194C">
      <w:pPr>
        <w:pStyle w:val="Heading4"/>
      </w:pPr>
      <w:r>
        <w:t xml:space="preserve">The Market Operator shall </w:t>
      </w:r>
      <w:r w:rsidR="00390E26">
        <w:t>inform</w:t>
      </w:r>
      <w:r>
        <w:t xml:space="preserve"> the respective Market Participants whose Security Cover Amount and</w:t>
      </w:r>
      <w:r w:rsidR="001F5266">
        <w:t>/or</w:t>
      </w:r>
      <w:r>
        <w:t xml:space="preserve"> Guarantee Amount requirement has been increased </w:t>
      </w:r>
      <w:r w:rsidR="00390E26">
        <w:t>along with</w:t>
      </w:r>
      <w:r>
        <w:t xml:space="preserve"> reasons </w:t>
      </w:r>
      <w:r w:rsidR="00390E26">
        <w:t>thereof</w:t>
      </w:r>
      <w:r>
        <w:t>. The Market Participants shall pay to the Market Operator any increase in its Security Cover Amount and</w:t>
      </w:r>
      <w:r w:rsidR="00390E26">
        <w:t>/or</w:t>
      </w:r>
      <w:r>
        <w:t xml:space="preserve"> Guarantee Amount as </w:t>
      </w:r>
      <w:r w:rsidR="00390E26">
        <w:t>required</w:t>
      </w:r>
      <w:r>
        <w:t xml:space="preserve"> by the Market Operator</w:t>
      </w:r>
      <w:r w:rsidR="000D7EAE">
        <w:t xml:space="preserve"> within </w:t>
      </w:r>
      <w:r w:rsidR="00390E26">
        <w:t xml:space="preserve">the specified </w:t>
      </w:r>
      <w:r w:rsidR="001F5266">
        <w:t>time</w:t>
      </w:r>
      <w:r w:rsidR="00390E26">
        <w:t>.</w:t>
      </w:r>
      <w:r>
        <w:t xml:space="preserve"> </w:t>
      </w:r>
    </w:p>
    <w:p w14:paraId="6DAC89BD" w14:textId="5990F698" w:rsidR="000B194C" w:rsidRPr="000B194C" w:rsidRDefault="000B194C" w:rsidP="000B194C">
      <w:pPr>
        <w:pStyle w:val="Heading4"/>
      </w:pPr>
      <w:r>
        <w:t xml:space="preserve">In case of decrease in the Security Cover Amount of the Market Participant as per </w:t>
      </w:r>
      <w:r w:rsidR="001F5266">
        <w:rPr>
          <w:highlight w:val="yellow"/>
        </w:rPr>
        <w:fldChar w:fldCharType="begin"/>
      </w:r>
      <w:r w:rsidR="001F5266">
        <w:instrText xml:space="preserve"> REF _Ref76222762 \w \h </w:instrText>
      </w:r>
      <w:r w:rsidR="001F5266">
        <w:rPr>
          <w:highlight w:val="yellow"/>
        </w:rPr>
      </w:r>
      <w:r w:rsidR="001F5266">
        <w:rPr>
          <w:highlight w:val="yellow"/>
        </w:rPr>
        <w:fldChar w:fldCharType="separate"/>
      </w:r>
      <w:r w:rsidR="001F5266">
        <w:t>14.1.3.7.b)</w:t>
      </w:r>
      <w:r w:rsidR="001F5266">
        <w:rPr>
          <w:highlight w:val="yellow"/>
        </w:rPr>
        <w:fldChar w:fldCharType="end"/>
      </w:r>
      <w:r w:rsidR="00390E26">
        <w:t>,</w:t>
      </w:r>
      <w:r>
        <w:t xml:space="preserve"> the Market Operator shall </w:t>
      </w:r>
      <w:r w:rsidR="00390E26">
        <w:t>inform</w:t>
      </w:r>
      <w:r>
        <w:t xml:space="preserve"> the respective Market Participant of such decrease and stating whether </w:t>
      </w:r>
      <w:r w:rsidR="00390E26">
        <w:t>such amount will be paid to it</w:t>
      </w:r>
      <w:r>
        <w:t xml:space="preserve"> or the same will be adjusted in its settlements being done by the Market Operator.</w:t>
      </w:r>
    </w:p>
    <w:p w14:paraId="62337FA6" w14:textId="57D07AF1" w:rsidR="00436B4C" w:rsidRDefault="001A1FFF" w:rsidP="00436B4C">
      <w:pPr>
        <w:pStyle w:val="Heading2"/>
      </w:pPr>
      <w:bookmarkStart w:id="771" w:name="_Ref67428739"/>
      <w:bookmarkStart w:id="772" w:name="_Toc69477020"/>
      <w:r>
        <w:t>S</w:t>
      </w:r>
      <w:r w:rsidR="00436B4C">
        <w:t xml:space="preserve">ecurity Cover </w:t>
      </w:r>
      <w:r w:rsidR="003A667B">
        <w:t>for</w:t>
      </w:r>
      <w:r w:rsidR="00F67D22">
        <w:t xml:space="preserve"> </w:t>
      </w:r>
      <w:bookmarkEnd w:id="771"/>
      <w:bookmarkEnd w:id="772"/>
      <w:r w:rsidR="00B26E58">
        <w:t>Monthly Settlement</w:t>
      </w:r>
      <w:r w:rsidR="003A667B">
        <w:t>s</w:t>
      </w:r>
      <w:r w:rsidR="00B26E58">
        <w:t xml:space="preserve"> </w:t>
      </w:r>
    </w:p>
    <w:p w14:paraId="6CB4FB1D" w14:textId="2AB4818E" w:rsidR="00F67D22" w:rsidRPr="00F67D22" w:rsidRDefault="00F67D22" w:rsidP="00F67D22">
      <w:pPr>
        <w:pStyle w:val="Heading3"/>
      </w:pPr>
      <w:r w:rsidRPr="00F67D22">
        <w:t xml:space="preserve">Security Cover </w:t>
      </w:r>
      <w:r w:rsidR="003A667B">
        <w:t>Required</w:t>
      </w:r>
      <w:r w:rsidR="003A667B" w:rsidRPr="00F67D22">
        <w:t xml:space="preserve"> </w:t>
      </w:r>
      <w:r w:rsidR="00CA5335">
        <w:t>During</w:t>
      </w:r>
      <w:r w:rsidR="00CA5335" w:rsidRPr="00F67D22">
        <w:t xml:space="preserve"> </w:t>
      </w:r>
      <w:r w:rsidRPr="00F67D22">
        <w:t>Registration as Market Participant</w:t>
      </w:r>
    </w:p>
    <w:p w14:paraId="3CBAF457" w14:textId="02DF8D8B" w:rsidR="00F67D22" w:rsidRDefault="00F67D22" w:rsidP="005B295A">
      <w:pPr>
        <w:pStyle w:val="Heading4"/>
      </w:pPr>
      <w:bookmarkStart w:id="773" w:name="_Hlk67430054"/>
      <w:r w:rsidRPr="00AE0FAB">
        <w:t xml:space="preserve">The </w:t>
      </w:r>
      <w:r w:rsidR="00AE0FAB">
        <w:t xml:space="preserve">amount of the </w:t>
      </w:r>
      <w:r w:rsidRPr="00AE0FAB">
        <w:t xml:space="preserve">Security Cover </w:t>
      </w:r>
      <w:r w:rsidR="003A667B">
        <w:t>which</w:t>
      </w:r>
      <w:r w:rsidR="003A667B" w:rsidRPr="00AE0FAB">
        <w:t xml:space="preserve"> </w:t>
      </w:r>
      <w:r w:rsidRPr="00AE0FAB">
        <w:t xml:space="preserve">shall be provided by a Market Participant </w:t>
      </w:r>
      <w:r w:rsidR="00AE0FAB" w:rsidRPr="00AE0FAB">
        <w:t xml:space="preserve">pursuant Clause  </w:t>
      </w:r>
      <w:r w:rsidR="00343314">
        <w:fldChar w:fldCharType="begin"/>
      </w:r>
      <w:r w:rsidR="00343314">
        <w:instrText xml:space="preserve"> REF _Ref68565568 \w \h </w:instrText>
      </w:r>
      <w:r w:rsidR="00343314">
        <w:fldChar w:fldCharType="separate"/>
      </w:r>
      <w:r w:rsidR="00251DBF">
        <w:t>3.3.4.1</w:t>
      </w:r>
      <w:r w:rsidR="00343314">
        <w:fldChar w:fldCharType="end"/>
      </w:r>
      <w:r w:rsidR="003A667B">
        <w:t xml:space="preserve"> </w:t>
      </w:r>
      <w:r w:rsidR="00AE0FAB">
        <w:t xml:space="preserve">shall be determined </w:t>
      </w:r>
      <w:r w:rsidR="003A667B">
        <w:t>according to the</w:t>
      </w:r>
      <w:r w:rsidR="0044487F">
        <w:t xml:space="preserve"> Category </w:t>
      </w:r>
      <w:r w:rsidR="00F1676C">
        <w:t xml:space="preserve">for </w:t>
      </w:r>
      <w:r w:rsidR="0044487F">
        <w:t xml:space="preserve">which the </w:t>
      </w:r>
      <w:r w:rsidR="003A667B">
        <w:t>application has been made</w:t>
      </w:r>
      <w:r w:rsidR="001676DA">
        <w:t xml:space="preserve"> which are described below</w:t>
      </w:r>
      <w:r w:rsidR="00AE0FAB">
        <w:t xml:space="preserve">: </w:t>
      </w:r>
    </w:p>
    <w:p w14:paraId="6B3C863E" w14:textId="24EA27C2" w:rsidR="00AE0FAB" w:rsidRDefault="001676DA" w:rsidP="0044487F">
      <w:pPr>
        <w:pStyle w:val="Heading5"/>
      </w:pPr>
      <w:r>
        <w:t>F</w:t>
      </w:r>
      <w:r w:rsidR="003A667B">
        <w:t>or</w:t>
      </w:r>
      <w:r w:rsidR="00AE0FAB">
        <w:t xml:space="preserve"> </w:t>
      </w:r>
      <w:r w:rsidR="003A667B">
        <w:t>registration</w:t>
      </w:r>
      <w:r w:rsidR="0044487F">
        <w:t xml:space="preserve"> </w:t>
      </w:r>
      <w:r w:rsidR="00AE0FAB">
        <w:t>as</w:t>
      </w:r>
      <w:r w:rsidR="0044487F">
        <w:t xml:space="preserve"> </w:t>
      </w:r>
      <w:r w:rsidR="00631CA1">
        <w:t>BPC</w:t>
      </w:r>
      <w:r w:rsidR="0044487F">
        <w:t xml:space="preserve">, </w:t>
      </w:r>
      <w:r w:rsidR="00BF564D">
        <w:t>Electric Power Supplier</w:t>
      </w:r>
      <w:r w:rsidR="0044487F">
        <w:t xml:space="preserve"> or </w:t>
      </w:r>
      <w:r w:rsidR="00BF564D">
        <w:t>Electric Power Trader</w:t>
      </w:r>
      <w:r w:rsidR="0044487F">
        <w:t xml:space="preserve">, no Security Cover </w:t>
      </w:r>
      <w:r w:rsidR="001F5266">
        <w:t xml:space="preserve">shall </w:t>
      </w:r>
      <w:r w:rsidR="0044487F">
        <w:t>be required</w:t>
      </w:r>
      <w:r>
        <w:t>.</w:t>
      </w:r>
      <w:r w:rsidR="0044487F">
        <w:t xml:space="preserve"> </w:t>
      </w:r>
    </w:p>
    <w:p w14:paraId="0BF6F429" w14:textId="6256655E" w:rsidR="00AE0FAB" w:rsidRPr="00F33457" w:rsidRDefault="001676DA" w:rsidP="003018FA">
      <w:pPr>
        <w:pStyle w:val="Heading5"/>
      </w:pPr>
      <w:r>
        <w:t>F</w:t>
      </w:r>
      <w:r w:rsidR="003A667B">
        <w:t>or registration</w:t>
      </w:r>
      <w:r w:rsidR="0044487F">
        <w:t xml:space="preserve"> as</w:t>
      </w:r>
      <w:r w:rsidR="003A667B">
        <w:t xml:space="preserve"> a</w:t>
      </w:r>
      <w:r w:rsidR="0044487F">
        <w:t xml:space="preserve"> </w:t>
      </w:r>
      <w:r w:rsidR="00631CA1">
        <w:t>Generator</w:t>
      </w:r>
      <w:r w:rsidR="0044487F">
        <w:t xml:space="preserve">, the amount of the Security Cover shall be </w:t>
      </w:r>
      <w:r w:rsidR="003A667B">
        <w:t xml:space="preserve">determined on the </w:t>
      </w:r>
      <w:r w:rsidR="003A667B" w:rsidRPr="003018FA">
        <w:t>basis</w:t>
      </w:r>
      <w:r w:rsidR="003A667B">
        <w:t xml:space="preserve"> of its</w:t>
      </w:r>
      <w:r w:rsidR="00631CA1">
        <w:t xml:space="preserve"> expected consumption from the network in one month</w:t>
      </w:r>
      <w:r w:rsidR="003A667B">
        <w:t xml:space="preserve"> if this back-feed Energy is not already contracted from another Market Participant</w:t>
      </w:r>
      <w:r w:rsidR="00631CA1">
        <w:t xml:space="preserve">. This value </w:t>
      </w:r>
      <w:r w:rsidR="004B5C6C">
        <w:t>shall be calculated as</w:t>
      </w:r>
      <w:r w:rsidR="00F33457">
        <w:t xml:space="preserve"> </w:t>
      </w:r>
      <w:r w:rsidR="00631CA1">
        <w:t xml:space="preserve">5 percent of its </w:t>
      </w:r>
      <w:r w:rsidR="000D7EAE">
        <w:t xml:space="preserve">Installed </w:t>
      </w:r>
      <w:r w:rsidR="00631CA1">
        <w:t>Net Capacity</w:t>
      </w:r>
      <w:r w:rsidR="000D7EAE">
        <w:t xml:space="preserve"> (expressed in kW)</w:t>
      </w:r>
      <w:r w:rsidR="00631CA1">
        <w:t xml:space="preserve"> multiplied by the 720 hours and </w:t>
      </w:r>
      <w:r w:rsidR="00631CA1" w:rsidRPr="003018FA">
        <w:t xml:space="preserve">multiplied by </w:t>
      </w:r>
      <w:r w:rsidR="000D7EAE" w:rsidRPr="00F33457">
        <w:t>[</w:t>
      </w:r>
      <w:r w:rsidR="0044487F" w:rsidRPr="00F33457">
        <w:t>six (6)</w:t>
      </w:r>
      <w:r w:rsidR="000D7EAE" w:rsidRPr="00F33457">
        <w:t>]</w:t>
      </w:r>
      <w:r w:rsidR="0044487F" w:rsidRPr="00F33457">
        <w:t xml:space="preserve"> PKR/kWh</w:t>
      </w:r>
      <w:r>
        <w:t>.</w:t>
      </w:r>
    </w:p>
    <w:p w14:paraId="1C017149" w14:textId="25D72DE4" w:rsidR="0044487F" w:rsidRPr="00F33457" w:rsidRDefault="0044487F" w:rsidP="0044487F">
      <w:pPr>
        <w:pStyle w:val="Heading5"/>
      </w:pPr>
      <w:r w:rsidRPr="00F33457">
        <w:t xml:space="preserve">When a Market Participant registers a new Contract, the amount of the Security Cover provided during the registration process </w:t>
      </w:r>
      <w:r w:rsidR="004B5C6C" w:rsidRPr="00F33457">
        <w:t>shall be adjusted accordingly</w:t>
      </w:r>
      <w:r w:rsidRPr="00F33457">
        <w:t>.</w:t>
      </w:r>
    </w:p>
    <w:bookmarkEnd w:id="773"/>
    <w:p w14:paraId="7E63AD52" w14:textId="0ECC1945" w:rsidR="00CE5575" w:rsidRPr="001A1FFF" w:rsidRDefault="00CE5575" w:rsidP="00667BCF">
      <w:pPr>
        <w:pStyle w:val="Heading3"/>
      </w:pPr>
      <w:r w:rsidRPr="001A1FFF">
        <w:lastRenderedPageBreak/>
        <w:t xml:space="preserve">Security Cover </w:t>
      </w:r>
      <w:r w:rsidR="004B5C6C">
        <w:t>for</w:t>
      </w:r>
      <w:r w:rsidR="00F76721" w:rsidRPr="001A1FFF">
        <w:t xml:space="preserve"> </w:t>
      </w:r>
      <w:r w:rsidRPr="001A1FFF">
        <w:t>Legacy Contracts</w:t>
      </w:r>
    </w:p>
    <w:p w14:paraId="198D8386" w14:textId="4948B0B6" w:rsidR="001A1FFF" w:rsidRPr="001A1FFF" w:rsidRDefault="001A1FFF" w:rsidP="005B295A">
      <w:pPr>
        <w:pStyle w:val="Heading4"/>
      </w:pPr>
      <w:r w:rsidRPr="001A1FFF">
        <w:t xml:space="preserve">Market Participants which are </w:t>
      </w:r>
      <w:r w:rsidR="00B26E58">
        <w:t>purchasing Energy and Capacity through</w:t>
      </w:r>
      <w:r w:rsidR="00B26E58" w:rsidRPr="001A1FFF">
        <w:t xml:space="preserve"> </w:t>
      </w:r>
      <w:r w:rsidRPr="001A1FFF">
        <w:t>Legacy Contract</w:t>
      </w:r>
      <w:r w:rsidR="00E63FCC">
        <w:t>s</w:t>
      </w:r>
      <w:r w:rsidRPr="001A1FFF">
        <w:t xml:space="preserve"> shall provide to the Market Operator an initial Security Cover, </w:t>
      </w:r>
      <w:r w:rsidR="00E63FCC">
        <w:t xml:space="preserve">as provided </w:t>
      </w:r>
      <w:r w:rsidRPr="001A1FFF">
        <w:t xml:space="preserve">in Clause </w:t>
      </w:r>
      <w:r w:rsidR="00B26E58">
        <w:fldChar w:fldCharType="begin"/>
      </w:r>
      <w:r w:rsidR="00B26E58">
        <w:instrText xml:space="preserve"> REF _Ref74236954 \n \h </w:instrText>
      </w:r>
      <w:r w:rsidR="00B26E58">
        <w:fldChar w:fldCharType="separate"/>
      </w:r>
      <w:r w:rsidR="00B26E58">
        <w:t>14.1.3.4</w:t>
      </w:r>
      <w:r w:rsidR="00B26E58">
        <w:fldChar w:fldCharType="end"/>
      </w:r>
      <w:r w:rsidR="00B26E58">
        <w:t>.</w:t>
      </w:r>
    </w:p>
    <w:p w14:paraId="64FB6E84" w14:textId="73DF1EF6" w:rsidR="00667BCF" w:rsidRPr="00F67D22" w:rsidRDefault="00E0447D" w:rsidP="00667BCF">
      <w:pPr>
        <w:pStyle w:val="Heading3"/>
      </w:pPr>
      <w:r w:rsidRPr="00F67D22">
        <w:t>Security cover</w:t>
      </w:r>
      <w:r w:rsidR="00667BCF" w:rsidRPr="00F67D22">
        <w:t xml:space="preserve"> </w:t>
      </w:r>
      <w:r w:rsidR="00CE5575" w:rsidRPr="00F67D22">
        <w:t>for New Contracts</w:t>
      </w:r>
    </w:p>
    <w:p w14:paraId="1CCB98B2" w14:textId="635C406C" w:rsidR="0016002B" w:rsidRDefault="0016002B" w:rsidP="005B295A">
      <w:pPr>
        <w:pStyle w:val="Heading4"/>
      </w:pPr>
      <w:bookmarkStart w:id="774" w:name="_Ref67425404"/>
      <w:r>
        <w:t xml:space="preserve">The Market Operator shall </w:t>
      </w:r>
      <w:r w:rsidR="00E63FCC">
        <w:t xml:space="preserve">determine the amount of </w:t>
      </w:r>
      <w:r>
        <w:t xml:space="preserve">the Security Cover </w:t>
      </w:r>
      <w:r w:rsidR="00E63FCC">
        <w:t>to be</w:t>
      </w:r>
      <w:r>
        <w:t xml:space="preserve"> provided by </w:t>
      </w:r>
      <w:r w:rsidR="001F5266">
        <w:t xml:space="preserve">each </w:t>
      </w:r>
      <w:r>
        <w:t>Market Participant</w:t>
      </w:r>
      <w:r w:rsidR="00E63FCC">
        <w:t xml:space="preserve"> prior to registration of a Contract</w:t>
      </w:r>
      <w:r>
        <w:t xml:space="preserve">, which </w:t>
      </w:r>
      <w:r w:rsidR="006A6F11">
        <w:t>shall be m</w:t>
      </w:r>
      <w:r w:rsidR="0020121E">
        <w:t xml:space="preserve">aintained </w:t>
      </w:r>
      <w:r w:rsidR="006A6F11">
        <w:t>until a new</w:t>
      </w:r>
      <w:r w:rsidR="001F5266">
        <w:t xml:space="preserve"> or</w:t>
      </w:r>
      <w:r>
        <w:t xml:space="preserve"> different</w:t>
      </w:r>
      <w:r w:rsidR="006A6F11">
        <w:t xml:space="preserve"> amount is determined</w:t>
      </w:r>
      <w:r>
        <w:t xml:space="preserve">. </w:t>
      </w:r>
      <w:r w:rsidRPr="003018FA">
        <w:t xml:space="preserve">The Security Cover that </w:t>
      </w:r>
      <w:r w:rsidR="001F5266" w:rsidRPr="00F33457">
        <w:t xml:space="preserve">shall </w:t>
      </w:r>
      <w:r w:rsidRPr="00F33457">
        <w:t xml:space="preserve">be provided shall guarantee the obligations of the Market Participant </w:t>
      </w:r>
      <w:r w:rsidR="00E63FCC" w:rsidRPr="00F33457">
        <w:t>party to</w:t>
      </w:r>
      <w:r w:rsidRPr="00F33457">
        <w:t xml:space="preserve"> the Contract being registered, plus its obligations associated with any other Contract already registered with the Market Operator.</w:t>
      </w:r>
      <w:bookmarkEnd w:id="774"/>
      <w:r>
        <w:t xml:space="preserve"> </w:t>
      </w:r>
    </w:p>
    <w:p w14:paraId="238190F3" w14:textId="66AEEB6B" w:rsidR="0020121E" w:rsidRDefault="0016002B" w:rsidP="005B295A">
      <w:pPr>
        <w:pStyle w:val="Heading4"/>
      </w:pPr>
      <w:r>
        <w:t xml:space="preserve">The amount of the Security Cover </w:t>
      </w:r>
      <w:r w:rsidRPr="003018FA">
        <w:t xml:space="preserve">that shall be provided pursuant </w:t>
      </w:r>
      <w:r w:rsidR="00F33457" w:rsidRPr="00B03C4A">
        <w:t xml:space="preserve">to </w:t>
      </w:r>
      <w:r w:rsidRPr="003018FA">
        <w:t xml:space="preserve">Clause </w:t>
      </w:r>
      <w:r w:rsidR="006E6FEF" w:rsidRPr="00F33457">
        <w:t xml:space="preserve"> </w:t>
      </w:r>
      <w:r w:rsidR="00343314" w:rsidRPr="000E633F">
        <w:fldChar w:fldCharType="begin"/>
      </w:r>
      <w:r w:rsidR="00343314" w:rsidRPr="00F33457">
        <w:instrText xml:space="preserve"> REF _Ref67425404 \w \h </w:instrText>
      </w:r>
      <w:r w:rsidR="00E63FCC" w:rsidRPr="00B03C4A">
        <w:instrText xml:space="preserve"> \* MERGEFORMAT </w:instrText>
      </w:r>
      <w:r w:rsidR="00343314" w:rsidRPr="000E633F">
        <w:fldChar w:fldCharType="separate"/>
      </w:r>
      <w:r w:rsidR="00251DBF" w:rsidRPr="00F33457">
        <w:t>14.2.3.1</w:t>
      </w:r>
      <w:r w:rsidR="00343314" w:rsidRPr="000E633F">
        <w:fldChar w:fldCharType="end"/>
      </w:r>
      <w:r w:rsidR="001F5266" w:rsidRPr="003018FA">
        <w:t xml:space="preserve"> above</w:t>
      </w:r>
      <w:r w:rsidR="001F5266" w:rsidRPr="00F33457">
        <w:t>,</w:t>
      </w:r>
      <w:r w:rsidR="001F5266">
        <w:t xml:space="preserve"> </w:t>
      </w:r>
      <w:r w:rsidR="0020121E">
        <w:t xml:space="preserve">shall be </w:t>
      </w:r>
      <w:r w:rsidR="006E6FEF">
        <w:t xml:space="preserve">determined </w:t>
      </w:r>
      <w:r w:rsidR="00E63FCC">
        <w:t xml:space="preserve">by </w:t>
      </w:r>
      <w:r w:rsidR="006E6FEF">
        <w:t xml:space="preserve">estimating </w:t>
      </w:r>
      <w:r w:rsidR="0020121E">
        <w:t xml:space="preserve">the </w:t>
      </w:r>
      <w:r w:rsidR="006E6FEF">
        <w:t xml:space="preserve">expected </w:t>
      </w:r>
      <w:r w:rsidR="0020121E">
        <w:t>payment</w:t>
      </w:r>
      <w:r w:rsidR="006E6FEF">
        <w:t>s</w:t>
      </w:r>
      <w:r w:rsidR="0020121E">
        <w:t xml:space="preserve"> from </w:t>
      </w:r>
      <w:r>
        <w:t>such</w:t>
      </w:r>
      <w:r w:rsidR="0020121E">
        <w:t xml:space="preserve"> </w:t>
      </w:r>
      <w:r w:rsidR="006A6F11">
        <w:t xml:space="preserve">Market </w:t>
      </w:r>
      <w:r w:rsidR="0020121E">
        <w:t xml:space="preserve">Participant, towards the purchase of Energy </w:t>
      </w:r>
      <w:r w:rsidR="00461EF5">
        <w:t xml:space="preserve">from </w:t>
      </w:r>
      <w:r>
        <w:t xml:space="preserve">the Balancing Mechanism for Energy, </w:t>
      </w:r>
      <w:r w:rsidR="006A6F11">
        <w:t xml:space="preserve">plus the </w:t>
      </w:r>
      <w:r>
        <w:t xml:space="preserve">payments </w:t>
      </w:r>
      <w:r w:rsidR="00461EF5">
        <w:t>for</w:t>
      </w:r>
      <w:r w:rsidR="0020121E">
        <w:t xml:space="preserve"> the Ancillary Services and Must Run </w:t>
      </w:r>
      <w:r w:rsidR="006A6F11">
        <w:t>Generation</w:t>
      </w:r>
      <w:r>
        <w:t xml:space="preserve">, </w:t>
      </w:r>
      <w:r w:rsidR="0020121E">
        <w:t xml:space="preserve">the Market Operator </w:t>
      </w:r>
      <w:r w:rsidR="006A6F11">
        <w:t xml:space="preserve">fee and, if </w:t>
      </w:r>
      <w:r w:rsidR="001F5266">
        <w:t>applicable</w:t>
      </w:r>
      <w:r w:rsidR="006A6F11">
        <w:t xml:space="preserve">, the System Operator fee, </w:t>
      </w:r>
      <w:r w:rsidR="0020121E">
        <w:t xml:space="preserve">for </w:t>
      </w:r>
      <w:r w:rsidR="00F33457">
        <w:t xml:space="preserve">the </w:t>
      </w:r>
      <w:r w:rsidR="0020121E">
        <w:t xml:space="preserve">following </w:t>
      </w:r>
      <w:r w:rsidR="00092B42">
        <w:t>Energy Settlement Period</w:t>
      </w:r>
      <w:r w:rsidR="0020121E">
        <w:t xml:space="preserve">. </w:t>
      </w:r>
      <w:r w:rsidR="00F33457">
        <w:t>The Market Operator shall require the parties registering the Contract to provide all the necessary information to perform this calculation.</w:t>
      </w:r>
      <w:r w:rsidR="0020121E">
        <w:t xml:space="preserve"> </w:t>
      </w:r>
    </w:p>
    <w:p w14:paraId="3CA28D00" w14:textId="4BEA28EB" w:rsidR="006E6FEF" w:rsidRPr="00EC7744" w:rsidRDefault="006E6FEF" w:rsidP="005B295A">
      <w:pPr>
        <w:pStyle w:val="Heading4"/>
      </w:pPr>
      <w:bookmarkStart w:id="775" w:name="_Ref68599576"/>
      <w:bookmarkStart w:id="776" w:name="_Hlk81304408"/>
      <w:r w:rsidRPr="000C7CBF">
        <w:t xml:space="preserve">Within </w:t>
      </w:r>
      <w:r w:rsidR="00F76721">
        <w:rPr>
          <w:highlight w:val="yellow"/>
        </w:rPr>
        <w:t>eighteen</w:t>
      </w:r>
      <w:r w:rsidRPr="004D5076">
        <w:rPr>
          <w:highlight w:val="yellow"/>
        </w:rPr>
        <w:t xml:space="preserve"> [</w:t>
      </w:r>
      <w:r w:rsidR="00F76721">
        <w:rPr>
          <w:highlight w:val="yellow"/>
        </w:rPr>
        <w:t>18</w:t>
      </w:r>
      <w:r w:rsidRPr="004D5076">
        <w:rPr>
          <w:highlight w:val="yellow"/>
        </w:rPr>
        <w:t xml:space="preserve">] </w:t>
      </w:r>
      <w:r w:rsidRPr="000C7CBF">
        <w:t xml:space="preserve">month from the </w:t>
      </w:r>
      <w:r w:rsidR="00F76721">
        <w:t>CMOD</w:t>
      </w:r>
      <w:r w:rsidRPr="000C7CBF">
        <w:t xml:space="preserve">, the </w:t>
      </w:r>
      <w:r>
        <w:t>Market</w:t>
      </w:r>
      <w:r w:rsidRPr="000C7CBF">
        <w:t xml:space="preserve"> Operator </w:t>
      </w:r>
      <w:r w:rsidR="001F5266">
        <w:t xml:space="preserve">shall </w:t>
      </w:r>
      <w:r w:rsidR="00461EF5">
        <w:t>make</w:t>
      </w:r>
      <w:r>
        <w:t xml:space="preserve"> a </w:t>
      </w:r>
      <w:r w:rsidR="00B26E58">
        <w:t>CCOP</w:t>
      </w:r>
      <w:r>
        <w:t xml:space="preserve"> for determining the amount of the Security Cover </w:t>
      </w:r>
      <w:r w:rsidR="00461EF5">
        <w:t>to</w:t>
      </w:r>
      <w:r>
        <w:t xml:space="preserve"> be provided by </w:t>
      </w:r>
      <w:r w:rsidR="00461EF5">
        <w:t xml:space="preserve">each </w:t>
      </w:r>
      <w:r>
        <w:t xml:space="preserve">Market Participant </w:t>
      </w:r>
      <w:r w:rsidR="00461EF5">
        <w:t>at the time of registration of a</w:t>
      </w:r>
      <w:r>
        <w:t xml:space="preserve"> new Contract. </w:t>
      </w:r>
      <w:r w:rsidR="00461EF5">
        <w:t>Till such time</w:t>
      </w:r>
      <w:r>
        <w:t xml:space="preserve">, the procedure </w:t>
      </w:r>
      <w:r w:rsidR="00461EF5">
        <w:t xml:space="preserve">set out </w:t>
      </w:r>
      <w:r>
        <w:t xml:space="preserve">in </w:t>
      </w:r>
      <w:commentRangeStart w:id="777"/>
      <w:commentRangeStart w:id="778"/>
      <w:r w:rsidRPr="003E6681">
        <w:rPr>
          <w:highlight w:val="green"/>
        </w:rPr>
        <w:t xml:space="preserve">Appendix IV </w:t>
      </w:r>
      <w:commentRangeEnd w:id="777"/>
      <w:r w:rsidR="003E6681" w:rsidRPr="003E6681">
        <w:rPr>
          <w:rStyle w:val="CommentReference"/>
          <w:rFonts w:eastAsiaTheme="minorHAnsi" w:cstheme="minorBidi"/>
          <w:bCs w:val="0"/>
          <w:iCs w:val="0"/>
          <w:color w:val="1C1C1C"/>
          <w:highlight w:val="green"/>
        </w:rPr>
        <w:commentReference w:id="777"/>
      </w:r>
      <w:commentRangeEnd w:id="778"/>
      <w:r w:rsidR="00B63522">
        <w:rPr>
          <w:rStyle w:val="CommentReference"/>
          <w:rFonts w:eastAsiaTheme="minorHAnsi" w:cstheme="minorBidi"/>
          <w:bCs w:val="0"/>
          <w:iCs w:val="0"/>
          <w:color w:val="1C1C1C"/>
        </w:rPr>
        <w:commentReference w:id="778"/>
      </w:r>
      <w:r w:rsidR="001F5266">
        <w:t xml:space="preserve"> shall apply</w:t>
      </w:r>
      <w:r w:rsidRPr="00EC7744">
        <w:t>.</w:t>
      </w:r>
      <w:bookmarkEnd w:id="775"/>
    </w:p>
    <w:bookmarkEnd w:id="776"/>
    <w:p w14:paraId="430800DB" w14:textId="73257C0E" w:rsidR="00667BCF" w:rsidRDefault="00461EF5" w:rsidP="00667BCF">
      <w:pPr>
        <w:pStyle w:val="Heading3"/>
      </w:pPr>
      <w:r>
        <w:t xml:space="preserve">Deposit </w:t>
      </w:r>
      <w:r w:rsidR="00F67D22">
        <w:t>And Verification Of The Security Cover</w:t>
      </w:r>
    </w:p>
    <w:p w14:paraId="2515B2D1" w14:textId="59F19A5C" w:rsidR="00F67D22" w:rsidRDefault="00461EF5" w:rsidP="005B295A">
      <w:pPr>
        <w:pStyle w:val="Heading4"/>
      </w:pPr>
      <w:bookmarkStart w:id="779" w:name="_Hlk67434143"/>
      <w:r>
        <w:t xml:space="preserve">After depositing </w:t>
      </w:r>
      <w:r w:rsidR="005C02EB">
        <w:t xml:space="preserve">the Security Cover </w:t>
      </w:r>
      <w:r w:rsidR="0063572D">
        <w:t xml:space="preserve">in the designated </w:t>
      </w:r>
      <w:r>
        <w:t xml:space="preserve">bank </w:t>
      </w:r>
      <w:r w:rsidR="0063572D">
        <w:t>account of the Market Operator</w:t>
      </w:r>
      <w:r w:rsidR="005C02EB">
        <w:t xml:space="preserve">, the </w:t>
      </w:r>
      <w:r>
        <w:t xml:space="preserve">concerned </w:t>
      </w:r>
      <w:r w:rsidR="005C02EB">
        <w:t xml:space="preserve">Market Participant shall </w:t>
      </w:r>
      <w:r>
        <w:t xml:space="preserve">immediately inform </w:t>
      </w:r>
      <w:r w:rsidR="005C02EB">
        <w:t xml:space="preserve">the Market Operator </w:t>
      </w:r>
      <w:r>
        <w:t>along with the relevant documents.</w:t>
      </w:r>
      <w:r w:rsidR="005C02EB">
        <w:t xml:space="preserve"> </w:t>
      </w:r>
    </w:p>
    <w:p w14:paraId="417E5E63" w14:textId="0EAC3B41" w:rsidR="005C02EB" w:rsidRDefault="005C02EB" w:rsidP="0063572D">
      <w:pPr>
        <w:pStyle w:val="Heading4"/>
      </w:pPr>
      <w:r w:rsidRPr="003018FA">
        <w:rPr>
          <w:bCs w:val="0"/>
          <w:iCs w:val="0"/>
        </w:rPr>
        <w:t xml:space="preserve">The Market Operator shall </w:t>
      </w:r>
      <w:r w:rsidR="00F76721" w:rsidRPr="001676DA">
        <w:t xml:space="preserve">review </w:t>
      </w:r>
      <w:r w:rsidRPr="001676DA">
        <w:t>the</w:t>
      </w:r>
      <w:r w:rsidR="00B46FAB" w:rsidRPr="001676DA">
        <w:t xml:space="preserve"> submitted</w:t>
      </w:r>
      <w:r w:rsidRPr="001676DA">
        <w:t xml:space="preserve"> documents </w:t>
      </w:r>
      <w:r w:rsidR="00B46FAB" w:rsidRPr="001676DA">
        <w:t>to verify</w:t>
      </w:r>
      <w:r w:rsidRPr="001676DA">
        <w:t xml:space="preserve"> </w:t>
      </w:r>
      <w:r w:rsidR="00B46FAB" w:rsidRPr="001676DA">
        <w:t xml:space="preserve"> whether the </w:t>
      </w:r>
      <w:r w:rsidRPr="001676DA">
        <w:t xml:space="preserve"> Security Cover is adequate and in accordance with the provisions of this Code. The Market Operator shall verify that</w:t>
      </w:r>
      <w:r w:rsidR="0063572D" w:rsidRPr="001676DA">
        <w:t xml:space="preserve"> t</w:t>
      </w:r>
      <w:r w:rsidRPr="001676DA">
        <w:t>he amount of the Security Cover is equal or above the amount calculated by the Market Operator</w:t>
      </w:r>
      <w:r w:rsidR="006D78D9">
        <w:rPr>
          <w:bCs w:val="0"/>
          <w:iCs w:val="0"/>
        </w:rPr>
        <w:t>.</w:t>
      </w:r>
      <w:r w:rsidRPr="001676DA">
        <w:rPr>
          <w:bCs w:val="0"/>
          <w:iCs w:val="0"/>
        </w:rPr>
        <w:t xml:space="preserve"> </w:t>
      </w:r>
    </w:p>
    <w:p w14:paraId="27F7E65E" w14:textId="7B25A0BD" w:rsidR="005C02EB" w:rsidRDefault="008208E1" w:rsidP="005B295A">
      <w:pPr>
        <w:pStyle w:val="Heading4"/>
      </w:pPr>
      <w:r>
        <w:t xml:space="preserve">In the case the Security Cover is </w:t>
      </w:r>
      <w:r w:rsidR="00B46FAB">
        <w:t>according to the requirements</w:t>
      </w:r>
      <w:r>
        <w:t xml:space="preserve">, the Market Operator </w:t>
      </w:r>
      <w:r w:rsidR="00C0300D">
        <w:t xml:space="preserve">shall </w:t>
      </w:r>
      <w:r w:rsidR="00B46FAB" w:rsidRPr="001676DA">
        <w:t>acknowledge the</w:t>
      </w:r>
      <w:r w:rsidRPr="001676DA">
        <w:t xml:space="preserve"> acceptance </w:t>
      </w:r>
      <w:r w:rsidR="001676DA" w:rsidRPr="00B03C4A">
        <w:t xml:space="preserve"> thereof  and shall</w:t>
      </w:r>
      <w:r w:rsidR="001676DA">
        <w:rPr>
          <w:strike/>
        </w:rPr>
        <w:t xml:space="preserve"> </w:t>
      </w:r>
      <w:r>
        <w:t xml:space="preserve">proceed to register the </w:t>
      </w:r>
      <w:r w:rsidR="00C0300D">
        <w:t xml:space="preserve">person as </w:t>
      </w:r>
      <w:r>
        <w:t xml:space="preserve">Market Participant or </w:t>
      </w:r>
      <w:r w:rsidR="00C0300D">
        <w:t xml:space="preserve">register </w:t>
      </w:r>
      <w:r>
        <w:t xml:space="preserve">the Contract, </w:t>
      </w:r>
      <w:r w:rsidR="00B46FAB">
        <w:t xml:space="preserve">as </w:t>
      </w:r>
      <w:r w:rsidR="00C0300D">
        <w:t>the case may be</w:t>
      </w:r>
      <w:r>
        <w:t xml:space="preserve">. </w:t>
      </w:r>
    </w:p>
    <w:p w14:paraId="3B2D7000" w14:textId="666AC34A" w:rsidR="002B1FE6" w:rsidRPr="00E15C9C" w:rsidRDefault="008208E1" w:rsidP="00B03C4A">
      <w:pPr>
        <w:pStyle w:val="Heading4"/>
      </w:pPr>
      <w:r>
        <w:t xml:space="preserve">In case the Market Operator considers that the Security Cover is not </w:t>
      </w:r>
      <w:r w:rsidR="001676DA">
        <w:t>in accordance with</w:t>
      </w:r>
      <w:r w:rsidR="00B46FAB">
        <w:t xml:space="preserve"> the requirements</w:t>
      </w:r>
      <w:r>
        <w:t xml:space="preserve">, it </w:t>
      </w:r>
      <w:r w:rsidR="00C0300D">
        <w:t xml:space="preserve">shall </w:t>
      </w:r>
      <w:r w:rsidR="00B46FAB">
        <w:t xml:space="preserve">require </w:t>
      </w:r>
      <w:r>
        <w:t xml:space="preserve">the </w:t>
      </w:r>
      <w:r w:rsidR="00C0300D">
        <w:t xml:space="preserve">Applicant </w:t>
      </w:r>
      <w:r>
        <w:t>or Market Participant</w:t>
      </w:r>
      <w:r w:rsidR="00B46FAB">
        <w:t xml:space="preserve"> to provide the Security Cover according to the requirements</w:t>
      </w:r>
      <w:r w:rsidR="001676DA">
        <w:t>.</w:t>
      </w:r>
      <w:r w:rsidR="00B46FAB">
        <w:t xml:space="preserve"> </w:t>
      </w:r>
      <w:r>
        <w:t xml:space="preserve"> </w:t>
      </w:r>
      <w:bookmarkEnd w:id="779"/>
    </w:p>
    <w:p w14:paraId="60EE0F7A" w14:textId="05CDA16D" w:rsidR="00C76271" w:rsidRPr="00332D62" w:rsidRDefault="00C76271" w:rsidP="00C76271">
      <w:pPr>
        <w:pStyle w:val="Heading2"/>
      </w:pPr>
      <w:bookmarkStart w:id="780" w:name="_Toc69477021"/>
      <w:r w:rsidRPr="00332D62">
        <w:lastRenderedPageBreak/>
        <w:t xml:space="preserve">Security Cover </w:t>
      </w:r>
      <w:r w:rsidR="00B27096">
        <w:t>for</w:t>
      </w:r>
      <w:r w:rsidRPr="00332D62">
        <w:t xml:space="preserve"> the BMC</w:t>
      </w:r>
      <w:bookmarkEnd w:id="780"/>
    </w:p>
    <w:p w14:paraId="6249B732" w14:textId="097DE291" w:rsidR="00343314" w:rsidRPr="00332D62" w:rsidRDefault="00343314" w:rsidP="00343314">
      <w:pPr>
        <w:pStyle w:val="Heading3"/>
      </w:pPr>
      <w:r w:rsidRPr="00332D62">
        <w:t xml:space="preserve">Security Cover </w:t>
      </w:r>
      <w:r w:rsidR="00332D62" w:rsidRPr="00332D62">
        <w:t xml:space="preserve">Required </w:t>
      </w:r>
      <w:r w:rsidR="00B27096">
        <w:t>for</w:t>
      </w:r>
      <w:r w:rsidR="00B27096" w:rsidRPr="00332D62">
        <w:t xml:space="preserve"> </w:t>
      </w:r>
      <w:r w:rsidR="00B27096">
        <w:t>Participation</w:t>
      </w:r>
      <w:r w:rsidR="00B27096" w:rsidRPr="00332D62">
        <w:t xml:space="preserve"> </w:t>
      </w:r>
      <w:r w:rsidR="00332D62" w:rsidRPr="00332D62">
        <w:t>in the BMC</w:t>
      </w:r>
    </w:p>
    <w:p w14:paraId="41B0DBB3" w14:textId="06368637" w:rsidR="00B27096" w:rsidRDefault="00B27096" w:rsidP="00B27096">
      <w:pPr>
        <w:pStyle w:val="Heading4"/>
      </w:pPr>
      <w:r>
        <w:t>A</w:t>
      </w:r>
      <w:r w:rsidRPr="00AE0FAB">
        <w:t xml:space="preserve"> Market Participant</w:t>
      </w:r>
      <w:r>
        <w:t xml:space="preserve"> having negative Capacity Balance, calculated</w:t>
      </w:r>
      <w:r w:rsidRPr="00AE0FAB">
        <w:t xml:space="preserve"> pursuant </w:t>
      </w:r>
      <w:r>
        <w:t xml:space="preserve">to </w:t>
      </w:r>
      <w:r w:rsidRPr="00AE0FAB">
        <w:t xml:space="preserve">Clause </w:t>
      </w:r>
      <w:r>
        <w:fldChar w:fldCharType="begin"/>
      </w:r>
      <w:r>
        <w:instrText xml:space="preserve"> REF _Ref68513993 \w \h </w:instrText>
      </w:r>
      <w:r>
        <w:fldChar w:fldCharType="separate"/>
      </w:r>
      <w:r>
        <w:t>10.2.5.2</w:t>
      </w:r>
      <w:r>
        <w:fldChar w:fldCharType="end"/>
      </w:r>
      <w:r w:rsidR="001A11E6">
        <w:t>,</w:t>
      </w:r>
      <w:r>
        <w:t xml:space="preserve"> shall </w:t>
      </w:r>
      <w:r w:rsidR="001A11E6">
        <w:t xml:space="preserve">submit Security Cover for an amount as determined by the Market Operator in accordance with </w:t>
      </w:r>
      <w:r>
        <w:t xml:space="preserve">Clause </w:t>
      </w:r>
      <w:r>
        <w:fldChar w:fldCharType="begin"/>
      </w:r>
      <w:r>
        <w:instrText xml:space="preserve"> REF _Ref68560911 \w \h </w:instrText>
      </w:r>
      <w:r>
        <w:fldChar w:fldCharType="separate"/>
      </w:r>
      <w:r>
        <w:t>10.3.2.1</w:t>
      </w:r>
      <w:r>
        <w:fldChar w:fldCharType="end"/>
      </w:r>
      <w:r w:rsidR="001676DA">
        <w:t>.</w:t>
      </w:r>
      <w:r>
        <w:t xml:space="preserve"> </w:t>
      </w:r>
    </w:p>
    <w:p w14:paraId="1485C864" w14:textId="75EF3A5E" w:rsidR="00343314" w:rsidRDefault="001A11E6" w:rsidP="00343314">
      <w:pPr>
        <w:pStyle w:val="Heading3"/>
      </w:pPr>
      <w:r>
        <w:t xml:space="preserve">Deposit and </w:t>
      </w:r>
      <w:r w:rsidR="00343314">
        <w:t>Verification Of The Security Cover</w:t>
      </w:r>
      <w:r w:rsidR="00A210E9">
        <w:t xml:space="preserve"> </w:t>
      </w:r>
      <w:r w:rsidR="00A210E9" w:rsidRPr="00B03C4A">
        <w:rPr>
          <w:strike/>
        </w:rPr>
        <w:t xml:space="preserve">for </w:t>
      </w:r>
      <w:r w:rsidRPr="00B03C4A">
        <w:rPr>
          <w:strike/>
        </w:rPr>
        <w:t xml:space="preserve">participation </w:t>
      </w:r>
      <w:r w:rsidR="00A210E9" w:rsidRPr="00B03C4A">
        <w:rPr>
          <w:strike/>
        </w:rPr>
        <w:t>in the BMC</w:t>
      </w:r>
    </w:p>
    <w:p w14:paraId="6B6563CA" w14:textId="46ED03E4" w:rsidR="00343314" w:rsidRPr="006D78D9" w:rsidRDefault="001A11E6" w:rsidP="005B295A">
      <w:pPr>
        <w:pStyle w:val="Heading4"/>
      </w:pPr>
      <w:r>
        <w:t xml:space="preserve">After depositing the Security Cover in the designated  bank account of the Market Operator, the concerned Market Participant shall immediately inform the Market Operator along with the relevant </w:t>
      </w:r>
      <w:r w:rsidRPr="006D78D9">
        <w:t>documents</w:t>
      </w:r>
      <w:r w:rsidR="00343314" w:rsidRPr="006D78D9">
        <w:t xml:space="preserve">. </w:t>
      </w:r>
    </w:p>
    <w:p w14:paraId="6EEDC245" w14:textId="41C0BF95" w:rsidR="00343314" w:rsidRPr="006D78D9" w:rsidRDefault="006D78D9" w:rsidP="00AE1AD1">
      <w:pPr>
        <w:pStyle w:val="Heading4"/>
      </w:pPr>
      <w:r w:rsidRPr="006D78D9">
        <w:t>The Market Operator shall review the submitted documents to verify  whether the  Security Cover is adequate and in accordance with the provisions of this Code.</w:t>
      </w:r>
      <w:r w:rsidRPr="006D78D9">
        <w:rPr>
          <w:bCs w:val="0"/>
          <w:iCs w:val="0"/>
        </w:rPr>
        <w:t xml:space="preserve"> </w:t>
      </w:r>
      <w:r w:rsidR="00343314" w:rsidRPr="006D78D9">
        <w:t xml:space="preserve">The Market Operator shall verify </w:t>
      </w:r>
      <w:r w:rsidR="00C0300D" w:rsidRPr="006D78D9">
        <w:t>if</w:t>
      </w:r>
      <w:r w:rsidR="00343314" w:rsidRPr="006D78D9">
        <w:t xml:space="preserve"> </w:t>
      </w:r>
      <w:r w:rsidR="00CB5129" w:rsidRPr="006D78D9">
        <w:t>th</w:t>
      </w:r>
      <w:r w:rsidR="00343314" w:rsidRPr="006D78D9">
        <w:t xml:space="preserve">e amount of the Security Cover is equal or above the amount </w:t>
      </w:r>
      <w:r w:rsidR="00332D62" w:rsidRPr="006D78D9">
        <w:t>notified</w:t>
      </w:r>
      <w:r w:rsidR="00343314" w:rsidRPr="006D78D9">
        <w:t xml:space="preserve"> by the Market Operator</w:t>
      </w:r>
      <w:r w:rsidR="00332D62" w:rsidRPr="006D78D9">
        <w:t xml:space="preserve"> pursuant Clause </w:t>
      </w:r>
      <w:r w:rsidR="00332D62" w:rsidRPr="000E633F">
        <w:fldChar w:fldCharType="begin"/>
      </w:r>
      <w:r w:rsidR="00332D62" w:rsidRPr="006D78D9">
        <w:instrText xml:space="preserve"> REF _Ref68560911 \w \h </w:instrText>
      </w:r>
      <w:r w:rsidR="001A11E6" w:rsidRPr="00B03C4A">
        <w:instrText xml:space="preserve"> \* MERGEFORMAT </w:instrText>
      </w:r>
      <w:r w:rsidR="00332D62" w:rsidRPr="000E633F">
        <w:fldChar w:fldCharType="separate"/>
      </w:r>
      <w:r w:rsidR="00251DBF" w:rsidRPr="006D78D9">
        <w:t>10.3.2.1</w:t>
      </w:r>
      <w:r w:rsidR="00332D62" w:rsidRPr="000E633F">
        <w:fldChar w:fldCharType="end"/>
      </w:r>
      <w:r w:rsidR="00343314" w:rsidRPr="006D78D9">
        <w:t xml:space="preserve">; </w:t>
      </w:r>
    </w:p>
    <w:p w14:paraId="79AE57CC" w14:textId="570ECA3B" w:rsidR="00343314" w:rsidRDefault="006D78D9" w:rsidP="005B295A">
      <w:pPr>
        <w:pStyle w:val="Heading4"/>
      </w:pPr>
      <w:r w:rsidRPr="006D78D9">
        <w:rPr>
          <w:bCs w:val="0"/>
          <w:iCs w:val="0"/>
        </w:rPr>
        <w:t xml:space="preserve">In the case the Security Cover is according to the requirements, the Market Operator shall acknowledge the acceptance  thereof  and </w:t>
      </w:r>
      <w:r w:rsidR="00332D62" w:rsidRPr="006D78D9">
        <w:rPr>
          <w:bCs w:val="0"/>
          <w:iCs w:val="0"/>
        </w:rPr>
        <w:t xml:space="preserve">the Market Participant </w:t>
      </w:r>
      <w:r w:rsidR="00C0300D" w:rsidRPr="006D78D9">
        <w:rPr>
          <w:bCs w:val="0"/>
          <w:iCs w:val="0"/>
        </w:rPr>
        <w:t xml:space="preserve">shall </w:t>
      </w:r>
      <w:r w:rsidR="00332D62" w:rsidRPr="006D78D9">
        <w:rPr>
          <w:bCs w:val="0"/>
          <w:iCs w:val="0"/>
        </w:rPr>
        <w:t xml:space="preserve">be allowed to participate in the Balancing Mechanism for Capacity. </w:t>
      </w:r>
      <w:r w:rsidR="00343314" w:rsidRPr="006D78D9">
        <w:rPr>
          <w:bCs w:val="0"/>
          <w:iCs w:val="0"/>
        </w:rPr>
        <w:t>In case the Market Operator considers that the Security Cover provided is not adequate</w:t>
      </w:r>
      <w:r w:rsidRPr="00B03C4A">
        <w:t xml:space="preserve"> and not in accordance with the provisions of this Code</w:t>
      </w:r>
      <w:r w:rsidR="00343314" w:rsidRPr="006D78D9">
        <w:rPr>
          <w:bCs w:val="0"/>
          <w:iCs w:val="0"/>
        </w:rPr>
        <w:t xml:space="preserve">, </w:t>
      </w:r>
      <w:r w:rsidR="00C0300D" w:rsidRPr="006D78D9">
        <w:rPr>
          <w:bCs w:val="0"/>
          <w:iCs w:val="0"/>
        </w:rPr>
        <w:t xml:space="preserve">the </w:t>
      </w:r>
      <w:r w:rsidR="000B2735" w:rsidRPr="006D78D9">
        <w:rPr>
          <w:bCs w:val="0"/>
          <w:iCs w:val="0"/>
        </w:rPr>
        <w:t xml:space="preserve"> provision of </w:t>
      </w:r>
      <w:r w:rsidR="000B2735" w:rsidRPr="00B03C4A">
        <w:t xml:space="preserve">Clause </w:t>
      </w:r>
      <w:r w:rsidR="00DB625C" w:rsidRPr="00B03C4A">
        <w:fldChar w:fldCharType="begin"/>
      </w:r>
      <w:r w:rsidR="00DB625C" w:rsidRPr="00B03C4A">
        <w:instrText xml:space="preserve"> REF _Ref69391348 \w \h </w:instrText>
      </w:r>
      <w:r w:rsidR="001A11E6" w:rsidRPr="00B03C4A">
        <w:instrText xml:space="preserve"> \* MERGEFORMAT </w:instrText>
      </w:r>
      <w:r w:rsidR="00DB625C" w:rsidRPr="00B03C4A">
        <w:fldChar w:fldCharType="separate"/>
      </w:r>
      <w:r w:rsidR="00DB625C" w:rsidRPr="00B03C4A">
        <w:t>10.4.1.2</w:t>
      </w:r>
      <w:r w:rsidR="00DB625C" w:rsidRPr="00B03C4A">
        <w:fldChar w:fldCharType="end"/>
      </w:r>
      <w:r w:rsidR="00DB625C" w:rsidRPr="006D78D9">
        <w:rPr>
          <w:bCs w:val="0"/>
          <w:iCs w:val="0"/>
        </w:rPr>
        <w:t xml:space="preserve"> </w:t>
      </w:r>
      <w:r w:rsidR="00C0300D" w:rsidRPr="006D78D9">
        <w:rPr>
          <w:bCs w:val="0"/>
          <w:iCs w:val="0"/>
        </w:rPr>
        <w:t>shall</w:t>
      </w:r>
      <w:r w:rsidR="000B2735" w:rsidRPr="006D78D9">
        <w:rPr>
          <w:bCs w:val="0"/>
          <w:iCs w:val="0"/>
        </w:rPr>
        <w:t xml:space="preserve"> apply</w:t>
      </w:r>
      <w:r w:rsidR="00332D62" w:rsidRPr="006D78D9">
        <w:rPr>
          <w:bCs w:val="0"/>
          <w:iCs w:val="0"/>
        </w:rPr>
        <w:t>.</w:t>
      </w:r>
      <w:r w:rsidR="00343314" w:rsidRPr="006D78D9">
        <w:rPr>
          <w:bCs w:val="0"/>
          <w:iCs w:val="0"/>
        </w:rPr>
        <w:t xml:space="preserve"> </w:t>
      </w:r>
    </w:p>
    <w:p w14:paraId="7F0D09B4" w14:textId="547B7412" w:rsidR="000B2735" w:rsidRPr="00332D62" w:rsidRDefault="000B2735" w:rsidP="000B2735">
      <w:pPr>
        <w:pStyle w:val="Heading2"/>
      </w:pPr>
      <w:r w:rsidRPr="00332D62">
        <w:t xml:space="preserve">Security Covers </w:t>
      </w:r>
      <w:commentRangeStart w:id="781"/>
      <w:r w:rsidRPr="00332D62">
        <w:t xml:space="preserve">Associated with </w:t>
      </w:r>
      <w:r>
        <w:t>Excess Losses</w:t>
      </w:r>
      <w:commentRangeEnd w:id="781"/>
      <w:r w:rsidR="001A11E6">
        <w:rPr>
          <w:rStyle w:val="CommentReference"/>
          <w:rFonts w:eastAsiaTheme="minorHAnsi" w:cstheme="minorBidi"/>
          <w:b w:val="0"/>
          <w:bCs w:val="0"/>
          <w:smallCaps w:val="0"/>
          <w:color w:val="1C1C1C"/>
          <w:u w:val="none"/>
        </w:rPr>
        <w:commentReference w:id="781"/>
      </w:r>
    </w:p>
    <w:p w14:paraId="1A68176F" w14:textId="55816176" w:rsidR="000B2735" w:rsidRPr="00DC4CCC" w:rsidRDefault="000B2735" w:rsidP="000B2735">
      <w:pPr>
        <w:pStyle w:val="Heading3"/>
      </w:pPr>
      <w:r w:rsidRPr="00DC4CCC">
        <w:t>Verification Of The Security Covers for payment of excess losses</w:t>
      </w:r>
    </w:p>
    <w:p w14:paraId="2657AA6F" w14:textId="11FD8F90" w:rsidR="000B2735" w:rsidRPr="00DC4CCC" w:rsidRDefault="000B2735" w:rsidP="000B2735">
      <w:pPr>
        <w:pStyle w:val="Heading4"/>
      </w:pPr>
      <w:r w:rsidRPr="00DC4CCC">
        <w:t xml:space="preserve">Once the Security Cover is </w:t>
      </w:r>
      <w:r w:rsidR="00CB5129" w:rsidRPr="00DC4CCC">
        <w:t>deposited</w:t>
      </w:r>
      <w:r w:rsidRPr="00DC4CCC">
        <w:t xml:space="preserve">, the involved Transmission Service Provider shall provide to the Market Operator the appropriate documents as evidence. </w:t>
      </w:r>
    </w:p>
    <w:p w14:paraId="3AC69EC6" w14:textId="13BD313D" w:rsidR="000B2735" w:rsidRPr="00DC4CCC" w:rsidRDefault="000B2735" w:rsidP="000B2735">
      <w:pPr>
        <w:pStyle w:val="Heading4"/>
      </w:pPr>
      <w:r w:rsidRPr="00DC4CCC">
        <w:t xml:space="preserve">The Market Operator shall revise the documents furnished, verifying if the Security Cover is adequate,  the amount of the Security Cover is equal or above the amount notified by the Market Operator and is submitted in accordance with the provisions of this Code. </w:t>
      </w:r>
    </w:p>
    <w:p w14:paraId="70C5D79C" w14:textId="048F892A" w:rsidR="000B2735" w:rsidRPr="00DC4CCC" w:rsidRDefault="000B2735" w:rsidP="000B2735">
      <w:pPr>
        <w:pStyle w:val="Heading4"/>
      </w:pPr>
      <w:r w:rsidRPr="00DC4CCC">
        <w:t xml:space="preserve">In the case the provided Security Cover is adequate, the Market Operator will notify the acceptance of the Security Cover. In the case the Market Operator considers that the Security Cover provided is not adequate, </w:t>
      </w:r>
      <w:commentRangeStart w:id="782"/>
      <w:r w:rsidRPr="00DC4CCC">
        <w:rPr>
          <w:highlight w:val="yellow"/>
        </w:rPr>
        <w:t>it shall inform the Authority to take the appropriate action</w:t>
      </w:r>
      <w:commentRangeEnd w:id="782"/>
      <w:r w:rsidR="00CB5129" w:rsidRPr="00DC4CCC">
        <w:rPr>
          <w:rStyle w:val="CommentReference"/>
          <w:rFonts w:eastAsiaTheme="minorHAnsi" w:cstheme="minorBidi"/>
          <w:bCs w:val="0"/>
          <w:iCs w:val="0"/>
          <w:color w:val="1C1C1C"/>
        </w:rPr>
        <w:commentReference w:id="782"/>
      </w:r>
      <w:r w:rsidRPr="00DC4CCC">
        <w:t xml:space="preserve">. </w:t>
      </w:r>
    </w:p>
    <w:p w14:paraId="70ED7906" w14:textId="39E189AB" w:rsidR="000B2735" w:rsidRPr="00E40003" w:rsidRDefault="000B2735" w:rsidP="000B2735">
      <w:pPr>
        <w:pStyle w:val="Heading3"/>
      </w:pPr>
      <w:r w:rsidRPr="00E40003">
        <w:t xml:space="preserve">Registration of the Security Covers </w:t>
      </w:r>
    </w:p>
    <w:p w14:paraId="28501D37" w14:textId="565355FC" w:rsidR="006D78D9" w:rsidRDefault="000B2735" w:rsidP="000B2735">
      <w:pPr>
        <w:pStyle w:val="Heading4"/>
      </w:pPr>
      <w:r w:rsidRPr="006D78D9">
        <w:t>The Market Operator shall organize and maintain a register for the Security Covers</w:t>
      </w:r>
      <w:r w:rsidR="006D78D9">
        <w:t xml:space="preserve"> provided by each Market Participant and Transmission Service Provider.</w:t>
      </w:r>
    </w:p>
    <w:p w14:paraId="266DA935" w14:textId="77777777" w:rsidR="006D78D9" w:rsidRPr="00E15C9C" w:rsidRDefault="006D78D9" w:rsidP="006D78D9">
      <w:pPr>
        <w:pStyle w:val="Heading4"/>
      </w:pPr>
      <w:r w:rsidRPr="00E15C9C">
        <w:t xml:space="preserve">The </w:t>
      </w:r>
      <w:r>
        <w:t xml:space="preserve">following information shall be included in the </w:t>
      </w:r>
      <w:r w:rsidRPr="00E15C9C">
        <w:t>Security Cover</w:t>
      </w:r>
      <w:r>
        <w:t>s</w:t>
      </w:r>
      <w:r w:rsidRPr="00E15C9C">
        <w:t xml:space="preserve"> Register:</w:t>
      </w:r>
    </w:p>
    <w:p w14:paraId="58011DA9" w14:textId="22766714" w:rsidR="006D78D9" w:rsidRPr="00E15C9C" w:rsidRDefault="006D78D9" w:rsidP="006D78D9">
      <w:pPr>
        <w:pStyle w:val="Heading5"/>
      </w:pPr>
      <w:r w:rsidRPr="00E15C9C">
        <w:t xml:space="preserve">The identification of </w:t>
      </w:r>
      <w:r>
        <w:t>each</w:t>
      </w:r>
      <w:r w:rsidRPr="00E15C9C">
        <w:t xml:space="preserve"> Market Participant</w:t>
      </w:r>
      <w:r>
        <w:t xml:space="preserve"> and </w:t>
      </w:r>
      <w:r w:rsidRPr="00B03C4A">
        <w:rPr>
          <w:highlight w:val="yellow"/>
        </w:rPr>
        <w:t>Transmission Service Provider</w:t>
      </w:r>
      <w:r>
        <w:t>.</w:t>
      </w:r>
    </w:p>
    <w:p w14:paraId="5616916B" w14:textId="4CBCAFCC" w:rsidR="006D78D9" w:rsidRDefault="006D78D9" w:rsidP="00B03C4A">
      <w:pPr>
        <w:pStyle w:val="Heading5"/>
      </w:pPr>
      <w:r w:rsidRPr="00E15C9C">
        <w:t>The amount of the Security Cover provided</w:t>
      </w:r>
      <w:r>
        <w:t xml:space="preserve"> by each Market Participant and </w:t>
      </w:r>
      <w:r w:rsidRPr="00B03C4A">
        <w:rPr>
          <w:highlight w:val="yellow"/>
        </w:rPr>
        <w:t>Transmission Service Provider</w:t>
      </w:r>
    </w:p>
    <w:p w14:paraId="7DB10564" w14:textId="10588CE3" w:rsidR="006D78D9" w:rsidRPr="00B03C4A" w:rsidRDefault="006D78D9" w:rsidP="00B03C4A">
      <w:pPr>
        <w:pStyle w:val="Heading5"/>
      </w:pPr>
      <w:r>
        <w:t xml:space="preserve">The purpose for which the Security Cover is provided (registration as Market </w:t>
      </w:r>
      <w:r>
        <w:lastRenderedPageBreak/>
        <w:t>Participant, monthly Settlements or yearly Settlements)</w:t>
      </w:r>
    </w:p>
    <w:p w14:paraId="478A35ED" w14:textId="77777777" w:rsidR="006D78D9" w:rsidRPr="00E15C9C" w:rsidRDefault="006D78D9" w:rsidP="006D78D9">
      <w:pPr>
        <w:pStyle w:val="Heading4"/>
      </w:pPr>
      <w:r w:rsidRPr="00E15C9C">
        <w:t>The Market Operator shall update the Security Cover</w:t>
      </w:r>
      <w:r>
        <w:t>s</w:t>
      </w:r>
      <w:r w:rsidRPr="00E15C9C">
        <w:t xml:space="preserve"> Register when</w:t>
      </w:r>
      <w:r>
        <w:t>:</w:t>
      </w:r>
    </w:p>
    <w:p w14:paraId="1C43AFCC" w14:textId="4FA59D73" w:rsidR="006D78D9" w:rsidRPr="00E15C9C" w:rsidRDefault="006D78D9" w:rsidP="006D78D9">
      <w:pPr>
        <w:pStyle w:val="Heading5"/>
      </w:pPr>
      <w:r>
        <w:t>t</w:t>
      </w:r>
      <w:r w:rsidRPr="00E15C9C">
        <w:t>he Market Participant</w:t>
      </w:r>
      <w:r>
        <w:t xml:space="preserve"> or a Transmission Service Provider</w:t>
      </w:r>
      <w:r w:rsidRPr="00E15C9C">
        <w:t xml:space="preserve"> provides a new Security Cover, or it modifies the amounts </w:t>
      </w:r>
      <w:r>
        <w:t>submitted</w:t>
      </w:r>
      <w:r w:rsidRPr="00E15C9C">
        <w:t>;</w:t>
      </w:r>
    </w:p>
    <w:p w14:paraId="6BBBF1C2" w14:textId="77777777" w:rsidR="006D78D9" w:rsidRPr="00E15C9C" w:rsidRDefault="006D78D9" w:rsidP="006D78D9">
      <w:pPr>
        <w:pStyle w:val="Heading5"/>
      </w:pPr>
      <w:r>
        <w:t>a</w:t>
      </w:r>
      <w:r w:rsidRPr="00E15C9C">
        <w:t xml:space="preserve"> Security Cover is totally or partially </w:t>
      </w:r>
      <w:r>
        <w:t>used</w:t>
      </w:r>
      <w:r w:rsidRPr="00E15C9C">
        <w:t>; or</w:t>
      </w:r>
    </w:p>
    <w:p w14:paraId="5943505B" w14:textId="77777777" w:rsidR="00E40003" w:rsidRDefault="006D78D9" w:rsidP="006D78D9">
      <w:pPr>
        <w:pStyle w:val="Heading5"/>
      </w:pPr>
      <w:r>
        <w:t>a</w:t>
      </w:r>
      <w:r w:rsidRPr="00E15C9C">
        <w:t xml:space="preserve"> Market Participant terminates its participation and </w:t>
      </w:r>
      <w:r>
        <w:t>its</w:t>
      </w:r>
      <w:r w:rsidRPr="00E15C9C">
        <w:t xml:space="preserve"> Security Cover </w:t>
      </w:r>
      <w:r>
        <w:t>is</w:t>
      </w:r>
      <w:r w:rsidRPr="00E15C9C">
        <w:t xml:space="preserve"> returned</w:t>
      </w:r>
    </w:p>
    <w:p w14:paraId="243698B6" w14:textId="449B5EC6" w:rsidR="006D78D9" w:rsidRPr="00E15C9C" w:rsidRDefault="00E40003" w:rsidP="006D78D9">
      <w:pPr>
        <w:pStyle w:val="Heading5"/>
      </w:pPr>
      <w:r>
        <w:t>any excess amount of a Market Participant or Transmission Service Provider is returned.</w:t>
      </w:r>
      <w:r w:rsidR="006D78D9" w:rsidRPr="00E15C9C">
        <w:t xml:space="preserve"> </w:t>
      </w:r>
    </w:p>
    <w:p w14:paraId="3E8676D9" w14:textId="77777777" w:rsidR="006D78D9" w:rsidRPr="000E633F" w:rsidRDefault="006D78D9" w:rsidP="00B03C4A">
      <w:pPr>
        <w:pStyle w:val="BodyText"/>
      </w:pPr>
    </w:p>
    <w:p w14:paraId="63D35CF5" w14:textId="76724574" w:rsidR="00D44194" w:rsidRPr="00AA7473" w:rsidRDefault="001C4A85" w:rsidP="00D44194">
      <w:pPr>
        <w:pStyle w:val="Heading2"/>
      </w:pPr>
      <w:bookmarkStart w:id="783" w:name="_Toc68603060"/>
      <w:bookmarkStart w:id="784" w:name="_Toc68603165"/>
      <w:bookmarkStart w:id="785" w:name="_Toc69393950"/>
      <w:bookmarkStart w:id="786" w:name="_Toc69477022"/>
      <w:bookmarkEnd w:id="783"/>
      <w:bookmarkEnd w:id="784"/>
      <w:bookmarkEnd w:id="785"/>
      <w:r w:rsidRPr="00B03C4A">
        <w:rPr>
          <w:highlight w:val="yellow"/>
        </w:rPr>
        <w:t>Execution</w:t>
      </w:r>
      <w:r w:rsidR="00AA7473">
        <w:t xml:space="preserve"> </w:t>
      </w:r>
      <w:r w:rsidRPr="00AA7473">
        <w:t xml:space="preserve"> </w:t>
      </w:r>
      <w:r w:rsidR="00AA7473">
        <w:t xml:space="preserve">/ Cancellation </w:t>
      </w:r>
      <w:r w:rsidRPr="00AA7473">
        <w:t xml:space="preserve">of the </w:t>
      </w:r>
      <w:r w:rsidR="00E0447D" w:rsidRPr="00AA7473">
        <w:t>Security cover</w:t>
      </w:r>
      <w:r w:rsidR="00667BCF" w:rsidRPr="00AA7473">
        <w:t>s</w:t>
      </w:r>
      <w:bookmarkEnd w:id="786"/>
    </w:p>
    <w:p w14:paraId="498FC522" w14:textId="27B50251" w:rsidR="00667BCF" w:rsidRPr="00AA7473" w:rsidRDefault="00D74C87" w:rsidP="00667BCF">
      <w:pPr>
        <w:pStyle w:val="Heading3"/>
      </w:pPr>
      <w:bookmarkStart w:id="787" w:name="_Ref68602780"/>
      <w:r w:rsidRPr="00AA7473">
        <w:t xml:space="preserve">Security Cover </w:t>
      </w:r>
      <w:r w:rsidRPr="00B03C4A">
        <w:rPr>
          <w:highlight w:val="yellow"/>
        </w:rPr>
        <w:t>Execution</w:t>
      </w:r>
      <w:r w:rsidRPr="00AA7473">
        <w:t xml:space="preserve"> </w:t>
      </w:r>
      <w:r w:rsidR="00766EDF">
        <w:t>in case of monthly settlements</w:t>
      </w:r>
      <w:bookmarkEnd w:id="787"/>
    </w:p>
    <w:p w14:paraId="1D642B52" w14:textId="613081C5" w:rsidR="00896BB9" w:rsidRDefault="00BE4085" w:rsidP="005B295A">
      <w:pPr>
        <w:pStyle w:val="Heading4"/>
      </w:pPr>
      <w:r>
        <w:t>On the</w:t>
      </w:r>
      <w:r w:rsidR="00A210E9">
        <w:t xml:space="preserve"> </w:t>
      </w:r>
      <w:r w:rsidR="00766EDF">
        <w:t>Clearing Day</w:t>
      </w:r>
      <w:r w:rsidR="00A210E9">
        <w:t xml:space="preserve">, </w:t>
      </w:r>
      <w:r w:rsidR="00896BB9">
        <w:t>the Market Operator shall utilize or make necessary payments from the Security Cover of a Market Participant on account of Amounts Payable by such Market Participant</w:t>
      </w:r>
      <w:r w:rsidR="008130C4">
        <w:t>.</w:t>
      </w:r>
    </w:p>
    <w:p w14:paraId="1291E3D7" w14:textId="13CD0098" w:rsidR="001155C1" w:rsidRDefault="00BE4085" w:rsidP="005B295A">
      <w:pPr>
        <w:pStyle w:val="Heading4"/>
      </w:pPr>
      <w:bookmarkStart w:id="788" w:name="_Ref68599861"/>
      <w:r>
        <w:t xml:space="preserve">Upon </w:t>
      </w:r>
      <w:r w:rsidR="00896BB9">
        <w:t>utilization</w:t>
      </w:r>
      <w:r>
        <w:t xml:space="preserve"> of the Security Cover to pay the Amounts Payable as per the</w:t>
      </w:r>
      <w:r w:rsidR="001155C1">
        <w:t xml:space="preserve"> Monthly Settlement Statement, the Market Operator shall:</w:t>
      </w:r>
      <w:bookmarkEnd w:id="788"/>
      <w:r w:rsidR="001155C1">
        <w:t xml:space="preserve"> </w:t>
      </w:r>
    </w:p>
    <w:p w14:paraId="5211D401" w14:textId="35D89177" w:rsidR="00E30416" w:rsidRPr="00E40003" w:rsidRDefault="00896BB9" w:rsidP="00E30416">
      <w:pPr>
        <w:pStyle w:val="Heading5"/>
      </w:pPr>
      <w:r w:rsidRPr="00E40003">
        <w:t xml:space="preserve">inform </w:t>
      </w:r>
      <w:r w:rsidR="00E30416" w:rsidRPr="00E40003">
        <w:t xml:space="preserve">the </w:t>
      </w:r>
      <w:r w:rsidRPr="00E40003">
        <w:t xml:space="preserve">concerned </w:t>
      </w:r>
      <w:r w:rsidR="00E30416" w:rsidRPr="00E40003">
        <w:t xml:space="preserve">Market Participant about the </w:t>
      </w:r>
      <w:r w:rsidRPr="00E40003">
        <w:t xml:space="preserve">utilization </w:t>
      </w:r>
      <w:r w:rsidR="00E30416" w:rsidRPr="00E40003">
        <w:t xml:space="preserve">of the Security Cover, clearly indicating the amount that has been executed; </w:t>
      </w:r>
    </w:p>
    <w:p w14:paraId="5BD3483A" w14:textId="101BE1A2" w:rsidR="00E30416" w:rsidRPr="00E40003" w:rsidRDefault="00E30416" w:rsidP="00E30416">
      <w:pPr>
        <w:pStyle w:val="Heading5"/>
      </w:pPr>
      <w:bookmarkStart w:id="789" w:name="_Ref69131298"/>
      <w:r w:rsidRPr="00E40003">
        <w:t>Determine the new value of the Security Cover that the Market Participant shall provide to the Market Operator. This value shall be calculated pursuant</w:t>
      </w:r>
      <w:r w:rsidR="00F83B55" w:rsidRPr="00E40003">
        <w:t xml:space="preserve"> to</w:t>
      </w:r>
      <w:r w:rsidRPr="00E40003">
        <w:t xml:space="preserve"> Clause </w:t>
      </w:r>
      <w:r w:rsidRPr="000E633F">
        <w:fldChar w:fldCharType="begin"/>
      </w:r>
      <w:r w:rsidRPr="00E40003">
        <w:instrText xml:space="preserve"> REF _Ref68599576 \w \h  \* MERGEFORMAT </w:instrText>
      </w:r>
      <w:r w:rsidRPr="000E633F">
        <w:fldChar w:fldCharType="separate"/>
      </w:r>
      <w:r w:rsidR="00251DBF" w:rsidRPr="00E40003">
        <w:t>14.2.3.3</w:t>
      </w:r>
      <w:r w:rsidRPr="000E633F">
        <w:fldChar w:fldCharType="end"/>
      </w:r>
      <w:r w:rsidRPr="00E40003">
        <w:t>;</w:t>
      </w:r>
      <w:r w:rsidR="000F7C3A" w:rsidRPr="00E40003">
        <w:t xml:space="preserve"> and</w:t>
      </w:r>
      <w:bookmarkEnd w:id="789"/>
    </w:p>
    <w:p w14:paraId="37B4E128" w14:textId="37A184AD" w:rsidR="000F7C3A" w:rsidRPr="00E40003" w:rsidRDefault="00766EDF" w:rsidP="00FD441C">
      <w:pPr>
        <w:pStyle w:val="Heading5"/>
      </w:pPr>
      <w:r w:rsidRPr="00E40003">
        <w:t xml:space="preserve">Issue a Debit Notification to </w:t>
      </w:r>
      <w:r w:rsidR="00E30416" w:rsidRPr="00E40003">
        <w:t xml:space="preserve">the </w:t>
      </w:r>
      <w:r w:rsidR="00896BB9" w:rsidRPr="00E40003">
        <w:t xml:space="preserve">concerned </w:t>
      </w:r>
      <w:r w:rsidR="00E30416" w:rsidRPr="00E40003">
        <w:t xml:space="preserve">Market Participant to provide the Market Operator a new Security Cover, for the amount indicated in paragraph </w:t>
      </w:r>
      <w:r w:rsidR="00757CC0" w:rsidRPr="000E633F">
        <w:fldChar w:fldCharType="begin"/>
      </w:r>
      <w:r w:rsidR="00757CC0" w:rsidRPr="00E40003">
        <w:instrText xml:space="preserve"> REF _Ref69131216 \w \h </w:instrText>
      </w:r>
      <w:r w:rsidR="00F83B55" w:rsidRPr="00B03C4A">
        <w:instrText xml:space="preserve"> \* MERGEFORMAT </w:instrText>
      </w:r>
      <w:r w:rsidR="00757CC0" w:rsidRPr="000E633F">
        <w:fldChar w:fldCharType="separate"/>
      </w:r>
      <w:r w:rsidR="00251DBF" w:rsidRPr="00E40003">
        <w:t>14.4.1.4.b)</w:t>
      </w:r>
      <w:r w:rsidR="00757CC0" w:rsidRPr="000E633F">
        <w:fldChar w:fldCharType="end"/>
      </w:r>
      <w:r w:rsidR="00E30416" w:rsidRPr="00E40003">
        <w:t xml:space="preserve"> above within five [5] </w:t>
      </w:r>
      <w:r w:rsidRPr="00E40003">
        <w:t xml:space="preserve">Business Days </w:t>
      </w:r>
      <w:r w:rsidR="00E30416" w:rsidRPr="00E40003">
        <w:t xml:space="preserve">of </w:t>
      </w:r>
      <w:r w:rsidR="000F7C3A" w:rsidRPr="00E40003">
        <w:t xml:space="preserve">the date of </w:t>
      </w:r>
      <w:r w:rsidRPr="00E40003">
        <w:t>issuance of such</w:t>
      </w:r>
      <w:r w:rsidR="000F7C3A" w:rsidRPr="00E40003">
        <w:t xml:space="preserve"> notification. </w:t>
      </w:r>
    </w:p>
    <w:p w14:paraId="757181FF" w14:textId="4A6BC4BA" w:rsidR="000F7C3A" w:rsidRDefault="000F7C3A" w:rsidP="005B295A">
      <w:pPr>
        <w:pStyle w:val="Heading4"/>
      </w:pPr>
      <w:r>
        <w:t xml:space="preserve">Failure to comply with the requirement of providing a new Security Cover, as per Clause </w:t>
      </w:r>
      <w:r>
        <w:fldChar w:fldCharType="begin"/>
      </w:r>
      <w:r>
        <w:instrText xml:space="preserve"> REF _Ref68599861 \w \h  \* MERGEFORMAT </w:instrText>
      </w:r>
      <w:r>
        <w:fldChar w:fldCharType="separate"/>
      </w:r>
      <w:r w:rsidR="00251DBF">
        <w:t>14.4.1.2</w:t>
      </w:r>
      <w:r>
        <w:fldChar w:fldCharType="end"/>
      </w:r>
      <w:r>
        <w:t xml:space="preserve">, shall be considered </w:t>
      </w:r>
      <w:r w:rsidR="00F83B55">
        <w:t xml:space="preserve">as </w:t>
      </w:r>
      <w:r>
        <w:t xml:space="preserve">an Event of Default of the </w:t>
      </w:r>
      <w:r w:rsidR="00F83B55">
        <w:t xml:space="preserve">concerned </w:t>
      </w:r>
      <w:r>
        <w:t>Market Participant, pursuant</w:t>
      </w:r>
      <w:r w:rsidR="00766EDF">
        <w:t xml:space="preserve"> to</w:t>
      </w:r>
      <w:r>
        <w:t xml:space="preserve"> </w:t>
      </w:r>
      <w:r w:rsidR="008C02F7">
        <w:t>Sub-Section</w:t>
      </w:r>
      <w:r>
        <w:t xml:space="preserve"> </w:t>
      </w:r>
      <w:r>
        <w:fldChar w:fldCharType="begin"/>
      </w:r>
      <w:r>
        <w:instrText xml:space="preserve"> REF _Ref60792923 \w \h </w:instrText>
      </w:r>
      <w:r>
        <w:fldChar w:fldCharType="separate"/>
      </w:r>
      <w:r w:rsidR="00251DBF">
        <w:t>17.2.1</w:t>
      </w:r>
      <w:r>
        <w:fldChar w:fldCharType="end"/>
      </w:r>
      <w:r>
        <w:t>.</w:t>
      </w:r>
    </w:p>
    <w:p w14:paraId="297BCB2D" w14:textId="3D8D9789" w:rsidR="00766EDF" w:rsidRPr="00AA7473" w:rsidRDefault="00766EDF" w:rsidP="00766EDF">
      <w:pPr>
        <w:pStyle w:val="Heading3"/>
      </w:pPr>
      <w:r w:rsidRPr="00AA7473">
        <w:t xml:space="preserve">Security Cover </w:t>
      </w:r>
      <w:r w:rsidR="00F83B55">
        <w:t>Utilization</w:t>
      </w:r>
      <w:r w:rsidRPr="00AA7473">
        <w:t xml:space="preserve"> </w:t>
      </w:r>
      <w:r>
        <w:t>in case of Yearly settlements</w:t>
      </w:r>
    </w:p>
    <w:p w14:paraId="260C390A" w14:textId="45246920" w:rsidR="000F7C3A" w:rsidRDefault="00F83B55" w:rsidP="005B295A">
      <w:pPr>
        <w:pStyle w:val="Heading4"/>
      </w:pPr>
      <w:r>
        <w:t>After utilization of</w:t>
      </w:r>
      <w:r w:rsidR="000F7C3A">
        <w:t xml:space="preserve"> </w:t>
      </w:r>
      <w:r>
        <w:t xml:space="preserve">the </w:t>
      </w:r>
      <w:r w:rsidR="000F7C3A">
        <w:t>Security Cover</w:t>
      </w:r>
      <w:r w:rsidR="00BE4085">
        <w:t xml:space="preserve"> of a Market Participant</w:t>
      </w:r>
      <w:r w:rsidR="000F7C3A">
        <w:t xml:space="preserve"> </w:t>
      </w:r>
      <w:r w:rsidR="00766EDF">
        <w:t xml:space="preserve">to </w:t>
      </w:r>
      <w:r w:rsidR="00BE4085">
        <w:t xml:space="preserve">satisfy </w:t>
      </w:r>
      <w:r>
        <w:t>its</w:t>
      </w:r>
      <w:r w:rsidR="00BE4085">
        <w:t xml:space="preserve"> </w:t>
      </w:r>
      <w:r w:rsidR="000F7C3A">
        <w:t xml:space="preserve">payment </w:t>
      </w:r>
      <w:r w:rsidR="00BE4085">
        <w:t xml:space="preserve">obligations </w:t>
      </w:r>
      <w:r>
        <w:t xml:space="preserve">under </w:t>
      </w:r>
      <w:r w:rsidR="000F7C3A">
        <w:t>a Yearly Settlement Statement</w:t>
      </w:r>
      <w:r>
        <w:t xml:space="preserve"> or Extraordinary Yearly Settlement Statement</w:t>
      </w:r>
      <w:r w:rsidR="000F7C3A">
        <w:t xml:space="preserve">, the Market Operator shall: </w:t>
      </w:r>
    </w:p>
    <w:p w14:paraId="3DF4FD3D" w14:textId="0FB9B912" w:rsidR="000F7C3A" w:rsidRDefault="00F83B55" w:rsidP="000F7C3A">
      <w:pPr>
        <w:pStyle w:val="Heading5"/>
      </w:pPr>
      <w:r>
        <w:t xml:space="preserve">inform </w:t>
      </w:r>
      <w:r w:rsidR="000F7C3A">
        <w:t xml:space="preserve">the involved Market Participant </w:t>
      </w:r>
      <w:r w:rsidR="000F7C3A" w:rsidRPr="00E40003">
        <w:t>about the execution of the Security Cover, clearly indicating the amount that has been executed;</w:t>
      </w:r>
      <w:r w:rsidR="000F7C3A">
        <w:t xml:space="preserve"> </w:t>
      </w:r>
    </w:p>
    <w:p w14:paraId="7CF01C06" w14:textId="634DE55B" w:rsidR="000F7C3A" w:rsidRDefault="00766EDF" w:rsidP="000F7C3A">
      <w:pPr>
        <w:pStyle w:val="Heading5"/>
      </w:pPr>
      <w:bookmarkStart w:id="790" w:name="_Ref68600409"/>
      <w:r>
        <w:t xml:space="preserve">If applicable, </w:t>
      </w:r>
      <w:r w:rsidR="00F83B55">
        <w:t>require</w:t>
      </w:r>
      <w:r w:rsidR="000F7C3A">
        <w:t xml:space="preserve"> the </w:t>
      </w:r>
      <w:r w:rsidR="00F83B55">
        <w:t xml:space="preserve">concerned </w:t>
      </w:r>
      <w:r w:rsidR="000F7C3A">
        <w:t xml:space="preserve">Market Participant to pay any outstanding amount within five [5] </w:t>
      </w:r>
      <w:r>
        <w:t>Business D</w:t>
      </w:r>
      <w:r w:rsidR="000F7C3A">
        <w:t xml:space="preserve">ays of the date of the </w:t>
      </w:r>
      <w:r>
        <w:t xml:space="preserve">issuance of a Debit Notification pursuant to a Yearly Settlement Statement or the Extraordinary Yearly Settlement Statement, as the case may be, </w:t>
      </w:r>
      <w:r w:rsidR="000F7C3A">
        <w:t xml:space="preserve">in the cases the </w:t>
      </w:r>
      <w:r w:rsidR="00F83B55">
        <w:t xml:space="preserve">deposited </w:t>
      </w:r>
      <w:r w:rsidR="000F7C3A">
        <w:t xml:space="preserve">amount </w:t>
      </w:r>
      <w:r w:rsidR="00F83B55">
        <w:t xml:space="preserve">was </w:t>
      </w:r>
      <w:r w:rsidR="000F7C3A">
        <w:t>not sufficient to cover the obligations of the Market Participant.</w:t>
      </w:r>
      <w:bookmarkEnd w:id="790"/>
      <w:r w:rsidR="000F7C3A">
        <w:t xml:space="preserve"> </w:t>
      </w:r>
    </w:p>
    <w:p w14:paraId="7A2851EF" w14:textId="3E64C56D" w:rsidR="000F7C3A" w:rsidRDefault="000F7C3A" w:rsidP="005B295A">
      <w:pPr>
        <w:pStyle w:val="Heading4"/>
      </w:pPr>
      <w:r w:rsidRPr="00100D7F">
        <w:t xml:space="preserve">Failure to comply with the requirement of Clause </w:t>
      </w:r>
      <w:r w:rsidRPr="00100D7F">
        <w:fldChar w:fldCharType="begin"/>
      </w:r>
      <w:r w:rsidRPr="00100D7F">
        <w:instrText xml:space="preserve"> REF _Ref68600409 \w \h </w:instrText>
      </w:r>
      <w:r w:rsidR="00100D7F">
        <w:instrText xml:space="preserve"> \* MERGEFORMAT </w:instrText>
      </w:r>
      <w:r w:rsidRPr="00100D7F">
        <w:fldChar w:fldCharType="separate"/>
      </w:r>
      <w:r w:rsidR="00251DBF">
        <w:t>14.4.1.4.c)</w:t>
      </w:r>
      <w:r w:rsidRPr="00100D7F">
        <w:fldChar w:fldCharType="end"/>
      </w:r>
      <w:r w:rsidRPr="00100D7F">
        <w:t xml:space="preserve"> shall be considered </w:t>
      </w:r>
      <w:r w:rsidR="00F83B55">
        <w:t xml:space="preserve">as </w:t>
      </w:r>
      <w:r w:rsidRPr="00100D7F">
        <w:t xml:space="preserve">an Event of Default of the </w:t>
      </w:r>
      <w:r w:rsidR="00F83B55">
        <w:t xml:space="preserve">concerned </w:t>
      </w:r>
      <w:r w:rsidRPr="00100D7F">
        <w:t xml:space="preserve">Market Participant, pursuant </w:t>
      </w:r>
      <w:r w:rsidR="00766EDF">
        <w:t xml:space="preserve">to </w:t>
      </w:r>
      <w:r w:rsidR="008C02F7">
        <w:t>Sub-Section</w:t>
      </w:r>
      <w:r w:rsidRPr="00100D7F">
        <w:t xml:space="preserve"> </w:t>
      </w:r>
      <w:r w:rsidRPr="00100D7F">
        <w:fldChar w:fldCharType="begin"/>
      </w:r>
      <w:r w:rsidRPr="00100D7F">
        <w:instrText xml:space="preserve"> REF _Ref60792923 \w \h </w:instrText>
      </w:r>
      <w:r w:rsidR="00100D7F">
        <w:instrText xml:space="preserve"> \* MERGEFORMAT </w:instrText>
      </w:r>
      <w:r w:rsidRPr="00100D7F">
        <w:fldChar w:fldCharType="separate"/>
      </w:r>
      <w:r w:rsidR="00251DBF">
        <w:t>17.2.1</w:t>
      </w:r>
      <w:r w:rsidRPr="00100D7F">
        <w:fldChar w:fldCharType="end"/>
      </w:r>
      <w:r w:rsidRPr="00100D7F">
        <w:t>.</w:t>
      </w:r>
    </w:p>
    <w:p w14:paraId="7C1D92B5" w14:textId="23E61578" w:rsidR="00BE4085" w:rsidRPr="00B03C4A" w:rsidRDefault="00BE4085" w:rsidP="00BE4085">
      <w:pPr>
        <w:pStyle w:val="Heading4"/>
        <w:rPr>
          <w:highlight w:val="yellow"/>
        </w:rPr>
      </w:pPr>
      <w:r w:rsidRPr="00B03C4A">
        <w:rPr>
          <w:highlight w:val="yellow"/>
        </w:rPr>
        <w:lastRenderedPageBreak/>
        <w:t xml:space="preserve">In the cases in which the Security Cover of a Transmission </w:t>
      </w:r>
      <w:commentRangeStart w:id="791"/>
      <w:commentRangeStart w:id="792"/>
      <w:r w:rsidRPr="00B03C4A">
        <w:rPr>
          <w:highlight w:val="yellow"/>
        </w:rPr>
        <w:t xml:space="preserve">Service Provider is executed </w:t>
      </w:r>
      <w:commentRangeEnd w:id="791"/>
      <w:r w:rsidR="00253EFC">
        <w:rPr>
          <w:rStyle w:val="CommentReference"/>
          <w:rFonts w:eastAsiaTheme="minorHAnsi" w:cstheme="minorBidi"/>
          <w:bCs w:val="0"/>
          <w:iCs w:val="0"/>
          <w:color w:val="1C1C1C"/>
        </w:rPr>
        <w:commentReference w:id="791"/>
      </w:r>
      <w:commentRangeEnd w:id="792"/>
      <w:r w:rsidR="00253EFC">
        <w:rPr>
          <w:rStyle w:val="CommentReference"/>
          <w:rFonts w:eastAsiaTheme="minorHAnsi" w:cstheme="minorBidi"/>
          <w:bCs w:val="0"/>
          <w:iCs w:val="0"/>
          <w:color w:val="1C1C1C"/>
        </w:rPr>
        <w:commentReference w:id="792"/>
      </w:r>
      <w:r w:rsidR="00766EDF" w:rsidRPr="00B03C4A">
        <w:rPr>
          <w:highlight w:val="yellow"/>
        </w:rPr>
        <w:t>to</w:t>
      </w:r>
      <w:r w:rsidRPr="00B03C4A">
        <w:rPr>
          <w:highlight w:val="yellow"/>
        </w:rPr>
        <w:t xml:space="preserve"> satisfy the payment obligations of a </w:t>
      </w:r>
      <w:r w:rsidR="008E7D79" w:rsidRPr="00B03C4A">
        <w:rPr>
          <w:highlight w:val="yellow"/>
        </w:rPr>
        <w:t>Debit Notification</w:t>
      </w:r>
      <w:r w:rsidRPr="00B03C4A">
        <w:rPr>
          <w:highlight w:val="yellow"/>
        </w:rPr>
        <w:t xml:space="preserve"> </w:t>
      </w:r>
      <w:r w:rsidR="00766EDF" w:rsidRPr="00B03C4A">
        <w:rPr>
          <w:highlight w:val="yellow"/>
        </w:rPr>
        <w:t>issued</w:t>
      </w:r>
      <w:r w:rsidRPr="00B03C4A">
        <w:rPr>
          <w:highlight w:val="yellow"/>
        </w:rPr>
        <w:t xml:space="preserve"> </w:t>
      </w:r>
      <w:r w:rsidR="00766EDF" w:rsidRPr="00B03C4A">
        <w:rPr>
          <w:highlight w:val="yellow"/>
        </w:rPr>
        <w:t>pursuant to</w:t>
      </w:r>
      <w:r w:rsidRPr="00B03C4A">
        <w:rPr>
          <w:highlight w:val="yellow"/>
        </w:rPr>
        <w:t xml:space="preserve"> </w:t>
      </w:r>
      <w:r w:rsidR="00766EDF" w:rsidRPr="00B03C4A">
        <w:rPr>
          <w:highlight w:val="yellow"/>
        </w:rPr>
        <w:t xml:space="preserve">a </w:t>
      </w:r>
      <w:r w:rsidRPr="00B03C4A">
        <w:rPr>
          <w:highlight w:val="yellow"/>
        </w:rPr>
        <w:t>Yearly Settlement Statement</w:t>
      </w:r>
      <w:r w:rsidR="00766EDF" w:rsidRPr="00B03C4A">
        <w:rPr>
          <w:highlight w:val="yellow"/>
        </w:rPr>
        <w:t xml:space="preserve"> or an Extraordinary Yearly Settlement Statement</w:t>
      </w:r>
      <w:r w:rsidRPr="00B03C4A">
        <w:rPr>
          <w:highlight w:val="yellow"/>
        </w:rPr>
        <w:t>,</w:t>
      </w:r>
      <w:r w:rsidR="00766EDF" w:rsidRPr="00B03C4A">
        <w:rPr>
          <w:highlight w:val="yellow"/>
        </w:rPr>
        <w:t xml:space="preserve"> as the case may be,</w:t>
      </w:r>
      <w:r w:rsidRPr="00B03C4A">
        <w:rPr>
          <w:highlight w:val="yellow"/>
        </w:rPr>
        <w:t xml:space="preserve"> the Market Operator shall: </w:t>
      </w:r>
    </w:p>
    <w:p w14:paraId="15922863" w14:textId="7300A8A4" w:rsidR="00BE4085" w:rsidRPr="00B03C4A" w:rsidRDefault="00BE4085" w:rsidP="00BE4085">
      <w:pPr>
        <w:pStyle w:val="Heading5"/>
        <w:rPr>
          <w:highlight w:val="yellow"/>
        </w:rPr>
      </w:pPr>
      <w:r w:rsidRPr="00B03C4A">
        <w:rPr>
          <w:highlight w:val="yellow"/>
        </w:rPr>
        <w:t xml:space="preserve">Notify the involved Transmission Service Provider about the execution of the Security Cover, clearly indicating the amount that has been executed; </w:t>
      </w:r>
    </w:p>
    <w:p w14:paraId="2324108B" w14:textId="29440A50" w:rsidR="00BE4085" w:rsidRPr="00B03C4A" w:rsidRDefault="00BE4085" w:rsidP="00BE4085">
      <w:pPr>
        <w:pStyle w:val="Heading5"/>
        <w:rPr>
          <w:highlight w:val="yellow"/>
        </w:rPr>
      </w:pPr>
      <w:r w:rsidRPr="00B03C4A">
        <w:rPr>
          <w:highlight w:val="yellow"/>
        </w:rPr>
        <w:t xml:space="preserve">Indicate to the </w:t>
      </w:r>
      <w:r w:rsidR="005A2375" w:rsidRPr="00B03C4A">
        <w:rPr>
          <w:highlight w:val="yellow"/>
        </w:rPr>
        <w:t xml:space="preserve">Transmission Service Provider </w:t>
      </w:r>
      <w:r w:rsidRPr="00B03C4A">
        <w:rPr>
          <w:highlight w:val="yellow"/>
        </w:rPr>
        <w:t>that it is not necessary to provide an additional Security Cover</w:t>
      </w:r>
      <w:r w:rsidR="005A2375" w:rsidRPr="00B03C4A">
        <w:rPr>
          <w:highlight w:val="yellow"/>
        </w:rPr>
        <w:t>.</w:t>
      </w:r>
    </w:p>
    <w:p w14:paraId="0715049F" w14:textId="5E2CB0C2" w:rsidR="00667BCF" w:rsidRPr="00F547AF" w:rsidRDefault="0047206C" w:rsidP="00667BCF">
      <w:pPr>
        <w:pStyle w:val="Heading3"/>
      </w:pPr>
      <w:bookmarkStart w:id="793" w:name="_Ref68602801"/>
      <w:bookmarkStart w:id="794" w:name="_Ref76226370"/>
      <w:r>
        <w:t>Adjustment and Return</w:t>
      </w:r>
      <w:r w:rsidR="00D74C87" w:rsidRPr="00F547AF">
        <w:t xml:space="preserve"> Of </w:t>
      </w:r>
      <w:r w:rsidR="00253EFC">
        <w:t xml:space="preserve">a </w:t>
      </w:r>
      <w:commentRangeStart w:id="795"/>
      <w:r w:rsidR="00D74C87" w:rsidRPr="00F547AF">
        <w:t>Security Cover</w:t>
      </w:r>
      <w:commentRangeEnd w:id="795"/>
      <w:r w:rsidR="008130C4">
        <w:rPr>
          <w:rStyle w:val="CommentReference"/>
          <w:rFonts w:eastAsiaTheme="minorHAnsi" w:cstheme="minorBidi"/>
          <w:smallCaps w:val="0"/>
          <w:color w:val="1C1C1C"/>
        </w:rPr>
        <w:commentReference w:id="795"/>
      </w:r>
      <w:bookmarkEnd w:id="793"/>
      <w:bookmarkEnd w:id="794"/>
    </w:p>
    <w:p w14:paraId="3B777D99" w14:textId="1CE98E93" w:rsidR="00100D7F" w:rsidRPr="00F547AF" w:rsidRDefault="00100D7F" w:rsidP="005B295A">
      <w:pPr>
        <w:pStyle w:val="Heading4"/>
      </w:pPr>
      <w:r w:rsidRPr="00F547AF">
        <w:t xml:space="preserve">Non-utilized Security Cover </w:t>
      </w:r>
      <w:r w:rsidR="0047206C">
        <w:t>may</w:t>
      </w:r>
      <w:r w:rsidRPr="00F547AF">
        <w:t xml:space="preserve"> be</w:t>
      </w:r>
      <w:r w:rsidR="0047206C">
        <w:t xml:space="preserve"> </w:t>
      </w:r>
      <w:r w:rsidRPr="00F547AF">
        <w:t>returned</w:t>
      </w:r>
      <w:r w:rsidR="0047206C">
        <w:t xml:space="preserve"> or adjusted,</w:t>
      </w:r>
      <w:r w:rsidRPr="00F547AF">
        <w:t xml:space="preserve"> in the following cases: </w:t>
      </w:r>
    </w:p>
    <w:p w14:paraId="567D541B" w14:textId="32154058" w:rsidR="00540667" w:rsidRPr="00F547AF" w:rsidRDefault="0047206C" w:rsidP="00F547AF">
      <w:pPr>
        <w:pStyle w:val="Heading5"/>
      </w:pPr>
      <w:r>
        <w:t>The Security Cover may be returned if the registration of a Market Participant is withdrawn or revoked</w:t>
      </w:r>
      <w:r w:rsidR="00100D7F" w:rsidRPr="00F547AF">
        <w:t xml:space="preserve"> </w:t>
      </w:r>
      <w:r>
        <w:t>after following the procedure as provided in s</w:t>
      </w:r>
      <w:r w:rsidR="00100D7F" w:rsidRPr="00F547AF">
        <w:t xml:space="preserve">ection </w:t>
      </w:r>
      <w:r w:rsidR="00540667" w:rsidRPr="00F547AF">
        <w:fldChar w:fldCharType="begin"/>
      </w:r>
      <w:r w:rsidR="00540667" w:rsidRPr="00F547AF">
        <w:instrText xml:space="preserve"> REF _Ref68601063 \w \h </w:instrText>
      </w:r>
      <w:r w:rsidR="00F547AF" w:rsidRPr="00F547AF">
        <w:instrText xml:space="preserve"> \* MERGEFORMAT </w:instrText>
      </w:r>
      <w:r w:rsidR="00540667" w:rsidRPr="00F547AF">
        <w:fldChar w:fldCharType="separate"/>
      </w:r>
      <w:r w:rsidR="00251DBF">
        <w:t>3.5</w:t>
      </w:r>
      <w:r w:rsidR="00540667" w:rsidRPr="00F547AF">
        <w:fldChar w:fldCharType="end"/>
      </w:r>
      <w:r w:rsidR="00540667" w:rsidRPr="00F547AF">
        <w:t>;</w:t>
      </w:r>
    </w:p>
    <w:p w14:paraId="3AC6A723" w14:textId="637F6B57" w:rsidR="00F547AF" w:rsidRPr="00F547AF" w:rsidRDefault="0047206C" w:rsidP="00F547AF">
      <w:pPr>
        <w:pStyle w:val="Heading5"/>
      </w:pPr>
      <w:r>
        <w:t xml:space="preserve">The Security Cover may be adjusted </w:t>
      </w:r>
      <w:r w:rsidR="00687A8D">
        <w:t>against payments under monthly Settlements, after satisfying the payment obligations under a</w:t>
      </w:r>
      <w:r w:rsidR="00F547AF" w:rsidRPr="00F547AF">
        <w:t xml:space="preserve"> Yearly Settlement Statement</w:t>
      </w:r>
      <w:r w:rsidR="00687A8D">
        <w:t xml:space="preserve"> or Extraordinary Yearly Settlement Statement</w:t>
      </w:r>
      <w:r w:rsidR="00F547AF" w:rsidRPr="00F547AF">
        <w:t xml:space="preserve">;  </w:t>
      </w:r>
    </w:p>
    <w:p w14:paraId="307B2569" w14:textId="50400C03" w:rsidR="00F547AF" w:rsidRPr="00AA7473" w:rsidRDefault="00687A8D" w:rsidP="005B295A">
      <w:pPr>
        <w:pStyle w:val="Heading4"/>
      </w:pPr>
      <w:r>
        <w:t>Where</w:t>
      </w:r>
      <w:r w:rsidR="00F547AF" w:rsidRPr="00F547AF">
        <w:t xml:space="preserve"> </w:t>
      </w:r>
      <w:r w:rsidR="00540667" w:rsidRPr="00F547AF">
        <w:t xml:space="preserve">a Market Participant </w:t>
      </w:r>
      <w:r>
        <w:t>deregisters</w:t>
      </w:r>
      <w:r w:rsidR="00F547AF" w:rsidRPr="00F547AF">
        <w:t xml:space="preserve"> a Contract, pursuant </w:t>
      </w:r>
      <w:r>
        <w:t xml:space="preserve">to </w:t>
      </w:r>
      <w:r w:rsidR="008C02F7">
        <w:t>Section</w:t>
      </w:r>
      <w:r w:rsidR="00F547AF" w:rsidRPr="00F547AF">
        <w:t xml:space="preserve"> </w:t>
      </w:r>
      <w:r w:rsidR="00F547AF" w:rsidRPr="00F547AF">
        <w:fldChar w:fldCharType="begin"/>
      </w:r>
      <w:r w:rsidR="00F547AF" w:rsidRPr="00F547AF">
        <w:instrText xml:space="preserve"> REF _Ref68601824 \w \h  \* MERGEFORMAT </w:instrText>
      </w:r>
      <w:r w:rsidR="00F547AF" w:rsidRPr="00F547AF">
        <w:fldChar w:fldCharType="separate"/>
      </w:r>
      <w:r w:rsidR="00251DBF">
        <w:t>4.6</w:t>
      </w:r>
      <w:r w:rsidR="00F547AF" w:rsidRPr="00F547AF">
        <w:fldChar w:fldCharType="end"/>
      </w:r>
      <w:r w:rsidR="00F547AF" w:rsidRPr="00F547AF">
        <w:t xml:space="preserve">, the amount of the required Security Cover shall be recalculated by the Market Operator. If the </w:t>
      </w:r>
      <w:r>
        <w:t>recalculated</w:t>
      </w:r>
      <w:r w:rsidR="00F547AF" w:rsidRPr="00F547AF">
        <w:t xml:space="preserve"> amount is lower than the Security Cover already provided by the </w:t>
      </w:r>
      <w:r w:rsidR="00F547AF" w:rsidRPr="00AA7473">
        <w:t xml:space="preserve">Market Participant, </w:t>
      </w:r>
      <w:r>
        <w:t>it</w:t>
      </w:r>
      <w:r w:rsidR="00F547AF" w:rsidRPr="00AA7473">
        <w:t xml:space="preserve"> may decide to:</w:t>
      </w:r>
    </w:p>
    <w:p w14:paraId="010A4555" w14:textId="43F6EF0E" w:rsidR="00F547AF" w:rsidRPr="00AA7473" w:rsidRDefault="009E19B8" w:rsidP="00AA7473">
      <w:pPr>
        <w:pStyle w:val="Heading5"/>
      </w:pPr>
      <w:r>
        <w:t>m</w:t>
      </w:r>
      <w:r w:rsidR="00F547AF" w:rsidRPr="00AA7473">
        <w:t xml:space="preserve">aintain the </w:t>
      </w:r>
      <w:r w:rsidR="00AA7473" w:rsidRPr="00AA7473">
        <w:t>existing</w:t>
      </w:r>
      <w:r w:rsidR="00F547AF" w:rsidRPr="00AA7473">
        <w:t xml:space="preserve"> Security Cover</w:t>
      </w:r>
      <w:r w:rsidR="00AA7473" w:rsidRPr="00AA7473">
        <w:t xml:space="preserve"> </w:t>
      </w:r>
      <w:r w:rsidR="00687A8D">
        <w:t>for</w:t>
      </w:r>
      <w:r w:rsidR="00F547AF" w:rsidRPr="00AA7473">
        <w:t xml:space="preserve"> future transactions; or </w:t>
      </w:r>
    </w:p>
    <w:p w14:paraId="056161AA" w14:textId="59B6C9BE" w:rsidR="00AA7473" w:rsidRPr="00AA7473" w:rsidRDefault="009E19B8" w:rsidP="00AA7473">
      <w:pPr>
        <w:pStyle w:val="Heading5"/>
      </w:pPr>
      <w:r>
        <w:t>r</w:t>
      </w:r>
      <w:r w:rsidR="00F547AF" w:rsidRPr="00AA7473">
        <w:t xml:space="preserve">equest the Market Operator to return the </w:t>
      </w:r>
      <w:r w:rsidR="00464198">
        <w:t>excess amount</w:t>
      </w:r>
      <w:r w:rsidR="00464198" w:rsidRPr="00AA7473">
        <w:t xml:space="preserve"> </w:t>
      </w:r>
      <w:r w:rsidR="00464198">
        <w:t xml:space="preserve">of the </w:t>
      </w:r>
      <w:r w:rsidR="00F547AF" w:rsidRPr="00AA7473">
        <w:t>Security Cove</w:t>
      </w:r>
      <w:r w:rsidR="00AA7473" w:rsidRPr="00AA7473">
        <w:t xml:space="preserve">r. </w:t>
      </w:r>
    </w:p>
    <w:p w14:paraId="03936707" w14:textId="7600628C" w:rsidR="00100D7F" w:rsidRPr="00AA7473" w:rsidRDefault="00AA7473" w:rsidP="005B295A">
      <w:pPr>
        <w:pStyle w:val="Heading4"/>
      </w:pPr>
      <w:r w:rsidRPr="00AA7473">
        <w:t xml:space="preserve">The Market Operator </w:t>
      </w:r>
      <w:r w:rsidR="00687A8D">
        <w:t>may</w:t>
      </w:r>
      <w:r w:rsidR="00687A8D" w:rsidRPr="00AA7473">
        <w:t xml:space="preserve"> </w:t>
      </w:r>
      <w:r w:rsidRPr="00AA7473">
        <w:t xml:space="preserve">return </w:t>
      </w:r>
      <w:r w:rsidR="00464198">
        <w:t>the excess amount</w:t>
      </w:r>
      <w:r w:rsidR="006C4810">
        <w:t xml:space="preserve"> upon request of the </w:t>
      </w:r>
      <w:r w:rsidR="009E19B8">
        <w:t>relevant</w:t>
      </w:r>
      <w:r w:rsidR="006C4810">
        <w:t xml:space="preserve"> Market Participant</w:t>
      </w:r>
      <w:r w:rsidRPr="00AA7473">
        <w:t>.</w:t>
      </w:r>
    </w:p>
    <w:bookmarkEnd w:id="751"/>
    <w:p w14:paraId="13704F61" w14:textId="77777777" w:rsidR="00293F8F" w:rsidRDefault="00293F8F">
      <w:pPr>
        <w:spacing w:line="240" w:lineRule="auto"/>
        <w:rPr>
          <w:rFonts w:eastAsiaTheme="majorEastAsia" w:cstheme="majorBidi"/>
          <w:b/>
          <w:bCs/>
          <w:smallCaps/>
          <w:color w:val="00153F" w:themeColor="accent1" w:themeShade="80"/>
          <w:sz w:val="34"/>
          <w:szCs w:val="32"/>
        </w:rPr>
      </w:pPr>
      <w:r>
        <w:br w:type="page"/>
      </w:r>
    </w:p>
    <w:p w14:paraId="34187E04" w14:textId="1E8870EC" w:rsidR="00293F8F" w:rsidRPr="0050004F" w:rsidRDefault="00293F8F" w:rsidP="00A40A5D">
      <w:pPr>
        <w:pStyle w:val="Heading1"/>
      </w:pPr>
      <w:bookmarkStart w:id="796" w:name="_Ref54986427"/>
      <w:bookmarkStart w:id="797" w:name="_Toc64846723"/>
      <w:bookmarkStart w:id="798" w:name="_Toc69477023"/>
      <w:r>
        <w:lastRenderedPageBreak/>
        <w:t xml:space="preserve">SETTLEMENT OF </w:t>
      </w:r>
      <w:r w:rsidRPr="0050004F">
        <w:t>DISPUTE</w:t>
      </w:r>
      <w:r>
        <w:t>S</w:t>
      </w:r>
      <w:bookmarkEnd w:id="796"/>
      <w:bookmarkEnd w:id="797"/>
      <w:bookmarkEnd w:id="798"/>
    </w:p>
    <w:p w14:paraId="04DBBBE9" w14:textId="0BD830B6" w:rsidR="00FB4F58" w:rsidRDefault="007F7C9B" w:rsidP="00B03C4A">
      <w:pPr>
        <w:pStyle w:val="NormalSp"/>
        <w:rPr>
          <w:lang w:val="en-US"/>
        </w:rPr>
      </w:pPr>
      <w:r>
        <w:rPr>
          <w:lang w:val="en-US"/>
        </w:rPr>
        <w:t xml:space="preserve"> </w:t>
      </w:r>
    </w:p>
    <w:p w14:paraId="665C439E" w14:textId="4CEB84B3" w:rsidR="00545969" w:rsidRDefault="00545969" w:rsidP="00545969">
      <w:pPr>
        <w:pStyle w:val="Heading2"/>
      </w:pPr>
      <w:r>
        <w:t>Application</w:t>
      </w:r>
    </w:p>
    <w:p w14:paraId="7C9AEC78" w14:textId="77777777" w:rsidR="00545969" w:rsidRDefault="00545969" w:rsidP="00545969">
      <w:pPr>
        <w:pStyle w:val="Heading4"/>
      </w:pPr>
      <w:r>
        <w:t>The Dispute resolution procedure provided in this Chapter shall apply to:</w:t>
      </w:r>
    </w:p>
    <w:p w14:paraId="5E6EC342" w14:textId="77777777" w:rsidR="00545969" w:rsidRDefault="00545969" w:rsidP="00545969">
      <w:pPr>
        <w:pStyle w:val="Heading5"/>
      </w:pPr>
      <w:r>
        <w:t xml:space="preserve">any Dispute between the System Operator or the Market Operator or a Transmission Service Provider and any Market Participant, which arises under or in connection with or in relation to this Code; </w:t>
      </w:r>
    </w:p>
    <w:p w14:paraId="5A45AAFE" w14:textId="024E9435" w:rsidR="00545969" w:rsidRDefault="00545969" w:rsidP="00545969">
      <w:pPr>
        <w:pStyle w:val="Heading5"/>
      </w:pPr>
      <w:r>
        <w:t xml:space="preserve">any order of rejection by the Market Operator to register a person as a Market </w:t>
      </w:r>
      <w:r w:rsidR="008C6FB9">
        <w:t>Participant.</w:t>
      </w:r>
      <w:r>
        <w:t xml:space="preserve"> </w:t>
      </w:r>
    </w:p>
    <w:p w14:paraId="3DBDC151" w14:textId="77777777" w:rsidR="00545969" w:rsidRDefault="00545969" w:rsidP="00545969">
      <w:pPr>
        <w:pStyle w:val="Heading5"/>
      </w:pPr>
      <w:r>
        <w:t xml:space="preserve">a dispute under this Code between the Service Providers, the System Operator, the Market Operator and a Market Participant regarding </w:t>
      </w:r>
      <w:r w:rsidRPr="001628D8">
        <w:t>the terms</w:t>
      </w:r>
      <w:r>
        <w:t xml:space="preserve"> and conditions</w:t>
      </w:r>
      <w:r w:rsidRPr="001628D8">
        <w:t xml:space="preserve"> </w:t>
      </w:r>
      <w:r>
        <w:t xml:space="preserve">or interpretation </w:t>
      </w:r>
      <w:r w:rsidRPr="001628D8">
        <w:t>of any agreement</w:t>
      </w:r>
      <w:r>
        <w:t xml:space="preserve">, including the Market Participation Agreement, </w:t>
      </w:r>
      <w:r w:rsidRPr="001F7FA6">
        <w:rPr>
          <w:highlight w:val="yellow"/>
        </w:rPr>
        <w:t>Service Provider Agreement</w:t>
      </w:r>
      <w:r>
        <w:t xml:space="preserve"> or the Connection Agreement; and</w:t>
      </w:r>
    </w:p>
    <w:p w14:paraId="33AE219C" w14:textId="77777777" w:rsidR="00545969" w:rsidRDefault="00545969" w:rsidP="00545969">
      <w:pPr>
        <w:pStyle w:val="Heading5"/>
      </w:pPr>
      <w:r>
        <w:t>Any other disputes between Market Participants or Service Providers where all of the Market Participants or Service Providers which are parties to the dispute consent in writing to the application thereof.</w:t>
      </w:r>
    </w:p>
    <w:p w14:paraId="3A4C27B4" w14:textId="77777777" w:rsidR="00545969" w:rsidRDefault="00545969" w:rsidP="00545969">
      <w:pPr>
        <w:pStyle w:val="Heading4"/>
      </w:pPr>
      <w:bookmarkStart w:id="799" w:name="_Ref77159331"/>
      <w:r>
        <w:t>The dispute resolution process shall not apply to the following:</w:t>
      </w:r>
      <w:bookmarkEnd w:id="799"/>
    </w:p>
    <w:p w14:paraId="169BE98D" w14:textId="77777777" w:rsidR="00545969" w:rsidRPr="007E04E1" w:rsidRDefault="00545969" w:rsidP="00545969">
      <w:pPr>
        <w:pStyle w:val="Heading5"/>
      </w:pPr>
      <w:r>
        <w:t xml:space="preserve">a dispute arising under a bilateral contract </w:t>
      </w:r>
      <w:r w:rsidRPr="007E04E1">
        <w:t xml:space="preserve">between the Market Participants or any other dispute which is not related to the implementation of the provisions of this Code; </w:t>
      </w:r>
    </w:p>
    <w:p w14:paraId="765B92CC" w14:textId="77777777" w:rsidR="00545969" w:rsidRDefault="00545969" w:rsidP="00545969">
      <w:pPr>
        <w:pStyle w:val="Heading5"/>
      </w:pPr>
      <w:r>
        <w:t>any dispute relating to, connected with or arising out of an application by any person to amend a Clause or condition of this Code or a Dispute relating to validity of an Amendment to this Code or the Grid Code;</w:t>
      </w:r>
    </w:p>
    <w:p w14:paraId="321B8E60" w14:textId="77777777" w:rsidR="00545969" w:rsidRDefault="00545969" w:rsidP="00545969">
      <w:pPr>
        <w:pStyle w:val="Heading5"/>
      </w:pPr>
      <w:r>
        <w:t>disputes with respect to a proposal to amend or not to</w:t>
      </w:r>
      <w:r w:rsidRPr="00D62911">
        <w:t xml:space="preserve"> </w:t>
      </w:r>
      <w:r>
        <w:t>amend any provision of this Code; and</w:t>
      </w:r>
    </w:p>
    <w:p w14:paraId="6631D2DD" w14:textId="77777777" w:rsidR="00545969" w:rsidRDefault="00545969" w:rsidP="00545969">
      <w:pPr>
        <w:pStyle w:val="Heading5"/>
      </w:pPr>
      <w:r>
        <w:t xml:space="preserve">disputes between the Market Operator and a Market Participant relating to the quantum of the Market Operator fee or, </w:t>
      </w:r>
      <w:r w:rsidRPr="00E1409B">
        <w:rPr>
          <w:highlight w:val="yellow"/>
        </w:rPr>
        <w:t>if it corresponds, to the System Operator fee</w:t>
      </w:r>
      <w:r>
        <w:t>, chargeable by the System Operator and the Market Operator to the Market Participant, unless the dispute relates to or is connected with the manner of calculation of the Market Operator or System Operator charge payable by the Market Participant in any given case.</w:t>
      </w:r>
    </w:p>
    <w:p w14:paraId="207347E5" w14:textId="77777777" w:rsidR="00545969" w:rsidRDefault="00545969" w:rsidP="00545969">
      <w:pPr>
        <w:pStyle w:val="Heading5"/>
        <w:numPr>
          <w:ilvl w:val="0"/>
          <w:numId w:val="0"/>
        </w:numPr>
        <w:ind w:left="1673"/>
      </w:pPr>
    </w:p>
    <w:p w14:paraId="0199ED58" w14:textId="77777777" w:rsidR="00545969" w:rsidRDefault="00545969" w:rsidP="00545969">
      <w:pPr>
        <w:pStyle w:val="Heading4"/>
      </w:pPr>
      <w:r>
        <w:t xml:space="preserve">Without limiting the generality of the foregoing, where any Dispute arises and the parties have commenced proceedings under this Chapter, the concerned parties shall comply with the procedures set forth in this Chapter and shall not make such Dispute a subject matter of any civil or other proceedings. </w:t>
      </w:r>
    </w:p>
    <w:p w14:paraId="0932F195" w14:textId="77777777" w:rsidR="00545969" w:rsidRDefault="00545969" w:rsidP="00545969">
      <w:pPr>
        <w:pStyle w:val="Heading4"/>
      </w:pPr>
      <w:r>
        <w:t xml:space="preserve">Any Dispute shall be lodged only within one year of the occurrence thereof and no Dispute shall be entertained after expiry of this time period and the Notice of Dispute shall be rejected. </w:t>
      </w:r>
    </w:p>
    <w:p w14:paraId="026AA5D8" w14:textId="77777777" w:rsidR="00545969" w:rsidRPr="00F036C0" w:rsidRDefault="00545969" w:rsidP="00545969">
      <w:pPr>
        <w:pStyle w:val="BodyText"/>
      </w:pPr>
    </w:p>
    <w:p w14:paraId="5068FDBC" w14:textId="77777777" w:rsidR="00545969" w:rsidRPr="00914D5C" w:rsidRDefault="00545969" w:rsidP="00545969">
      <w:pPr>
        <w:pStyle w:val="Heading2"/>
      </w:pPr>
      <w:r w:rsidRPr="00914D5C">
        <w:lastRenderedPageBreak/>
        <w:t>Continuing Obligations and Stay of Orders</w:t>
      </w:r>
    </w:p>
    <w:p w14:paraId="66DB0893" w14:textId="77777777" w:rsidR="00545969" w:rsidRPr="00914D5C" w:rsidRDefault="00545969" w:rsidP="00545969">
      <w:pPr>
        <w:pStyle w:val="Heading4"/>
      </w:pPr>
      <w:r w:rsidRPr="00914D5C">
        <w:t xml:space="preserve">Where a Dispute involves the payment or recovery of monetary amounts due under </w:t>
      </w:r>
      <w:r>
        <w:t>this Code</w:t>
      </w:r>
      <w:r w:rsidRPr="00914D5C">
        <w:t>, other than payment of a financial penalty, the amount shall be due and payable at the time specified for payment, notwithstanding initiation of a dispute resolution process whether under this Code or otherwise.</w:t>
      </w:r>
    </w:p>
    <w:p w14:paraId="7BE4DE71" w14:textId="77777777" w:rsidR="00545969" w:rsidRPr="00E57B8C" w:rsidRDefault="00545969" w:rsidP="00545969">
      <w:pPr>
        <w:pStyle w:val="Heading4"/>
        <w:rPr>
          <w:highlight w:val="yellow"/>
        </w:rPr>
      </w:pPr>
      <w:commentRangeStart w:id="800"/>
      <w:r w:rsidRPr="00E57B8C">
        <w:rPr>
          <w:highlight w:val="yellow"/>
        </w:rPr>
        <w:t xml:space="preserve">Where a Dispute involves the implementation of an order made or a direction given by the Market Operator under </w:t>
      </w:r>
      <w:r>
        <w:rPr>
          <w:highlight w:val="yellow"/>
        </w:rPr>
        <w:t>17</w:t>
      </w:r>
      <w:r w:rsidRPr="00E57B8C">
        <w:rPr>
          <w:highlight w:val="yellow"/>
        </w:rPr>
        <w:t>, the obligation of the Market Participant to comply with the order or direction, shall be stayed until 15 days after the appointment of Adjudication Tribunal, and thereafter for such period, if any, as may be determined by the Arbitrator.</w:t>
      </w:r>
    </w:p>
    <w:p w14:paraId="16369C99" w14:textId="77777777" w:rsidR="00545969" w:rsidRPr="00E57B8C" w:rsidRDefault="00545969" w:rsidP="00545969">
      <w:pPr>
        <w:pStyle w:val="Heading4"/>
        <w:rPr>
          <w:highlight w:val="yellow"/>
        </w:rPr>
      </w:pPr>
      <w:r w:rsidRPr="00E57B8C">
        <w:rPr>
          <w:highlight w:val="yellow"/>
        </w:rPr>
        <w:t>Where a Dispute involves payment of a financial penalty imposed by the Market Operator on a Market Participant, the obligation to pay that financial penalty shall remain stayed until delivery of an award by the Arbitrator.</w:t>
      </w:r>
      <w:commentRangeEnd w:id="800"/>
      <w:r>
        <w:rPr>
          <w:rStyle w:val="CommentReference"/>
          <w:rFonts w:eastAsiaTheme="minorHAnsi" w:cstheme="minorBidi"/>
          <w:bCs w:val="0"/>
          <w:iCs w:val="0"/>
          <w:color w:val="1C1C1C"/>
        </w:rPr>
        <w:commentReference w:id="800"/>
      </w:r>
    </w:p>
    <w:p w14:paraId="482263B0" w14:textId="77777777" w:rsidR="00545969" w:rsidRDefault="00545969" w:rsidP="00545969">
      <w:pPr>
        <w:pStyle w:val="Heading2"/>
      </w:pPr>
      <w:r>
        <w:t>Procedure for Settlement of a Dispute</w:t>
      </w:r>
    </w:p>
    <w:p w14:paraId="6A572310" w14:textId="77777777" w:rsidR="00545969" w:rsidRDefault="00545969" w:rsidP="00545969">
      <w:pPr>
        <w:pStyle w:val="Heading3"/>
        <w:rPr>
          <w:rStyle w:val="Heading3Char"/>
        </w:rPr>
      </w:pPr>
      <w:r>
        <w:rPr>
          <w:rStyle w:val="Heading3Char"/>
        </w:rPr>
        <w:t>Notice of Dispute</w:t>
      </w:r>
    </w:p>
    <w:p w14:paraId="2BE90BA2" w14:textId="77777777" w:rsidR="00545969" w:rsidRDefault="00545969" w:rsidP="00545969">
      <w:pPr>
        <w:pStyle w:val="Heading4"/>
      </w:pPr>
      <w:bookmarkStart w:id="801" w:name="_Ref77612832"/>
      <w:r>
        <w:t xml:space="preserve">Subject to Clause </w:t>
      </w:r>
      <w:r>
        <w:fldChar w:fldCharType="begin"/>
      </w:r>
      <w:r>
        <w:instrText xml:space="preserve"> REF _Ref77159331 \n \h </w:instrText>
      </w:r>
      <w:r>
        <w:fldChar w:fldCharType="separate"/>
      </w:r>
      <w:r>
        <w:t>15.3.1.2</w:t>
      </w:r>
      <w:r>
        <w:fldChar w:fldCharType="end"/>
      </w:r>
      <w:r>
        <w:t>, any person feeling aggrieved or any other person who wishes to settle a matter under this Chapter shall submit to the Market Operator a written “</w:t>
      </w:r>
      <w:r w:rsidRPr="00B03C4A">
        <w:rPr>
          <w:highlight w:val="green"/>
        </w:rPr>
        <w:t>Notice of Dispute</w:t>
      </w:r>
      <w:r>
        <w:t>” clearly explaining the Dispute or the grievance along with all necessary supporting documents.</w:t>
      </w:r>
      <w:bookmarkEnd w:id="801"/>
    </w:p>
    <w:p w14:paraId="26701221" w14:textId="77777777" w:rsidR="00545969" w:rsidRDefault="00545969" w:rsidP="00545969">
      <w:pPr>
        <w:pStyle w:val="Heading4"/>
      </w:pPr>
      <w:r>
        <w:t xml:space="preserve">The Market Operator shall acknowledge the receipt of the Notice of Dispute and </w:t>
      </w:r>
      <w:r w:rsidRPr="00B03C4A">
        <w:rPr>
          <w:highlight w:val="green"/>
        </w:rPr>
        <w:t>review its completeness</w:t>
      </w:r>
      <w:r>
        <w:t xml:space="preserve">. The </w:t>
      </w:r>
      <w:r w:rsidRPr="00B03C4A">
        <w:rPr>
          <w:highlight w:val="green"/>
        </w:rPr>
        <w:t>Market Operator may require the party issuing the Notice of Dispute to submit further information or additional documents</w:t>
      </w:r>
      <w:r>
        <w:t>, which shall be provided to the Market Operator within the specified time.</w:t>
      </w:r>
    </w:p>
    <w:p w14:paraId="34745262" w14:textId="77777777" w:rsidR="00545969" w:rsidRPr="00D962E3" w:rsidRDefault="00545969" w:rsidP="00545969">
      <w:pPr>
        <w:pStyle w:val="Heading3"/>
      </w:pPr>
      <w:bookmarkStart w:id="802" w:name="_Ref77160306"/>
      <w:r>
        <w:t>Amicable Resolution</w:t>
      </w:r>
      <w:bookmarkEnd w:id="802"/>
    </w:p>
    <w:p w14:paraId="6D893DA2" w14:textId="4362E398" w:rsidR="00545969" w:rsidRDefault="00545969" w:rsidP="00545969">
      <w:pPr>
        <w:pStyle w:val="Heading4"/>
      </w:pPr>
      <w:bookmarkStart w:id="803" w:name="_Ref77159991"/>
      <w:r w:rsidRPr="00B03C4A">
        <w:rPr>
          <w:highlight w:val="green"/>
        </w:rPr>
        <w:t>Within [20] Business Days</w:t>
      </w:r>
      <w:r>
        <w:t xml:space="preserve"> of the receipt of the Notice of Dispute or the additional information or documents</w:t>
      </w:r>
      <w:r w:rsidR="008C6FB9">
        <w:t xml:space="preserve"> the</w:t>
      </w:r>
      <w:r>
        <w:t xml:space="preserve"> Market Operator and the party who issued the Notice of Dispute</w:t>
      </w:r>
      <w:r w:rsidRPr="00D962E3">
        <w:t xml:space="preserve">, </w:t>
      </w:r>
      <w:r>
        <w:t xml:space="preserve">shall </w:t>
      </w:r>
      <w:r w:rsidRPr="00D962E3">
        <w:t xml:space="preserve">make good faith efforts to negotiate and resolve </w:t>
      </w:r>
      <w:r>
        <w:t>the</w:t>
      </w:r>
      <w:r w:rsidRPr="00D962E3">
        <w:t xml:space="preserve"> Dispute. </w:t>
      </w:r>
      <w:r>
        <w:t>The Market Operator and the other party to the Dispute shall</w:t>
      </w:r>
      <w:r w:rsidRPr="00D962E3">
        <w:t xml:space="preserve"> designate</w:t>
      </w:r>
      <w:r>
        <w:t xml:space="preserve"> a senior officer from their respective </w:t>
      </w:r>
      <w:r w:rsidRPr="00D962E3">
        <w:t>organization</w:t>
      </w:r>
      <w:r>
        <w:t>s</w:t>
      </w:r>
      <w:r w:rsidRPr="00D962E3">
        <w:t xml:space="preserve">, with </w:t>
      </w:r>
      <w:r>
        <w:t xml:space="preserve">the </w:t>
      </w:r>
      <w:r w:rsidRPr="00D962E3">
        <w:t xml:space="preserve">authority to negotiate the matter </w:t>
      </w:r>
      <w:r>
        <w:t xml:space="preserve">set out </w:t>
      </w:r>
      <w:r w:rsidRPr="00D962E3">
        <w:t xml:space="preserve">in </w:t>
      </w:r>
      <w:r>
        <w:t>the Notice of Dispute</w:t>
      </w:r>
      <w:r w:rsidRPr="00D962E3">
        <w:t>.</w:t>
      </w:r>
      <w:bookmarkEnd w:id="803"/>
      <w:r w:rsidRPr="00D962E3">
        <w:t xml:space="preserve"> </w:t>
      </w:r>
    </w:p>
    <w:p w14:paraId="450E6D5B" w14:textId="77777777" w:rsidR="00545969" w:rsidRDefault="00545969" w:rsidP="00545969">
      <w:pPr>
        <w:pStyle w:val="Heading4"/>
      </w:pPr>
      <w:r>
        <w:t xml:space="preserve">For application of the provisions of Clause </w:t>
      </w:r>
      <w:r>
        <w:fldChar w:fldCharType="begin"/>
      </w:r>
      <w:r>
        <w:instrText xml:space="preserve"> REF _Ref77159991 \n \h </w:instrText>
      </w:r>
      <w:r>
        <w:fldChar w:fldCharType="separate"/>
      </w:r>
      <w:r>
        <w:t>15.5.2.1</w:t>
      </w:r>
      <w:r>
        <w:fldChar w:fldCharType="end"/>
      </w:r>
      <w:r>
        <w:t>, the Market Operator may constitute different committees of its officers and each committee will commence negotiations based on the nature of the Dispute and will prepare a report upon completion of the negotiations.</w:t>
      </w:r>
    </w:p>
    <w:p w14:paraId="55861F7D" w14:textId="77777777" w:rsidR="00545969" w:rsidRPr="00B03C4A" w:rsidRDefault="00545969" w:rsidP="00545969">
      <w:pPr>
        <w:pStyle w:val="Heading4"/>
        <w:rPr>
          <w:highlight w:val="green"/>
        </w:rPr>
      </w:pPr>
      <w:r>
        <w:t xml:space="preserve">Upon successful negotiations, the Market Operator shall issue a notice of </w:t>
      </w:r>
      <w:r w:rsidRPr="00B03C4A">
        <w:rPr>
          <w:highlight w:val="green"/>
        </w:rPr>
        <w:t xml:space="preserve">termination of the Dispute. </w:t>
      </w:r>
    </w:p>
    <w:p w14:paraId="1572D9AD" w14:textId="77777777" w:rsidR="00545969" w:rsidRDefault="00545969" w:rsidP="00545969">
      <w:pPr>
        <w:pStyle w:val="Heading3"/>
      </w:pPr>
      <w:bookmarkStart w:id="804" w:name="_Ref77164486"/>
      <w:r>
        <w:lastRenderedPageBreak/>
        <w:t>Expert Determination</w:t>
      </w:r>
      <w:bookmarkEnd w:id="804"/>
    </w:p>
    <w:p w14:paraId="72157E76" w14:textId="77777777" w:rsidR="00545969" w:rsidRDefault="00545969" w:rsidP="00545969">
      <w:pPr>
        <w:pStyle w:val="Heading4"/>
      </w:pPr>
      <w:r w:rsidRPr="0086368A">
        <w:t>Failing an amicable settlement</w:t>
      </w:r>
      <w:r>
        <w:t>,</w:t>
      </w:r>
      <w:r w:rsidRPr="0086368A">
        <w:t xml:space="preserve"> </w:t>
      </w:r>
      <w:r>
        <w:t xml:space="preserve">under Sub-Section </w:t>
      </w:r>
      <w:r>
        <w:fldChar w:fldCharType="begin"/>
      </w:r>
      <w:r>
        <w:instrText xml:space="preserve"> REF _Ref77160306 \n \h </w:instrText>
      </w:r>
      <w:r>
        <w:fldChar w:fldCharType="separate"/>
      </w:r>
      <w:r>
        <w:t>15.5.2</w:t>
      </w:r>
      <w:r>
        <w:fldChar w:fldCharType="end"/>
      </w:r>
      <w:r>
        <w:t xml:space="preserve">, </w:t>
      </w:r>
      <w:r w:rsidRPr="0086368A">
        <w:t>within a reasonable period</w:t>
      </w:r>
      <w:r>
        <w:t xml:space="preserve"> of time</w:t>
      </w:r>
      <w:r w:rsidRPr="0086368A">
        <w:t xml:space="preserve">, </w:t>
      </w:r>
      <w:r w:rsidRPr="00B03C4A">
        <w:rPr>
          <w:highlight w:val="green"/>
        </w:rPr>
        <w:t>if the Dispute is of technical nature and does not involve any financial amounts</w:t>
      </w:r>
      <w:r w:rsidRPr="0086368A">
        <w:t>, the same may be referred</w:t>
      </w:r>
      <w:r>
        <w:t>,</w:t>
      </w:r>
      <w:r w:rsidRPr="0086368A">
        <w:t xml:space="preserve"> by mutual agreement of the parties </w:t>
      </w:r>
      <w:r>
        <w:t xml:space="preserve">to the Dispute, </w:t>
      </w:r>
      <w:r w:rsidRPr="0086368A">
        <w:t>to a sole expert. The sole expert shall be an independent and impartial person with relevant qualifications and experience</w:t>
      </w:r>
      <w:r>
        <w:t xml:space="preserve"> </w:t>
      </w:r>
      <w:r w:rsidRPr="0086368A">
        <w:t xml:space="preserve">and shall be appointed by agreement between the </w:t>
      </w:r>
      <w:r>
        <w:t>p</w:t>
      </w:r>
      <w:r w:rsidRPr="0086368A">
        <w:t>arties</w:t>
      </w:r>
      <w:r>
        <w:t xml:space="preserve"> to the Dispute</w:t>
      </w:r>
      <w:r w:rsidRPr="0086368A">
        <w:t xml:space="preserve"> and who shall not, by virtue of personal connection or commercial interest, have a conflict between his own interest and his duty as a sole expert.</w:t>
      </w:r>
    </w:p>
    <w:p w14:paraId="3DA1730C" w14:textId="77777777" w:rsidR="00545969" w:rsidRDefault="00545969" w:rsidP="00545969">
      <w:pPr>
        <w:pStyle w:val="Heading4"/>
      </w:pPr>
      <w:r w:rsidRPr="00A25603">
        <w:t>In the event</w:t>
      </w:r>
      <w:r>
        <w:t>,</w:t>
      </w:r>
      <w:r w:rsidRPr="00A25603">
        <w:t xml:space="preserve"> that the </w:t>
      </w:r>
      <w:r>
        <w:t>p</w:t>
      </w:r>
      <w:r w:rsidRPr="00A25603">
        <w:t xml:space="preserve">arties </w:t>
      </w:r>
      <w:r>
        <w:t xml:space="preserve">to the Dispute </w:t>
      </w:r>
      <w:r w:rsidRPr="00A25603">
        <w:t xml:space="preserve">fail or are unable to agree on a sole expert within thirty (30) days or such longer period as may be mutually agreed by </w:t>
      </w:r>
      <w:r>
        <w:t>such parties</w:t>
      </w:r>
      <w:r w:rsidRPr="00A25603">
        <w:t xml:space="preserve">, the sole expert shall be appointed by a body or an institution or an agency or a person, mutually agreed by </w:t>
      </w:r>
      <w:r>
        <w:t>such parties</w:t>
      </w:r>
      <w:r w:rsidRPr="00A25603">
        <w:t xml:space="preserve">. In case, there is no agreement on the body or an institution or an agency or a person for appointing sole expert or such institution or agency or body fails to appoint a sole expert within thirty (30) days or such longer period as may be mutually agreed by </w:t>
      </w:r>
      <w:r>
        <w:t>such parties</w:t>
      </w:r>
      <w:r w:rsidRPr="00A25603">
        <w:t xml:space="preserve">, the matter shall be referred to </w:t>
      </w:r>
      <w:r>
        <w:t xml:space="preserve">adjudication as provided under Sub-Section </w:t>
      </w:r>
      <w:r>
        <w:rPr>
          <w:highlight w:val="yellow"/>
        </w:rPr>
        <w:fldChar w:fldCharType="begin"/>
      </w:r>
      <w:r>
        <w:instrText xml:space="preserve"> REF _Ref77164375 \n \h </w:instrText>
      </w:r>
      <w:r>
        <w:rPr>
          <w:highlight w:val="yellow"/>
        </w:rPr>
      </w:r>
      <w:r>
        <w:rPr>
          <w:highlight w:val="yellow"/>
        </w:rPr>
        <w:fldChar w:fldCharType="separate"/>
      </w:r>
      <w:r>
        <w:t>15.5.4</w:t>
      </w:r>
      <w:r>
        <w:rPr>
          <w:highlight w:val="yellow"/>
        </w:rPr>
        <w:fldChar w:fldCharType="end"/>
      </w:r>
      <w:r>
        <w:t xml:space="preserve"> below.</w:t>
      </w:r>
    </w:p>
    <w:p w14:paraId="75C768B3" w14:textId="77777777" w:rsidR="00545969" w:rsidRDefault="00545969" w:rsidP="00545969">
      <w:pPr>
        <w:pStyle w:val="Heading4"/>
      </w:pPr>
      <w:r w:rsidRPr="00572DD9">
        <w:t xml:space="preserve">Any sole expert appointed shall be acting as an expert and not </w:t>
      </w:r>
      <w:r>
        <w:t xml:space="preserve">act </w:t>
      </w:r>
      <w:r w:rsidRPr="00572DD9">
        <w:t xml:space="preserve">as an </w:t>
      </w:r>
      <w:r>
        <w:t>adjudicator or arbitrator</w:t>
      </w:r>
      <w:r w:rsidRPr="00572DD9">
        <w:t xml:space="preserve"> and the decision of the sole expert if not accepted by a party shall be subject to </w:t>
      </w:r>
      <w:r>
        <w:t>adjudication</w:t>
      </w:r>
      <w:r w:rsidRPr="00572DD9">
        <w:t xml:space="preserve"> as </w:t>
      </w:r>
      <w:r>
        <w:t>provided</w:t>
      </w:r>
      <w:r w:rsidRPr="00572DD9">
        <w:t xml:space="preserve"> below within 90 days thereof</w:t>
      </w:r>
      <w:r>
        <w:t>.</w:t>
      </w:r>
      <w:r w:rsidRPr="00572DD9">
        <w:t xml:space="preserve"> </w:t>
      </w:r>
    </w:p>
    <w:p w14:paraId="7E0896F5" w14:textId="77777777" w:rsidR="00545969" w:rsidRPr="007F1C37" w:rsidRDefault="00545969" w:rsidP="00545969">
      <w:pPr>
        <w:pStyle w:val="Heading4"/>
      </w:pPr>
      <w:r w:rsidRPr="007F1C37">
        <w:rPr>
          <w:lang w:val="en-IN"/>
        </w:rPr>
        <w:t xml:space="preserve">The sole expert and representatives of the disputing parties, with authority to settle the dispute, shall within fourteen (14) days after the date of appointment of the sole expert schedule a date to </w:t>
      </w:r>
      <w:r>
        <w:rPr>
          <w:lang w:val="en-IN"/>
        </w:rPr>
        <w:t xml:space="preserve">resolve </w:t>
      </w:r>
      <w:r w:rsidRPr="007F1C37">
        <w:rPr>
          <w:lang w:val="en-IN"/>
        </w:rPr>
        <w:t xml:space="preserve">the dispute. </w:t>
      </w:r>
      <w:r w:rsidRPr="00B03C4A">
        <w:rPr>
          <w:highlight w:val="green"/>
          <w:lang w:val="en-IN"/>
        </w:rPr>
        <w:t>Matters discussed during such meeting shall be kept confidential and shall not be referred to in any subsequent proceedings</w:t>
      </w:r>
      <w:r>
        <w:rPr>
          <w:lang w:val="en-IN"/>
        </w:rPr>
        <w:t>.</w:t>
      </w:r>
    </w:p>
    <w:p w14:paraId="2A941FA1" w14:textId="77777777" w:rsidR="00545969" w:rsidRDefault="00545969" w:rsidP="00545969">
      <w:pPr>
        <w:pStyle w:val="Heading4"/>
      </w:pPr>
      <w:r>
        <w:t xml:space="preserve">If any party to the Dispute does not agree with the determination of the sole expert, the matter shall be referred to the adjudication as provided under Sub-Section </w:t>
      </w:r>
      <w:r>
        <w:rPr>
          <w:highlight w:val="yellow"/>
        </w:rPr>
        <w:fldChar w:fldCharType="begin"/>
      </w:r>
      <w:r>
        <w:instrText xml:space="preserve"> REF _Ref77164375 \n \h </w:instrText>
      </w:r>
      <w:r>
        <w:rPr>
          <w:highlight w:val="yellow"/>
        </w:rPr>
      </w:r>
      <w:r>
        <w:rPr>
          <w:highlight w:val="yellow"/>
        </w:rPr>
        <w:fldChar w:fldCharType="separate"/>
      </w:r>
      <w:r>
        <w:t>15.5.4</w:t>
      </w:r>
      <w:r>
        <w:rPr>
          <w:highlight w:val="yellow"/>
        </w:rPr>
        <w:fldChar w:fldCharType="end"/>
      </w:r>
      <w:r>
        <w:t xml:space="preserve"> below.</w:t>
      </w:r>
    </w:p>
    <w:p w14:paraId="0F8E2940" w14:textId="77777777" w:rsidR="00545969" w:rsidRPr="00E17701" w:rsidRDefault="00545969" w:rsidP="00545969">
      <w:pPr>
        <w:pStyle w:val="Heading4"/>
      </w:pPr>
      <w:r>
        <w:t xml:space="preserve">If all parties to the Dispute agree with the determination of the sole expert, the Market Operator shall issue a notice of termination of the Dispute. </w:t>
      </w:r>
    </w:p>
    <w:p w14:paraId="5BD133D8" w14:textId="77777777" w:rsidR="00545969" w:rsidRPr="00B03C4A" w:rsidRDefault="00545969" w:rsidP="00545969">
      <w:pPr>
        <w:pStyle w:val="Heading3"/>
        <w:rPr>
          <w:highlight w:val="green"/>
        </w:rPr>
      </w:pPr>
      <w:bookmarkStart w:id="805" w:name="_Ref77164375"/>
      <w:bookmarkStart w:id="806" w:name="_Ref77612516"/>
      <w:r w:rsidRPr="00B03C4A">
        <w:rPr>
          <w:highlight w:val="green"/>
        </w:rPr>
        <w:t xml:space="preserve">Adjudication </w:t>
      </w:r>
      <w:bookmarkEnd w:id="805"/>
      <w:r w:rsidRPr="00B03C4A">
        <w:rPr>
          <w:highlight w:val="green"/>
        </w:rPr>
        <w:t>Tribunal</w:t>
      </w:r>
      <w:bookmarkEnd w:id="806"/>
    </w:p>
    <w:p w14:paraId="03BEDD22" w14:textId="77777777" w:rsidR="00545969" w:rsidRDefault="00545969" w:rsidP="00545969">
      <w:pPr>
        <w:pStyle w:val="Heading4"/>
      </w:pPr>
      <w:r>
        <w:t xml:space="preserve">Any Dispute that could not be resolved according to the provisions of Sub-Section </w:t>
      </w:r>
      <w:r>
        <w:fldChar w:fldCharType="begin"/>
      </w:r>
      <w:r>
        <w:instrText xml:space="preserve"> REF _Ref77160306 \n \h </w:instrText>
      </w:r>
      <w:r>
        <w:fldChar w:fldCharType="separate"/>
      </w:r>
      <w:r>
        <w:t>15.5.2</w:t>
      </w:r>
      <w:r>
        <w:fldChar w:fldCharType="end"/>
      </w:r>
      <w:r>
        <w:t xml:space="preserve"> and </w:t>
      </w:r>
      <w:r>
        <w:fldChar w:fldCharType="begin"/>
      </w:r>
      <w:r>
        <w:instrText xml:space="preserve"> REF _Ref77164486 \n \h </w:instrText>
      </w:r>
      <w:r>
        <w:fldChar w:fldCharType="separate"/>
      </w:r>
      <w:r>
        <w:t>15.5.3</w:t>
      </w:r>
      <w:r>
        <w:fldChar w:fldCharType="end"/>
      </w:r>
      <w:r>
        <w:t xml:space="preserve"> above, shall be resolved through an adjudication process as described below.</w:t>
      </w:r>
    </w:p>
    <w:p w14:paraId="4C3617E6" w14:textId="77777777" w:rsidR="00545969" w:rsidRDefault="00545969" w:rsidP="00545969">
      <w:pPr>
        <w:pStyle w:val="Heading4"/>
      </w:pPr>
      <w:r>
        <w:t xml:space="preserve">An Adjudication Tribunal shall be appointed by the Market Operator and the parties to the Dispute with mutual agreement, as stipulated hereunder: </w:t>
      </w:r>
    </w:p>
    <w:p w14:paraId="523FB562" w14:textId="77777777" w:rsidR="00545969" w:rsidRDefault="00545969" w:rsidP="00545969">
      <w:pPr>
        <w:pStyle w:val="Heading5"/>
      </w:pPr>
      <w:bookmarkStart w:id="807" w:name="_Ref77170812"/>
      <w:r>
        <w:t xml:space="preserve">if the </w:t>
      </w:r>
      <w:r w:rsidRPr="0024134E">
        <w:t xml:space="preserve">total amount of claims and counterclaims </w:t>
      </w:r>
      <w:r>
        <w:t xml:space="preserve">involved </w:t>
      </w:r>
      <w:r w:rsidRPr="0024134E">
        <w:t xml:space="preserve">in </w:t>
      </w:r>
      <w:r>
        <w:t>a Dispute</w:t>
      </w:r>
      <w:r w:rsidRPr="0024134E">
        <w:t xml:space="preserve"> </w:t>
      </w:r>
      <w:r>
        <w:t>is less than One Million US Dollar, one Adjudicator shall be appointed, who shall be either an eminent professional in the power sector or a retired Judge of the Supreme Court or High Court; or</w:t>
      </w:r>
      <w:bookmarkEnd w:id="807"/>
    </w:p>
    <w:p w14:paraId="711E60D7" w14:textId="77777777" w:rsidR="00545969" w:rsidRDefault="00545969" w:rsidP="00545969">
      <w:pPr>
        <w:pStyle w:val="Heading5"/>
      </w:pPr>
      <w:bookmarkStart w:id="808" w:name="_Ref77232754"/>
      <w:r>
        <w:t xml:space="preserve">if the </w:t>
      </w:r>
      <w:r w:rsidRPr="0024134E">
        <w:t xml:space="preserve">total amount of claims and counterclaims </w:t>
      </w:r>
      <w:r>
        <w:t xml:space="preserve">involved </w:t>
      </w:r>
      <w:r w:rsidRPr="0024134E">
        <w:t xml:space="preserve">in </w:t>
      </w:r>
      <w:r>
        <w:t>a Dispute</w:t>
      </w:r>
      <w:r w:rsidRPr="0024134E">
        <w:t xml:space="preserve"> </w:t>
      </w:r>
      <w:r>
        <w:t>is more than One Million US Dollars, the Adjudication Tribunal shall consist of three members. Each party to the dispute shall appoint one Adjudicator (who shall be an eminent professional in the power sector) and both the Adjudicators shall appoint a retired judge of the Supreme Court or High Court as the chairperson of the Adjudication Tribunal with mutual agreement.</w:t>
      </w:r>
      <w:bookmarkEnd w:id="808"/>
    </w:p>
    <w:p w14:paraId="35761C0E" w14:textId="77777777" w:rsidR="00545969" w:rsidRDefault="00545969" w:rsidP="00545969">
      <w:pPr>
        <w:pStyle w:val="Heading4"/>
      </w:pPr>
      <w:r w:rsidRPr="00A25603">
        <w:lastRenderedPageBreak/>
        <w:t xml:space="preserve">In the event that the </w:t>
      </w:r>
      <w:r>
        <w:t>p</w:t>
      </w:r>
      <w:r w:rsidRPr="00A25603">
        <w:t xml:space="preserve">arties </w:t>
      </w:r>
      <w:r>
        <w:t xml:space="preserve">to the Dispute </w:t>
      </w:r>
      <w:r w:rsidRPr="00A25603">
        <w:t xml:space="preserve">fail or are unable to agree on a </w:t>
      </w:r>
      <w:r>
        <w:t xml:space="preserve">one Adjudicator, to be appointed under Clause </w:t>
      </w:r>
      <w:r>
        <w:fldChar w:fldCharType="begin"/>
      </w:r>
      <w:r>
        <w:instrText xml:space="preserve"> REF _Ref77170812 \w \h </w:instrText>
      </w:r>
      <w:r>
        <w:fldChar w:fldCharType="separate"/>
      </w:r>
      <w:r>
        <w:t>15.5.4.2.a)</w:t>
      </w:r>
      <w:r>
        <w:fldChar w:fldCharType="end"/>
      </w:r>
      <w:r>
        <w:t xml:space="preserve"> above, </w:t>
      </w:r>
      <w:r w:rsidRPr="00A25603">
        <w:t xml:space="preserve">within thirty (30) days or such longer period as may be mutually agreed by </w:t>
      </w:r>
      <w:r>
        <w:t>such parties</w:t>
      </w:r>
      <w:r w:rsidRPr="00A25603">
        <w:t xml:space="preserve">, the </w:t>
      </w:r>
      <w:r>
        <w:t>Adjudicator</w:t>
      </w:r>
      <w:r w:rsidRPr="00A25603">
        <w:t xml:space="preserve"> shall be appointed by a body or an institution or an agency or a person, mutually agreed by </w:t>
      </w:r>
      <w:r>
        <w:t>such parties.</w:t>
      </w:r>
    </w:p>
    <w:p w14:paraId="0F1F19FC" w14:textId="77777777" w:rsidR="00545969" w:rsidRDefault="00545969" w:rsidP="00545969">
      <w:pPr>
        <w:pStyle w:val="Heading4"/>
      </w:pPr>
      <w:r w:rsidRPr="00A25603">
        <w:t xml:space="preserve">In the event that the </w:t>
      </w:r>
      <w:r>
        <w:t xml:space="preserve">Adjudicators </w:t>
      </w:r>
      <w:r w:rsidRPr="00A25603">
        <w:t xml:space="preserve">fail or are unable to agree on a </w:t>
      </w:r>
      <w:r>
        <w:t xml:space="preserve">the appointment of the chairperson of the adjudication panel, to be appointed under Clause </w:t>
      </w:r>
      <w:r>
        <w:fldChar w:fldCharType="begin"/>
      </w:r>
      <w:r>
        <w:instrText xml:space="preserve"> REF _Ref77232754 \w \h </w:instrText>
      </w:r>
      <w:r>
        <w:fldChar w:fldCharType="separate"/>
      </w:r>
      <w:r>
        <w:t>15.5.4.2.b)</w:t>
      </w:r>
      <w:r>
        <w:fldChar w:fldCharType="end"/>
      </w:r>
      <w:r>
        <w:t xml:space="preserve"> above, </w:t>
      </w:r>
      <w:r w:rsidRPr="00A25603">
        <w:t xml:space="preserve"> within thirty (30) days or such longer period as may be mutually agreed by </w:t>
      </w:r>
      <w:r>
        <w:t>such parties</w:t>
      </w:r>
      <w:r w:rsidRPr="00A25603">
        <w:t xml:space="preserve">, the </w:t>
      </w:r>
      <w:r>
        <w:t>Adjudicator</w:t>
      </w:r>
      <w:r w:rsidRPr="00A25603">
        <w:t xml:space="preserve"> shall be appointed by a body or an institution or an agency or a person, mutually agreed by</w:t>
      </w:r>
      <w:r>
        <w:t xml:space="preserve"> both the adjudicators.</w:t>
      </w:r>
    </w:p>
    <w:p w14:paraId="3734844E" w14:textId="77777777" w:rsidR="00545969" w:rsidRDefault="00545969" w:rsidP="00545969">
      <w:pPr>
        <w:pStyle w:val="Heading4"/>
      </w:pPr>
      <w:r>
        <w:t xml:space="preserve">Each member of the Adjudication Tribunal shall not have conflict of interest and shall act justly and impartially.  </w:t>
      </w:r>
    </w:p>
    <w:p w14:paraId="74C4812B" w14:textId="77777777" w:rsidR="00545969" w:rsidRDefault="00545969" w:rsidP="00545969">
      <w:pPr>
        <w:pStyle w:val="Heading4"/>
      </w:pPr>
      <w:r>
        <w:t xml:space="preserve">All proceedings before the Adjudication Tribunal shall not be treated as arbitration proceedings under the relevant arbitration laws as well as Applicable Law. However, in order to make the procedural matters consistent and uniform, while administering the proceedings, the Adjudication Tribunal shall adopt the procedures applicable for conducting arbitration proceedings in Pakistan.  </w:t>
      </w:r>
    </w:p>
    <w:p w14:paraId="319C50D9" w14:textId="77777777" w:rsidR="00545969" w:rsidRDefault="00545969" w:rsidP="00545969">
      <w:pPr>
        <w:pStyle w:val="Heading4"/>
      </w:pPr>
      <w:r>
        <w:t>The Dispute matter shall be decided preferably within six months and the decision shall be taken by the majority of the votes of the members of the adjudication Tribunal.</w:t>
      </w:r>
    </w:p>
    <w:p w14:paraId="54D662FB" w14:textId="77777777" w:rsidR="00545969" w:rsidRDefault="00545969" w:rsidP="00545969">
      <w:pPr>
        <w:pStyle w:val="Heading4"/>
      </w:pPr>
      <w:r>
        <w:t xml:space="preserve">The decision of the Adjudication Tribunal shall be enforceable and binding upon all the parties unless stayed by the Authority. </w:t>
      </w:r>
    </w:p>
    <w:p w14:paraId="3FA02255" w14:textId="77777777" w:rsidR="00545969" w:rsidRPr="00B03C4A" w:rsidRDefault="00545969" w:rsidP="00545969">
      <w:pPr>
        <w:pStyle w:val="Heading3"/>
        <w:rPr>
          <w:highlight w:val="green"/>
        </w:rPr>
      </w:pPr>
      <w:r w:rsidRPr="00B03C4A">
        <w:rPr>
          <w:highlight w:val="green"/>
        </w:rPr>
        <w:t>Appeal to The Authority</w:t>
      </w:r>
    </w:p>
    <w:p w14:paraId="7D51E6F9" w14:textId="77777777" w:rsidR="00545969" w:rsidRDefault="00545969" w:rsidP="00545969">
      <w:pPr>
        <w:pStyle w:val="Heading4"/>
      </w:pPr>
      <w:r>
        <w:t xml:space="preserve">Within thirty days of issuance of the decision of the Adjudication Tribunal, any party to the Dispute may challenge the decision of the Tribunal before the Authority. </w:t>
      </w:r>
    </w:p>
    <w:p w14:paraId="4A16E554" w14:textId="77777777" w:rsidR="00545969" w:rsidRDefault="00545969" w:rsidP="00545969">
      <w:pPr>
        <w:pStyle w:val="Heading3"/>
      </w:pPr>
      <w:r>
        <w:t>Confidentiality</w:t>
      </w:r>
    </w:p>
    <w:p w14:paraId="6B689F8E" w14:textId="77777777" w:rsidR="00545969" w:rsidRDefault="00545969" w:rsidP="00545969">
      <w:pPr>
        <w:pStyle w:val="Heading4"/>
      </w:pPr>
      <w:r>
        <w:t xml:space="preserve">Any party may claim that a document, or information contained in a document, to be produced in the context of the adjudication of a Dispute is Confidential Information. The party making such a claim shall provide to the tribunal in writing the basis for its assertion. If the claim of confidentiality is confirmed by the tribunal, the Tribunal shall establish requirements for the protection of such document or information as may be necessary to protect the confidentiality and commercial value of such document or information, including requirements for disclosure of same only to the tribunal or independent advisor who has filed an undertaking as to confidentiality satisfactory to the tribunal and for in camera hearings at which only representatives of the disclosing party and such counsel and/or other independent advisor may be present. </w:t>
      </w:r>
    </w:p>
    <w:p w14:paraId="27BDF4D6" w14:textId="77777777" w:rsidR="00545969" w:rsidRDefault="00545969" w:rsidP="00545969">
      <w:pPr>
        <w:pStyle w:val="Heading3"/>
      </w:pPr>
      <w:r>
        <w:t>Record-Keeping and Publication</w:t>
      </w:r>
    </w:p>
    <w:p w14:paraId="3D667F19" w14:textId="77777777" w:rsidR="00545969" w:rsidRDefault="00545969" w:rsidP="00545969">
      <w:pPr>
        <w:pStyle w:val="Heading4"/>
      </w:pPr>
      <w:r>
        <w:t xml:space="preserve">The Market Operator shall maintain a record of all dispute resolution proceedings conducted. The Market Operator shall be responsible for ensuring that all measures are taken to prohibit access by any other person to any portion of such record which may be sealed and marked “CONFIDENTIAL” or otherwise identified as being confidential, except as may be required by Applicable Law. </w:t>
      </w:r>
    </w:p>
    <w:p w14:paraId="2026B541" w14:textId="77777777" w:rsidR="00545969" w:rsidRDefault="00545969" w:rsidP="00545969">
      <w:pPr>
        <w:pStyle w:val="Heading4"/>
      </w:pPr>
      <w:r>
        <w:lastRenderedPageBreak/>
        <w:t>The Market Operator may arrange publication of the following information on the MO website:</w:t>
      </w:r>
    </w:p>
    <w:p w14:paraId="080449EC" w14:textId="77777777" w:rsidR="00545969" w:rsidRDefault="00545969" w:rsidP="00545969">
      <w:pPr>
        <w:pStyle w:val="Heading5"/>
      </w:pPr>
      <w:r>
        <w:t>notice of the appointment of the sole expert or the adjudication tribunal and its chairperson;</w:t>
      </w:r>
    </w:p>
    <w:p w14:paraId="279484E7" w14:textId="77777777" w:rsidR="00545969" w:rsidRDefault="00545969" w:rsidP="00545969">
      <w:pPr>
        <w:pStyle w:val="Heading5"/>
      </w:pPr>
      <w:r>
        <w:t>notice of the date, time and place fixed for hearing pursuant to Clause</w:t>
      </w:r>
      <w:r>
        <w:fldChar w:fldCharType="begin"/>
      </w:r>
      <w:r>
        <w:instrText xml:space="preserve"> REF _Ref61108213 \r \h </w:instrText>
      </w:r>
      <w:r>
        <w:fldChar w:fldCharType="separate"/>
      </w:r>
      <w:r>
        <w:t>15.5.3.9</w:t>
      </w:r>
      <w:r>
        <w:fldChar w:fldCharType="end"/>
      </w:r>
      <w:r>
        <w:t>; and</w:t>
      </w:r>
    </w:p>
    <w:p w14:paraId="07BB652B" w14:textId="77777777" w:rsidR="00545969" w:rsidRDefault="00545969" w:rsidP="00545969">
      <w:pPr>
        <w:pStyle w:val="Heading5"/>
      </w:pPr>
      <w:r>
        <w:t xml:space="preserve">a summary of the decision of the Adjudication Tribunal. </w:t>
      </w:r>
    </w:p>
    <w:p w14:paraId="3B24CE88" w14:textId="77777777" w:rsidR="00545969" w:rsidRDefault="00545969" w:rsidP="00545969">
      <w:pPr>
        <w:pStyle w:val="Heading3"/>
      </w:pPr>
      <w:r>
        <w:t>Costs and Fees</w:t>
      </w:r>
    </w:p>
    <w:p w14:paraId="3D012707" w14:textId="0E13FBD2" w:rsidR="0077046B" w:rsidRPr="000E633F" w:rsidRDefault="00545969" w:rsidP="00B03C4A">
      <w:pPr>
        <w:pStyle w:val="BodyText"/>
      </w:pPr>
      <w:r>
        <w:t xml:space="preserve">Each party to the Dispute shall bear its own costs incurred for the dispute resolution process. Initially, the fees of the sole expert and the Tribunal shall be borne on pro rata basis by the parties, however, the losing party shall be responsible to reimburse the costs of the other party after issuance of the decision by the sole expert or the Tribunal.  </w:t>
      </w:r>
    </w:p>
    <w:p w14:paraId="64EA05A4" w14:textId="00E761B6" w:rsidR="007F7C9B" w:rsidRDefault="007F7C9B">
      <w:pPr>
        <w:spacing w:line="240" w:lineRule="auto"/>
      </w:pPr>
      <w:r>
        <w:br w:type="page"/>
      </w:r>
    </w:p>
    <w:p w14:paraId="4C119B11" w14:textId="70C9D6C5" w:rsidR="00293F8F" w:rsidRPr="007A1BCB" w:rsidRDefault="00293F8F" w:rsidP="00A40A5D">
      <w:pPr>
        <w:pStyle w:val="Heading1"/>
      </w:pPr>
      <w:bookmarkStart w:id="809" w:name="_Ref60859093"/>
      <w:bookmarkStart w:id="810" w:name="_Ref61038262"/>
      <w:bookmarkStart w:id="811" w:name="_Toc64846729"/>
      <w:bookmarkStart w:id="812" w:name="_Toc69477029"/>
      <w:r w:rsidRPr="007A1BCB">
        <w:lastRenderedPageBreak/>
        <w:t>MARKET</w:t>
      </w:r>
      <w:r w:rsidR="00F36A10">
        <w:t xml:space="preserve"> DEVELOPMENT AND</w:t>
      </w:r>
      <w:r w:rsidRPr="007A1BCB">
        <w:t xml:space="preserve"> SURVEILLANCE</w:t>
      </w:r>
      <w:bookmarkEnd w:id="809"/>
      <w:bookmarkEnd w:id="810"/>
      <w:bookmarkEnd w:id="811"/>
      <w:bookmarkEnd w:id="812"/>
    </w:p>
    <w:p w14:paraId="681D42A6" w14:textId="1232328E" w:rsidR="00F36A10" w:rsidRDefault="00F36A10" w:rsidP="00C173D0">
      <w:pPr>
        <w:pStyle w:val="Heading2"/>
      </w:pPr>
      <w:bookmarkStart w:id="813" w:name="_Toc64846730"/>
      <w:bookmarkStart w:id="814" w:name="_Toc69477030"/>
      <w:r>
        <w:t>Market Development</w:t>
      </w:r>
      <w:r w:rsidR="00EA321F">
        <w:t xml:space="preserve"> and Evolution</w:t>
      </w:r>
    </w:p>
    <w:p w14:paraId="7B61EDBD" w14:textId="6F3CBB13" w:rsidR="00F36A10" w:rsidRDefault="00F36A10" w:rsidP="00F36A10">
      <w:pPr>
        <w:pStyle w:val="Heading3"/>
      </w:pPr>
      <w:r>
        <w:t xml:space="preserve">Review of </w:t>
      </w:r>
      <w:r w:rsidR="007D730B">
        <w:t xml:space="preserve">legal, </w:t>
      </w:r>
      <w:commentRangeStart w:id="815"/>
      <w:r>
        <w:t>policy and regulatory fra</w:t>
      </w:r>
      <w:r w:rsidR="007D730B">
        <w:t>me</w:t>
      </w:r>
      <w:r>
        <w:t>work</w:t>
      </w:r>
      <w:commentRangeEnd w:id="815"/>
      <w:r w:rsidR="00476702">
        <w:rPr>
          <w:rStyle w:val="CommentReference"/>
          <w:rFonts w:eastAsiaTheme="minorHAnsi" w:cstheme="minorBidi"/>
          <w:smallCaps w:val="0"/>
          <w:color w:val="1C1C1C"/>
        </w:rPr>
        <w:commentReference w:id="815"/>
      </w:r>
    </w:p>
    <w:p w14:paraId="5D53CDB4" w14:textId="3A40543E" w:rsidR="007D730B" w:rsidRDefault="00AD3E4D" w:rsidP="007D730B">
      <w:pPr>
        <w:pStyle w:val="Heading4"/>
      </w:pPr>
      <w:r>
        <w:t>While implementing the Commercial Code, t</w:t>
      </w:r>
      <w:r w:rsidR="007D730B">
        <w:t>he Market Operator shall continuously review the overarching</w:t>
      </w:r>
      <w:r w:rsidR="00EA321F">
        <w:t xml:space="preserve"> legal,</w:t>
      </w:r>
      <w:r w:rsidR="007D730B">
        <w:t xml:space="preserve"> policy and regulatory framework and propose recommendations to the competent authorities to enhance the efficiency of the Market. The Market Operator shall also abide by all the </w:t>
      </w:r>
      <w:r>
        <w:t>applicable</w:t>
      </w:r>
      <w:r w:rsidR="007D730B">
        <w:t xml:space="preserve"> legal instruments.</w:t>
      </w:r>
    </w:p>
    <w:p w14:paraId="098DD4EF" w14:textId="5A4A5910" w:rsidR="007D730B" w:rsidRDefault="007D730B" w:rsidP="007D730B">
      <w:pPr>
        <w:pStyle w:val="Heading3"/>
      </w:pPr>
      <w:r>
        <w:t>Product design and Market Evolution</w:t>
      </w:r>
    </w:p>
    <w:p w14:paraId="4690B604" w14:textId="77777777" w:rsidR="00FA1BF4" w:rsidRDefault="007D730B" w:rsidP="007D730B">
      <w:pPr>
        <w:pStyle w:val="Heading4"/>
      </w:pPr>
      <w:r>
        <w:t>The Market Operator shall recommend for the approval of Authority, any modifications in the design of the CTBCM, i</w:t>
      </w:r>
      <w:r w:rsidR="00FA1BF4">
        <w:t>ntroduction of new products such as Ancillary Services market, day-ahead market, trading platforms etc.</w:t>
      </w:r>
    </w:p>
    <w:p w14:paraId="0F592EA4" w14:textId="77777777" w:rsidR="00FA1BF4" w:rsidRDefault="00FA1BF4" w:rsidP="007D730B">
      <w:pPr>
        <w:pStyle w:val="Heading4"/>
      </w:pPr>
      <w:r>
        <w:t>The Market Operator shall be responsible to undertake the necessary research to enable the advanced features of competitive electricity markets by duly considering the maturity of the CTBCM.</w:t>
      </w:r>
    </w:p>
    <w:p w14:paraId="35E55658" w14:textId="46906F01" w:rsidR="00FA1BF4" w:rsidRDefault="00FA1BF4" w:rsidP="00FA1BF4">
      <w:pPr>
        <w:pStyle w:val="Heading3"/>
      </w:pPr>
      <w:r>
        <w:t xml:space="preserve"> International affairs</w:t>
      </w:r>
    </w:p>
    <w:p w14:paraId="4394AE45" w14:textId="4453F97A" w:rsidR="007D730B" w:rsidRDefault="00FA1BF4" w:rsidP="007D730B">
      <w:pPr>
        <w:pStyle w:val="Heading4"/>
      </w:pPr>
      <w:r>
        <w:t>The Market Operator shall actively engage with international organizations involved in development and operation of the competitive electricity markets and shall form strategic partnerships with such organizations in order to learn from the</w:t>
      </w:r>
      <w:r w:rsidR="00B80DE1">
        <w:t>ir</w:t>
      </w:r>
      <w:r>
        <w:t xml:space="preserve"> experience </w:t>
      </w:r>
      <w:r w:rsidR="00B80DE1">
        <w:t>to</w:t>
      </w:r>
      <w:r>
        <w:t xml:space="preserve"> enhance the efficiency of CTBCM.</w:t>
      </w:r>
    </w:p>
    <w:p w14:paraId="5FC5BCDE" w14:textId="292CB1AF" w:rsidR="00FA1BF4" w:rsidRDefault="00FA1BF4" w:rsidP="00FA1BF4">
      <w:pPr>
        <w:pStyle w:val="Heading3"/>
      </w:pPr>
      <w:r>
        <w:t>Liaison with stakeholders and market train</w:t>
      </w:r>
      <w:r w:rsidR="001C67B8">
        <w:t>in</w:t>
      </w:r>
      <w:r>
        <w:t>gs</w:t>
      </w:r>
    </w:p>
    <w:p w14:paraId="6ABB4D76" w14:textId="3328FD48" w:rsidR="007D730B" w:rsidRDefault="00FA1BF4" w:rsidP="001C67B8">
      <w:pPr>
        <w:pStyle w:val="Heading4"/>
      </w:pPr>
      <w:r>
        <w:t xml:space="preserve">The Market Operator shall actively engage with </w:t>
      </w:r>
      <w:r w:rsidR="001C67B8">
        <w:t>all stakeholders for the development of the competitive market and shall organize training and capacity building sessions in order to disseminate information among all stakeholders.</w:t>
      </w:r>
    </w:p>
    <w:p w14:paraId="4226E38C" w14:textId="13EB5D70" w:rsidR="001C67B8" w:rsidRDefault="001C67B8" w:rsidP="001C67B8">
      <w:pPr>
        <w:pStyle w:val="Heading3"/>
      </w:pPr>
      <w:r>
        <w:t>Market simulations</w:t>
      </w:r>
      <w:r w:rsidR="00DE1608">
        <w:t xml:space="preserve"> and Analysis</w:t>
      </w:r>
    </w:p>
    <w:p w14:paraId="63E708B7" w14:textId="224BD496" w:rsidR="001C67B8" w:rsidRDefault="001C67B8" w:rsidP="001C67B8">
      <w:pPr>
        <w:pStyle w:val="Heading4"/>
      </w:pPr>
      <w:r>
        <w:t>The Market Operator shall produce projections for future years about the results of the Market in order to give future perspectives to stakeholders.</w:t>
      </w:r>
    </w:p>
    <w:p w14:paraId="52275555" w14:textId="6835DBFC" w:rsidR="001C67B8" w:rsidRPr="001C67B8" w:rsidRDefault="001C67B8" w:rsidP="001C67B8">
      <w:pPr>
        <w:pStyle w:val="Heading4"/>
      </w:pPr>
      <w:r>
        <w:t>The projections being carried out by the Market Operator shall be based on best estimates; however, the Market Operator shall not be held liable for any loss due to use of such projections in the decision making by the stakeholders.</w:t>
      </w:r>
    </w:p>
    <w:p w14:paraId="468986B4" w14:textId="77777777" w:rsidR="001C67B8" w:rsidRPr="001C67B8" w:rsidRDefault="001C67B8" w:rsidP="001C67B8">
      <w:pPr>
        <w:pStyle w:val="BodyText"/>
      </w:pPr>
    </w:p>
    <w:p w14:paraId="10A7F1CB" w14:textId="30F98FB3" w:rsidR="007D730B" w:rsidRPr="007D730B" w:rsidRDefault="007D730B" w:rsidP="007D730B">
      <w:pPr>
        <w:pStyle w:val="BodyText"/>
      </w:pPr>
    </w:p>
    <w:p w14:paraId="7BE15CF1" w14:textId="77777777" w:rsidR="007D730B" w:rsidRPr="007D730B" w:rsidRDefault="007D730B" w:rsidP="007D730B">
      <w:pPr>
        <w:pStyle w:val="BodyText"/>
      </w:pPr>
    </w:p>
    <w:p w14:paraId="064DEC19" w14:textId="77777777" w:rsidR="00F36A10" w:rsidRPr="00F36A10" w:rsidRDefault="00F36A10" w:rsidP="00F36A10">
      <w:pPr>
        <w:pStyle w:val="BodyText"/>
      </w:pPr>
    </w:p>
    <w:p w14:paraId="0902A73D" w14:textId="77777777" w:rsidR="00F36A10" w:rsidRPr="00F36A10" w:rsidRDefault="00F36A10" w:rsidP="00F36A10">
      <w:pPr>
        <w:pStyle w:val="BodyText"/>
      </w:pPr>
    </w:p>
    <w:p w14:paraId="04829733" w14:textId="1E05782F" w:rsidR="00B076C8" w:rsidRDefault="00293F8F" w:rsidP="00C173D0">
      <w:pPr>
        <w:pStyle w:val="Heading2"/>
      </w:pPr>
      <w:r w:rsidRPr="007A1BCB">
        <w:lastRenderedPageBreak/>
        <w:t>M</w:t>
      </w:r>
      <w:r w:rsidR="00B076C8">
        <w:t xml:space="preserve">arket Surveillance </w:t>
      </w:r>
      <w:bookmarkEnd w:id="813"/>
      <w:bookmarkEnd w:id="814"/>
    </w:p>
    <w:p w14:paraId="61F6EEFF" w14:textId="5C268DFA" w:rsidR="00B076C8" w:rsidRDefault="00996705" w:rsidP="00C173D0">
      <w:pPr>
        <w:pStyle w:val="Heading3"/>
      </w:pPr>
      <w:r>
        <w:t>Investigations</w:t>
      </w:r>
    </w:p>
    <w:p w14:paraId="0FBA85D8" w14:textId="53238BE3" w:rsidR="00B076C8" w:rsidRDefault="00B076C8" w:rsidP="005B295A">
      <w:pPr>
        <w:pStyle w:val="Heading4"/>
      </w:pPr>
      <w:bookmarkStart w:id="816" w:name="_Ref63688497"/>
      <w:r>
        <w:t xml:space="preserve">The </w:t>
      </w:r>
      <w:r w:rsidR="009C4DCB">
        <w:t xml:space="preserve">Market Operator </w:t>
      </w:r>
      <w:r>
        <w:t xml:space="preserve">shall </w:t>
      </w:r>
      <w:r w:rsidR="00E71C2E">
        <w:t xml:space="preserve">establish </w:t>
      </w:r>
      <w:commentRangeStart w:id="817"/>
      <w:r w:rsidR="00E71C2E" w:rsidRPr="00B03C4A">
        <w:rPr>
          <w:highlight w:val="yellow"/>
        </w:rPr>
        <w:t>a separate department</w:t>
      </w:r>
      <w:r w:rsidR="00E71C2E">
        <w:t xml:space="preserve"> </w:t>
      </w:r>
      <w:commentRangeEnd w:id="817"/>
      <w:r w:rsidR="00E40003">
        <w:rPr>
          <w:rStyle w:val="CommentReference"/>
          <w:rFonts w:eastAsiaTheme="minorHAnsi" w:cstheme="minorBidi"/>
          <w:bCs w:val="0"/>
          <w:iCs w:val="0"/>
          <w:color w:val="1C1C1C"/>
        </w:rPr>
        <w:commentReference w:id="817"/>
      </w:r>
      <w:r w:rsidR="00E71C2E">
        <w:t xml:space="preserve">to </w:t>
      </w:r>
      <w:r>
        <w:t xml:space="preserve">investigate any activity related to the </w:t>
      </w:r>
      <w:r w:rsidR="00753946">
        <w:t>CTBCM</w:t>
      </w:r>
      <w:r>
        <w:t xml:space="preserve"> or the conduct of a </w:t>
      </w:r>
      <w:r w:rsidR="00753946">
        <w:t xml:space="preserve">Market </w:t>
      </w:r>
      <w:r>
        <w:t>Participant</w:t>
      </w:r>
      <w:r w:rsidR="009C4DCB">
        <w:t xml:space="preserve"> or a Service Provider</w:t>
      </w:r>
      <w:r w:rsidR="00996705">
        <w:t xml:space="preserve">, </w:t>
      </w:r>
      <w:r w:rsidR="00E71C2E">
        <w:t xml:space="preserve">and thereafter </w:t>
      </w:r>
      <w:r w:rsidR="00996705">
        <w:t xml:space="preserve">prepare </w:t>
      </w:r>
      <w:r w:rsidR="00E71C2E">
        <w:t xml:space="preserve">and submit </w:t>
      </w:r>
      <w:r w:rsidR="00996705">
        <w:t>reports</w:t>
      </w:r>
      <w:r w:rsidR="00E71C2E">
        <w:t xml:space="preserve"> to the Market Operator board in order to take necessary action. This department shall, </w:t>
      </w:r>
      <w:r w:rsidR="00E71C2E" w:rsidRPr="00B03C4A">
        <w:rPr>
          <w:i/>
          <w:iCs w:val="0"/>
        </w:rPr>
        <w:t>inter alia</w:t>
      </w:r>
      <w:r w:rsidR="00E71C2E">
        <w:t>, perform the following functions</w:t>
      </w:r>
      <w:r>
        <w:t>:</w:t>
      </w:r>
      <w:bookmarkEnd w:id="816"/>
    </w:p>
    <w:p w14:paraId="01AD6665" w14:textId="052CCFEA" w:rsidR="00B076C8" w:rsidRDefault="00C72A65" w:rsidP="00B03234">
      <w:pPr>
        <w:pStyle w:val="Heading5"/>
      </w:pPr>
      <w:r>
        <w:t>M</w:t>
      </w:r>
      <w:r w:rsidR="00B076C8">
        <w:t xml:space="preserve">onitor </w:t>
      </w:r>
      <w:r w:rsidR="0008537E">
        <w:t>behaviour</w:t>
      </w:r>
      <w:r w:rsidR="00B076C8">
        <w:t xml:space="preserve"> of </w:t>
      </w:r>
      <w:r w:rsidR="00E71C2E">
        <w:t xml:space="preserve">the </w:t>
      </w:r>
      <w:r w:rsidR="00753946">
        <w:t xml:space="preserve">Market </w:t>
      </w:r>
      <w:r w:rsidR="00B076C8">
        <w:t>Participants including withholding</w:t>
      </w:r>
      <w:r w:rsidR="00E71C2E">
        <w:t xml:space="preserve"> of Capacity</w:t>
      </w:r>
      <w:r w:rsidR="00B076C8">
        <w:t xml:space="preserve"> or </w:t>
      </w:r>
      <w:r w:rsidR="00E71C2E" w:rsidRPr="00B03C4A">
        <w:t>manipulation of</w:t>
      </w:r>
      <w:r w:rsidR="00B076C8" w:rsidRPr="00E71C2E">
        <w:t xml:space="preserve"> costs,</w:t>
      </w:r>
      <w:r w:rsidR="00B076C8">
        <w:t xml:space="preserve"> abuse or possible abuse of market power</w:t>
      </w:r>
      <w:r>
        <w:t>.</w:t>
      </w:r>
    </w:p>
    <w:p w14:paraId="5CAE7AC6" w14:textId="5B129CD1" w:rsidR="00816B55" w:rsidRDefault="00C72A65" w:rsidP="00B03234">
      <w:pPr>
        <w:pStyle w:val="Heading5"/>
      </w:pPr>
      <w:r>
        <w:t>M</w:t>
      </w:r>
      <w:r w:rsidR="00B076C8">
        <w:t xml:space="preserve">onitor </w:t>
      </w:r>
      <w:r w:rsidR="00816B55">
        <w:t xml:space="preserve">and observe </w:t>
      </w:r>
      <w:r w:rsidR="00B076C8">
        <w:t xml:space="preserve">the </w:t>
      </w:r>
      <w:commentRangeStart w:id="818"/>
      <w:r w:rsidR="00E71C2E" w:rsidRPr="00B03C4A">
        <w:rPr>
          <w:strike/>
        </w:rPr>
        <w:t>efficiency</w:t>
      </w:r>
      <w:commentRangeEnd w:id="818"/>
      <w:r w:rsidR="00476702">
        <w:rPr>
          <w:rStyle w:val="CommentReference"/>
          <w:rFonts w:eastAsiaTheme="minorHAnsi" w:cstheme="minorBidi"/>
          <w:color w:val="1C1C1C"/>
        </w:rPr>
        <w:commentReference w:id="818"/>
      </w:r>
      <w:r w:rsidR="00E71C2E">
        <w:t xml:space="preserve"> </w:t>
      </w:r>
      <w:r w:rsidR="00816B55">
        <w:t xml:space="preserve">implementation </w:t>
      </w:r>
      <w:r w:rsidR="00B076C8">
        <w:t xml:space="preserve">of </w:t>
      </w:r>
      <w:r w:rsidR="00753946">
        <w:t xml:space="preserve">this Code </w:t>
      </w:r>
      <w:r w:rsidR="00816B55">
        <w:t xml:space="preserve">as well as </w:t>
      </w:r>
      <w:r w:rsidR="00753946">
        <w:t xml:space="preserve">the </w:t>
      </w:r>
      <w:r w:rsidR="00B076C8">
        <w:t>market design</w:t>
      </w:r>
      <w:r w:rsidR="00093E09">
        <w:t xml:space="preserve"> in consultation with the </w:t>
      </w:r>
      <w:r w:rsidR="00996705">
        <w:t>stakeholders</w:t>
      </w:r>
      <w:r w:rsidR="00B076C8">
        <w:t xml:space="preserve">, to identify and correct as early as possible </w:t>
      </w:r>
      <w:r w:rsidR="00816B55">
        <w:t xml:space="preserve">any </w:t>
      </w:r>
      <w:r w:rsidR="00B076C8">
        <w:t>flaws</w:t>
      </w:r>
      <w:r w:rsidR="00816B55">
        <w:t xml:space="preserve"> or</w:t>
      </w:r>
      <w:r w:rsidR="00B076C8">
        <w:t xml:space="preserve"> </w:t>
      </w:r>
      <w:r w:rsidR="00816B55">
        <w:t>difficulties faced by parties operating in the Market</w:t>
      </w:r>
      <w:r>
        <w:t>.</w:t>
      </w:r>
      <w:r w:rsidR="00816B55">
        <w:t xml:space="preserve"> </w:t>
      </w:r>
    </w:p>
    <w:p w14:paraId="5109BAA8" w14:textId="051AB423" w:rsidR="00B076C8" w:rsidRPr="009C4DCB" w:rsidRDefault="00C72A65">
      <w:pPr>
        <w:pStyle w:val="Heading5"/>
      </w:pPr>
      <w:r>
        <w:t>P</w:t>
      </w:r>
      <w:r w:rsidR="00816B55">
        <w:t xml:space="preserve">rovide input during the </w:t>
      </w:r>
      <w:r w:rsidR="00B076C8" w:rsidRPr="009C4DCB">
        <w:t>amendments</w:t>
      </w:r>
      <w:r w:rsidR="001472C6" w:rsidRPr="009C4DCB">
        <w:t xml:space="preserve"> to </w:t>
      </w:r>
      <w:r w:rsidR="00F05124">
        <w:t>this Code</w:t>
      </w:r>
      <w:r>
        <w:t>.</w:t>
      </w:r>
    </w:p>
    <w:p w14:paraId="7D4A9F89" w14:textId="27B28157" w:rsidR="00B076C8" w:rsidRDefault="00C72A65" w:rsidP="00B03234">
      <w:pPr>
        <w:pStyle w:val="Heading5"/>
      </w:pPr>
      <w:r>
        <w:t>M</w:t>
      </w:r>
      <w:r w:rsidR="00B076C8">
        <w:t xml:space="preserve">onitor efficiency and </w:t>
      </w:r>
      <w:r w:rsidR="006D11F0">
        <w:t xml:space="preserve">provision of services in a </w:t>
      </w:r>
      <w:r w:rsidR="00B076C8">
        <w:t>non</w:t>
      </w:r>
      <w:r w:rsidR="001472C6">
        <w:t>-</w:t>
      </w:r>
      <w:r w:rsidR="00B076C8">
        <w:t>discriminat</w:t>
      </w:r>
      <w:r w:rsidR="006D11F0">
        <w:t>ory manner by</w:t>
      </w:r>
      <w:r w:rsidR="00B076C8">
        <w:t xml:space="preserve"> </w:t>
      </w:r>
      <w:r w:rsidR="006D11F0">
        <w:t xml:space="preserve">the </w:t>
      </w:r>
      <w:r w:rsidR="00996705">
        <w:t>System Operator and Service Providers</w:t>
      </w:r>
      <w:r>
        <w:t>.</w:t>
      </w:r>
      <w:r w:rsidR="001340A6">
        <w:t xml:space="preserve"> </w:t>
      </w:r>
    </w:p>
    <w:p w14:paraId="32D7492D" w14:textId="0618B91B" w:rsidR="00B076C8" w:rsidRDefault="00C72A65" w:rsidP="00B03234">
      <w:pPr>
        <w:pStyle w:val="Heading5"/>
      </w:pPr>
      <w:r>
        <w:t>M</w:t>
      </w:r>
      <w:r w:rsidR="00B076C8">
        <w:t>onitor development of competition and market efficiency</w:t>
      </w:r>
      <w:r w:rsidR="001472C6">
        <w:t>.</w:t>
      </w:r>
    </w:p>
    <w:p w14:paraId="7E9DEF8F" w14:textId="607F1FDB" w:rsidR="00B076C8" w:rsidRPr="005F4E96" w:rsidRDefault="00B076C8" w:rsidP="005B295A">
      <w:pPr>
        <w:pStyle w:val="Heading4"/>
      </w:pPr>
      <w:r w:rsidRPr="005F4E96">
        <w:t xml:space="preserve">The Market </w:t>
      </w:r>
      <w:r w:rsidR="006B3D26">
        <w:t>Operator</w:t>
      </w:r>
      <w:r w:rsidRPr="005F4E96">
        <w:t xml:space="preserve"> may  engage consultants with expertise in collecting and </w:t>
      </w:r>
      <w:r w:rsidR="005F4E96" w:rsidRPr="005F4E96">
        <w:t>analysing</w:t>
      </w:r>
      <w:r w:rsidRPr="005F4E96">
        <w:t xml:space="preserve"> the information pertaining to</w:t>
      </w:r>
      <w:r w:rsidR="006D11F0">
        <w:t xml:space="preserve"> the</w:t>
      </w:r>
      <w:r w:rsidRPr="005F4E96">
        <w:t xml:space="preserve"> market </w:t>
      </w:r>
      <w:r w:rsidR="005F4E96" w:rsidRPr="005F4E96">
        <w:t>behaviour</w:t>
      </w:r>
      <w:r w:rsidRPr="005F4E96">
        <w:t xml:space="preserve"> of the </w:t>
      </w:r>
      <w:r w:rsidR="000021A7" w:rsidRPr="005F4E96">
        <w:t xml:space="preserve">Market </w:t>
      </w:r>
      <w:r w:rsidRPr="005F4E96">
        <w:t>Participants</w:t>
      </w:r>
      <w:r w:rsidR="005F4E96" w:rsidRPr="005F4E96">
        <w:t>, Service Providers</w:t>
      </w:r>
      <w:r w:rsidR="006B3D26">
        <w:t xml:space="preserve"> and </w:t>
      </w:r>
      <w:r w:rsidRPr="005F4E96">
        <w:t>the System Operator.</w:t>
      </w:r>
    </w:p>
    <w:p w14:paraId="2AA46869" w14:textId="07F5F7D8" w:rsidR="009D02AD" w:rsidRDefault="009D02AD" w:rsidP="00C173D0">
      <w:pPr>
        <w:pStyle w:val="Heading3"/>
      </w:pPr>
      <w:r>
        <w:t>Reporting</w:t>
      </w:r>
    </w:p>
    <w:p w14:paraId="00465871" w14:textId="34D90E33" w:rsidR="009D02AD" w:rsidRDefault="009D02AD" w:rsidP="005B295A">
      <w:pPr>
        <w:pStyle w:val="Heading4"/>
      </w:pPr>
      <w:bookmarkStart w:id="819" w:name="_Ref60852327"/>
      <w:r>
        <w:t xml:space="preserve">The Market </w:t>
      </w:r>
      <w:r w:rsidR="006B3D26">
        <w:t>Operator</w:t>
      </w:r>
      <w:r>
        <w:t xml:space="preserve"> shall </w:t>
      </w:r>
      <w:r w:rsidR="006B3D26">
        <w:t xml:space="preserve">prepare </w:t>
      </w:r>
      <w:r>
        <w:t>reports upon completion of any investigation</w:t>
      </w:r>
      <w:r w:rsidR="00CE3419">
        <w:t xml:space="preserve"> and submit the same to MO board for consideration and issuance of necessary instruction</w:t>
      </w:r>
      <w:r w:rsidR="00C72A65">
        <w:t>s</w:t>
      </w:r>
      <w:r w:rsidR="00CE3419">
        <w:t>.</w:t>
      </w:r>
      <w:bookmarkEnd w:id="819"/>
    </w:p>
    <w:p w14:paraId="25BBA7CA" w14:textId="6253A15E" w:rsidR="009D02AD" w:rsidRPr="00B03C4A" w:rsidRDefault="009D02AD" w:rsidP="005B295A">
      <w:pPr>
        <w:pStyle w:val="Heading4"/>
        <w:rPr>
          <w:strike/>
        </w:rPr>
      </w:pPr>
      <w:r w:rsidRPr="00B03C4A">
        <w:rPr>
          <w:strike/>
        </w:rPr>
        <w:t xml:space="preserve">Subject to Clause </w:t>
      </w:r>
      <w:r w:rsidRPr="00B03C4A">
        <w:rPr>
          <w:strike/>
        </w:rPr>
        <w:fldChar w:fldCharType="begin"/>
      </w:r>
      <w:r w:rsidRPr="00B03C4A">
        <w:rPr>
          <w:strike/>
        </w:rPr>
        <w:instrText xml:space="preserve"> REF _Ref60852202 \w \h </w:instrText>
      </w:r>
      <w:r w:rsidR="00CE3419">
        <w:rPr>
          <w:strike/>
        </w:rPr>
        <w:instrText xml:space="preserve"> \* MERGEFORMAT </w:instrText>
      </w:r>
      <w:r w:rsidRPr="00B03C4A">
        <w:rPr>
          <w:strike/>
        </w:rPr>
      </w:r>
      <w:r w:rsidRPr="00B03C4A">
        <w:rPr>
          <w:strike/>
        </w:rPr>
        <w:fldChar w:fldCharType="separate"/>
      </w:r>
      <w:r w:rsidR="006B3D26" w:rsidRPr="00B03C4A">
        <w:rPr>
          <w:strike/>
        </w:rPr>
        <w:t>16.2.2.3</w:t>
      </w:r>
      <w:r w:rsidRPr="00B03C4A">
        <w:rPr>
          <w:strike/>
        </w:rPr>
        <w:fldChar w:fldCharType="end"/>
      </w:r>
      <w:r w:rsidRPr="00B03C4A">
        <w:rPr>
          <w:strike/>
        </w:rPr>
        <w:t xml:space="preserve">, all reports prepared by the Market </w:t>
      </w:r>
      <w:r w:rsidR="006B3D26" w:rsidRPr="00B03C4A">
        <w:rPr>
          <w:strike/>
        </w:rPr>
        <w:t>Operator</w:t>
      </w:r>
      <w:r w:rsidRPr="00B03C4A">
        <w:rPr>
          <w:strike/>
        </w:rPr>
        <w:t xml:space="preserve"> shall be </w:t>
      </w:r>
      <w:r w:rsidR="006B3D26" w:rsidRPr="00B03C4A">
        <w:rPr>
          <w:strike/>
        </w:rPr>
        <w:t xml:space="preserve">submitted </w:t>
      </w:r>
      <w:r w:rsidRPr="00B03C4A">
        <w:rPr>
          <w:strike/>
        </w:rPr>
        <w:t xml:space="preserve">on a confidential </w:t>
      </w:r>
      <w:r w:rsidRPr="00B03C4A">
        <w:rPr>
          <w:strike/>
          <w:highlight w:val="yellow"/>
        </w:rPr>
        <w:t>basis to the Authority</w:t>
      </w:r>
      <w:r w:rsidRPr="00B03C4A">
        <w:rPr>
          <w:strike/>
        </w:rPr>
        <w:t xml:space="preserve">. A report </w:t>
      </w:r>
      <w:r w:rsidR="006B3D26" w:rsidRPr="00B03C4A">
        <w:rPr>
          <w:strike/>
        </w:rPr>
        <w:t xml:space="preserve">prepared by the </w:t>
      </w:r>
      <w:r w:rsidRPr="00B03C4A">
        <w:rPr>
          <w:strike/>
        </w:rPr>
        <w:t xml:space="preserve">Market </w:t>
      </w:r>
      <w:r w:rsidR="006B3D26" w:rsidRPr="00B03C4A">
        <w:rPr>
          <w:strike/>
        </w:rPr>
        <w:t xml:space="preserve">Operator </w:t>
      </w:r>
      <w:r w:rsidRPr="00B03C4A">
        <w:rPr>
          <w:strike/>
        </w:rPr>
        <w:t xml:space="preserve">upon completion of an investigation </w:t>
      </w:r>
      <w:r w:rsidR="006E3DC3" w:rsidRPr="00B03C4A">
        <w:rPr>
          <w:strike/>
        </w:rPr>
        <w:t xml:space="preserve">relating to </w:t>
      </w:r>
      <w:r w:rsidRPr="00B03C4A">
        <w:rPr>
          <w:strike/>
        </w:rPr>
        <w:t>the conduct of a Market Participant</w:t>
      </w:r>
      <w:r w:rsidR="006B3D26" w:rsidRPr="00B03C4A">
        <w:rPr>
          <w:strike/>
        </w:rPr>
        <w:t xml:space="preserve">, a Service Provider or the System Operator </w:t>
      </w:r>
      <w:r w:rsidRPr="00B03C4A">
        <w:rPr>
          <w:strike/>
        </w:rPr>
        <w:t xml:space="preserve">shall be provided to the </w:t>
      </w:r>
      <w:r w:rsidR="006B3D26" w:rsidRPr="00B03C4A">
        <w:rPr>
          <w:strike/>
        </w:rPr>
        <w:t>relevant entity after taking any enforcement action, if necessary</w:t>
      </w:r>
      <w:r w:rsidRPr="00B03C4A">
        <w:rPr>
          <w:strike/>
        </w:rPr>
        <w:t>.</w:t>
      </w:r>
    </w:p>
    <w:p w14:paraId="2B20C7D4" w14:textId="0582E5FF" w:rsidR="009D02AD" w:rsidRPr="00B03C4A" w:rsidRDefault="009D02AD" w:rsidP="005B295A">
      <w:pPr>
        <w:pStyle w:val="Heading4"/>
        <w:rPr>
          <w:strike/>
        </w:rPr>
      </w:pPr>
      <w:bookmarkStart w:id="820" w:name="_Ref60852202"/>
      <w:r w:rsidRPr="00B03C4A">
        <w:rPr>
          <w:strike/>
        </w:rPr>
        <w:t xml:space="preserve">The </w:t>
      </w:r>
      <w:r w:rsidR="006E3DC3" w:rsidRPr="00B03C4A">
        <w:rPr>
          <w:strike/>
        </w:rPr>
        <w:t xml:space="preserve">Market Operator </w:t>
      </w:r>
      <w:r w:rsidR="006E3DC3" w:rsidRPr="00B03C4A">
        <w:rPr>
          <w:strike/>
          <w:highlight w:val="yellow"/>
        </w:rPr>
        <w:t xml:space="preserve">and, if </w:t>
      </w:r>
      <w:r w:rsidR="006B3D26" w:rsidRPr="00B03C4A">
        <w:rPr>
          <w:strike/>
          <w:highlight w:val="yellow"/>
        </w:rPr>
        <w:t>applicable</w:t>
      </w:r>
      <w:r w:rsidR="006E3DC3" w:rsidRPr="00B03C4A">
        <w:rPr>
          <w:strike/>
          <w:highlight w:val="yellow"/>
        </w:rPr>
        <w:t xml:space="preserve">, the </w:t>
      </w:r>
      <w:r w:rsidRPr="00B03C4A">
        <w:rPr>
          <w:strike/>
          <w:highlight w:val="yellow"/>
        </w:rPr>
        <w:t>Authority</w:t>
      </w:r>
      <w:r w:rsidRPr="00B03C4A">
        <w:rPr>
          <w:strike/>
        </w:rPr>
        <w:t xml:space="preserve"> shall make available, for public inspection during its normal business hours at its offices, a copy of each report prepared by the </w:t>
      </w:r>
      <w:r w:rsidR="006B3D26" w:rsidRPr="00B03C4A">
        <w:rPr>
          <w:strike/>
        </w:rPr>
        <w:t>Market Operator</w:t>
      </w:r>
      <w:r w:rsidRPr="00B03C4A">
        <w:rPr>
          <w:strike/>
        </w:rPr>
        <w:t xml:space="preserve">, subject to editing any portions thereof to remove any </w:t>
      </w:r>
      <w:r w:rsidR="006B3D26" w:rsidRPr="00B03C4A">
        <w:rPr>
          <w:strike/>
        </w:rPr>
        <w:t>C</w:t>
      </w:r>
      <w:r w:rsidRPr="00B03C4A">
        <w:rPr>
          <w:strike/>
        </w:rPr>
        <w:t xml:space="preserve">onfidential </w:t>
      </w:r>
      <w:r w:rsidR="006B3D26" w:rsidRPr="00B03C4A">
        <w:rPr>
          <w:strike/>
        </w:rPr>
        <w:t xml:space="preserve">Information </w:t>
      </w:r>
      <w:r w:rsidRPr="00B03C4A">
        <w:rPr>
          <w:strike/>
        </w:rPr>
        <w:t xml:space="preserve">or </w:t>
      </w:r>
      <w:r w:rsidR="006B3D26" w:rsidRPr="00B03C4A">
        <w:rPr>
          <w:strike/>
        </w:rPr>
        <w:t xml:space="preserve">other </w:t>
      </w:r>
      <w:r w:rsidRPr="00B03C4A">
        <w:rPr>
          <w:strike/>
        </w:rPr>
        <w:t>commercially sensitive information pertaining to a person or Market Participant.</w:t>
      </w:r>
      <w:bookmarkEnd w:id="820"/>
    </w:p>
    <w:p w14:paraId="408D3456" w14:textId="1822C346" w:rsidR="009D02AD" w:rsidRDefault="00446761" w:rsidP="00C173D0">
      <w:pPr>
        <w:pStyle w:val="Heading2"/>
      </w:pPr>
      <w:bookmarkStart w:id="821" w:name="_Toc64846731"/>
      <w:bookmarkStart w:id="822" w:name="_Toc69477031"/>
      <w:bookmarkStart w:id="823" w:name="_Toc441990932"/>
      <w:bookmarkStart w:id="824" w:name="_Toc441991014"/>
      <w:bookmarkStart w:id="825" w:name="_Toc442002078"/>
      <w:bookmarkStart w:id="826" w:name="_Toc442072121"/>
      <w:bookmarkStart w:id="827" w:name="_Toc473433030"/>
      <w:bookmarkStart w:id="828" w:name="_Toc492888364"/>
      <w:bookmarkStart w:id="829" w:name="_Toc514745971"/>
      <w:bookmarkStart w:id="830" w:name="_Toc527266681"/>
      <w:bookmarkStart w:id="831" w:name="_Toc72322445"/>
      <w:bookmarkStart w:id="832" w:name="_Toc72323117"/>
      <w:bookmarkStart w:id="833" w:name="_Toc81998021"/>
      <w:bookmarkStart w:id="834" w:name="_Toc82077765"/>
      <w:bookmarkStart w:id="835" w:name="_Ref60856462"/>
      <w:bookmarkStart w:id="836" w:name="_Ref60858584"/>
      <w:r>
        <w:t>Monitoring</w:t>
      </w:r>
      <w:r w:rsidR="009D02AD">
        <w:t xml:space="preserve"> and Investigations</w:t>
      </w:r>
      <w:bookmarkEnd w:id="821"/>
      <w:bookmarkEnd w:id="822"/>
    </w:p>
    <w:p w14:paraId="6C07CE18" w14:textId="2BD5B4FE" w:rsidR="00DA4988" w:rsidRDefault="00DA4988" w:rsidP="00C173D0">
      <w:pPr>
        <w:pStyle w:val="Heading3"/>
      </w:pPr>
      <w:r>
        <w:t>Market Monitoring Functions</w:t>
      </w:r>
      <w:bookmarkStart w:id="837" w:name="_Ref440181225"/>
      <w:bookmarkEnd w:id="823"/>
      <w:bookmarkEnd w:id="824"/>
      <w:bookmarkEnd w:id="825"/>
      <w:bookmarkEnd w:id="826"/>
      <w:bookmarkEnd w:id="827"/>
      <w:bookmarkEnd w:id="828"/>
      <w:bookmarkEnd w:id="829"/>
      <w:r>
        <w:t>.</w:t>
      </w:r>
      <w:bookmarkEnd w:id="830"/>
      <w:bookmarkEnd w:id="831"/>
      <w:bookmarkEnd w:id="832"/>
      <w:bookmarkEnd w:id="833"/>
      <w:bookmarkEnd w:id="834"/>
      <w:bookmarkEnd w:id="835"/>
      <w:bookmarkEnd w:id="836"/>
    </w:p>
    <w:p w14:paraId="027A6FD3" w14:textId="719ABE10" w:rsidR="00DA4988" w:rsidRDefault="00DA4988" w:rsidP="005B295A">
      <w:pPr>
        <w:pStyle w:val="Heading4"/>
      </w:pPr>
      <w:bookmarkStart w:id="838" w:name="_Ref60855812"/>
      <w:r>
        <w:t xml:space="preserve">The Market </w:t>
      </w:r>
      <w:r w:rsidR="006B3D26">
        <w:t>Operator</w:t>
      </w:r>
      <w:r>
        <w:t xml:space="preserve"> shall monitor, evaluate and </w:t>
      </w:r>
      <w:r w:rsidR="006E3DC3">
        <w:t>analyse</w:t>
      </w:r>
      <w:r>
        <w:t xml:space="preserve"> the conduct of </w:t>
      </w:r>
      <w:r w:rsidR="000021A7">
        <w:t xml:space="preserve">Market </w:t>
      </w:r>
      <w:r>
        <w:t>Participants</w:t>
      </w:r>
      <w:r w:rsidR="005F4E96">
        <w:t>, Service Provider</w:t>
      </w:r>
      <w:r w:rsidR="00C72A65">
        <w:t>s</w:t>
      </w:r>
      <w:r w:rsidR="006B3D26">
        <w:t xml:space="preserve"> and</w:t>
      </w:r>
      <w:r w:rsidR="005F4E96">
        <w:t xml:space="preserve"> the System Operator </w:t>
      </w:r>
      <w:r>
        <w:t xml:space="preserve">and the structure and performance of, and activities in, the </w:t>
      </w:r>
      <w:r w:rsidR="000021A7">
        <w:t>CTBCM</w:t>
      </w:r>
      <w:r>
        <w:t xml:space="preserve"> including, but not limited to:</w:t>
      </w:r>
      <w:bookmarkEnd w:id="838"/>
      <w:r>
        <w:t xml:space="preserve"> </w:t>
      </w:r>
      <w:bookmarkEnd w:id="837"/>
      <w:r>
        <w:t xml:space="preserve"> </w:t>
      </w:r>
    </w:p>
    <w:p w14:paraId="2E20A3EE" w14:textId="6B6ECDC5" w:rsidR="00DA4988" w:rsidRDefault="00DA4988" w:rsidP="00B03234">
      <w:pPr>
        <w:pStyle w:val="Heading5"/>
      </w:pPr>
      <w:bookmarkStart w:id="839" w:name="_Ref60857060"/>
      <w:r>
        <w:t xml:space="preserve">inappropriate or anomalous market conduct, including unilateral or interdependent </w:t>
      </w:r>
      <w:r w:rsidR="006E3DC3">
        <w:t>behaviour</w:t>
      </w:r>
      <w:r>
        <w:t xml:space="preserve"> resulting in </w:t>
      </w:r>
      <w:r w:rsidR="00C55371">
        <w:t xml:space="preserve">manipulation, </w:t>
      </w:r>
      <w:r>
        <w:t>abus</w:t>
      </w:r>
      <w:r w:rsidR="00C55371">
        <w:t>e</w:t>
      </w:r>
      <w:r>
        <w:t xml:space="preserve"> </w:t>
      </w:r>
      <w:r w:rsidR="000021A7">
        <w:t>or</w:t>
      </w:r>
      <w:r>
        <w:t xml:space="preserve"> possible abuse of market power;</w:t>
      </w:r>
      <w:bookmarkEnd w:id="839"/>
    </w:p>
    <w:p w14:paraId="1B98098A" w14:textId="27EA40A4" w:rsidR="00DA4988" w:rsidRPr="009D02AD" w:rsidRDefault="00DA4988" w:rsidP="00B03234">
      <w:pPr>
        <w:pStyle w:val="Heading5"/>
      </w:pPr>
      <w:bookmarkStart w:id="840" w:name="_Ref60857195"/>
      <w:r>
        <w:t xml:space="preserve">identify actual or potential design flaws </w:t>
      </w:r>
      <w:r w:rsidR="000021A7">
        <w:t>or</w:t>
      </w:r>
      <w:r>
        <w:t xml:space="preserve"> </w:t>
      </w:r>
      <w:r w:rsidR="00C55371">
        <w:t xml:space="preserve">procedural </w:t>
      </w:r>
      <w:r>
        <w:t xml:space="preserve">inefficiencies in </w:t>
      </w:r>
      <w:r w:rsidR="00F05124">
        <w:t>this Code</w:t>
      </w:r>
      <w:r w:rsidR="000021A7" w:rsidRPr="009D02AD">
        <w:t xml:space="preserve"> or</w:t>
      </w:r>
      <w:r w:rsidRPr="009D02AD">
        <w:t xml:space="preserve"> the Grid Code</w:t>
      </w:r>
      <w:r w:rsidR="000021A7" w:rsidRPr="009D02AD">
        <w:t xml:space="preserve"> or in the Commercial Code Operational Procedures;</w:t>
      </w:r>
      <w:r w:rsidRPr="009D02AD">
        <w:t xml:space="preserve"> </w:t>
      </w:r>
      <w:bookmarkEnd w:id="840"/>
    </w:p>
    <w:p w14:paraId="32B2B24C" w14:textId="65C5AFCC" w:rsidR="00DA4988" w:rsidRPr="009D02AD" w:rsidRDefault="00DA4988" w:rsidP="00B03234">
      <w:pPr>
        <w:pStyle w:val="Heading5"/>
      </w:pPr>
      <w:r w:rsidRPr="009D02AD">
        <w:lastRenderedPageBreak/>
        <w:t xml:space="preserve">actual or potential design flaws in the overall structure of the </w:t>
      </w:r>
      <w:r w:rsidR="000021A7" w:rsidRPr="009D02AD">
        <w:t xml:space="preserve">CTBCM </w:t>
      </w:r>
      <w:r w:rsidRPr="009D02AD">
        <w:t xml:space="preserve">and assess whether any one or more specific aspects of the underlying structure of the </w:t>
      </w:r>
      <w:r w:rsidR="000021A7" w:rsidRPr="009D02AD">
        <w:t>CTBCM</w:t>
      </w:r>
      <w:r w:rsidRPr="009D02AD">
        <w:t xml:space="preserve"> is consistent with the efficient and fair operation of a competitive market; and</w:t>
      </w:r>
    </w:p>
    <w:p w14:paraId="0C6EEC2C" w14:textId="03EEAB71" w:rsidR="00DA4988" w:rsidRPr="009D02AD" w:rsidRDefault="00DA4988" w:rsidP="00B03234">
      <w:pPr>
        <w:pStyle w:val="Heading5"/>
      </w:pPr>
      <w:r w:rsidRPr="009D02AD">
        <w:t xml:space="preserve">such other matters as the </w:t>
      </w:r>
      <w:r w:rsidR="006E3DC3">
        <w:t xml:space="preserve">Market Operator </w:t>
      </w:r>
      <w:r w:rsidR="00C55371">
        <w:t>deems appropriate</w:t>
      </w:r>
      <w:r w:rsidRPr="009D02AD">
        <w:t>.</w:t>
      </w:r>
    </w:p>
    <w:p w14:paraId="1667104E" w14:textId="7E618F5C" w:rsidR="00DA4988" w:rsidRDefault="00DA4988" w:rsidP="005B295A">
      <w:pPr>
        <w:pStyle w:val="Heading4"/>
      </w:pPr>
      <w:bookmarkStart w:id="841" w:name="_Ref441993611"/>
      <w:bookmarkStart w:id="842" w:name="_Ref60856308"/>
      <w:r>
        <w:t xml:space="preserve">The Market </w:t>
      </w:r>
      <w:r w:rsidR="006B3D26">
        <w:t>Operator</w:t>
      </w:r>
      <w:r>
        <w:t xml:space="preserve"> shall  develop </w:t>
      </w:r>
      <w:r w:rsidR="00690CD1">
        <w:t xml:space="preserve">a </w:t>
      </w:r>
      <w:r>
        <w:t>system</w:t>
      </w:r>
      <w:r w:rsidR="00690CD1">
        <w:t xml:space="preserve"> for gathering information</w:t>
      </w:r>
      <w:r>
        <w:t xml:space="preserve"> </w:t>
      </w:r>
      <w:r w:rsidR="00690CD1">
        <w:t xml:space="preserve">as well as </w:t>
      </w:r>
      <w:r>
        <w:t>criteria for evaluation</w:t>
      </w:r>
      <w:r w:rsidR="00690CD1">
        <w:t xml:space="preserve"> of the information</w:t>
      </w:r>
      <w:r>
        <w:t xml:space="preserve"> </w:t>
      </w:r>
      <w:r w:rsidR="00690CD1">
        <w:t>to enable</w:t>
      </w:r>
      <w:r>
        <w:t xml:space="preserve"> it to effectively carry out the monitoring function</w:t>
      </w:r>
      <w:r w:rsidR="00690CD1">
        <w:t>s</w:t>
      </w:r>
      <w:r>
        <w:t xml:space="preserve">. </w:t>
      </w:r>
      <w:r w:rsidR="00690CD1">
        <w:t>For this purpose,</w:t>
      </w:r>
      <w:r>
        <w:t xml:space="preserve"> the Market </w:t>
      </w:r>
      <w:r w:rsidR="006B3D26">
        <w:t>Operator</w:t>
      </w:r>
      <w:r>
        <w:t xml:space="preserve"> </w:t>
      </w:r>
      <w:r w:rsidR="006B3D26">
        <w:t xml:space="preserve">shall </w:t>
      </w:r>
      <w:r>
        <w:t>develop</w:t>
      </w:r>
      <w:bookmarkEnd w:id="841"/>
      <w:r w:rsidR="00C72A65">
        <w:t xml:space="preserve"> and publish on MO Website</w:t>
      </w:r>
      <w:r>
        <w:t>:</w:t>
      </w:r>
      <w:bookmarkEnd w:id="842"/>
      <w:r>
        <w:t xml:space="preserve"> </w:t>
      </w:r>
    </w:p>
    <w:p w14:paraId="0AE93C48" w14:textId="73F2F47A" w:rsidR="00DA4988" w:rsidRDefault="00DA4988" w:rsidP="00B03234">
      <w:pPr>
        <w:pStyle w:val="Heading5"/>
      </w:pPr>
      <w:bookmarkStart w:id="843" w:name="_Ref440181268"/>
      <w:r>
        <w:t xml:space="preserve">a detailed catalogue of data and/or categories of data it </w:t>
      </w:r>
      <w:r w:rsidR="00690CD1">
        <w:t xml:space="preserve">requires </w:t>
      </w:r>
      <w:r>
        <w:t xml:space="preserve">from </w:t>
      </w:r>
      <w:r w:rsidR="000021A7">
        <w:t xml:space="preserve">Market </w:t>
      </w:r>
      <w:r>
        <w:t>Participants</w:t>
      </w:r>
      <w:r w:rsidR="00000B4C">
        <w:t>, the System Operator and relevant Service Providers</w:t>
      </w:r>
      <w:r>
        <w:t>; and</w:t>
      </w:r>
      <w:bookmarkEnd w:id="843"/>
    </w:p>
    <w:p w14:paraId="777388D4" w14:textId="312CA7F3" w:rsidR="00DA4988" w:rsidRPr="000E633F" w:rsidRDefault="00DA4988" w:rsidP="00B03C4A">
      <w:pPr>
        <w:pStyle w:val="Heading5"/>
        <w:ind w:left="1701"/>
        <w:rPr>
          <w:rFonts w:asciiTheme="minorHAnsi" w:hAnsiTheme="minorHAnsi" w:cstheme="minorHAnsi"/>
          <w:szCs w:val="22"/>
        </w:rPr>
      </w:pPr>
      <w:bookmarkStart w:id="844" w:name="_Ref440181308"/>
      <w:r>
        <w:t>a catalogue of the monitoring i</w:t>
      </w:r>
      <w:r w:rsidR="000021A7">
        <w:t>ndicators</w:t>
      </w:r>
      <w:r>
        <w:t xml:space="preserve"> that it will use to evaluate and </w:t>
      </w:r>
      <w:r w:rsidR="006E3DC3">
        <w:t>analyse</w:t>
      </w:r>
      <w:r>
        <w:t xml:space="preserve"> the data so acquired.</w:t>
      </w:r>
      <w:bookmarkEnd w:id="844"/>
      <w:r>
        <w:t xml:space="preserve"> </w:t>
      </w:r>
    </w:p>
    <w:p w14:paraId="26552594" w14:textId="33DB79CB" w:rsidR="00DA4988" w:rsidRDefault="00DA4988" w:rsidP="005B295A">
      <w:pPr>
        <w:pStyle w:val="Heading4"/>
      </w:pPr>
      <w:bookmarkStart w:id="845" w:name="_Ref60856113"/>
      <w:r>
        <w:t xml:space="preserve">The Market </w:t>
      </w:r>
      <w:r w:rsidR="007554AF">
        <w:t>Operator</w:t>
      </w:r>
      <w:r>
        <w:t xml:space="preserve"> may </w:t>
      </w:r>
      <w:r w:rsidR="00A064A1">
        <w:t xml:space="preserve">require </w:t>
      </w:r>
      <w:r>
        <w:t xml:space="preserve">a </w:t>
      </w:r>
      <w:r w:rsidR="000021A7">
        <w:t xml:space="preserve">Market </w:t>
      </w:r>
      <w:r>
        <w:t>Participant</w:t>
      </w:r>
      <w:r w:rsidR="007554AF">
        <w:t>, a Service Provider</w:t>
      </w:r>
      <w:r>
        <w:t xml:space="preserve"> </w:t>
      </w:r>
      <w:r w:rsidR="007554AF">
        <w:t xml:space="preserve">or the System Operator </w:t>
      </w:r>
      <w:r w:rsidR="00A064A1">
        <w:t xml:space="preserve">to </w:t>
      </w:r>
      <w:r>
        <w:t>provide</w:t>
      </w:r>
      <w:r w:rsidR="00A064A1">
        <w:t xml:space="preserve"> such additional </w:t>
      </w:r>
      <w:r>
        <w:t xml:space="preserve">information, other than that referred to in the catalogue developed under </w:t>
      </w:r>
      <w:r w:rsidR="000021A7">
        <w:t xml:space="preserve">Clause </w:t>
      </w:r>
      <w:r w:rsidR="000021A7">
        <w:fldChar w:fldCharType="begin"/>
      </w:r>
      <w:r w:rsidR="000021A7">
        <w:instrText xml:space="preserve"> REF _Ref440181268 \w \h </w:instrText>
      </w:r>
      <w:r w:rsidR="000021A7">
        <w:fldChar w:fldCharType="separate"/>
      </w:r>
      <w:r w:rsidR="00251DBF">
        <w:t>16.2.1.2.a)</w:t>
      </w:r>
      <w:r w:rsidR="000021A7">
        <w:fldChar w:fldCharType="end"/>
      </w:r>
      <w:r>
        <w:t xml:space="preserve"> if the Market </w:t>
      </w:r>
      <w:r w:rsidR="007554AF">
        <w:t>Operator</w:t>
      </w:r>
      <w:r>
        <w:t xml:space="preserve"> needs such information to enable it to perform </w:t>
      </w:r>
      <w:r w:rsidR="009D02AD">
        <w:t>its</w:t>
      </w:r>
      <w:r>
        <w:t xml:space="preserve"> activities.</w:t>
      </w:r>
      <w:bookmarkEnd w:id="845"/>
    </w:p>
    <w:p w14:paraId="2B8F5C49" w14:textId="34E842B4" w:rsidR="00DA4988" w:rsidRDefault="00DA4988" w:rsidP="005B295A">
      <w:pPr>
        <w:pStyle w:val="Heading4"/>
      </w:pPr>
      <w:bookmarkStart w:id="846" w:name="_Ref440248480"/>
      <w:r>
        <w:t xml:space="preserve">The Market </w:t>
      </w:r>
      <w:r w:rsidR="007554AF">
        <w:t>Operator</w:t>
      </w:r>
      <w:r>
        <w:t xml:space="preserve"> shall establish procedures </w:t>
      </w:r>
      <w:r w:rsidR="00A064A1">
        <w:t>for</w:t>
      </w:r>
      <w:r>
        <w:t xml:space="preserve"> handl</w:t>
      </w:r>
      <w:r w:rsidR="00A064A1">
        <w:t xml:space="preserve">ing </w:t>
      </w:r>
      <w:r>
        <w:t xml:space="preserve">the </w:t>
      </w:r>
      <w:r w:rsidR="00A064A1">
        <w:t>acquired  d</w:t>
      </w:r>
      <w:r>
        <w:t>ata</w:t>
      </w:r>
      <w:r w:rsidR="00A064A1">
        <w:t xml:space="preserve"> </w:t>
      </w:r>
      <w:r>
        <w:t xml:space="preserve">including procedures for protecting Confidential Information. </w:t>
      </w:r>
      <w:bookmarkEnd w:id="846"/>
    </w:p>
    <w:p w14:paraId="35D414DE" w14:textId="5808B5D9" w:rsidR="00DA4988" w:rsidRDefault="00DA4988" w:rsidP="005B295A">
      <w:pPr>
        <w:pStyle w:val="Heading4"/>
      </w:pPr>
      <w:r>
        <w:t xml:space="preserve">The Market </w:t>
      </w:r>
      <w:r w:rsidR="007554AF">
        <w:t>Operator</w:t>
      </w:r>
      <w:r>
        <w:t xml:space="preserve"> shall not disclose</w:t>
      </w:r>
      <w:r w:rsidR="007554AF">
        <w:t>,</w:t>
      </w:r>
      <w:r>
        <w:t xml:space="preserve"> to </w:t>
      </w:r>
      <w:r w:rsidR="007554AF">
        <w:t>any person,</w:t>
      </w:r>
      <w:r>
        <w:t xml:space="preserve"> Confidential Information pertaining to any other </w:t>
      </w:r>
      <w:r w:rsidR="007554AF">
        <w:t>person</w:t>
      </w:r>
      <w:r>
        <w:t xml:space="preserve"> and acquired for the purpose of carrying out </w:t>
      </w:r>
      <w:r w:rsidR="009D02AD">
        <w:t>its</w:t>
      </w:r>
      <w:r>
        <w:t xml:space="preserve"> monitoring functions.</w:t>
      </w:r>
    </w:p>
    <w:p w14:paraId="243152E8" w14:textId="4D1B6605" w:rsidR="00DA4988" w:rsidRDefault="000021A7" w:rsidP="005B295A">
      <w:pPr>
        <w:pStyle w:val="Heading4"/>
      </w:pPr>
      <w:bookmarkStart w:id="847" w:name="_Ref440181613"/>
      <w:r>
        <w:t xml:space="preserve">Market </w:t>
      </w:r>
      <w:r w:rsidR="00DA4988">
        <w:t>Participants</w:t>
      </w:r>
      <w:r w:rsidR="00A064A1">
        <w:t>, Service Providers and the System Operator</w:t>
      </w:r>
      <w:r w:rsidR="00DA4988">
        <w:t xml:space="preserve"> must provide </w:t>
      </w:r>
      <w:r w:rsidR="00A064A1">
        <w:t xml:space="preserve">to </w:t>
      </w:r>
      <w:r w:rsidR="00DA4988">
        <w:t xml:space="preserve">the Market </w:t>
      </w:r>
      <w:r w:rsidR="007554AF">
        <w:t>Operator</w:t>
      </w:r>
      <w:r w:rsidR="00DA4988">
        <w:t xml:space="preserve"> the data: </w:t>
      </w:r>
    </w:p>
    <w:p w14:paraId="134641FC" w14:textId="78ED1CF9" w:rsidR="00DA4988" w:rsidRPr="009D02AD" w:rsidRDefault="00DA4988" w:rsidP="00A22D29">
      <w:pPr>
        <w:pStyle w:val="BodyText"/>
      </w:pPr>
      <w:r>
        <w:t>(a)</w:t>
      </w:r>
      <w:r>
        <w:tab/>
        <w:t>referred to in the catalogue described in</w:t>
      </w:r>
      <w:r w:rsidR="000021A7">
        <w:t xml:space="preserve"> Clause</w:t>
      </w:r>
      <w:r>
        <w:t xml:space="preserve"> </w:t>
      </w:r>
      <w:bookmarkEnd w:id="847"/>
      <w:r w:rsidR="000021A7">
        <w:fldChar w:fldCharType="begin"/>
      </w:r>
      <w:r w:rsidR="000021A7">
        <w:instrText xml:space="preserve"> REF _Ref440181268 \w \h </w:instrText>
      </w:r>
      <w:r w:rsidR="000021A7">
        <w:fldChar w:fldCharType="separate"/>
      </w:r>
      <w:r w:rsidR="00251DBF">
        <w:t>16.2.1.2.a)</w:t>
      </w:r>
      <w:r w:rsidR="000021A7">
        <w:fldChar w:fldCharType="end"/>
      </w:r>
      <w:r w:rsidR="000021A7">
        <w:t xml:space="preserve"> </w:t>
      </w:r>
      <w:r>
        <w:t xml:space="preserve">once published by the </w:t>
      </w:r>
      <w:r w:rsidRPr="009D02AD">
        <w:t xml:space="preserve">Market </w:t>
      </w:r>
      <w:r w:rsidR="007554AF">
        <w:t>Operator</w:t>
      </w:r>
      <w:r w:rsidRPr="009D02AD">
        <w:t>; and</w:t>
      </w:r>
    </w:p>
    <w:p w14:paraId="095E20C4" w14:textId="5521D3CD" w:rsidR="00DA4988" w:rsidRPr="009D02AD" w:rsidRDefault="00DA4988" w:rsidP="00A22D29">
      <w:pPr>
        <w:pStyle w:val="BodyText"/>
      </w:pPr>
      <w:r w:rsidRPr="009D02AD">
        <w:t>(b)</w:t>
      </w:r>
      <w:r w:rsidRPr="009D02AD">
        <w:tab/>
      </w:r>
      <w:r w:rsidR="00A064A1">
        <w:t>required</w:t>
      </w:r>
      <w:r w:rsidR="00A064A1" w:rsidRPr="009D02AD">
        <w:t xml:space="preserve"> </w:t>
      </w:r>
      <w:r w:rsidRPr="009D02AD">
        <w:t xml:space="preserve">by the Market </w:t>
      </w:r>
      <w:r w:rsidR="007554AF">
        <w:t>Operator</w:t>
      </w:r>
      <w:r w:rsidRPr="009D02AD">
        <w:t xml:space="preserve"> pursuant to </w:t>
      </w:r>
      <w:r w:rsidR="000021A7" w:rsidRPr="009D02AD">
        <w:t xml:space="preserve">Clause </w:t>
      </w:r>
      <w:r w:rsidR="000021A7" w:rsidRPr="009D02AD">
        <w:fldChar w:fldCharType="begin"/>
      </w:r>
      <w:r w:rsidR="000021A7" w:rsidRPr="009D02AD">
        <w:instrText xml:space="preserve"> REF _Ref60856113 \w \h </w:instrText>
      </w:r>
      <w:r w:rsidR="009D02AD">
        <w:instrText xml:space="preserve"> \* MERGEFORMAT </w:instrText>
      </w:r>
      <w:r w:rsidR="000021A7" w:rsidRPr="009D02AD">
        <w:fldChar w:fldCharType="separate"/>
      </w:r>
      <w:r w:rsidR="00251DBF">
        <w:t>16.2.1.3</w:t>
      </w:r>
      <w:r w:rsidR="000021A7" w:rsidRPr="009D02AD">
        <w:fldChar w:fldCharType="end"/>
      </w:r>
      <w:r w:rsidRPr="009D02AD">
        <w:t>.</w:t>
      </w:r>
    </w:p>
    <w:p w14:paraId="7B1BA5DD" w14:textId="1116B97F" w:rsidR="00DA4988" w:rsidRDefault="00DA4988" w:rsidP="005B295A">
      <w:pPr>
        <w:pStyle w:val="Heading4"/>
      </w:pPr>
      <w:bookmarkStart w:id="848" w:name="_Ref440181375"/>
      <w:r w:rsidRPr="009D02AD">
        <w:t xml:space="preserve">The catalogues in </w:t>
      </w:r>
      <w:r w:rsidR="007975F8" w:rsidRPr="009D02AD">
        <w:t>Clause</w:t>
      </w:r>
      <w:r w:rsidR="007554AF">
        <w:t>s</w:t>
      </w:r>
      <w:r w:rsidR="007975F8" w:rsidRPr="009D02AD">
        <w:t xml:space="preserve"> </w:t>
      </w:r>
      <w:r w:rsidR="007975F8" w:rsidRPr="009D02AD">
        <w:fldChar w:fldCharType="begin"/>
      </w:r>
      <w:r w:rsidR="007975F8" w:rsidRPr="009D02AD">
        <w:instrText xml:space="preserve"> REF _Ref440181268 \w \h </w:instrText>
      </w:r>
      <w:r w:rsidR="009D02AD">
        <w:instrText xml:space="preserve"> \* MERGEFORMAT </w:instrText>
      </w:r>
      <w:r w:rsidR="007975F8" w:rsidRPr="009D02AD">
        <w:fldChar w:fldCharType="separate"/>
      </w:r>
      <w:r w:rsidR="00251DBF">
        <w:t>16.2.1.2.a)</w:t>
      </w:r>
      <w:r w:rsidR="007975F8" w:rsidRPr="009D02AD">
        <w:fldChar w:fldCharType="end"/>
      </w:r>
      <w:r w:rsidR="007975F8" w:rsidRPr="009D02AD">
        <w:t xml:space="preserve"> and </w:t>
      </w:r>
      <w:r w:rsidR="007975F8" w:rsidRPr="009D02AD">
        <w:fldChar w:fldCharType="begin"/>
      </w:r>
      <w:r w:rsidR="007975F8" w:rsidRPr="009D02AD">
        <w:instrText xml:space="preserve"> REF _Ref440181308 \w \h </w:instrText>
      </w:r>
      <w:r w:rsidR="009D02AD">
        <w:instrText xml:space="preserve"> \* MERGEFORMAT </w:instrText>
      </w:r>
      <w:r w:rsidR="007975F8" w:rsidRPr="009D02AD">
        <w:fldChar w:fldCharType="separate"/>
      </w:r>
      <w:r w:rsidR="00251DBF">
        <w:t>16.2.1.2.b)</w:t>
      </w:r>
      <w:r w:rsidR="007975F8" w:rsidRPr="009D02AD">
        <w:fldChar w:fldCharType="end"/>
      </w:r>
      <w:r w:rsidRPr="009D02AD">
        <w:t xml:space="preserve"> shall be </w:t>
      </w:r>
      <w:r w:rsidR="007554AF">
        <w:t>subject to</w:t>
      </w:r>
      <w:r w:rsidRPr="009D02AD">
        <w:t xml:space="preserve"> such re-evaluation and refinement by the Market </w:t>
      </w:r>
      <w:r w:rsidR="007554AF">
        <w:t>Operator as deemed appropriate</w:t>
      </w:r>
      <w:r>
        <w:t>.</w:t>
      </w:r>
      <w:bookmarkEnd w:id="848"/>
    </w:p>
    <w:p w14:paraId="6EB704FF" w14:textId="240E3408" w:rsidR="00DA4988" w:rsidRDefault="00DA4988" w:rsidP="005B295A">
      <w:pPr>
        <w:pStyle w:val="Heading4"/>
      </w:pPr>
      <w:r>
        <w:t xml:space="preserve">Nothing in this </w:t>
      </w:r>
      <w:r w:rsidR="00206E65">
        <w:t xml:space="preserve">Chapter </w:t>
      </w:r>
      <w:r>
        <w:t xml:space="preserve">shall </w:t>
      </w:r>
      <w:r w:rsidR="00A064A1">
        <w:t xml:space="preserve">prevent </w:t>
      </w:r>
      <w:r>
        <w:t xml:space="preserve">the Market </w:t>
      </w:r>
      <w:r w:rsidR="007554AF">
        <w:t>Operator</w:t>
      </w:r>
      <w:r>
        <w:t xml:space="preserve"> from conducting such monitoring, </w:t>
      </w:r>
      <w:r w:rsidR="009D02AD">
        <w:t>evaluation,</w:t>
      </w:r>
      <w:r>
        <w:t xml:space="preserve"> or analysis as it </w:t>
      </w:r>
      <w:r w:rsidR="00A064A1">
        <w:t xml:space="preserve">deems </w:t>
      </w:r>
      <w:r>
        <w:t xml:space="preserve">appropriate </w:t>
      </w:r>
      <w:r w:rsidR="00A064A1">
        <w:t>from time to time</w:t>
      </w:r>
      <w:r>
        <w:t>.</w:t>
      </w:r>
    </w:p>
    <w:p w14:paraId="7E479242" w14:textId="3A3A69C3" w:rsidR="00DA4988" w:rsidRDefault="00DA4988" w:rsidP="005B295A">
      <w:pPr>
        <w:pStyle w:val="Heading4"/>
      </w:pPr>
      <w:r>
        <w:t xml:space="preserve">The </w:t>
      </w:r>
      <w:commentRangeStart w:id="849"/>
      <w:r w:rsidRPr="00B03C4A">
        <w:rPr>
          <w:strike/>
        </w:rPr>
        <w:t xml:space="preserve">Market </w:t>
      </w:r>
      <w:r w:rsidR="007554AF" w:rsidRPr="00B03C4A">
        <w:rPr>
          <w:strike/>
        </w:rPr>
        <w:t>Operator</w:t>
      </w:r>
      <w:r w:rsidRPr="00B03C4A">
        <w:rPr>
          <w:strike/>
        </w:rPr>
        <w:t xml:space="preserve"> shall, no less than annually and more frequently if </w:t>
      </w:r>
      <w:r w:rsidR="007554AF" w:rsidRPr="00B03C4A">
        <w:rPr>
          <w:strike/>
        </w:rPr>
        <w:t>decided by</w:t>
      </w:r>
      <w:r w:rsidRPr="00B03C4A">
        <w:rPr>
          <w:strike/>
        </w:rPr>
        <w:t xml:space="preserve"> the </w:t>
      </w:r>
      <w:r w:rsidR="006E3DC3" w:rsidRPr="00B03C4A">
        <w:rPr>
          <w:strike/>
        </w:rPr>
        <w:t>Market Operator</w:t>
      </w:r>
      <w:r w:rsidR="00A064A1" w:rsidRPr="00B03C4A">
        <w:rPr>
          <w:strike/>
        </w:rPr>
        <w:t xml:space="preserve"> board</w:t>
      </w:r>
      <w:r w:rsidRPr="00B03C4A">
        <w:rPr>
          <w:strike/>
        </w:rPr>
        <w:t xml:space="preserve">, prepare routine reports on matters pertaining to its responsibilities pursuant to this </w:t>
      </w:r>
      <w:r w:rsidR="00206E65" w:rsidRPr="00B03C4A">
        <w:rPr>
          <w:strike/>
        </w:rPr>
        <w:t>Chapter</w:t>
      </w:r>
      <w:r w:rsidRPr="00B03C4A">
        <w:rPr>
          <w:strike/>
        </w:rPr>
        <w:t xml:space="preserve">, including a summary of all complaints or referrals filed and investigations commenced under </w:t>
      </w:r>
      <w:r w:rsidR="008C02F7">
        <w:rPr>
          <w:strike/>
        </w:rPr>
        <w:t>Sub-Section</w:t>
      </w:r>
      <w:r w:rsidR="007975F8" w:rsidRPr="00B03C4A">
        <w:rPr>
          <w:strike/>
        </w:rPr>
        <w:t xml:space="preserve"> </w:t>
      </w:r>
      <w:r w:rsidR="007975F8" w:rsidRPr="00B03C4A">
        <w:rPr>
          <w:strike/>
        </w:rPr>
        <w:fldChar w:fldCharType="begin"/>
      </w:r>
      <w:r w:rsidR="007975F8" w:rsidRPr="00B03C4A">
        <w:rPr>
          <w:strike/>
        </w:rPr>
        <w:instrText xml:space="preserve"> REF _Ref60856418 \w \h </w:instrText>
      </w:r>
      <w:r w:rsidR="00A064A1">
        <w:rPr>
          <w:strike/>
        </w:rPr>
        <w:instrText xml:space="preserve"> \* MERGEFORMAT </w:instrText>
      </w:r>
      <w:r w:rsidR="007975F8" w:rsidRPr="00B03C4A">
        <w:rPr>
          <w:strike/>
        </w:rPr>
      </w:r>
      <w:r w:rsidR="007975F8" w:rsidRPr="00B03C4A">
        <w:rPr>
          <w:strike/>
        </w:rPr>
        <w:fldChar w:fldCharType="separate"/>
      </w:r>
      <w:r w:rsidR="007554AF" w:rsidRPr="00B03C4A">
        <w:rPr>
          <w:strike/>
        </w:rPr>
        <w:t>16.3.2</w:t>
      </w:r>
      <w:r w:rsidR="007975F8" w:rsidRPr="00B03C4A">
        <w:rPr>
          <w:strike/>
        </w:rPr>
        <w:fldChar w:fldCharType="end"/>
      </w:r>
      <w:r w:rsidRPr="00B03C4A">
        <w:rPr>
          <w:strike/>
        </w:rPr>
        <w:t xml:space="preserve">. </w:t>
      </w:r>
      <w:r w:rsidR="009D02AD" w:rsidRPr="00B03C4A">
        <w:rPr>
          <w:strike/>
        </w:rPr>
        <w:t>S</w:t>
      </w:r>
      <w:r w:rsidRPr="00B03C4A">
        <w:rPr>
          <w:strike/>
        </w:rPr>
        <w:t xml:space="preserve">uch reports shall contain the Market </w:t>
      </w:r>
      <w:r w:rsidR="007554AF" w:rsidRPr="00B03C4A">
        <w:rPr>
          <w:strike/>
        </w:rPr>
        <w:t>Operator’s</w:t>
      </w:r>
      <w:r w:rsidRPr="00B03C4A">
        <w:rPr>
          <w:strike/>
        </w:rPr>
        <w:t xml:space="preserve"> general assessment as to the state of competition within, and the efficiency of, the </w:t>
      </w:r>
      <w:r w:rsidR="007975F8" w:rsidRPr="00B03C4A">
        <w:rPr>
          <w:strike/>
        </w:rPr>
        <w:t>CTBCM</w:t>
      </w:r>
      <w:r w:rsidRPr="00B03C4A">
        <w:rPr>
          <w:strike/>
        </w:rPr>
        <w:t>.</w:t>
      </w:r>
      <w:commentRangeEnd w:id="849"/>
      <w:r w:rsidR="00A064A1">
        <w:rPr>
          <w:rStyle w:val="CommentReference"/>
          <w:rFonts w:eastAsiaTheme="minorHAnsi" w:cstheme="minorBidi"/>
          <w:bCs w:val="0"/>
          <w:iCs w:val="0"/>
          <w:color w:val="1C1C1C"/>
        </w:rPr>
        <w:commentReference w:id="849"/>
      </w:r>
    </w:p>
    <w:p w14:paraId="1AC2F646" w14:textId="15663542" w:rsidR="00DA4988" w:rsidRDefault="00DA4988" w:rsidP="005B295A">
      <w:pPr>
        <w:pStyle w:val="Heading4"/>
      </w:pPr>
      <w:r>
        <w:t xml:space="preserve">The Market </w:t>
      </w:r>
      <w:r w:rsidR="007554AF">
        <w:t>Operator</w:t>
      </w:r>
      <w:r>
        <w:t xml:space="preserve"> may, from time to time, </w:t>
      </w:r>
      <w:r w:rsidR="006E5BE4">
        <w:t>if required</w:t>
      </w:r>
      <w:r>
        <w:t xml:space="preserve">, consult </w:t>
      </w:r>
      <w:r w:rsidR="00A064A1">
        <w:t xml:space="preserve">the </w:t>
      </w:r>
      <w:r w:rsidR="00136176">
        <w:t>Market Participant</w:t>
      </w:r>
      <w:r>
        <w:t xml:space="preserve">s </w:t>
      </w:r>
      <w:r w:rsidR="006E5BE4">
        <w:t>regarding</w:t>
      </w:r>
      <w:r>
        <w:t xml:space="preserve"> the activities identified in</w:t>
      </w:r>
      <w:r w:rsidR="007975F8">
        <w:t xml:space="preserve"> Clause</w:t>
      </w:r>
      <w:r>
        <w:t xml:space="preserve"> </w:t>
      </w:r>
      <w:r w:rsidR="007975F8">
        <w:fldChar w:fldCharType="begin"/>
      </w:r>
      <w:r w:rsidR="007975F8">
        <w:instrText xml:space="preserve"> REF _Ref60856462 \w \h </w:instrText>
      </w:r>
      <w:r w:rsidR="007975F8">
        <w:fldChar w:fldCharType="separate"/>
      </w:r>
      <w:r w:rsidR="00251DBF">
        <w:t>16.2</w:t>
      </w:r>
      <w:r w:rsidR="007975F8">
        <w:fldChar w:fldCharType="end"/>
      </w:r>
      <w:r w:rsidR="00A064A1">
        <w:t>,</w:t>
      </w:r>
      <w:r>
        <w:t xml:space="preserve"> provided</w:t>
      </w:r>
      <w:r w:rsidR="006E5BE4">
        <w:t xml:space="preserve">, </w:t>
      </w:r>
      <w:r>
        <w:t xml:space="preserve">however that no Confidential Information shall be disclosed to any </w:t>
      </w:r>
      <w:r w:rsidR="007975F8">
        <w:t xml:space="preserve">Market </w:t>
      </w:r>
      <w:r>
        <w:t xml:space="preserve">Participant without prior concurrence of </w:t>
      </w:r>
      <w:r w:rsidR="006E5BE4">
        <w:t>the concerned</w:t>
      </w:r>
      <w:r>
        <w:t xml:space="preserve"> </w:t>
      </w:r>
      <w:r w:rsidR="007975F8">
        <w:t xml:space="preserve">Market </w:t>
      </w:r>
      <w:r>
        <w:t xml:space="preserve">Participant to whom </w:t>
      </w:r>
      <w:r w:rsidR="006E5BE4">
        <w:t xml:space="preserve">such </w:t>
      </w:r>
      <w:r>
        <w:t xml:space="preserve">Confidential Information </w:t>
      </w:r>
      <w:r w:rsidR="006E5BE4">
        <w:t>belongs</w:t>
      </w:r>
      <w:r>
        <w:t>.</w:t>
      </w:r>
    </w:p>
    <w:p w14:paraId="2EFFFA2A" w14:textId="238E175A" w:rsidR="00864284" w:rsidRDefault="00A733B5" w:rsidP="005B295A">
      <w:pPr>
        <w:pStyle w:val="Heading4"/>
      </w:pPr>
      <w:r>
        <w:lastRenderedPageBreak/>
        <w:t>T</w:t>
      </w:r>
      <w:r w:rsidR="00DA4988">
        <w:t xml:space="preserve">he Market </w:t>
      </w:r>
      <w:r w:rsidR="007554AF">
        <w:t>Operator</w:t>
      </w:r>
      <w:r>
        <w:t xml:space="preserve"> shall prepare a report if it</w:t>
      </w:r>
      <w:r w:rsidR="00DA4988">
        <w:t xml:space="preserve">, </w:t>
      </w:r>
      <w:r>
        <w:t xml:space="preserve">while </w:t>
      </w:r>
      <w:r w:rsidR="00DA4988">
        <w:t xml:space="preserve">carrying out its </w:t>
      </w:r>
      <w:r w:rsidR="006E5BE4">
        <w:t>duties</w:t>
      </w:r>
      <w:r w:rsidR="00DA4988">
        <w:t>, identifies that</w:t>
      </w:r>
      <w:r w:rsidR="00864284">
        <w:t>:</w:t>
      </w:r>
    </w:p>
    <w:p w14:paraId="1BEAC50C" w14:textId="117F3C57" w:rsidR="00864284" w:rsidRDefault="00DA4988" w:rsidP="00B03234">
      <w:pPr>
        <w:pStyle w:val="Heading5"/>
      </w:pPr>
      <w:r>
        <w:t xml:space="preserve">a </w:t>
      </w:r>
      <w:r w:rsidR="007975F8">
        <w:t xml:space="preserve">Market </w:t>
      </w:r>
      <w:r>
        <w:t xml:space="preserve">Participant is or may be acting contrary to or may not be in compliance with statutory authority falling within the jurisdiction of a person, board, agency or tribunal including, but not limited to, the </w:t>
      </w:r>
      <w:r w:rsidR="007975F8">
        <w:t>Authority</w:t>
      </w:r>
      <w:r w:rsidR="00864284">
        <w:t>;</w:t>
      </w:r>
      <w:r>
        <w:t xml:space="preserve"> or </w:t>
      </w:r>
    </w:p>
    <w:p w14:paraId="53974ACE" w14:textId="37BC28DB" w:rsidR="00864284" w:rsidRDefault="00DA4988" w:rsidP="00B03234">
      <w:pPr>
        <w:pStyle w:val="Heading5"/>
      </w:pPr>
      <w:r>
        <w:t xml:space="preserve">identifies that a </w:t>
      </w:r>
      <w:r w:rsidR="007975F8">
        <w:t xml:space="preserve">Market </w:t>
      </w:r>
      <w:r>
        <w:t xml:space="preserve">Participant is or may be breaching or violating a provision of </w:t>
      </w:r>
      <w:r w:rsidR="00F05124">
        <w:t>this Code</w:t>
      </w:r>
      <w:r w:rsidR="007975F8">
        <w:t xml:space="preserve"> </w:t>
      </w:r>
      <w:r>
        <w:t xml:space="preserve">or the Grid Code, or </w:t>
      </w:r>
    </w:p>
    <w:p w14:paraId="023F1F74" w14:textId="44F711A2" w:rsidR="00864284" w:rsidRDefault="00DA4988" w:rsidP="00B03234">
      <w:pPr>
        <w:pStyle w:val="Heading5"/>
      </w:pPr>
      <w:bookmarkStart w:id="850" w:name="_Ref60866366"/>
      <w:r>
        <w:t xml:space="preserve">that an Amendment to </w:t>
      </w:r>
      <w:r w:rsidR="00F05124">
        <w:t>this Code</w:t>
      </w:r>
      <w:r w:rsidR="007975F8">
        <w:t xml:space="preserve"> </w:t>
      </w:r>
      <w:r>
        <w:t>and/or the Grid Code may be required,</w:t>
      </w:r>
      <w:bookmarkEnd w:id="850"/>
      <w:r>
        <w:t xml:space="preserve"> </w:t>
      </w:r>
    </w:p>
    <w:p w14:paraId="446E9E7E" w14:textId="2BBB1B32" w:rsidR="00DA4988" w:rsidRDefault="00DA4988" w:rsidP="00864284">
      <w:pPr>
        <w:ind w:left="1701"/>
      </w:pPr>
      <w:r>
        <w:t>If the report recommends</w:t>
      </w:r>
      <w:r w:rsidR="007554AF">
        <w:t xml:space="preserve"> that</w:t>
      </w:r>
      <w:r>
        <w:t xml:space="preserve"> an Amendment to </w:t>
      </w:r>
      <w:r w:rsidR="00F05124">
        <w:t>this Code</w:t>
      </w:r>
      <w:r>
        <w:t xml:space="preserve"> and/or the Grid Code, a copy of such report shall be sent to the </w:t>
      </w:r>
      <w:r w:rsidR="00F64A42">
        <w:t>Commercial Code</w:t>
      </w:r>
      <w:r w:rsidR="00864284">
        <w:t xml:space="preserve"> Review Panel</w:t>
      </w:r>
      <w:r>
        <w:t xml:space="preserve">. If the report identifies a breach committed or that might be or might have been committed by a </w:t>
      </w:r>
      <w:r w:rsidR="007975F8">
        <w:t xml:space="preserve">Market </w:t>
      </w:r>
      <w:r>
        <w:t xml:space="preserve">Participant, a copy of such report shall be sent to </w:t>
      </w:r>
      <w:r w:rsidRPr="00FB5DB2">
        <w:rPr>
          <w:strike/>
        </w:rPr>
        <w:t>the Market Operator and</w:t>
      </w:r>
      <w:r>
        <w:t xml:space="preserve"> the concerned </w:t>
      </w:r>
      <w:r w:rsidR="007975F8">
        <w:t xml:space="preserve">Market </w:t>
      </w:r>
      <w:r>
        <w:t>Participant</w:t>
      </w:r>
      <w:r w:rsidR="007554AF">
        <w:t xml:space="preserve"> as well</w:t>
      </w:r>
      <w:r>
        <w:t>.</w:t>
      </w:r>
    </w:p>
    <w:p w14:paraId="62C3110D" w14:textId="6175B7DB" w:rsidR="00DA4988" w:rsidRDefault="00DA4988" w:rsidP="00C173D0">
      <w:pPr>
        <w:pStyle w:val="Heading3"/>
      </w:pPr>
      <w:bookmarkStart w:id="851" w:name="_Toc441990933"/>
      <w:bookmarkStart w:id="852" w:name="_Toc441991015"/>
      <w:bookmarkStart w:id="853" w:name="_Toc442002079"/>
      <w:bookmarkStart w:id="854" w:name="_Ref442016950"/>
      <w:bookmarkStart w:id="855" w:name="_Toc442072122"/>
      <w:bookmarkStart w:id="856" w:name="_Toc473433031"/>
      <w:bookmarkStart w:id="857" w:name="_Toc492888365"/>
      <w:bookmarkStart w:id="858" w:name="_Toc514745972"/>
      <w:bookmarkStart w:id="859" w:name="_Toc527266682"/>
      <w:bookmarkStart w:id="860" w:name="_Toc72322446"/>
      <w:bookmarkStart w:id="861" w:name="_Toc72323118"/>
      <w:bookmarkStart w:id="862" w:name="_Toc81998022"/>
      <w:bookmarkStart w:id="863" w:name="_Toc82077766"/>
      <w:bookmarkStart w:id="864" w:name="_Ref60856418"/>
      <w:bookmarkStart w:id="865" w:name="_Ref60858547"/>
      <w:commentRangeStart w:id="866"/>
      <w:r>
        <w:t>Investigations</w:t>
      </w:r>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commentRangeEnd w:id="866"/>
      <w:r w:rsidR="00A733B5">
        <w:rPr>
          <w:rStyle w:val="CommentReference"/>
          <w:rFonts w:eastAsiaTheme="minorHAnsi" w:cstheme="minorBidi"/>
          <w:smallCaps w:val="0"/>
          <w:color w:val="1C1C1C"/>
        </w:rPr>
        <w:commentReference w:id="866"/>
      </w:r>
    </w:p>
    <w:p w14:paraId="21A32102" w14:textId="64EBF0A1" w:rsidR="00E348D0" w:rsidRDefault="00DA4988" w:rsidP="005B295A">
      <w:pPr>
        <w:pStyle w:val="Heading4"/>
      </w:pPr>
      <w:bookmarkStart w:id="867" w:name="_Ref440181889"/>
      <w:r>
        <w:t xml:space="preserve">The Market </w:t>
      </w:r>
      <w:r w:rsidR="007554AF">
        <w:t>Operator</w:t>
      </w:r>
      <w:r>
        <w:t xml:space="preserve"> may </w:t>
      </w:r>
      <w:r w:rsidR="000D468A">
        <w:t>investigate</w:t>
      </w:r>
      <w:r w:rsidR="00E348D0">
        <w:t>:</w:t>
      </w:r>
    </w:p>
    <w:p w14:paraId="6992BA61" w14:textId="7364D2D9" w:rsidR="00E348D0" w:rsidRDefault="00DA4988" w:rsidP="00722CA1">
      <w:pPr>
        <w:pStyle w:val="Heading5"/>
      </w:pPr>
      <w:r>
        <w:t xml:space="preserve"> any activ</w:t>
      </w:r>
      <w:r w:rsidR="000D468A">
        <w:t>ity</w:t>
      </w:r>
      <w:r>
        <w:t xml:space="preserve"> in the </w:t>
      </w:r>
      <w:r w:rsidR="00966C40">
        <w:t>CTBCM</w:t>
      </w:r>
      <w:r>
        <w:t xml:space="preserve"> and the conduct of a</w:t>
      </w:r>
      <w:r w:rsidR="00966C40">
        <w:t xml:space="preserve"> Market</w:t>
      </w:r>
      <w:r>
        <w:t xml:space="preserve"> Participant</w:t>
      </w:r>
      <w:bookmarkEnd w:id="867"/>
      <w:r w:rsidR="007554AF">
        <w:t xml:space="preserve">, a Service Provider or the System Operator </w:t>
      </w:r>
      <w:r>
        <w:t xml:space="preserve">identified under </w:t>
      </w:r>
      <w:r w:rsidR="00966C40">
        <w:t>Clause</w:t>
      </w:r>
      <w:r>
        <w:t xml:space="preserve"> </w:t>
      </w:r>
      <w:r w:rsidR="00966C40">
        <w:fldChar w:fldCharType="begin"/>
      </w:r>
      <w:r w:rsidR="00966C40">
        <w:instrText xml:space="preserve"> REF _Ref60857060 \w \h </w:instrText>
      </w:r>
      <w:r w:rsidR="00966C40">
        <w:fldChar w:fldCharType="separate"/>
      </w:r>
      <w:r w:rsidR="00251DBF">
        <w:t>16.2.1.1.a)</w:t>
      </w:r>
      <w:r w:rsidR="00966C40">
        <w:fldChar w:fldCharType="end"/>
      </w:r>
      <w:r w:rsidR="001560A3">
        <w:t>;</w:t>
      </w:r>
    </w:p>
    <w:p w14:paraId="2F803181" w14:textId="392FC4A8" w:rsidR="00E348D0" w:rsidRDefault="00DA4988" w:rsidP="00722CA1">
      <w:pPr>
        <w:pStyle w:val="Heading5"/>
      </w:pPr>
      <w:r>
        <w:t xml:space="preserve">actual or potential design or other flaws and inefficiencies in </w:t>
      </w:r>
      <w:r w:rsidR="00F05124">
        <w:t>this Code</w:t>
      </w:r>
      <w:r>
        <w:t xml:space="preserve">, the Grid Code and </w:t>
      </w:r>
      <w:r w:rsidR="000D468A">
        <w:t>CCOPs</w:t>
      </w:r>
      <w:r w:rsidR="00966C40">
        <w:t xml:space="preserve"> </w:t>
      </w:r>
      <w:r>
        <w:t xml:space="preserve">identified under </w:t>
      </w:r>
      <w:r w:rsidR="00446761">
        <w:t xml:space="preserve">Clause </w:t>
      </w:r>
      <w:r w:rsidR="00446761">
        <w:fldChar w:fldCharType="begin"/>
      </w:r>
      <w:r w:rsidR="00446761">
        <w:instrText xml:space="preserve"> REF _Ref60857195 \w \h </w:instrText>
      </w:r>
      <w:r w:rsidR="00446761">
        <w:fldChar w:fldCharType="separate"/>
      </w:r>
      <w:r w:rsidR="00251DBF">
        <w:t>16.2.1.1.b)</w:t>
      </w:r>
      <w:r w:rsidR="00446761">
        <w:fldChar w:fldCharType="end"/>
      </w:r>
      <w:r w:rsidR="001560A3">
        <w:t>;</w:t>
      </w:r>
    </w:p>
    <w:p w14:paraId="6DC54EDA" w14:textId="0000D241" w:rsidR="00DA4988" w:rsidRDefault="00DA4988" w:rsidP="00B03C4A">
      <w:pPr>
        <w:pStyle w:val="Heading5"/>
      </w:pPr>
      <w:r>
        <w:t xml:space="preserve">actual or potential design or other flaws in any one or more specific aspects of the underlying structure of the </w:t>
      </w:r>
      <w:r w:rsidR="00966C40">
        <w:t>CTBCM</w:t>
      </w:r>
      <w:r>
        <w:t xml:space="preserve"> identified under </w:t>
      </w:r>
      <w:r w:rsidR="00966C40">
        <w:t xml:space="preserve">Clause </w:t>
      </w:r>
      <w:r w:rsidR="00446761">
        <w:fldChar w:fldCharType="begin"/>
      </w:r>
      <w:r w:rsidR="00446761">
        <w:instrText xml:space="preserve"> REF _Ref60866366 \w \h </w:instrText>
      </w:r>
      <w:r w:rsidR="00446761">
        <w:fldChar w:fldCharType="separate"/>
      </w:r>
      <w:r w:rsidR="00251DBF">
        <w:t>16.2.1.11.c)</w:t>
      </w:r>
      <w:r w:rsidR="00446761">
        <w:fldChar w:fldCharType="end"/>
      </w:r>
      <w:r w:rsidR="001560A3">
        <w:t>.</w:t>
      </w:r>
    </w:p>
    <w:p w14:paraId="456EFE53" w14:textId="7D20A7AD" w:rsidR="00DA4988" w:rsidRDefault="00DA4988" w:rsidP="005B295A">
      <w:pPr>
        <w:pStyle w:val="Heading4"/>
      </w:pPr>
      <w:bookmarkStart w:id="868" w:name="_Ref60857337"/>
      <w:r>
        <w:t xml:space="preserve">Any person </w:t>
      </w:r>
      <w:r w:rsidR="008E0EBB">
        <w:t xml:space="preserve">desiring </w:t>
      </w:r>
      <w:r>
        <w:t xml:space="preserve">the Market </w:t>
      </w:r>
      <w:r w:rsidR="00E348D0">
        <w:t>Operator</w:t>
      </w:r>
      <w:r>
        <w:t xml:space="preserve"> to conduct an investigation into any matter </w:t>
      </w:r>
      <w:r w:rsidR="008E0EBB">
        <w:t xml:space="preserve">as </w:t>
      </w:r>
      <w:r>
        <w:t xml:space="preserve">referred to in </w:t>
      </w:r>
      <w:r w:rsidR="00966C40">
        <w:t xml:space="preserve">Clause </w:t>
      </w:r>
      <w:r w:rsidR="00966C40">
        <w:fldChar w:fldCharType="begin"/>
      </w:r>
      <w:r w:rsidR="00966C40">
        <w:instrText xml:space="preserve"> REF _Ref60855812 \w \h </w:instrText>
      </w:r>
      <w:r w:rsidR="00966C40">
        <w:fldChar w:fldCharType="separate"/>
      </w:r>
      <w:r w:rsidR="00E348D0">
        <w:t>16.3.1.1</w:t>
      </w:r>
      <w:r w:rsidR="00966C40">
        <w:fldChar w:fldCharType="end"/>
      </w:r>
      <w:r>
        <w:t xml:space="preserve">, or any board, agency or tribunal wishing to refer any such matter to the Market </w:t>
      </w:r>
      <w:r w:rsidR="00E348D0">
        <w:t>Operator</w:t>
      </w:r>
      <w:r>
        <w:t xml:space="preserve"> for investigation, shall </w:t>
      </w:r>
      <w:r w:rsidR="008E0EBB">
        <w:t xml:space="preserve">submit </w:t>
      </w:r>
      <w:r>
        <w:t xml:space="preserve">a complaint or </w:t>
      </w:r>
      <w:r w:rsidR="008E0EBB">
        <w:t xml:space="preserve">make a </w:t>
      </w:r>
      <w:r>
        <w:t xml:space="preserve">referral in writing </w:t>
      </w:r>
      <w:r w:rsidR="00E348D0">
        <w:t xml:space="preserve">to the Market Operator, </w:t>
      </w:r>
      <w:r>
        <w:t>setting out:</w:t>
      </w:r>
      <w:bookmarkEnd w:id="868"/>
    </w:p>
    <w:p w14:paraId="4E1F9D2E" w14:textId="477ADE2C" w:rsidR="00DA4988" w:rsidRDefault="00DA4988" w:rsidP="00B03234">
      <w:pPr>
        <w:pStyle w:val="Heading5"/>
      </w:pPr>
      <w:r>
        <w:t>the name and address of the complainant or person referring the matter;</w:t>
      </w:r>
    </w:p>
    <w:p w14:paraId="2DDDBE2F" w14:textId="0EE2EB3D" w:rsidR="00DA4988" w:rsidRDefault="00DA4988" w:rsidP="00B03234">
      <w:pPr>
        <w:pStyle w:val="Heading5"/>
      </w:pPr>
      <w:r>
        <w:t xml:space="preserve">the </w:t>
      </w:r>
      <w:r w:rsidR="008E0EBB">
        <w:t xml:space="preserve">details </w:t>
      </w:r>
      <w:r>
        <w:t>of the complaint or referral;</w:t>
      </w:r>
    </w:p>
    <w:p w14:paraId="2ED5EE10" w14:textId="32672CAC" w:rsidR="00DA4988" w:rsidRDefault="00DA4988" w:rsidP="00B03234">
      <w:pPr>
        <w:pStyle w:val="Heading5"/>
      </w:pPr>
      <w:r>
        <w:t xml:space="preserve">any information or facts </w:t>
      </w:r>
      <w:r w:rsidR="008E0EBB">
        <w:t xml:space="preserve">in support </w:t>
      </w:r>
      <w:r>
        <w:t>the complaint or referral; and</w:t>
      </w:r>
    </w:p>
    <w:p w14:paraId="601A9F3F" w14:textId="2E02DBA7" w:rsidR="00DA4988" w:rsidRDefault="00DA4988" w:rsidP="00B03234">
      <w:pPr>
        <w:pStyle w:val="Heading5"/>
      </w:pPr>
      <w:r>
        <w:t>the signature of the person making the complaint or referral or, where that person is not an individual, the signature of a duly authorised officer or duly authorised representative of the person.</w:t>
      </w:r>
    </w:p>
    <w:p w14:paraId="3EB1731B" w14:textId="5F3E1F6F" w:rsidR="00C64303" w:rsidRPr="000E633F" w:rsidRDefault="00C64303" w:rsidP="00B03C4A">
      <w:pPr>
        <w:pStyle w:val="Heading4"/>
      </w:pPr>
      <w:bookmarkStart w:id="869" w:name="_Ref76816879"/>
      <w:r>
        <w:t xml:space="preserve">The Market Operator may require the person </w:t>
      </w:r>
      <w:r w:rsidR="00C348FF">
        <w:t>submitting</w:t>
      </w:r>
      <w:r>
        <w:t xml:space="preserve"> the complaint or </w:t>
      </w:r>
      <w:r w:rsidR="00C348FF">
        <w:t xml:space="preserve">making </w:t>
      </w:r>
      <w:r>
        <w:t xml:space="preserve">referral </w:t>
      </w:r>
      <w:r w:rsidR="00C348FF">
        <w:t xml:space="preserve">to </w:t>
      </w:r>
      <w:r>
        <w:t>provide additional information relating thereto within such time as may be specified by the Market Operator</w:t>
      </w:r>
      <w:r w:rsidR="00C348FF">
        <w:t>.</w:t>
      </w:r>
      <w:bookmarkEnd w:id="869"/>
    </w:p>
    <w:p w14:paraId="785C2001" w14:textId="6E8FF9B4" w:rsidR="00DA4988" w:rsidRDefault="00DA4988" w:rsidP="005B295A">
      <w:pPr>
        <w:pStyle w:val="Heading4"/>
      </w:pPr>
      <w:bookmarkStart w:id="870" w:name="_Ref440182139"/>
      <w:r>
        <w:t xml:space="preserve">The Market </w:t>
      </w:r>
      <w:r w:rsidR="00E348D0">
        <w:t>Operator</w:t>
      </w:r>
      <w:r>
        <w:t xml:space="preserve"> may refuse to commence</w:t>
      </w:r>
      <w:r w:rsidR="008E0EBB">
        <w:t xml:space="preserve"> an investigation or terminate </w:t>
      </w:r>
      <w:r>
        <w:t xml:space="preserve">an </w:t>
      </w:r>
      <w:r w:rsidR="00C64303">
        <w:t xml:space="preserve">ongoing </w:t>
      </w:r>
      <w:r>
        <w:t xml:space="preserve">investigation </w:t>
      </w:r>
      <w:r w:rsidR="00C64303">
        <w:t xml:space="preserve">into any matter, </w:t>
      </w:r>
      <w:r w:rsidR="008E0EBB">
        <w:t xml:space="preserve">submitted or </w:t>
      </w:r>
      <w:r>
        <w:t xml:space="preserve">referred to it </w:t>
      </w:r>
      <w:r w:rsidR="008E0EBB">
        <w:t>under</w:t>
      </w:r>
      <w:r>
        <w:t xml:space="preserve"> </w:t>
      </w:r>
      <w:r w:rsidR="00966C40">
        <w:t xml:space="preserve">Clause </w:t>
      </w:r>
      <w:r w:rsidR="00966C40">
        <w:fldChar w:fldCharType="begin"/>
      </w:r>
      <w:r w:rsidR="00966C40">
        <w:instrText xml:space="preserve"> REF _Ref60857337 \w \h </w:instrText>
      </w:r>
      <w:r w:rsidR="00966C40">
        <w:fldChar w:fldCharType="separate"/>
      </w:r>
      <w:r w:rsidR="00E348D0">
        <w:t>16.3.2.2</w:t>
      </w:r>
      <w:r w:rsidR="00966C40">
        <w:fldChar w:fldCharType="end"/>
      </w:r>
      <w:r w:rsidR="008E0EBB">
        <w:t xml:space="preserve">, </w:t>
      </w:r>
      <w:r>
        <w:t xml:space="preserve"> where, in its sole discretion, it determines that the </w:t>
      </w:r>
      <w:r w:rsidR="00C64303">
        <w:t xml:space="preserve">submitted </w:t>
      </w:r>
      <w:r>
        <w:t>complaint or referral is:</w:t>
      </w:r>
      <w:bookmarkEnd w:id="870"/>
    </w:p>
    <w:p w14:paraId="0144CAB1" w14:textId="548153A2" w:rsidR="00DA4988" w:rsidRDefault="00DA4988" w:rsidP="00B03234">
      <w:pPr>
        <w:pStyle w:val="Heading5"/>
      </w:pPr>
      <w:r>
        <w:t>frivolous, vexatious, otherwise not material or was not or is no longer warranted;</w:t>
      </w:r>
    </w:p>
    <w:p w14:paraId="47209362" w14:textId="77777777" w:rsidR="00DA4988" w:rsidRDefault="00DA4988" w:rsidP="00B03234">
      <w:pPr>
        <w:pStyle w:val="Heading5"/>
      </w:pPr>
      <w:r>
        <w:t>within the exclusive jurisdiction of another person, board, agency or tribunal; or</w:t>
      </w:r>
    </w:p>
    <w:p w14:paraId="47C30173" w14:textId="56E60D68" w:rsidR="00DA4988" w:rsidRDefault="00C348FF" w:rsidP="00B03234">
      <w:pPr>
        <w:pStyle w:val="Heading5"/>
      </w:pPr>
      <w:r>
        <w:t xml:space="preserve">deficient and </w:t>
      </w:r>
      <w:r w:rsidR="00DA4988">
        <w:t xml:space="preserve">the person making the complaint or referral fails to provide the </w:t>
      </w:r>
      <w:r>
        <w:t xml:space="preserve">additional </w:t>
      </w:r>
      <w:r w:rsidR="00DA4988">
        <w:t>information pursuant to</w:t>
      </w:r>
      <w:r w:rsidR="00966C40">
        <w:t xml:space="preserve"> Clause</w:t>
      </w:r>
      <w:r w:rsidR="00DA4988">
        <w:t xml:space="preserve"> </w:t>
      </w:r>
      <w:r>
        <w:fldChar w:fldCharType="begin"/>
      </w:r>
      <w:r>
        <w:instrText xml:space="preserve"> REF _Ref76816879 \r \h </w:instrText>
      </w:r>
      <w:r>
        <w:fldChar w:fldCharType="separate"/>
      </w:r>
      <w:r>
        <w:t>16.3.2.3</w:t>
      </w:r>
      <w:r>
        <w:fldChar w:fldCharType="end"/>
      </w:r>
      <w:r w:rsidR="00966C40">
        <w:t xml:space="preserve"> </w:t>
      </w:r>
      <w:r w:rsidR="00DA4988">
        <w:t>within the time</w:t>
      </w:r>
      <w:r w:rsidR="00864284">
        <w:t>frame</w:t>
      </w:r>
      <w:r w:rsidR="00DA4988">
        <w:t xml:space="preserve"> specified by the Market </w:t>
      </w:r>
      <w:r w:rsidR="00E348D0">
        <w:t>Operator</w:t>
      </w:r>
      <w:r w:rsidR="00C64303">
        <w:t>.</w:t>
      </w:r>
    </w:p>
    <w:p w14:paraId="1F1B7ED5" w14:textId="04B8C262" w:rsidR="00DA4988" w:rsidRDefault="00C64303" w:rsidP="00C64303">
      <w:pPr>
        <w:pStyle w:val="Heading4"/>
      </w:pPr>
      <w:r>
        <w:lastRenderedPageBreak/>
        <w:t>The Market Operator shall prepare a report after its decision to refuse to commence an investigation or terminate an ongoing investigation and</w:t>
      </w:r>
      <w:r w:rsidR="00DA4988">
        <w:t xml:space="preserve"> advise the person who </w:t>
      </w:r>
      <w:r>
        <w:t xml:space="preserve">submitted </w:t>
      </w:r>
      <w:r w:rsidR="00DA4988">
        <w:t>the complaint or made the referral</w:t>
      </w:r>
      <w:r>
        <w:t xml:space="preserve"> accordingly</w:t>
      </w:r>
      <w:r w:rsidR="00DA4988">
        <w:t>.</w:t>
      </w:r>
      <w:r w:rsidR="00641AC8">
        <w:t xml:space="preserve"> Such report shall set out:</w:t>
      </w:r>
    </w:p>
    <w:p w14:paraId="0F3C1D7C" w14:textId="77777777" w:rsidR="00641AC8" w:rsidRDefault="00641AC8" w:rsidP="00641AC8">
      <w:pPr>
        <w:pStyle w:val="Heading5"/>
      </w:pPr>
      <w:r>
        <w:t xml:space="preserve">the nature of the complaint or referral; and </w:t>
      </w:r>
    </w:p>
    <w:p w14:paraId="3AAF213D" w14:textId="78924D8A" w:rsidR="00641AC8" w:rsidRPr="000E633F" w:rsidRDefault="00641AC8" w:rsidP="00B03C4A">
      <w:pPr>
        <w:pStyle w:val="Heading5"/>
      </w:pPr>
      <w:r>
        <w:t>the reasons for which the Market Operator determined that no investigation was warranted or that the investigation should be terminated, as the case may be</w:t>
      </w:r>
      <w:r w:rsidR="001560A3">
        <w:t>.</w:t>
      </w:r>
    </w:p>
    <w:p w14:paraId="5FF99D70" w14:textId="3DF4B832" w:rsidR="00C348FF" w:rsidRDefault="00C348FF" w:rsidP="00722CA1">
      <w:pPr>
        <w:pStyle w:val="Heading4"/>
      </w:pPr>
      <w:bookmarkStart w:id="871" w:name="_Ref60857398"/>
      <w:r>
        <w:t xml:space="preserve">Where </w:t>
      </w:r>
      <w:bookmarkStart w:id="872" w:name="_Ref76817142"/>
      <w:bookmarkEnd w:id="871"/>
      <w:r>
        <w:t>t</w:t>
      </w:r>
      <w:r w:rsidR="00DA4988" w:rsidRPr="00864284">
        <w:t xml:space="preserve">he Market </w:t>
      </w:r>
      <w:r w:rsidR="006E5BE4">
        <w:t>Operator</w:t>
      </w:r>
      <w:r w:rsidR="00DA4988" w:rsidRPr="00864284">
        <w:t xml:space="preserve"> </w:t>
      </w:r>
      <w:r>
        <w:t>determines that</w:t>
      </w:r>
      <w:r w:rsidR="00DA4988" w:rsidRPr="00864284">
        <w:t xml:space="preserve"> there is a prima facie case in respect of the conduct of a </w:t>
      </w:r>
      <w:r w:rsidR="00966C40" w:rsidRPr="00864284">
        <w:t xml:space="preserve">Market </w:t>
      </w:r>
      <w:r w:rsidR="00DA4988" w:rsidRPr="00864284">
        <w:t>Participant</w:t>
      </w:r>
      <w:r w:rsidR="00E348D0">
        <w:t xml:space="preserve">, a Service Provider or the System </w:t>
      </w:r>
      <w:r>
        <w:t>Operator and an investigation is warranted</w:t>
      </w:r>
      <w:r w:rsidR="00DA4988" w:rsidRPr="00864284">
        <w:t xml:space="preserve">, </w:t>
      </w:r>
      <w:r>
        <w:t xml:space="preserve">it shall inform </w:t>
      </w:r>
      <w:r w:rsidR="00DA4988" w:rsidRPr="00864284">
        <w:t xml:space="preserve">the </w:t>
      </w:r>
      <w:r w:rsidR="00E348D0">
        <w:t xml:space="preserve">relevant </w:t>
      </w:r>
      <w:r>
        <w:t>person</w:t>
      </w:r>
      <w:r w:rsidR="00E348D0">
        <w:t xml:space="preserve"> </w:t>
      </w:r>
      <w:r>
        <w:t>accordingly.</w:t>
      </w:r>
      <w:bookmarkEnd w:id="872"/>
      <w:r>
        <w:t xml:space="preserve"> </w:t>
      </w:r>
    </w:p>
    <w:p w14:paraId="56B79D1B" w14:textId="1B471ECF" w:rsidR="00DA4988" w:rsidRPr="00864284" w:rsidRDefault="00C348FF" w:rsidP="00722CA1">
      <w:pPr>
        <w:pStyle w:val="Heading4"/>
      </w:pPr>
      <w:r>
        <w:t xml:space="preserve">Upon completion of an investigation under Clause </w:t>
      </w:r>
      <w:r>
        <w:fldChar w:fldCharType="begin"/>
      </w:r>
      <w:r>
        <w:instrText xml:space="preserve"> REF _Ref76817142 \r \h </w:instrText>
      </w:r>
      <w:r>
        <w:fldChar w:fldCharType="separate"/>
      </w:r>
      <w:r>
        <w:t>16.3.2.6</w:t>
      </w:r>
      <w:r>
        <w:fldChar w:fldCharType="end"/>
      </w:r>
      <w:r>
        <w:t>, the Market Operator shall inform the relevant person about the results of the investigation</w:t>
      </w:r>
      <w:r w:rsidR="00BA5B24">
        <w:t xml:space="preserve"> and informing whether an enforcement action will be taken against it</w:t>
      </w:r>
      <w:r w:rsidR="00DA4988" w:rsidRPr="00864284">
        <w:t xml:space="preserve">. On the written request of the person </w:t>
      </w:r>
      <w:r w:rsidR="00BA5B24">
        <w:t xml:space="preserve">who submitted </w:t>
      </w:r>
      <w:r w:rsidR="00DA4988" w:rsidRPr="00864284">
        <w:t xml:space="preserve">the complaint or </w:t>
      </w:r>
      <w:r w:rsidR="00BA5B24">
        <w:t xml:space="preserve">made the </w:t>
      </w:r>
      <w:r w:rsidR="00DA4988" w:rsidRPr="00864284">
        <w:t xml:space="preserve">referral, the Market </w:t>
      </w:r>
      <w:r w:rsidR="00E348D0">
        <w:t>Operator</w:t>
      </w:r>
      <w:r w:rsidR="00DA4988" w:rsidRPr="00864284">
        <w:t xml:space="preserve"> shall inform that person of the outcome of the investigation.</w:t>
      </w:r>
    </w:p>
    <w:p w14:paraId="5D12F9BC" w14:textId="64E596A6" w:rsidR="00DA4988" w:rsidRDefault="00DA4988" w:rsidP="005B295A">
      <w:pPr>
        <w:pStyle w:val="Heading4"/>
      </w:pPr>
      <w:bookmarkStart w:id="873" w:name="_Ref440182199"/>
      <w:bookmarkStart w:id="874" w:name="_Ref60857724"/>
      <w:r>
        <w:t xml:space="preserve">For the purposes of carrying out an investigation, the Market </w:t>
      </w:r>
      <w:r w:rsidR="00E348D0">
        <w:t>Operator</w:t>
      </w:r>
      <w:r>
        <w:t xml:space="preserve"> may </w:t>
      </w:r>
      <w:r w:rsidR="00BA5B24">
        <w:t xml:space="preserve">require </w:t>
      </w:r>
      <w:r>
        <w:t xml:space="preserve">any </w:t>
      </w:r>
      <w:r w:rsidR="00136176">
        <w:t>Market Participant</w:t>
      </w:r>
      <w:r w:rsidR="00BA5B24">
        <w:t>, Service Provider, the System Operator</w:t>
      </w:r>
      <w:r>
        <w:t xml:space="preserve"> </w:t>
      </w:r>
      <w:r w:rsidR="00BA5B24">
        <w:t xml:space="preserve">or </w:t>
      </w:r>
      <w:r>
        <w:t xml:space="preserve">the person who </w:t>
      </w:r>
      <w:r w:rsidR="00BA5B24">
        <w:t xml:space="preserve">submitted </w:t>
      </w:r>
      <w:r>
        <w:t xml:space="preserve">the complaint or </w:t>
      </w:r>
      <w:r w:rsidR="00BA5B24">
        <w:t xml:space="preserve">made the </w:t>
      </w:r>
      <w:r>
        <w:t>referral to provide information</w:t>
      </w:r>
      <w:bookmarkEnd w:id="873"/>
      <w:r>
        <w:t xml:space="preserve"> in accordance with </w:t>
      </w:r>
      <w:r w:rsidR="00966C40">
        <w:t xml:space="preserve">Clause </w:t>
      </w:r>
      <w:r w:rsidR="00966C40">
        <w:fldChar w:fldCharType="begin"/>
      </w:r>
      <w:r w:rsidR="00966C40">
        <w:instrText xml:space="preserve"> REF _Ref440182251 \w \h </w:instrText>
      </w:r>
      <w:r w:rsidR="00966C40">
        <w:fldChar w:fldCharType="separate"/>
      </w:r>
      <w:r w:rsidR="00251DBF">
        <w:t>16.2.2.9</w:t>
      </w:r>
      <w:r w:rsidR="00966C40">
        <w:fldChar w:fldCharType="end"/>
      </w:r>
      <w:r w:rsidR="00966C40">
        <w:t xml:space="preserve"> and </w:t>
      </w:r>
      <w:r w:rsidR="00966C40">
        <w:fldChar w:fldCharType="begin"/>
      </w:r>
      <w:r w:rsidR="00966C40">
        <w:instrText xml:space="preserve"> REF _Ref60857684 \w \h </w:instrText>
      </w:r>
      <w:r w:rsidR="00966C40">
        <w:fldChar w:fldCharType="separate"/>
      </w:r>
      <w:r w:rsidR="00251DBF">
        <w:t>16.2.2.10</w:t>
      </w:r>
      <w:r w:rsidR="00966C40">
        <w:fldChar w:fldCharType="end"/>
      </w:r>
      <w:r>
        <w:t>.</w:t>
      </w:r>
      <w:bookmarkEnd w:id="874"/>
    </w:p>
    <w:p w14:paraId="3C0394D6" w14:textId="3246B1AB" w:rsidR="00DA4988" w:rsidRDefault="00DA4988" w:rsidP="005B295A">
      <w:pPr>
        <w:pStyle w:val="Heading4"/>
      </w:pPr>
      <w:bookmarkStart w:id="875" w:name="_Ref440182251"/>
      <w:r>
        <w:t xml:space="preserve">A request for information pursuant to </w:t>
      </w:r>
      <w:r w:rsidR="00966C40">
        <w:t xml:space="preserve">Clause </w:t>
      </w:r>
      <w:r w:rsidR="00966C40">
        <w:fldChar w:fldCharType="begin"/>
      </w:r>
      <w:r w:rsidR="00966C40">
        <w:instrText xml:space="preserve"> REF _Ref60857724 \w \h </w:instrText>
      </w:r>
      <w:r w:rsidR="00966C40">
        <w:fldChar w:fldCharType="separate"/>
      </w:r>
      <w:r w:rsidR="00BA5B24">
        <w:t>16.3.2.8</w:t>
      </w:r>
      <w:r w:rsidR="00966C40">
        <w:fldChar w:fldCharType="end"/>
      </w:r>
      <w:r w:rsidR="00966C40">
        <w:t xml:space="preserve"> </w:t>
      </w:r>
      <w:r>
        <w:t>shall:</w:t>
      </w:r>
      <w:bookmarkEnd w:id="875"/>
    </w:p>
    <w:p w14:paraId="7071B306" w14:textId="4B381D62" w:rsidR="00DA4988" w:rsidRDefault="00DA4988" w:rsidP="00B03234">
      <w:pPr>
        <w:pStyle w:val="Heading5"/>
      </w:pPr>
      <w:r>
        <w:t>be in writing;</w:t>
      </w:r>
    </w:p>
    <w:p w14:paraId="54EDF2DA" w14:textId="3138EE8B" w:rsidR="00DA4988" w:rsidRDefault="00DA4988" w:rsidP="00B03234">
      <w:pPr>
        <w:pStyle w:val="Heading5"/>
      </w:pPr>
      <w:r>
        <w:t xml:space="preserve">specify the information requested; </w:t>
      </w:r>
    </w:p>
    <w:p w14:paraId="478A70D5" w14:textId="2C42971A" w:rsidR="00DA4988" w:rsidRDefault="00DA4988" w:rsidP="00B03234">
      <w:pPr>
        <w:pStyle w:val="Heading5"/>
      </w:pPr>
      <w:r>
        <w:t xml:space="preserve">specify a time </w:t>
      </w:r>
      <w:r w:rsidR="00BA5B24">
        <w:t>for provision of the information</w:t>
      </w:r>
      <w:r w:rsidR="001560A3">
        <w:t>; and</w:t>
      </w:r>
    </w:p>
    <w:p w14:paraId="25177AD7" w14:textId="34272356" w:rsidR="00DA4988" w:rsidRDefault="00EA6BAC" w:rsidP="00B03C4A">
      <w:pPr>
        <w:pStyle w:val="Heading5"/>
      </w:pPr>
      <w:r>
        <w:t>s</w:t>
      </w:r>
      <w:r w:rsidR="00BA5B24">
        <w:t xml:space="preserve">pecify whether </w:t>
      </w:r>
      <w:bookmarkStart w:id="876" w:name="_Ref60857684"/>
      <w:r w:rsidR="00BA5B24">
        <w:t>the i</w:t>
      </w:r>
      <w:r w:rsidR="00DA4988">
        <w:t xml:space="preserve">nformation shall be certified under oath or statutory declaration by the person or, </w:t>
      </w:r>
      <w:r>
        <w:t xml:space="preserve">its </w:t>
      </w:r>
      <w:r w:rsidR="00DA4988">
        <w:t>duly authorised representative thereof, as being correct and complete to the best of that person’s knowledge.</w:t>
      </w:r>
      <w:bookmarkEnd w:id="876"/>
    </w:p>
    <w:p w14:paraId="10D04D52" w14:textId="350F70DB" w:rsidR="00DA4988" w:rsidRDefault="00DA4988" w:rsidP="005B295A">
      <w:pPr>
        <w:pStyle w:val="Heading4"/>
      </w:pPr>
      <w:bookmarkStart w:id="877" w:name="_Ref60857912"/>
      <w:bookmarkStart w:id="878" w:name="_Ref441993765"/>
      <w:r>
        <w:t>A</w:t>
      </w:r>
      <w:r w:rsidR="00EA6BAC">
        <w:t xml:space="preserve">ny person shall provide to the Market Operator the information required pursuant to Clause </w:t>
      </w:r>
      <w:r w:rsidR="00EA6BAC">
        <w:fldChar w:fldCharType="begin"/>
      </w:r>
      <w:r w:rsidR="00EA6BAC">
        <w:instrText xml:space="preserve"> REF _Ref60857724 \w \h </w:instrText>
      </w:r>
      <w:r w:rsidR="00EA6BAC">
        <w:fldChar w:fldCharType="separate"/>
      </w:r>
      <w:r w:rsidR="00EA6BAC">
        <w:t>16.3.2.8</w:t>
      </w:r>
      <w:r w:rsidR="00EA6BAC">
        <w:fldChar w:fldCharType="end"/>
      </w:r>
      <w:r>
        <w:t xml:space="preserve"> </w:t>
      </w:r>
      <w:r w:rsidR="00EA6BAC">
        <w:t xml:space="preserve">within specified time. Failure to provide information may warrant an enforcement action under </w:t>
      </w:r>
      <w:r w:rsidR="00EA6BAC">
        <w:fldChar w:fldCharType="begin"/>
      </w:r>
      <w:r w:rsidR="00EA6BAC">
        <w:instrText xml:space="preserve"> REF _Ref54987623 \r \h </w:instrText>
      </w:r>
      <w:r w:rsidR="00EA6BAC">
        <w:fldChar w:fldCharType="separate"/>
      </w:r>
      <w:r w:rsidR="00EA6BAC">
        <w:t>Chapter 17</w:t>
      </w:r>
      <w:r w:rsidR="00EA6BAC">
        <w:fldChar w:fldCharType="end"/>
      </w:r>
      <w:r w:rsidR="00EA6BAC">
        <w:t xml:space="preserve"> or termination of the investigation, as deemed appropriate</w:t>
      </w:r>
      <w:r>
        <w:t>.</w:t>
      </w:r>
      <w:bookmarkEnd w:id="877"/>
    </w:p>
    <w:p w14:paraId="17B9C4E7" w14:textId="322A12B1" w:rsidR="00DA4988" w:rsidRDefault="00EA6BAC" w:rsidP="005B295A">
      <w:pPr>
        <w:pStyle w:val="Heading4"/>
      </w:pPr>
      <w:bookmarkStart w:id="879" w:name="_Ref440183087"/>
      <w:bookmarkEnd w:id="878"/>
      <w:r>
        <w:t xml:space="preserve">Upon </w:t>
      </w:r>
      <w:r w:rsidR="00DA4988">
        <w:t xml:space="preserve">completion of </w:t>
      </w:r>
      <w:r>
        <w:t xml:space="preserve">each </w:t>
      </w:r>
      <w:r w:rsidR="00DA4988">
        <w:t xml:space="preserve">investigation, the Market </w:t>
      </w:r>
      <w:r w:rsidR="007A19C2">
        <w:t>Operator</w:t>
      </w:r>
      <w:r w:rsidR="00DA4988">
        <w:t xml:space="preserve"> shall prepare </w:t>
      </w:r>
      <w:r>
        <w:t xml:space="preserve">a </w:t>
      </w:r>
      <w:r w:rsidR="00DA4988">
        <w:t xml:space="preserve">report </w:t>
      </w:r>
      <w:r>
        <w:t xml:space="preserve">containing, </w:t>
      </w:r>
      <w:r w:rsidRPr="00B03C4A">
        <w:rPr>
          <w:i/>
          <w:iCs w:val="0"/>
        </w:rPr>
        <w:t>inter alia</w:t>
      </w:r>
      <w:r>
        <w:t>, the following information</w:t>
      </w:r>
      <w:r w:rsidR="00DA4988">
        <w:t>:</w:t>
      </w:r>
      <w:bookmarkEnd w:id="879"/>
    </w:p>
    <w:p w14:paraId="4CC3A217" w14:textId="7B8C2C9E" w:rsidR="00DA4988" w:rsidRDefault="001560A3" w:rsidP="00B03234">
      <w:pPr>
        <w:pStyle w:val="Heading5"/>
      </w:pPr>
      <w:r>
        <w:t>T</w:t>
      </w:r>
      <w:r w:rsidR="00DA4988">
        <w:t>he matter that was investigated</w:t>
      </w:r>
      <w:r>
        <w:t>.</w:t>
      </w:r>
    </w:p>
    <w:p w14:paraId="082E33D6" w14:textId="1CCBE2C0" w:rsidR="00DA4988" w:rsidRDefault="001560A3" w:rsidP="00B03234">
      <w:pPr>
        <w:pStyle w:val="Heading5"/>
      </w:pPr>
      <w:r>
        <w:t>W</w:t>
      </w:r>
      <w:r w:rsidR="00DA4988">
        <w:t xml:space="preserve">hether the matter came to the attention of the Market </w:t>
      </w:r>
      <w:r w:rsidR="007A19C2">
        <w:t>Operator</w:t>
      </w:r>
      <w:r w:rsidR="00DA4988">
        <w:t xml:space="preserve"> by way of a referral or complaint or whether the Market </w:t>
      </w:r>
      <w:r w:rsidR="007A19C2">
        <w:t>Operator</w:t>
      </w:r>
      <w:r w:rsidR="00DA4988">
        <w:t xml:space="preserve"> decided on its own to investigate the matter</w:t>
      </w:r>
      <w:r>
        <w:t>.</w:t>
      </w:r>
    </w:p>
    <w:p w14:paraId="2C533E87" w14:textId="65EA719D" w:rsidR="00641AC8" w:rsidRDefault="001560A3" w:rsidP="00B03234">
      <w:pPr>
        <w:pStyle w:val="Heading5"/>
      </w:pPr>
      <w:r>
        <w:t>T</w:t>
      </w:r>
      <w:r w:rsidR="00DA4988">
        <w:t xml:space="preserve">he findings of the Market </w:t>
      </w:r>
      <w:r w:rsidR="007A19C2">
        <w:t>Operator</w:t>
      </w:r>
      <w:r>
        <w:t>.</w:t>
      </w:r>
    </w:p>
    <w:p w14:paraId="6F87464C" w14:textId="05B31FE1" w:rsidR="00DA4988" w:rsidRDefault="001560A3" w:rsidP="00B03234">
      <w:pPr>
        <w:pStyle w:val="Heading5"/>
      </w:pPr>
      <w:r>
        <w:t>W</w:t>
      </w:r>
      <w:r w:rsidR="00641AC8">
        <w:t>hether the matter was concluded or the Market Operator</w:t>
      </w:r>
      <w:r w:rsidR="00DA4988">
        <w:t xml:space="preserve"> was unable to reach</w:t>
      </w:r>
      <w:r w:rsidR="00641AC8">
        <w:t xml:space="preserve"> a</w:t>
      </w:r>
      <w:r w:rsidR="00DA4988">
        <w:t xml:space="preserve"> firm conclusio</w:t>
      </w:r>
      <w:r w:rsidR="00641AC8">
        <w:t>n</w:t>
      </w:r>
      <w:r w:rsidR="00DA4988">
        <w:t xml:space="preserve"> on the matter investigated and the reasons for such inability</w:t>
      </w:r>
      <w:r>
        <w:t>.</w:t>
      </w:r>
    </w:p>
    <w:p w14:paraId="33A0BC3C" w14:textId="6C18CDEE" w:rsidR="00DA4988" w:rsidRDefault="001560A3" w:rsidP="00B03234">
      <w:pPr>
        <w:pStyle w:val="Heading5"/>
      </w:pPr>
      <w:r>
        <w:t>W</w:t>
      </w:r>
      <w:r w:rsidR="00DA4988">
        <w:t xml:space="preserve">here the findings of the Market </w:t>
      </w:r>
      <w:r w:rsidR="007A19C2">
        <w:t>Operator</w:t>
      </w:r>
      <w:r w:rsidR="00DA4988">
        <w:t xml:space="preserve"> include findings to the effect that a </w:t>
      </w:r>
      <w:r w:rsidR="00136176">
        <w:t>Market Participant</w:t>
      </w:r>
      <w:r w:rsidR="00C23A8B">
        <w:t xml:space="preserve">, Service Provider </w:t>
      </w:r>
      <w:r w:rsidR="007A19C2">
        <w:t xml:space="preserve">or </w:t>
      </w:r>
      <w:r w:rsidR="00C23A8B">
        <w:t xml:space="preserve">the System Operator </w:t>
      </w:r>
      <w:r w:rsidR="00DA4988">
        <w:t>has engaged in inappropriate conduct</w:t>
      </w:r>
      <w:r w:rsidR="00641AC8">
        <w:t xml:space="preserve"> and </w:t>
      </w:r>
      <w:r w:rsidR="00DA4988">
        <w:t xml:space="preserve">any response provided by the </w:t>
      </w:r>
      <w:r w:rsidR="00136176">
        <w:t>Market Participant</w:t>
      </w:r>
      <w:r w:rsidR="007A19C2">
        <w:t>,</w:t>
      </w:r>
      <w:r w:rsidR="00DA4988">
        <w:t xml:space="preserve"> </w:t>
      </w:r>
      <w:r w:rsidR="007A19C2">
        <w:t xml:space="preserve">Service Provider or the System Operator </w:t>
      </w:r>
      <w:r w:rsidR="00DA4988">
        <w:t>to such findings</w:t>
      </w:r>
      <w:r>
        <w:t>.</w:t>
      </w:r>
      <w:r w:rsidR="00DA4988">
        <w:t xml:space="preserve"> </w:t>
      </w:r>
    </w:p>
    <w:p w14:paraId="38620F8E" w14:textId="1CC4795A" w:rsidR="00DA4988" w:rsidRDefault="001560A3" w:rsidP="00B03234">
      <w:pPr>
        <w:pStyle w:val="Heading5"/>
      </w:pPr>
      <w:r>
        <w:t>T</w:t>
      </w:r>
      <w:r w:rsidR="00DA4988">
        <w:t xml:space="preserve">he recommendations, if any, of the Market </w:t>
      </w:r>
      <w:r w:rsidR="007A19C2">
        <w:t>Operator</w:t>
      </w:r>
      <w:r w:rsidR="00DA4988">
        <w:t xml:space="preserve"> and the reasons for </w:t>
      </w:r>
      <w:r w:rsidR="007A19C2">
        <w:t xml:space="preserve">such </w:t>
      </w:r>
      <w:r w:rsidR="00DA4988">
        <w:lastRenderedPageBreak/>
        <w:t>recommendations.</w:t>
      </w:r>
    </w:p>
    <w:p w14:paraId="2B88E66B" w14:textId="104507A8" w:rsidR="003E1903" w:rsidRDefault="00641AC8" w:rsidP="005B295A">
      <w:pPr>
        <w:pStyle w:val="Heading4"/>
      </w:pPr>
      <w:bookmarkStart w:id="880" w:name="_Ref440182089"/>
      <w:r>
        <w:t xml:space="preserve">During an investigation, if </w:t>
      </w:r>
      <w:bookmarkStart w:id="881" w:name="_Ref440182352"/>
      <w:bookmarkEnd w:id="880"/>
      <w:r>
        <w:t>th</w:t>
      </w:r>
      <w:r w:rsidR="00DA4988">
        <w:t xml:space="preserve">e Market </w:t>
      </w:r>
      <w:r w:rsidR="007A19C2">
        <w:t>Operator</w:t>
      </w:r>
      <w:r w:rsidR="00DA4988">
        <w:t xml:space="preserve"> </w:t>
      </w:r>
      <w:r>
        <w:t>determines</w:t>
      </w:r>
      <w:r w:rsidR="00DA4988">
        <w:t xml:space="preserve"> that a </w:t>
      </w:r>
      <w:r w:rsidR="00136176">
        <w:t>Market Participant</w:t>
      </w:r>
      <w:r w:rsidR="007A19C2">
        <w:t>, a Service Provider or the System Operator</w:t>
      </w:r>
      <w:r w:rsidR="00DA4988">
        <w:t xml:space="preserve"> </w:t>
      </w:r>
      <w:r>
        <w:t xml:space="preserve">may be </w:t>
      </w:r>
      <w:r w:rsidR="00DA4988">
        <w:t xml:space="preserve">engaged in inappropriate conduct including, but not limited to, a breach of </w:t>
      </w:r>
      <w:r w:rsidR="00F05124">
        <w:t>this Code</w:t>
      </w:r>
      <w:r w:rsidR="00DA4988">
        <w:t xml:space="preserve"> and/or the Grid Code, it </w:t>
      </w:r>
      <w:r>
        <w:t xml:space="preserve">may </w:t>
      </w:r>
      <w:r w:rsidR="003E1903">
        <w:t xml:space="preserve">inform </w:t>
      </w:r>
      <w:r w:rsidR="00DA4988">
        <w:t xml:space="preserve">the </w:t>
      </w:r>
      <w:r w:rsidR="007A19C2">
        <w:t xml:space="preserve">relevant </w:t>
      </w:r>
      <w:r>
        <w:t>Market Participant, Service Provider or the System Operator</w:t>
      </w:r>
      <w:r w:rsidR="00DA4988">
        <w:t xml:space="preserve"> </w:t>
      </w:r>
      <w:r w:rsidR="003E1903">
        <w:t xml:space="preserve">accordingly and providing it with </w:t>
      </w:r>
      <w:r w:rsidR="00DA4988">
        <w:t>opportunity to respond in writing</w:t>
      </w:r>
      <w:r w:rsidR="003E1903">
        <w:t xml:space="preserve"> within a specified time</w:t>
      </w:r>
      <w:r w:rsidR="00DA4988">
        <w:t xml:space="preserve">. </w:t>
      </w:r>
    </w:p>
    <w:p w14:paraId="731E9BFA" w14:textId="5EA86443" w:rsidR="00DA4988" w:rsidRDefault="003E1903" w:rsidP="005B295A">
      <w:pPr>
        <w:pStyle w:val="Heading4"/>
      </w:pPr>
      <w:r>
        <w:t>Upon receipt of the response or if no response is received within the specified time</w:t>
      </w:r>
      <w:r w:rsidR="00DA4988">
        <w:t>,</w:t>
      </w:r>
      <w:r>
        <w:t xml:space="preserve"> the Market Operator, after consideration of the response, shall include its finding in the report.</w:t>
      </w:r>
      <w:bookmarkEnd w:id="881"/>
      <w:r w:rsidR="00DA4988">
        <w:t xml:space="preserve"> </w:t>
      </w:r>
    </w:p>
    <w:p w14:paraId="7852C9C4" w14:textId="3B441929" w:rsidR="00DA4988" w:rsidRDefault="00DA4988" w:rsidP="005B295A">
      <w:pPr>
        <w:pStyle w:val="Heading4"/>
      </w:pPr>
      <w:r>
        <w:t xml:space="preserve">Where the Market </w:t>
      </w:r>
      <w:r w:rsidR="007A19C2">
        <w:t>Operator</w:t>
      </w:r>
      <w:r>
        <w:t xml:space="preserve"> determines that action is urgently required in respect of the matters which are revealed during the course of an investigation, the Market </w:t>
      </w:r>
      <w:r w:rsidR="007A19C2">
        <w:t>Operator</w:t>
      </w:r>
      <w:r>
        <w:t xml:space="preserve"> may make an interim report to that effect.</w:t>
      </w:r>
    </w:p>
    <w:p w14:paraId="1B135F76" w14:textId="7CFAB026" w:rsidR="00DA4988" w:rsidRDefault="00DA4988" w:rsidP="00C173D0">
      <w:pPr>
        <w:pStyle w:val="Heading3"/>
      </w:pPr>
      <w:bookmarkStart w:id="882" w:name="_Ref440171374"/>
      <w:bookmarkStart w:id="883" w:name="_Ref440171605"/>
      <w:bookmarkStart w:id="884" w:name="_Toc441990937"/>
      <w:bookmarkStart w:id="885" w:name="_Toc441991019"/>
      <w:bookmarkStart w:id="886" w:name="_Toc442002083"/>
      <w:bookmarkStart w:id="887" w:name="_Toc442072126"/>
      <w:bookmarkStart w:id="888" w:name="_Toc473433035"/>
      <w:bookmarkStart w:id="889" w:name="_Toc492888369"/>
      <w:bookmarkStart w:id="890" w:name="_Toc514745976"/>
      <w:bookmarkStart w:id="891" w:name="_Toc527266683"/>
      <w:bookmarkStart w:id="892" w:name="_Toc72322447"/>
      <w:bookmarkStart w:id="893" w:name="_Toc72323119"/>
      <w:bookmarkStart w:id="894" w:name="_Toc81998023"/>
      <w:bookmarkStart w:id="895" w:name="_Toc82077767"/>
      <w:r>
        <w:t>Dispute Resolution and Other Relief</w:t>
      </w:r>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p>
    <w:p w14:paraId="51420410" w14:textId="0A8EBD8A" w:rsidR="00DA4988" w:rsidRDefault="00DA4988" w:rsidP="005B295A">
      <w:pPr>
        <w:pStyle w:val="Heading4"/>
      </w:pPr>
      <w:bookmarkStart w:id="896" w:name="_Ref60858431"/>
      <w:r>
        <w:t xml:space="preserve">The dispute resolution procedures under </w:t>
      </w:r>
      <w:r w:rsidR="00966C40">
        <w:fldChar w:fldCharType="begin"/>
      </w:r>
      <w:r w:rsidR="00966C40">
        <w:instrText xml:space="preserve"> REF _Ref54986427 \w \h </w:instrText>
      </w:r>
      <w:r w:rsidR="00966C40">
        <w:fldChar w:fldCharType="separate"/>
      </w:r>
      <w:r w:rsidR="00251DBF">
        <w:t>Chapter 15</w:t>
      </w:r>
      <w:r w:rsidR="00966C40">
        <w:fldChar w:fldCharType="end"/>
      </w:r>
      <w:r w:rsidR="00966C40">
        <w:t xml:space="preserve"> </w:t>
      </w:r>
      <w:r>
        <w:t xml:space="preserve">shall not apply to the </w:t>
      </w:r>
      <w:r w:rsidR="003E1903">
        <w:t xml:space="preserve">monitoring, </w:t>
      </w:r>
      <w:r w:rsidR="007A19C2">
        <w:t>surveillance and investigations carried out by the Market Operator under this Chapter</w:t>
      </w:r>
      <w:r>
        <w:t>.</w:t>
      </w:r>
      <w:bookmarkEnd w:id="896"/>
      <w:r>
        <w:t xml:space="preserve"> </w:t>
      </w:r>
    </w:p>
    <w:p w14:paraId="3A512E24" w14:textId="06EC674C" w:rsidR="00DA4988" w:rsidRDefault="00DA4988" w:rsidP="00C173D0">
      <w:pPr>
        <w:pStyle w:val="Heading3"/>
      </w:pPr>
      <w:bookmarkStart w:id="897" w:name="_Toc441990938"/>
      <w:bookmarkStart w:id="898" w:name="_Toc441991020"/>
      <w:bookmarkStart w:id="899" w:name="_Toc442002084"/>
      <w:bookmarkStart w:id="900" w:name="_Toc442072127"/>
      <w:bookmarkStart w:id="901" w:name="_Toc473433036"/>
      <w:bookmarkStart w:id="902" w:name="_Toc492888370"/>
      <w:bookmarkStart w:id="903" w:name="_Toc514745977"/>
      <w:bookmarkStart w:id="904" w:name="_Toc527266684"/>
      <w:bookmarkStart w:id="905" w:name="_Toc72322448"/>
      <w:bookmarkStart w:id="906" w:name="_Toc72323120"/>
      <w:bookmarkStart w:id="907" w:name="_Toc81998024"/>
      <w:bookmarkStart w:id="908" w:name="_Toc82077768"/>
      <w:r>
        <w:t>Publication and Provision of Data</w:t>
      </w:r>
      <w:bookmarkEnd w:id="897"/>
      <w:bookmarkEnd w:id="898"/>
      <w:bookmarkEnd w:id="899"/>
      <w:bookmarkEnd w:id="900"/>
      <w:bookmarkEnd w:id="901"/>
      <w:bookmarkEnd w:id="902"/>
      <w:bookmarkEnd w:id="903"/>
      <w:bookmarkEnd w:id="904"/>
      <w:bookmarkEnd w:id="905"/>
      <w:bookmarkEnd w:id="906"/>
      <w:bookmarkEnd w:id="907"/>
      <w:bookmarkEnd w:id="908"/>
    </w:p>
    <w:p w14:paraId="5763E987" w14:textId="1B3DE47F" w:rsidR="00DA4988" w:rsidRDefault="000F4512" w:rsidP="005B295A">
      <w:pPr>
        <w:pStyle w:val="Heading4"/>
      </w:pPr>
      <w:r>
        <w:t>Any interested party</w:t>
      </w:r>
      <w:r w:rsidR="00DA4988">
        <w:t xml:space="preserve"> may request that the Market </w:t>
      </w:r>
      <w:r>
        <w:t>Operator to</w:t>
      </w:r>
      <w:r w:rsidR="00DA4988">
        <w:t xml:space="preserve"> provide data</w:t>
      </w:r>
      <w:r w:rsidR="003E1903">
        <w:t>, upon payment of a fee,</w:t>
      </w:r>
      <w:r w:rsidR="00DA4988">
        <w:t xml:space="preserve"> which is not Confidential Information collected or created in the course of the monitoring activities described in </w:t>
      </w:r>
      <w:r w:rsidR="008C02F7">
        <w:t>Sub-Section</w:t>
      </w:r>
      <w:r w:rsidR="00B5119C">
        <w:fldChar w:fldCharType="begin"/>
      </w:r>
      <w:r w:rsidR="00B5119C">
        <w:instrText xml:space="preserve"> REF _Ref60858584 \w \h </w:instrText>
      </w:r>
      <w:r w:rsidR="00B5119C">
        <w:fldChar w:fldCharType="separate"/>
      </w:r>
      <w:r w:rsidR="003E1903">
        <w:t>16.3</w:t>
      </w:r>
      <w:r w:rsidR="00B5119C">
        <w:fldChar w:fldCharType="end"/>
      </w:r>
      <w:r w:rsidR="00B5119C">
        <w:t xml:space="preserve"> or </w:t>
      </w:r>
      <w:r w:rsidR="008C02F7">
        <w:t>Sub-Section</w:t>
      </w:r>
      <w:r w:rsidR="00B5119C">
        <w:t xml:space="preserve"> </w:t>
      </w:r>
      <w:r w:rsidR="00B5119C">
        <w:fldChar w:fldCharType="begin"/>
      </w:r>
      <w:r w:rsidR="00B5119C">
        <w:instrText xml:space="preserve"> REF _Ref60858547 \w \h </w:instrText>
      </w:r>
      <w:r w:rsidR="00B5119C">
        <w:fldChar w:fldCharType="separate"/>
      </w:r>
      <w:r w:rsidR="003E1903">
        <w:t>16.3.2</w:t>
      </w:r>
      <w:r w:rsidR="00B5119C">
        <w:fldChar w:fldCharType="end"/>
      </w:r>
      <w:r w:rsidR="00DA4988">
        <w:t xml:space="preserve"> and which is not otherwise required to be </w:t>
      </w:r>
      <w:r>
        <w:t>p</w:t>
      </w:r>
      <w:r w:rsidR="00DA4988">
        <w:t>ublished</w:t>
      </w:r>
      <w:r w:rsidR="00DA4988">
        <w:rPr>
          <w:b/>
        </w:rPr>
        <w:t xml:space="preserve"> </w:t>
      </w:r>
      <w:r w:rsidR="00DA4988">
        <w:t xml:space="preserve">by the Market </w:t>
      </w:r>
      <w:r>
        <w:t>Operator</w:t>
      </w:r>
      <w:r w:rsidR="00DA4988">
        <w:t xml:space="preserve"> or the System Operator pursuant to </w:t>
      </w:r>
      <w:r>
        <w:t xml:space="preserve">this </w:t>
      </w:r>
      <w:r w:rsidR="00F64A42">
        <w:t>Code</w:t>
      </w:r>
      <w:r w:rsidR="00DA4988">
        <w:t xml:space="preserve"> or the Grid Code. Such data may be provided unless, in the opinion of the Market </w:t>
      </w:r>
      <w:r>
        <w:t>Operator</w:t>
      </w:r>
      <w:r w:rsidR="00DA4988">
        <w:t xml:space="preserve">, such disclosure is reasonably likely to compromise the work of the Market </w:t>
      </w:r>
      <w:r>
        <w:t>Operator</w:t>
      </w:r>
      <w:r w:rsidR="00DA4988">
        <w:t xml:space="preserve">. </w:t>
      </w:r>
    </w:p>
    <w:p w14:paraId="694D5A64" w14:textId="77777777" w:rsidR="00516765" w:rsidRDefault="00516765">
      <w:pPr>
        <w:spacing w:line="240" w:lineRule="auto"/>
      </w:pPr>
    </w:p>
    <w:p w14:paraId="516223D0" w14:textId="35535321" w:rsidR="00293F8F" w:rsidRPr="005B4450" w:rsidRDefault="00516765" w:rsidP="00516765">
      <w:pPr>
        <w:spacing w:line="240" w:lineRule="auto"/>
        <w:rPr>
          <w:rFonts w:eastAsiaTheme="majorEastAsia" w:cstheme="majorBidi"/>
          <w:b/>
          <w:bCs/>
          <w:smallCaps/>
          <w:color w:val="auto"/>
          <w:sz w:val="24"/>
          <w:szCs w:val="24"/>
          <w:u w:val="single"/>
        </w:rPr>
      </w:pPr>
      <w:r>
        <w:br w:type="page"/>
      </w:r>
    </w:p>
    <w:p w14:paraId="48152123" w14:textId="5C189927" w:rsidR="00293F8F" w:rsidRPr="00DB0420" w:rsidRDefault="00293F8F" w:rsidP="00A40A5D">
      <w:pPr>
        <w:pStyle w:val="Heading1"/>
      </w:pPr>
      <w:bookmarkStart w:id="909" w:name="_Ref54987623"/>
      <w:bookmarkStart w:id="910" w:name="_Ref55029444"/>
      <w:bookmarkStart w:id="911" w:name="_Toc64846732"/>
      <w:bookmarkStart w:id="912" w:name="_Toc69477032"/>
      <w:r w:rsidRPr="00DB0420">
        <w:lastRenderedPageBreak/>
        <w:t>ENFORCEMENT</w:t>
      </w:r>
      <w:bookmarkEnd w:id="909"/>
      <w:bookmarkEnd w:id="910"/>
      <w:bookmarkEnd w:id="911"/>
      <w:bookmarkEnd w:id="912"/>
    </w:p>
    <w:p w14:paraId="451AC2B7" w14:textId="679F0056" w:rsidR="00B360FA" w:rsidRDefault="00B360FA" w:rsidP="00C173D0">
      <w:pPr>
        <w:pStyle w:val="Heading2"/>
      </w:pPr>
      <w:bookmarkStart w:id="913" w:name="_Toc64846733"/>
      <w:bookmarkStart w:id="914" w:name="_Toc69477033"/>
      <w:r>
        <w:t>Compliance and Breaches</w:t>
      </w:r>
      <w:bookmarkEnd w:id="913"/>
      <w:bookmarkEnd w:id="914"/>
    </w:p>
    <w:p w14:paraId="091619FD" w14:textId="0B72D67D" w:rsidR="003A50D5" w:rsidRDefault="003A50D5" w:rsidP="00C173D0">
      <w:pPr>
        <w:pStyle w:val="Heading3"/>
      </w:pPr>
      <w:bookmarkStart w:id="915" w:name="_Ref63161294"/>
      <w:r>
        <w:t>Compliance</w:t>
      </w:r>
      <w:bookmarkEnd w:id="915"/>
      <w:r>
        <w:t xml:space="preserve"> </w:t>
      </w:r>
    </w:p>
    <w:p w14:paraId="4B037575" w14:textId="7DB9F40D" w:rsidR="00C96D6A" w:rsidRDefault="003A50D5" w:rsidP="00AE1AD1">
      <w:pPr>
        <w:pStyle w:val="Heading4"/>
      </w:pPr>
      <w:r>
        <w:t xml:space="preserve">The </w:t>
      </w:r>
      <w:r w:rsidR="00C96D6A">
        <w:t xml:space="preserve">Market Operator, </w:t>
      </w:r>
      <w:r>
        <w:t xml:space="preserve">System </w:t>
      </w:r>
      <w:r w:rsidR="00212F6F">
        <w:t>Operator</w:t>
      </w:r>
      <w:r w:rsidR="00C96D6A">
        <w:t xml:space="preserve">, Service Providers and all Market Participants </w:t>
      </w:r>
      <w:r>
        <w:t xml:space="preserve">shall comply with </w:t>
      </w:r>
      <w:r w:rsidR="00F05124">
        <w:t>this Code</w:t>
      </w:r>
      <w:r w:rsidR="00C96D6A">
        <w:t>.</w:t>
      </w:r>
    </w:p>
    <w:p w14:paraId="1B811BC8" w14:textId="20858D90" w:rsidR="003A50D5" w:rsidRDefault="00C96D6A" w:rsidP="00C96D6A">
      <w:pPr>
        <w:pStyle w:val="Heading4"/>
      </w:pPr>
      <w:r>
        <w:t xml:space="preserve"> The Market Operator shall monitor </w:t>
      </w:r>
      <w:r w:rsidR="003A50D5">
        <w:t>compliance</w:t>
      </w:r>
      <w:r>
        <w:t xml:space="preserve"> with the provisions of</w:t>
      </w:r>
      <w:r w:rsidR="003A50D5">
        <w:t xml:space="preserve"> </w:t>
      </w:r>
      <w:r w:rsidR="00F05124">
        <w:t>this Code</w:t>
      </w:r>
      <w:r w:rsidR="00212F6F">
        <w:t xml:space="preserve"> </w:t>
      </w:r>
      <w:r w:rsidR="003A50D5">
        <w:t xml:space="preserve">by all </w:t>
      </w:r>
      <w:r w:rsidR="00212F6F">
        <w:t xml:space="preserve">Market </w:t>
      </w:r>
      <w:r w:rsidR="003A50D5">
        <w:t xml:space="preserve">Participants and </w:t>
      </w:r>
      <w:r w:rsidR="00212F6F">
        <w:t>Service Providers</w:t>
      </w:r>
      <w:r w:rsidR="00F2400D">
        <w:t>.</w:t>
      </w:r>
    </w:p>
    <w:p w14:paraId="43139B20" w14:textId="28EAD6D9" w:rsidR="003A50D5" w:rsidRPr="00B03C4A" w:rsidRDefault="003A50D5" w:rsidP="005B295A">
      <w:pPr>
        <w:pStyle w:val="Heading4"/>
      </w:pPr>
      <w:r w:rsidRPr="00B03C4A">
        <w:t xml:space="preserve">The System Operator shall ensure compliance </w:t>
      </w:r>
      <w:r w:rsidR="00CD73C4">
        <w:t>with</w:t>
      </w:r>
      <w:r w:rsidR="00CD73C4" w:rsidRPr="00B03C4A">
        <w:t xml:space="preserve"> </w:t>
      </w:r>
      <w:r w:rsidRPr="00B03C4A">
        <w:t xml:space="preserve">the Grid Code by all </w:t>
      </w:r>
      <w:r w:rsidR="00212F6F" w:rsidRPr="00B03C4A">
        <w:t xml:space="preserve">Market </w:t>
      </w:r>
      <w:r w:rsidRPr="00B03C4A">
        <w:t xml:space="preserve">Participants and </w:t>
      </w:r>
      <w:r w:rsidR="00212F6F" w:rsidRPr="00B03C4A">
        <w:t>Service Providers</w:t>
      </w:r>
      <w:r w:rsidRPr="00B03C4A">
        <w:t xml:space="preserve">.  If the System Operator has evidence that a </w:t>
      </w:r>
      <w:r w:rsidR="00212F6F" w:rsidRPr="00B03C4A">
        <w:t xml:space="preserve">Market </w:t>
      </w:r>
      <w:r w:rsidRPr="00B03C4A">
        <w:t xml:space="preserve">Participant or a </w:t>
      </w:r>
      <w:r w:rsidR="00212F6F" w:rsidRPr="00B03C4A">
        <w:t>Service Provider</w:t>
      </w:r>
      <w:r w:rsidRPr="00B03C4A">
        <w:t xml:space="preserve"> has violated or is violating provisions of the Grid Code</w:t>
      </w:r>
      <w:r w:rsidR="00571D57" w:rsidRPr="00B03C4A">
        <w:t xml:space="preserve"> that have implications on the Market</w:t>
      </w:r>
      <w:r w:rsidRPr="00B03C4A">
        <w:t xml:space="preserve">, the System Operator </w:t>
      </w:r>
      <w:r w:rsidR="00571D57" w:rsidRPr="00B03C4A">
        <w:t xml:space="preserve">shall </w:t>
      </w:r>
      <w:commentRangeStart w:id="916"/>
      <w:commentRangeStart w:id="917"/>
      <w:r w:rsidR="00CD73C4">
        <w:t>inform the</w:t>
      </w:r>
      <w:r w:rsidRPr="00B03C4A">
        <w:t xml:space="preserve"> Market Operator</w:t>
      </w:r>
      <w:commentRangeEnd w:id="916"/>
      <w:r w:rsidR="00487BD7" w:rsidRPr="00B03C4A">
        <w:rPr>
          <w:rStyle w:val="CommentReference"/>
          <w:rFonts w:eastAsiaTheme="minorHAnsi" w:cstheme="minorBidi"/>
          <w:bCs w:val="0"/>
          <w:iCs w:val="0"/>
          <w:color w:val="1C1C1C"/>
        </w:rPr>
        <w:commentReference w:id="916"/>
      </w:r>
      <w:commentRangeEnd w:id="917"/>
      <w:r w:rsidR="001E0810" w:rsidRPr="00B03C4A">
        <w:rPr>
          <w:rStyle w:val="CommentReference"/>
          <w:rFonts w:eastAsiaTheme="minorHAnsi" w:cstheme="minorBidi"/>
          <w:bCs w:val="0"/>
          <w:iCs w:val="0"/>
          <w:color w:val="1C1C1C"/>
        </w:rPr>
        <w:commentReference w:id="917"/>
      </w:r>
      <w:r w:rsidR="00CD73C4">
        <w:t xml:space="preserve"> immediately</w:t>
      </w:r>
      <w:r w:rsidRPr="00B03C4A">
        <w:t>.</w:t>
      </w:r>
    </w:p>
    <w:p w14:paraId="59D8F3E2" w14:textId="271A6334" w:rsidR="003A50D5" w:rsidRPr="00487BD7" w:rsidRDefault="003A50D5" w:rsidP="00C96D6A">
      <w:pPr>
        <w:pStyle w:val="Heading4"/>
      </w:pPr>
      <w:r>
        <w:t xml:space="preserve">Any </w:t>
      </w:r>
      <w:r w:rsidR="00212F6F">
        <w:t xml:space="preserve">Market </w:t>
      </w:r>
      <w:r>
        <w:t xml:space="preserve">Participant </w:t>
      </w:r>
      <w:r w:rsidR="00C96D6A">
        <w:t xml:space="preserve">which </w:t>
      </w:r>
      <w:r>
        <w:t xml:space="preserve">has evidence that another </w:t>
      </w:r>
      <w:r w:rsidR="00212F6F">
        <w:t xml:space="preserve">Market </w:t>
      </w:r>
      <w:r>
        <w:t xml:space="preserve">Participant or </w:t>
      </w:r>
      <w:r w:rsidR="00212F6F">
        <w:t xml:space="preserve">a Service Provider </w:t>
      </w:r>
      <w:r>
        <w:t xml:space="preserve">has violated or is violating </w:t>
      </w:r>
      <w:r w:rsidR="00C96D6A">
        <w:t xml:space="preserve">the </w:t>
      </w:r>
      <w:r>
        <w:t xml:space="preserve">provisions of </w:t>
      </w:r>
      <w:r w:rsidR="00F05124" w:rsidRPr="00C5231C">
        <w:rPr>
          <w:bCs w:val="0"/>
          <w:iCs w:val="0"/>
        </w:rPr>
        <w:t xml:space="preserve">this </w:t>
      </w:r>
      <w:r w:rsidR="00F05124" w:rsidRPr="00B03C4A">
        <w:rPr>
          <w:bCs w:val="0"/>
          <w:iCs w:val="0"/>
        </w:rPr>
        <w:t>Code</w:t>
      </w:r>
      <w:r w:rsidR="00212F6F" w:rsidRPr="00B03C4A">
        <w:rPr>
          <w:bCs w:val="0"/>
          <w:iCs w:val="0"/>
        </w:rPr>
        <w:t xml:space="preserve"> </w:t>
      </w:r>
      <w:r w:rsidR="00487BD7" w:rsidRPr="00B03C4A">
        <w:rPr>
          <w:bCs w:val="0"/>
          <w:iCs w:val="0"/>
        </w:rPr>
        <w:t xml:space="preserve">or the </w:t>
      </w:r>
      <w:r w:rsidR="00C5231C" w:rsidRPr="00B03C4A">
        <w:rPr>
          <w:bCs w:val="0"/>
          <w:iCs w:val="0"/>
        </w:rPr>
        <w:t xml:space="preserve">provisions of </w:t>
      </w:r>
      <w:r w:rsidR="00487BD7" w:rsidRPr="00B03C4A">
        <w:rPr>
          <w:bCs w:val="0"/>
          <w:iCs w:val="0"/>
        </w:rPr>
        <w:t>Grid Code</w:t>
      </w:r>
      <w:r w:rsidR="00C5231C" w:rsidRPr="00C5231C">
        <w:rPr>
          <w:bCs w:val="0"/>
          <w:iCs w:val="0"/>
        </w:rPr>
        <w:t xml:space="preserve"> which have implication for the</w:t>
      </w:r>
      <w:r w:rsidR="00C5231C">
        <w:t xml:space="preserve"> Market,</w:t>
      </w:r>
      <w:r w:rsidR="00487BD7">
        <w:t xml:space="preserve"> </w:t>
      </w:r>
      <w:r w:rsidR="00CD73C4">
        <w:t>shall inform</w:t>
      </w:r>
      <w:r>
        <w:t xml:space="preserve"> the Market Operator</w:t>
      </w:r>
      <w:r w:rsidR="00CD73C4">
        <w:t xml:space="preserve"> immediately along with all supporting documents</w:t>
      </w:r>
      <w:r>
        <w:t xml:space="preserve">. </w:t>
      </w:r>
    </w:p>
    <w:p w14:paraId="7310F9D8" w14:textId="3A5C86FA" w:rsidR="003A50D5" w:rsidRDefault="003A50D5" w:rsidP="00C173D0">
      <w:pPr>
        <w:pStyle w:val="Heading3"/>
      </w:pPr>
      <w:bookmarkStart w:id="918" w:name="_Ref60789853"/>
      <w:bookmarkStart w:id="919" w:name="_Ref63161299"/>
      <w:r>
        <w:t xml:space="preserve">Procedure Concerning Alleged Breaches of </w:t>
      </w:r>
      <w:bookmarkEnd w:id="918"/>
      <w:r w:rsidR="00B360FA">
        <w:t>this Code</w:t>
      </w:r>
      <w:bookmarkEnd w:id="919"/>
    </w:p>
    <w:p w14:paraId="5A7F84AE" w14:textId="18F26E4A" w:rsidR="003A50D5" w:rsidRPr="00187DB6" w:rsidRDefault="003A50D5" w:rsidP="005B295A">
      <w:pPr>
        <w:pStyle w:val="Heading4"/>
      </w:pPr>
      <w:r>
        <w:t xml:space="preserve">Where </w:t>
      </w:r>
      <w:r w:rsidR="00F05124">
        <w:t>this Code</w:t>
      </w:r>
      <w:r>
        <w:t xml:space="preserve"> provide</w:t>
      </w:r>
      <w:r w:rsidR="004177B6">
        <w:t>s</w:t>
      </w:r>
      <w:r>
        <w:t xml:space="preserve"> for consequences or </w:t>
      </w:r>
      <w:r w:rsidR="007418F7">
        <w:t xml:space="preserve">penalties </w:t>
      </w:r>
      <w:r>
        <w:t>in respect of a breach</w:t>
      </w:r>
      <w:r w:rsidR="00527A71">
        <w:t xml:space="preserve"> of a particular Clause or provision</w:t>
      </w:r>
      <w:r>
        <w:t xml:space="preserve"> by a </w:t>
      </w:r>
      <w:r w:rsidR="004177B6">
        <w:t xml:space="preserve">Market </w:t>
      </w:r>
      <w:r>
        <w:t xml:space="preserve">Participant </w:t>
      </w:r>
      <w:r w:rsidR="00487BD7">
        <w:t>or Service Provider</w:t>
      </w:r>
      <w:r>
        <w:t xml:space="preserve">, those consequences or </w:t>
      </w:r>
      <w:r w:rsidR="007418F7">
        <w:t xml:space="preserve">penalties </w:t>
      </w:r>
      <w:r>
        <w:t xml:space="preserve">shall apply in the circumstances and in the manner provided for in the </w:t>
      </w:r>
      <w:r w:rsidRPr="00187DB6">
        <w:t xml:space="preserve">relevant </w:t>
      </w:r>
      <w:r w:rsidR="00B360FA" w:rsidRPr="00187DB6">
        <w:t>Clauses or provisions</w:t>
      </w:r>
      <w:r w:rsidRPr="00187DB6">
        <w:t xml:space="preserve">, in addition to </w:t>
      </w:r>
      <w:r w:rsidR="007418F7">
        <w:t>any other</w:t>
      </w:r>
      <w:r w:rsidR="007418F7" w:rsidRPr="00187DB6">
        <w:t xml:space="preserve"> </w:t>
      </w:r>
      <w:r w:rsidR="007418F7">
        <w:t>penalties</w:t>
      </w:r>
      <w:r w:rsidR="007418F7" w:rsidRPr="00187DB6">
        <w:t xml:space="preserve"> </w:t>
      </w:r>
      <w:r w:rsidRPr="00187DB6">
        <w:t xml:space="preserve">as may be imposed pursuant to </w:t>
      </w:r>
      <w:r w:rsidR="008C02F7">
        <w:t>Sub-Section</w:t>
      </w:r>
      <w:r w:rsidR="00B360FA" w:rsidRPr="00187DB6">
        <w:t xml:space="preserve"> </w:t>
      </w:r>
      <w:r w:rsidR="00761F80" w:rsidRPr="00187DB6">
        <w:fldChar w:fldCharType="begin"/>
      </w:r>
      <w:r w:rsidR="00761F80" w:rsidRPr="00187DB6">
        <w:instrText xml:space="preserve"> REF _Ref60791799 \w \h </w:instrText>
      </w:r>
      <w:r w:rsidR="00187DB6">
        <w:instrText xml:space="preserve"> \* MERGEFORMAT </w:instrText>
      </w:r>
      <w:r w:rsidR="00761F80" w:rsidRPr="00187DB6">
        <w:fldChar w:fldCharType="separate"/>
      </w:r>
      <w:r w:rsidR="00251DBF">
        <w:t>17.3.1</w:t>
      </w:r>
      <w:r w:rsidR="00761F80" w:rsidRPr="00187DB6">
        <w:fldChar w:fldCharType="end"/>
      </w:r>
      <w:r w:rsidRPr="00187DB6">
        <w:t>.</w:t>
      </w:r>
    </w:p>
    <w:p w14:paraId="08AAB426" w14:textId="371A312F" w:rsidR="00773555" w:rsidRPr="00B03C4A" w:rsidRDefault="00212F6F" w:rsidP="005B295A">
      <w:pPr>
        <w:pStyle w:val="Heading4"/>
        <w:rPr>
          <w:highlight w:val="yellow"/>
        </w:rPr>
      </w:pPr>
      <w:r w:rsidRPr="00187DB6">
        <w:t>In case the</w:t>
      </w:r>
      <w:r w:rsidR="003A50D5" w:rsidRPr="00187DB6">
        <w:t xml:space="preserve"> Market Operator considers,</w:t>
      </w:r>
      <w:r w:rsidR="003A50D5">
        <w:t xml:space="preserve"> </w:t>
      </w:r>
      <w:r w:rsidR="003A50D5" w:rsidRPr="00B03C4A">
        <w:rPr>
          <w:highlight w:val="yellow"/>
        </w:rPr>
        <w:t>on the basis of its own information or upon receipt of written information from any person</w:t>
      </w:r>
      <w:r w:rsidR="003A50D5">
        <w:t xml:space="preserve">, that a </w:t>
      </w:r>
      <w:r>
        <w:t xml:space="preserve">Market </w:t>
      </w:r>
      <w:r w:rsidR="003A50D5">
        <w:t xml:space="preserve">Participant may have breached or may be breaching any </w:t>
      </w:r>
      <w:r w:rsidR="004177B6">
        <w:t xml:space="preserve">provision of </w:t>
      </w:r>
      <w:r w:rsidR="00F05124">
        <w:t>this Code</w:t>
      </w:r>
      <w:r w:rsidR="003A50D5">
        <w:t xml:space="preserve">, </w:t>
      </w:r>
      <w:r w:rsidR="003A50D5" w:rsidRPr="00B03C4A">
        <w:rPr>
          <w:highlight w:val="yellow"/>
        </w:rPr>
        <w:t>other than a breach constituting an Event of Default</w:t>
      </w:r>
      <w:r w:rsidR="004177B6" w:rsidRPr="00B03C4A">
        <w:rPr>
          <w:highlight w:val="yellow"/>
        </w:rPr>
        <w:t xml:space="preserve"> </w:t>
      </w:r>
      <w:r w:rsidR="007418F7" w:rsidRPr="00B03C4A">
        <w:rPr>
          <w:highlight w:val="yellow"/>
        </w:rPr>
        <w:t>under</w:t>
      </w:r>
      <w:r w:rsidR="004177B6" w:rsidRPr="00B03C4A">
        <w:rPr>
          <w:highlight w:val="yellow"/>
        </w:rPr>
        <w:t xml:space="preserve"> </w:t>
      </w:r>
      <w:r w:rsidR="008C02F7" w:rsidRPr="00B03C4A">
        <w:rPr>
          <w:highlight w:val="yellow"/>
        </w:rPr>
        <w:t>Sub-Section</w:t>
      </w:r>
      <w:r w:rsidR="00187DB6" w:rsidRPr="00B03C4A">
        <w:rPr>
          <w:highlight w:val="yellow"/>
        </w:rPr>
        <w:t xml:space="preserve"> </w:t>
      </w:r>
      <w:r w:rsidR="00187DB6" w:rsidRPr="00B03C4A">
        <w:rPr>
          <w:highlight w:val="yellow"/>
        </w:rPr>
        <w:fldChar w:fldCharType="begin"/>
      </w:r>
      <w:r w:rsidR="00187DB6" w:rsidRPr="00B03C4A">
        <w:rPr>
          <w:highlight w:val="yellow"/>
        </w:rPr>
        <w:instrText xml:space="preserve"> REF _Ref60792923 \w \h  \* MERGEFORMAT </w:instrText>
      </w:r>
      <w:r w:rsidR="00187DB6" w:rsidRPr="00B03C4A">
        <w:rPr>
          <w:highlight w:val="yellow"/>
        </w:rPr>
      </w:r>
      <w:r w:rsidR="00187DB6" w:rsidRPr="00B03C4A">
        <w:rPr>
          <w:highlight w:val="yellow"/>
        </w:rPr>
        <w:fldChar w:fldCharType="separate"/>
      </w:r>
      <w:r w:rsidR="00251DBF" w:rsidRPr="00B03C4A">
        <w:rPr>
          <w:highlight w:val="yellow"/>
        </w:rPr>
        <w:t>17.2.1</w:t>
      </w:r>
      <w:r w:rsidR="00187DB6" w:rsidRPr="00B03C4A">
        <w:rPr>
          <w:highlight w:val="yellow"/>
        </w:rPr>
        <w:fldChar w:fldCharType="end"/>
      </w:r>
      <w:r w:rsidR="003A50D5" w:rsidRPr="00187DB6">
        <w:t xml:space="preserve">, </w:t>
      </w:r>
      <w:r w:rsidR="007418F7">
        <w:t xml:space="preserve">and </w:t>
      </w:r>
      <w:r w:rsidR="003A50D5" w:rsidRPr="00187DB6">
        <w:t xml:space="preserve">it </w:t>
      </w:r>
      <w:r w:rsidR="007418F7">
        <w:t>is</w:t>
      </w:r>
      <w:r w:rsidR="003A50D5" w:rsidRPr="00187DB6">
        <w:t xml:space="preserve"> appropriate that an enforcement action </w:t>
      </w:r>
      <w:r w:rsidR="007418F7">
        <w:t>may</w:t>
      </w:r>
      <w:r w:rsidR="007418F7" w:rsidRPr="00187DB6">
        <w:t xml:space="preserve"> </w:t>
      </w:r>
      <w:r w:rsidR="003A50D5" w:rsidRPr="00187DB6">
        <w:t xml:space="preserve">be taken against </w:t>
      </w:r>
      <w:r w:rsidR="007418F7">
        <w:t>that</w:t>
      </w:r>
      <w:r w:rsidR="007418F7" w:rsidRPr="00187DB6">
        <w:t xml:space="preserve"> </w:t>
      </w:r>
      <w:r w:rsidR="004177B6" w:rsidRPr="00187DB6">
        <w:t xml:space="preserve">Market </w:t>
      </w:r>
      <w:r w:rsidR="003A50D5" w:rsidRPr="00187DB6">
        <w:t>Participant</w:t>
      </w:r>
      <w:r w:rsidR="007418F7">
        <w:t>,</w:t>
      </w:r>
      <w:r w:rsidR="0030292C">
        <w:t xml:space="preserve"> </w:t>
      </w:r>
      <w:r w:rsidR="003A50D5" w:rsidRPr="00187DB6">
        <w:t xml:space="preserve">the Market Operator shall </w:t>
      </w:r>
      <w:r w:rsidR="00121A5B">
        <w:t xml:space="preserve">issue a notice </w:t>
      </w:r>
      <w:r w:rsidR="00773555">
        <w:t xml:space="preserve">to the relevant Market Participant requiring it to provide the </w:t>
      </w:r>
      <w:r w:rsidR="00773555" w:rsidRPr="00B03C4A">
        <w:rPr>
          <w:highlight w:val="yellow"/>
        </w:rPr>
        <w:t>necessary explanation regarding the alleged breach.</w:t>
      </w:r>
    </w:p>
    <w:p w14:paraId="29EEA70F" w14:textId="671B6C65" w:rsidR="00773555" w:rsidRPr="00773555" w:rsidRDefault="00773555">
      <w:pPr>
        <w:pStyle w:val="Heading4"/>
      </w:pPr>
      <w:r>
        <w:t>The Market Participant shall submit the required explanation to the Market Operator within specified time and, if required, request for a representation before the Market Operator to present its case.</w:t>
      </w:r>
    </w:p>
    <w:p w14:paraId="6911F055" w14:textId="02DD98D1" w:rsidR="003A50D5" w:rsidRPr="00187DB6" w:rsidRDefault="00773555" w:rsidP="005B295A">
      <w:pPr>
        <w:pStyle w:val="Heading4"/>
      </w:pPr>
      <w:r>
        <w:t xml:space="preserve">Upon review of the submitted explanation and, if applicable, consideration of arguments presented during the representation, the Market Operator may issue </w:t>
      </w:r>
      <w:r w:rsidRPr="00B03C4A">
        <w:rPr>
          <w:highlight w:val="yellow"/>
        </w:rPr>
        <w:t>a show cause notice</w:t>
      </w:r>
      <w:r>
        <w:t xml:space="preserve"> to</w:t>
      </w:r>
      <w:r w:rsidR="0030292C" w:rsidRPr="00187DB6">
        <w:t xml:space="preserve"> </w:t>
      </w:r>
      <w:r w:rsidR="003A50D5" w:rsidRPr="00187DB6">
        <w:t xml:space="preserve">the </w:t>
      </w:r>
      <w:r w:rsidR="007418F7">
        <w:t xml:space="preserve">relevant </w:t>
      </w:r>
      <w:r w:rsidR="004177B6" w:rsidRPr="00187DB6">
        <w:t xml:space="preserve">Market </w:t>
      </w:r>
      <w:r w:rsidR="003A50D5" w:rsidRPr="00187DB6">
        <w:t xml:space="preserve">Participant </w:t>
      </w:r>
      <w:r w:rsidR="00121A5B">
        <w:t>specifying the following</w:t>
      </w:r>
      <w:r w:rsidR="003A50D5" w:rsidRPr="00187DB6">
        <w:t>:</w:t>
      </w:r>
    </w:p>
    <w:p w14:paraId="703DE702" w14:textId="1D23103A" w:rsidR="003A50D5" w:rsidRDefault="00773555" w:rsidP="00B03234">
      <w:pPr>
        <w:pStyle w:val="Heading5"/>
      </w:pPr>
      <w:r>
        <w:t>T</w:t>
      </w:r>
      <w:r w:rsidR="003A50D5" w:rsidRPr="00187DB6">
        <w:t>he alleged breach and the time within which the breach</w:t>
      </w:r>
      <w:r w:rsidR="003A50D5">
        <w:t xml:space="preserve"> must be remedied</w:t>
      </w:r>
      <w:r>
        <w:t>.</w:t>
      </w:r>
    </w:p>
    <w:p w14:paraId="11D43AC7" w14:textId="306AC87C" w:rsidR="003A50D5" w:rsidRDefault="00773555" w:rsidP="00B03234">
      <w:pPr>
        <w:pStyle w:val="Heading5"/>
      </w:pPr>
      <w:r>
        <w:t>T</w:t>
      </w:r>
      <w:r w:rsidR="003A50D5">
        <w:t xml:space="preserve">he </w:t>
      </w:r>
      <w:r w:rsidR="00121A5B">
        <w:t xml:space="preserve">relevant </w:t>
      </w:r>
      <w:r w:rsidR="003A50D5">
        <w:t>evidence</w:t>
      </w:r>
      <w:r w:rsidR="00121A5B">
        <w:t xml:space="preserve"> or information available with the Market </w:t>
      </w:r>
      <w:r w:rsidR="00807B75">
        <w:t>Operator</w:t>
      </w:r>
      <w:r>
        <w:t>.</w:t>
      </w:r>
      <w:r w:rsidR="003A50D5">
        <w:t xml:space="preserve"> </w:t>
      </w:r>
    </w:p>
    <w:p w14:paraId="15DFB24C" w14:textId="03CC8267" w:rsidR="003A50D5" w:rsidRDefault="00773555" w:rsidP="00B03234">
      <w:pPr>
        <w:pStyle w:val="Heading5"/>
      </w:pPr>
      <w:r>
        <w:t>T</w:t>
      </w:r>
      <w:r w:rsidR="003A50D5">
        <w:t xml:space="preserve">he </w:t>
      </w:r>
      <w:r w:rsidR="007418F7">
        <w:t xml:space="preserve">penalties </w:t>
      </w:r>
      <w:r w:rsidR="003A50D5">
        <w:t xml:space="preserve">which may be imposed if the breach is </w:t>
      </w:r>
      <w:r w:rsidR="001E0810">
        <w:t>not remedied</w:t>
      </w:r>
      <w:r>
        <w:t>.</w:t>
      </w:r>
      <w:r w:rsidR="003A50D5">
        <w:t xml:space="preserve"> </w:t>
      </w:r>
    </w:p>
    <w:p w14:paraId="41C7C475" w14:textId="095712C6" w:rsidR="003A50D5" w:rsidRDefault="00773555" w:rsidP="00B03234">
      <w:pPr>
        <w:pStyle w:val="Heading5"/>
      </w:pPr>
      <w:bookmarkStart w:id="920" w:name="_Ref60777949"/>
      <w:r>
        <w:t>T</w:t>
      </w:r>
      <w:r w:rsidR="003A50D5">
        <w:t xml:space="preserve">he time within which the </w:t>
      </w:r>
      <w:r w:rsidR="004177B6">
        <w:t xml:space="preserve">Market </w:t>
      </w:r>
      <w:r w:rsidR="003A50D5">
        <w:t xml:space="preserve">Participant may </w:t>
      </w:r>
      <w:r w:rsidR="0030292C">
        <w:t xml:space="preserve">submit </w:t>
      </w:r>
      <w:r w:rsidR="003A50D5">
        <w:t xml:space="preserve">written </w:t>
      </w:r>
      <w:r w:rsidR="0030292C">
        <w:t>response</w:t>
      </w:r>
      <w:r>
        <w:t>.</w:t>
      </w:r>
      <w:r w:rsidR="0030292C">
        <w:t xml:space="preserve"> </w:t>
      </w:r>
      <w:bookmarkEnd w:id="920"/>
    </w:p>
    <w:p w14:paraId="27C894D9" w14:textId="782EB3F0" w:rsidR="003A50D5" w:rsidRDefault="00773555" w:rsidP="00B03234">
      <w:pPr>
        <w:pStyle w:val="Heading5"/>
      </w:pPr>
      <w:bookmarkStart w:id="921" w:name="_Ref60778202"/>
      <w:r>
        <w:t>T</w:t>
      </w:r>
      <w:r w:rsidR="003A50D5">
        <w:t xml:space="preserve">he right of </w:t>
      </w:r>
      <w:r w:rsidR="003A50D5" w:rsidRPr="00476AE0">
        <w:t xml:space="preserve">the </w:t>
      </w:r>
      <w:r w:rsidR="004177B6" w:rsidRPr="00476AE0">
        <w:t>Market</w:t>
      </w:r>
      <w:r w:rsidR="00B360FA" w:rsidRPr="00476AE0">
        <w:t xml:space="preserve"> </w:t>
      </w:r>
      <w:r w:rsidR="003A50D5" w:rsidRPr="00476AE0">
        <w:t>Participant to</w:t>
      </w:r>
      <w:r w:rsidR="003A50D5">
        <w:t xml:space="preserve"> request</w:t>
      </w:r>
      <w:r w:rsidR="007418F7">
        <w:t xml:space="preserve"> for a hearing </w:t>
      </w:r>
      <w:r w:rsidR="007418F7" w:rsidRPr="00B03C4A">
        <w:t>before</w:t>
      </w:r>
      <w:r w:rsidR="003A50D5" w:rsidRPr="00B03C4A">
        <w:t xml:space="preserve"> the Market </w:t>
      </w:r>
      <w:r w:rsidR="003A50D5" w:rsidRPr="00B03C4A">
        <w:lastRenderedPageBreak/>
        <w:t>Operator</w:t>
      </w:r>
      <w:r w:rsidR="003A50D5" w:rsidRPr="00773555">
        <w:t xml:space="preserve"> </w:t>
      </w:r>
      <w:r w:rsidR="003A50D5" w:rsidRPr="00B03C4A">
        <w:t>to discuss the matter</w:t>
      </w:r>
      <w:r w:rsidR="003A50D5">
        <w:t>.</w:t>
      </w:r>
      <w:bookmarkEnd w:id="921"/>
    </w:p>
    <w:p w14:paraId="39810C84" w14:textId="147F627F" w:rsidR="006F1912" w:rsidRDefault="006F1912" w:rsidP="006F1912">
      <w:pPr>
        <w:pStyle w:val="Heading4"/>
      </w:pPr>
      <w:r>
        <w:t xml:space="preserve">Where the Market Participant has requested a hearing </w:t>
      </w:r>
      <w:r w:rsidRPr="00B03C4A">
        <w:t xml:space="preserve">pursuant to Clause </w:t>
      </w:r>
      <w:r w:rsidRPr="00B03C4A">
        <w:fldChar w:fldCharType="begin"/>
      </w:r>
      <w:r w:rsidRPr="00B03C4A">
        <w:instrText xml:space="preserve"> REF _Ref60778202 \w \h  \* MERGEFORMAT </w:instrText>
      </w:r>
      <w:r w:rsidRPr="00B03C4A">
        <w:fldChar w:fldCharType="separate"/>
      </w:r>
      <w:r w:rsidRPr="00B03C4A">
        <w:t>17.1.2.2.e)</w:t>
      </w:r>
      <w:r w:rsidRPr="00B03C4A">
        <w:fldChar w:fldCharType="end"/>
      </w:r>
      <w:r w:rsidRPr="00773555">
        <w:t>,</w:t>
      </w:r>
      <w:r>
        <w:t xml:space="preserve"> the Market Operator shall provide the Market Participant with a reasonable opportunity to present its case.</w:t>
      </w:r>
    </w:p>
    <w:p w14:paraId="5503023A" w14:textId="2FD1FF53" w:rsidR="003A50D5" w:rsidRDefault="0030292C" w:rsidP="005B295A">
      <w:pPr>
        <w:pStyle w:val="Heading4"/>
      </w:pPr>
      <w:r>
        <w:t xml:space="preserve">After </w:t>
      </w:r>
      <w:r w:rsidR="003A50D5">
        <w:t xml:space="preserve">expiry of the time specified </w:t>
      </w:r>
      <w:r w:rsidR="00121A5B">
        <w:t>in the notice and consideration of the response</w:t>
      </w:r>
      <w:r w:rsidR="006F1912">
        <w:t>, if any, and holding of the hearing</w:t>
      </w:r>
      <w:r w:rsidR="00121A5B">
        <w:t>,</w:t>
      </w:r>
      <w:r w:rsidR="006F1912">
        <w:t xml:space="preserve"> if requested,</w:t>
      </w:r>
      <w:r w:rsidR="00121A5B">
        <w:t xml:space="preserve">  </w:t>
      </w:r>
      <w:r w:rsidR="003A50D5">
        <w:t xml:space="preserve">the Market Operator may: </w:t>
      </w:r>
    </w:p>
    <w:p w14:paraId="6F794A27" w14:textId="7218D4F1" w:rsidR="003A50D5" w:rsidRDefault="003A50D5" w:rsidP="00B03234">
      <w:pPr>
        <w:pStyle w:val="Heading5"/>
      </w:pPr>
      <w:r>
        <w:t xml:space="preserve">determine that the </w:t>
      </w:r>
      <w:r w:rsidR="00902DA5">
        <w:t xml:space="preserve">Market </w:t>
      </w:r>
      <w:r>
        <w:t xml:space="preserve">Participant has not breached </w:t>
      </w:r>
      <w:r w:rsidR="00F05124">
        <w:t>this Code</w:t>
      </w:r>
      <w:r>
        <w:t xml:space="preserve"> </w:t>
      </w:r>
      <w:r w:rsidRPr="0030292C">
        <w:rPr>
          <w:highlight w:val="yellow"/>
        </w:rPr>
        <w:t>or the Grid Code</w:t>
      </w:r>
      <w:r w:rsidRPr="00B360FA">
        <w:t>, as the</w:t>
      </w:r>
      <w:r>
        <w:t xml:space="preserve"> case may be;</w:t>
      </w:r>
    </w:p>
    <w:p w14:paraId="1B1EA744" w14:textId="2B03BF50" w:rsidR="003A50D5" w:rsidRPr="00187DB6" w:rsidRDefault="003A50D5" w:rsidP="00B03234">
      <w:pPr>
        <w:pStyle w:val="Heading5"/>
      </w:pPr>
      <w:bookmarkStart w:id="922" w:name="_Ref60778292"/>
      <w:r w:rsidRPr="00187DB6">
        <w:t xml:space="preserve">determine that the </w:t>
      </w:r>
      <w:r w:rsidR="004177B6" w:rsidRPr="00187DB6">
        <w:t xml:space="preserve">Market </w:t>
      </w:r>
      <w:r w:rsidRPr="00187DB6">
        <w:t xml:space="preserve">Participant is in breach of </w:t>
      </w:r>
      <w:r w:rsidR="00F05124">
        <w:t>this Code</w:t>
      </w:r>
      <w:r w:rsidRPr="00187DB6">
        <w:t xml:space="preserve"> </w:t>
      </w:r>
      <w:r w:rsidRPr="0030292C">
        <w:rPr>
          <w:highlight w:val="yellow"/>
        </w:rPr>
        <w:t>and/or the Grid Code</w:t>
      </w:r>
      <w:r w:rsidRPr="00187DB6">
        <w:t>, as the case may be;</w:t>
      </w:r>
      <w:bookmarkEnd w:id="922"/>
    </w:p>
    <w:p w14:paraId="0203A12A" w14:textId="0B315461" w:rsidR="003A50D5" w:rsidRDefault="0030292C" w:rsidP="00B03234">
      <w:pPr>
        <w:pStyle w:val="Heading5"/>
      </w:pPr>
      <w:bookmarkStart w:id="923" w:name="_Ref60778373"/>
      <w:r>
        <w:t>require</w:t>
      </w:r>
      <w:r w:rsidRPr="00187DB6">
        <w:t xml:space="preserve"> </w:t>
      </w:r>
      <w:r w:rsidR="003A50D5" w:rsidRPr="00187DB6">
        <w:t>that the</w:t>
      </w:r>
      <w:r w:rsidR="003A50D5">
        <w:t xml:space="preserve"> </w:t>
      </w:r>
      <w:r w:rsidR="004177B6">
        <w:t xml:space="preserve">Market </w:t>
      </w:r>
      <w:r w:rsidR="003A50D5">
        <w:t xml:space="preserve">Participant provide further information </w:t>
      </w:r>
      <w:r>
        <w:t>regarding</w:t>
      </w:r>
      <w:r w:rsidR="003A50D5">
        <w:t xml:space="preserve"> the alleged breach; or</w:t>
      </w:r>
      <w:bookmarkEnd w:id="923"/>
    </w:p>
    <w:p w14:paraId="604A8A58" w14:textId="30329CF6" w:rsidR="003A50D5" w:rsidRDefault="003A50D5" w:rsidP="00B03234">
      <w:pPr>
        <w:pStyle w:val="Heading5"/>
      </w:pPr>
      <w:r>
        <w:t xml:space="preserve">conduct such further investigation into the matter as the Market Operator </w:t>
      </w:r>
      <w:r w:rsidR="006F1912">
        <w:t xml:space="preserve">may </w:t>
      </w:r>
      <w:r w:rsidR="0030292C">
        <w:t xml:space="preserve">deem </w:t>
      </w:r>
      <w:r>
        <w:t>appropriate.</w:t>
      </w:r>
    </w:p>
    <w:p w14:paraId="3AD4161C" w14:textId="09C63C24" w:rsidR="003A50D5" w:rsidRDefault="003A50D5" w:rsidP="005B295A">
      <w:pPr>
        <w:pStyle w:val="Heading4"/>
      </w:pPr>
      <w:bookmarkStart w:id="924" w:name="_Ref60779449"/>
      <w:r>
        <w:t xml:space="preserve">Where the Market Operator determines that a </w:t>
      </w:r>
      <w:r w:rsidR="004177B6">
        <w:t xml:space="preserve">Market </w:t>
      </w:r>
      <w:r>
        <w:t xml:space="preserve">Participant has breached </w:t>
      </w:r>
      <w:r w:rsidR="00F05124">
        <w:t>this Code</w:t>
      </w:r>
      <w:r w:rsidR="004177B6">
        <w:t xml:space="preserve"> </w:t>
      </w:r>
      <w:r w:rsidRPr="00B03C4A">
        <w:rPr>
          <w:highlight w:val="yellow"/>
        </w:rPr>
        <w:t>and/or the Grid Code</w:t>
      </w:r>
      <w:r w:rsidRPr="00B360FA">
        <w:t>, as the case may be, the</w:t>
      </w:r>
      <w:r>
        <w:t xml:space="preserve"> Market Operator may </w:t>
      </w:r>
      <w:r w:rsidR="0030292C">
        <w:t xml:space="preserve">require </w:t>
      </w:r>
      <w:r w:rsidR="002D3CD9">
        <w:t xml:space="preserve">such </w:t>
      </w:r>
      <w:r w:rsidR="004177B6">
        <w:t xml:space="preserve">Market </w:t>
      </w:r>
      <w:r>
        <w:t>Participant</w:t>
      </w:r>
      <w:r w:rsidRPr="00B360FA">
        <w:t>, to</w:t>
      </w:r>
      <w:r>
        <w:t xml:space="preserve"> do any one or more of the following:</w:t>
      </w:r>
      <w:bookmarkEnd w:id="924"/>
    </w:p>
    <w:p w14:paraId="75610091" w14:textId="5B6F6180" w:rsidR="003A50D5" w:rsidRPr="00B360FA" w:rsidRDefault="006E5095" w:rsidP="00B03234">
      <w:pPr>
        <w:pStyle w:val="Heading5"/>
      </w:pPr>
      <w:r>
        <w:t>d</w:t>
      </w:r>
      <w:r w:rsidR="003A50D5">
        <w:t xml:space="preserve">irect the </w:t>
      </w:r>
      <w:r w:rsidR="004177B6">
        <w:t xml:space="preserve">Market </w:t>
      </w:r>
      <w:r w:rsidR="003A50D5">
        <w:t xml:space="preserve">Participant to </w:t>
      </w:r>
      <w:r w:rsidR="002D3CD9">
        <w:t>take</w:t>
      </w:r>
      <w:r w:rsidR="003A50D5">
        <w:t xml:space="preserve">, within a specified period, such </w:t>
      </w:r>
      <w:r w:rsidR="002D3CD9">
        <w:t xml:space="preserve">actions </w:t>
      </w:r>
      <w:r w:rsidR="003A50D5">
        <w:t xml:space="preserve">as may be necessary to comply with </w:t>
      </w:r>
      <w:r w:rsidR="00F05124">
        <w:t>this Code</w:t>
      </w:r>
      <w:r w:rsidR="004177B6" w:rsidRPr="00B360FA">
        <w:t xml:space="preserve"> </w:t>
      </w:r>
      <w:r w:rsidR="003A50D5" w:rsidRPr="00D8118E">
        <w:rPr>
          <w:highlight w:val="yellow"/>
        </w:rPr>
        <w:t>and/or the Grid Code, as the case may be</w:t>
      </w:r>
      <w:r w:rsidR="003A50D5" w:rsidRPr="00B360FA">
        <w:t>;</w:t>
      </w:r>
    </w:p>
    <w:p w14:paraId="255FB70F" w14:textId="621D6709" w:rsidR="003A50D5" w:rsidRDefault="003A50D5" w:rsidP="00B03234">
      <w:pPr>
        <w:pStyle w:val="Heading5"/>
      </w:pPr>
      <w:r>
        <w:t xml:space="preserve">direct the </w:t>
      </w:r>
      <w:r w:rsidR="004177B6">
        <w:t xml:space="preserve">Market </w:t>
      </w:r>
      <w:r>
        <w:t>Participant to cease, within a specified period, the act, activity or practice constituting the breach;</w:t>
      </w:r>
    </w:p>
    <w:p w14:paraId="63FE8201" w14:textId="567DF69E" w:rsidR="003A50D5" w:rsidRDefault="003A50D5" w:rsidP="00B03234">
      <w:pPr>
        <w:pStyle w:val="Heading5"/>
      </w:pPr>
      <w:r>
        <w:t xml:space="preserve">impose additional or more stringent record-keeping or reporting requirements on the </w:t>
      </w:r>
      <w:r w:rsidR="004177B6">
        <w:t xml:space="preserve">Market </w:t>
      </w:r>
      <w:r>
        <w:t xml:space="preserve">Participant; </w:t>
      </w:r>
    </w:p>
    <w:p w14:paraId="35CE4C1C" w14:textId="5AFC5E70" w:rsidR="003A50D5" w:rsidRDefault="003A50D5" w:rsidP="00B03234">
      <w:pPr>
        <w:pStyle w:val="Heading5"/>
      </w:pPr>
      <w:r>
        <w:t xml:space="preserve">issue a non-compliance letter in accordance with </w:t>
      </w:r>
      <w:r w:rsidR="008C02F7">
        <w:t>Sub-Section</w:t>
      </w:r>
      <w:r w:rsidR="00B360FA">
        <w:t xml:space="preserve"> </w:t>
      </w:r>
      <w:r w:rsidR="00B360FA">
        <w:fldChar w:fldCharType="begin"/>
      </w:r>
      <w:r w:rsidR="00B360FA">
        <w:instrText xml:space="preserve"> REF _Ref60791293 \w \h </w:instrText>
      </w:r>
      <w:r w:rsidR="00B360FA">
        <w:fldChar w:fldCharType="separate"/>
      </w:r>
      <w:r w:rsidR="00251DBF">
        <w:t>17.3</w:t>
      </w:r>
      <w:r w:rsidR="00B360FA">
        <w:fldChar w:fldCharType="end"/>
      </w:r>
      <w:r w:rsidRPr="00B360FA">
        <w:t>;</w:t>
      </w:r>
    </w:p>
    <w:p w14:paraId="464AAFA7" w14:textId="07037E7E" w:rsidR="003A50D5" w:rsidRDefault="003A50D5" w:rsidP="00B03234">
      <w:pPr>
        <w:pStyle w:val="Heading5"/>
      </w:pPr>
      <w:r>
        <w:t xml:space="preserve">impose financial penalties in accordance with </w:t>
      </w:r>
      <w:r w:rsidR="008C02F7">
        <w:t>Sub-Section</w:t>
      </w:r>
      <w:r w:rsidR="00B360FA">
        <w:t xml:space="preserve"> </w:t>
      </w:r>
      <w:r w:rsidR="00B360FA">
        <w:fldChar w:fldCharType="begin"/>
      </w:r>
      <w:r w:rsidR="00B360FA">
        <w:instrText xml:space="preserve"> REF _Ref60791293 \w \h </w:instrText>
      </w:r>
      <w:r w:rsidR="00B360FA">
        <w:fldChar w:fldCharType="separate"/>
      </w:r>
      <w:r w:rsidR="00251DBF">
        <w:t>17.3</w:t>
      </w:r>
      <w:r w:rsidR="00B360FA">
        <w:fldChar w:fldCharType="end"/>
      </w:r>
      <w:r>
        <w:t>; or</w:t>
      </w:r>
    </w:p>
    <w:p w14:paraId="3A417F92" w14:textId="2C184B5E" w:rsidR="003A50D5" w:rsidRDefault="003A50D5" w:rsidP="00B03234">
      <w:pPr>
        <w:pStyle w:val="Heading5"/>
      </w:pPr>
      <w:r>
        <w:t xml:space="preserve">take such other action as may be provided for in </w:t>
      </w:r>
      <w:r w:rsidR="00F05124">
        <w:t>this Code</w:t>
      </w:r>
      <w:r>
        <w:t xml:space="preserve"> </w:t>
      </w:r>
      <w:r w:rsidRPr="00D8118E">
        <w:rPr>
          <w:highlight w:val="yellow"/>
        </w:rPr>
        <w:t>or the Grid Code</w:t>
      </w:r>
      <w:r>
        <w:t xml:space="preserve"> in respect of the </w:t>
      </w:r>
      <w:r w:rsidR="004177B6">
        <w:t>provisions</w:t>
      </w:r>
      <w:r>
        <w:t xml:space="preserve"> that </w:t>
      </w:r>
      <w:r w:rsidR="00E35ED9">
        <w:t xml:space="preserve">have </w:t>
      </w:r>
      <w:r>
        <w:t xml:space="preserve">been breached by the </w:t>
      </w:r>
      <w:r w:rsidR="004177B6">
        <w:t xml:space="preserve">Market </w:t>
      </w:r>
      <w:r>
        <w:t>Participant.</w:t>
      </w:r>
    </w:p>
    <w:p w14:paraId="77C5D056" w14:textId="6A3EA7A8" w:rsidR="003A50D5" w:rsidRDefault="003A50D5" w:rsidP="005B295A">
      <w:pPr>
        <w:pStyle w:val="Heading4"/>
      </w:pPr>
      <w:r>
        <w:t xml:space="preserve">A </w:t>
      </w:r>
      <w:r w:rsidR="004177B6">
        <w:t xml:space="preserve">Market </w:t>
      </w:r>
      <w:r>
        <w:t xml:space="preserve">Participant shall comply with an order of the Market Operator made pursuant to </w:t>
      </w:r>
      <w:r w:rsidR="004177B6">
        <w:t xml:space="preserve">Clause </w:t>
      </w:r>
      <w:r w:rsidR="004177B6">
        <w:fldChar w:fldCharType="begin"/>
      </w:r>
      <w:r w:rsidR="004177B6">
        <w:instrText xml:space="preserve"> REF _Ref60779449 \w \h </w:instrText>
      </w:r>
      <w:r w:rsidR="004177B6">
        <w:fldChar w:fldCharType="separate"/>
      </w:r>
      <w:r w:rsidR="00C5231C">
        <w:t>17.1.2.7</w:t>
      </w:r>
      <w:r w:rsidR="004177B6">
        <w:fldChar w:fldCharType="end"/>
      </w:r>
      <w:r>
        <w:t xml:space="preserve"> as soon as the order is effective </w:t>
      </w:r>
    </w:p>
    <w:p w14:paraId="4B2CD30E" w14:textId="09FFA66B" w:rsidR="00B360FA" w:rsidRDefault="00B360FA" w:rsidP="00C173D0">
      <w:pPr>
        <w:pStyle w:val="Heading2"/>
      </w:pPr>
      <w:bookmarkStart w:id="925" w:name="_Toc64846734"/>
      <w:bookmarkStart w:id="926" w:name="_Toc69477034"/>
      <w:bookmarkStart w:id="927" w:name="_Ref60784390"/>
      <w:r>
        <w:t>Suspension and Termination Orders</w:t>
      </w:r>
      <w:bookmarkEnd w:id="925"/>
      <w:bookmarkEnd w:id="926"/>
    </w:p>
    <w:p w14:paraId="11AA1C0F" w14:textId="6A47580B" w:rsidR="003A50D5" w:rsidRDefault="00187DB6" w:rsidP="00C173D0">
      <w:pPr>
        <w:pStyle w:val="Heading3"/>
      </w:pPr>
      <w:bookmarkStart w:id="928" w:name="_Ref60792923"/>
      <w:bookmarkEnd w:id="927"/>
      <w:r>
        <w:t>Event</w:t>
      </w:r>
      <w:r w:rsidR="00E35ED9">
        <w:t>s</w:t>
      </w:r>
      <w:r>
        <w:t xml:space="preserve"> of Default</w:t>
      </w:r>
      <w:bookmarkEnd w:id="928"/>
    </w:p>
    <w:p w14:paraId="46032405" w14:textId="6585633A" w:rsidR="003A50D5" w:rsidRDefault="003A50D5" w:rsidP="005B295A">
      <w:pPr>
        <w:pStyle w:val="Heading4"/>
      </w:pPr>
      <w:bookmarkStart w:id="929" w:name="_Ref60781355"/>
      <w:r>
        <w:t xml:space="preserve">Each of the following </w:t>
      </w:r>
      <w:r w:rsidR="00E35ED9">
        <w:t xml:space="preserve">shall constitute as </w:t>
      </w:r>
      <w:r>
        <w:t xml:space="preserve">an Event of Default </w:t>
      </w:r>
      <w:r w:rsidR="00E35ED9">
        <w:t>for</w:t>
      </w:r>
      <w:r>
        <w:t xml:space="preserve"> a </w:t>
      </w:r>
      <w:r w:rsidR="004177B6">
        <w:t xml:space="preserve">Market </w:t>
      </w:r>
      <w:r>
        <w:t>Participant:</w:t>
      </w:r>
      <w:bookmarkEnd w:id="929"/>
    </w:p>
    <w:p w14:paraId="0189B2FB" w14:textId="34231F33" w:rsidR="003A50D5" w:rsidRPr="00294BC3" w:rsidRDefault="003A50D5" w:rsidP="00B03234">
      <w:pPr>
        <w:pStyle w:val="Heading5"/>
      </w:pPr>
      <w:r>
        <w:t xml:space="preserve">the </w:t>
      </w:r>
      <w:r w:rsidR="00136176">
        <w:t>Market Participant</w:t>
      </w:r>
      <w:r>
        <w:t xml:space="preserve"> fails to comply with an order of the Market Operator made pursuant to </w:t>
      </w:r>
      <w:r w:rsidR="004177B6">
        <w:t xml:space="preserve">Clause </w:t>
      </w:r>
      <w:r w:rsidR="004177B6">
        <w:fldChar w:fldCharType="begin"/>
      </w:r>
      <w:r w:rsidR="004177B6">
        <w:instrText xml:space="preserve"> REF _Ref60779449 \w \h </w:instrText>
      </w:r>
      <w:r w:rsidR="004177B6">
        <w:fldChar w:fldCharType="separate"/>
      </w:r>
      <w:r w:rsidR="00251DBF">
        <w:t>17.1.2.6</w:t>
      </w:r>
      <w:r w:rsidR="004177B6">
        <w:fldChar w:fldCharType="end"/>
      </w:r>
      <w:r>
        <w:t xml:space="preserve"> </w:t>
      </w:r>
      <w:r w:rsidRPr="008158B3">
        <w:rPr>
          <w:highlight w:val="yellow"/>
        </w:rPr>
        <w:t>once the order has become effective</w:t>
      </w:r>
      <w:r w:rsidR="00761F80" w:rsidRPr="00294BC3">
        <w:t>.</w:t>
      </w:r>
    </w:p>
    <w:p w14:paraId="1AA3EE86" w14:textId="1E438B9A" w:rsidR="003A50D5" w:rsidRPr="0028386E" w:rsidRDefault="003A50D5" w:rsidP="00B03234">
      <w:pPr>
        <w:pStyle w:val="Heading5"/>
        <w:rPr>
          <w:highlight w:val="yellow"/>
        </w:rPr>
      </w:pPr>
      <w:bookmarkStart w:id="930" w:name="_Ref60781431"/>
      <w:r w:rsidRPr="0028386E">
        <w:rPr>
          <w:highlight w:val="yellow"/>
        </w:rPr>
        <w:t xml:space="preserve">a </w:t>
      </w:r>
      <w:r w:rsidR="00136176" w:rsidRPr="0028386E">
        <w:rPr>
          <w:highlight w:val="yellow"/>
        </w:rPr>
        <w:t>Market Participant</w:t>
      </w:r>
      <w:r w:rsidRPr="0028386E">
        <w:rPr>
          <w:highlight w:val="yellow"/>
        </w:rPr>
        <w:t xml:space="preserve"> fails to comply with </w:t>
      </w:r>
      <w:r w:rsidR="00CD73C4">
        <w:rPr>
          <w:highlight w:val="yellow"/>
        </w:rPr>
        <w:t>the decision of the Adjudication Tribunal</w:t>
      </w:r>
      <w:r w:rsidRPr="0028386E">
        <w:rPr>
          <w:highlight w:val="yellow"/>
        </w:rPr>
        <w:t xml:space="preserve"> </w:t>
      </w:r>
      <w:r w:rsidR="00CD73C4">
        <w:rPr>
          <w:highlight w:val="yellow"/>
        </w:rPr>
        <w:t xml:space="preserve"> under Chapter 15</w:t>
      </w:r>
      <w:r w:rsidRPr="0028386E">
        <w:rPr>
          <w:highlight w:val="yellow"/>
        </w:rPr>
        <w:t xml:space="preserve"> unless such award has been stayed</w:t>
      </w:r>
      <w:r w:rsidR="00CD73C4">
        <w:rPr>
          <w:highlight w:val="yellow"/>
        </w:rPr>
        <w:t>;</w:t>
      </w:r>
      <w:r w:rsidRPr="0028386E">
        <w:rPr>
          <w:highlight w:val="yellow"/>
        </w:rPr>
        <w:t xml:space="preserve"> </w:t>
      </w:r>
      <w:bookmarkEnd w:id="930"/>
    </w:p>
    <w:p w14:paraId="1E024C05" w14:textId="38493657" w:rsidR="003A50D5" w:rsidRDefault="003A50D5" w:rsidP="00B03234">
      <w:pPr>
        <w:pStyle w:val="Heading5"/>
      </w:pPr>
      <w:r w:rsidRPr="00294BC3">
        <w:t xml:space="preserve">the </w:t>
      </w:r>
      <w:r w:rsidR="008158B3">
        <w:t xml:space="preserve">Market Participant doesn’t pay the required amount in full under a Security Cover </w:t>
      </w:r>
      <w:r>
        <w:t xml:space="preserve">within </w:t>
      </w:r>
      <w:r w:rsidR="00DD5CBB">
        <w:t>[</w:t>
      </w:r>
      <w:r>
        <w:t>one Business Day</w:t>
      </w:r>
      <w:r w:rsidR="00DD5CBB">
        <w:t>]</w:t>
      </w:r>
      <w:r>
        <w:t xml:space="preserve"> after </w:t>
      </w:r>
      <w:r w:rsidR="008158B3">
        <w:t>the Payment Due Date</w:t>
      </w:r>
      <w:r>
        <w:t>;</w:t>
      </w:r>
    </w:p>
    <w:p w14:paraId="592B29C7" w14:textId="547C797B" w:rsidR="003A50D5" w:rsidRDefault="003A50D5" w:rsidP="00B03234">
      <w:pPr>
        <w:pStyle w:val="Heading5"/>
      </w:pPr>
      <w:bookmarkStart w:id="931" w:name="_Ref60781444"/>
      <w:r>
        <w:t xml:space="preserve">the </w:t>
      </w:r>
      <w:r w:rsidR="00136176">
        <w:t>Market Participant</w:t>
      </w:r>
      <w:r>
        <w:t xml:space="preserve"> fails to renew the Security Cover required to be supplied under </w:t>
      </w:r>
      <w:r w:rsidR="00DD5CBB">
        <w:fldChar w:fldCharType="begin"/>
      </w:r>
      <w:r w:rsidR="00DD5CBB">
        <w:instrText xml:space="preserve"> REF _Ref54689603 \w \h </w:instrText>
      </w:r>
      <w:r w:rsidR="00DD5CBB">
        <w:fldChar w:fldCharType="separate"/>
      </w:r>
      <w:r w:rsidR="00251DBF">
        <w:t>Chapter 14</w:t>
      </w:r>
      <w:r w:rsidR="00DD5CBB">
        <w:fldChar w:fldCharType="end"/>
      </w:r>
      <w:r w:rsidR="00DD5CBB">
        <w:t xml:space="preserve"> of this </w:t>
      </w:r>
      <w:r w:rsidR="00F64A42">
        <w:t>Code</w:t>
      </w:r>
      <w:r w:rsidR="00DD5CBB">
        <w:t xml:space="preserve"> </w:t>
      </w:r>
      <w:r>
        <w:t>within the time specified by the Market Operator;</w:t>
      </w:r>
      <w:bookmarkEnd w:id="931"/>
    </w:p>
    <w:p w14:paraId="67EEA433" w14:textId="6DE5E6BB" w:rsidR="003A50D5" w:rsidRDefault="003A50D5" w:rsidP="00B03234">
      <w:pPr>
        <w:pStyle w:val="Heading5"/>
      </w:pPr>
      <w:r>
        <w:lastRenderedPageBreak/>
        <w:t xml:space="preserve">it becomes unlawful for the </w:t>
      </w:r>
      <w:r w:rsidR="00136176">
        <w:t>Market Participant</w:t>
      </w:r>
      <w:r>
        <w:t xml:space="preserve"> to comply with any of its obligations under </w:t>
      </w:r>
      <w:r w:rsidR="00F05124">
        <w:t>this Code</w:t>
      </w:r>
      <w:r w:rsidR="00DD5CBB">
        <w:t xml:space="preserve"> </w:t>
      </w:r>
      <w:r w:rsidRPr="0028386E">
        <w:rPr>
          <w:highlight w:val="yellow"/>
        </w:rPr>
        <w:t>or the Grid Code, as the case may be</w:t>
      </w:r>
      <w:r w:rsidRPr="00761F80">
        <w:t>, or any other obligation owed to the Market Operator or it is claimed</w:t>
      </w:r>
      <w:r>
        <w:t xml:space="preserve"> to have become so by the </w:t>
      </w:r>
      <w:r w:rsidR="00DD5CBB">
        <w:t xml:space="preserve">Market </w:t>
      </w:r>
      <w:r>
        <w:t>Participant;</w:t>
      </w:r>
    </w:p>
    <w:p w14:paraId="491E2613" w14:textId="07E05D75" w:rsidR="003A50D5" w:rsidRDefault="003A50D5" w:rsidP="00B03234">
      <w:pPr>
        <w:pStyle w:val="Heading5"/>
      </w:pPr>
      <w:r>
        <w:t xml:space="preserve">a licence, including a Licence </w:t>
      </w:r>
      <w:r w:rsidR="008158B3">
        <w:t xml:space="preserve">issued by </w:t>
      </w:r>
      <w:r>
        <w:t xml:space="preserve">the </w:t>
      </w:r>
      <w:r w:rsidR="00DD5CBB">
        <w:t>Authority</w:t>
      </w:r>
      <w:r>
        <w:t xml:space="preserve"> pursuant to the Act, permit or other authori</w:t>
      </w:r>
      <w:r w:rsidR="005637E7">
        <w:t>z</w:t>
      </w:r>
      <w:r>
        <w:t xml:space="preserve">ation necessary to enable the </w:t>
      </w:r>
      <w:r w:rsidR="00DD5CBB">
        <w:t xml:space="preserve">Market </w:t>
      </w:r>
      <w:r>
        <w:t xml:space="preserve">Participant to conduct its business or activities is suspended, revoked or otherwise ceases to be in full force and effect, provided that where a </w:t>
      </w:r>
      <w:r w:rsidR="00DD5CBB">
        <w:t xml:space="preserve">Market </w:t>
      </w:r>
      <w:r>
        <w:t>Participant holds more than one licence and only one such licence has been suspended, revoked or otherwise ceases to be in full force and effect, the Event of Default and any action taken by the Market Operator with respect thereto shall relate only to such licence;</w:t>
      </w:r>
    </w:p>
    <w:p w14:paraId="24A76FCF" w14:textId="476CA7D8" w:rsidR="003A50D5" w:rsidRPr="00761F80" w:rsidRDefault="003A50D5" w:rsidP="00B03234">
      <w:pPr>
        <w:pStyle w:val="Heading5"/>
      </w:pPr>
      <w:r>
        <w:t xml:space="preserve">the </w:t>
      </w:r>
      <w:r w:rsidR="00DD5CBB">
        <w:t xml:space="preserve">Market </w:t>
      </w:r>
      <w:r>
        <w:t xml:space="preserve">Participant ceases or threatens to cease to carry on its </w:t>
      </w:r>
      <w:r w:rsidR="00520202">
        <w:t>License</w:t>
      </w:r>
      <w:r>
        <w:t xml:space="preserve">d </w:t>
      </w:r>
      <w:r w:rsidR="00DD5CBB">
        <w:t>activity</w:t>
      </w:r>
      <w:r>
        <w:t xml:space="preserve"> </w:t>
      </w:r>
      <w:r w:rsidRPr="00761F80">
        <w:t xml:space="preserve">or a substantial part of its </w:t>
      </w:r>
      <w:r w:rsidR="00520202">
        <w:t>License</w:t>
      </w:r>
      <w:r w:rsidRPr="00761F80">
        <w:t xml:space="preserve">d </w:t>
      </w:r>
      <w:r w:rsidR="00DD5CBB" w:rsidRPr="00761F80">
        <w:t>activity</w:t>
      </w:r>
      <w:r w:rsidRPr="00761F80">
        <w:t>;</w:t>
      </w:r>
    </w:p>
    <w:p w14:paraId="467927EC" w14:textId="26B64B0A" w:rsidR="003A50D5" w:rsidRPr="00761F80" w:rsidRDefault="003A50D5" w:rsidP="00B03234">
      <w:pPr>
        <w:pStyle w:val="Heading5"/>
      </w:pPr>
      <w:bookmarkStart w:id="932" w:name="_Ref60781489"/>
      <w:r w:rsidRPr="00761F80">
        <w:t xml:space="preserve">the </w:t>
      </w:r>
      <w:r w:rsidR="00DD5CBB" w:rsidRPr="00761F80">
        <w:t xml:space="preserve">Market </w:t>
      </w:r>
      <w:r w:rsidRPr="00761F80">
        <w:t xml:space="preserve">Participant enters into or takes any </w:t>
      </w:r>
      <w:commentRangeStart w:id="933"/>
      <w:r w:rsidRPr="00761F80">
        <w:t xml:space="preserve">action to enter into an arrangement, composition or compromise with, or an assignment for the benefit </w:t>
      </w:r>
      <w:commentRangeEnd w:id="933"/>
      <w:r w:rsidR="00476AE0">
        <w:rPr>
          <w:rStyle w:val="CommentReference"/>
          <w:rFonts w:eastAsiaTheme="minorHAnsi" w:cstheme="minorBidi"/>
          <w:color w:val="1C1C1C"/>
        </w:rPr>
        <w:commentReference w:id="933"/>
      </w:r>
      <w:r w:rsidRPr="00761F80">
        <w:t>of, all or any class of their respective creditors or members, or a moratorium involving any of them;</w:t>
      </w:r>
      <w:bookmarkEnd w:id="932"/>
    </w:p>
    <w:p w14:paraId="30FD6CC4" w14:textId="3EE42E34" w:rsidR="003A50D5" w:rsidRPr="00761F80" w:rsidRDefault="003A50D5" w:rsidP="00B03234">
      <w:pPr>
        <w:pStyle w:val="Heading5"/>
      </w:pPr>
      <w:r w:rsidRPr="00761F80">
        <w:t xml:space="preserve">the </w:t>
      </w:r>
      <w:r w:rsidR="00DD5CBB" w:rsidRPr="00761F80">
        <w:t xml:space="preserve">Market </w:t>
      </w:r>
      <w:r w:rsidRPr="00761F80">
        <w:t>Participant states that it is unable to pay from its own money its debts when they fall due for payment;</w:t>
      </w:r>
    </w:p>
    <w:p w14:paraId="0542617D" w14:textId="0C0CEEE2" w:rsidR="003A50D5" w:rsidRPr="00761F80" w:rsidRDefault="003A50D5" w:rsidP="00B03234">
      <w:pPr>
        <w:pStyle w:val="Heading5"/>
      </w:pPr>
      <w:r w:rsidRPr="00761F80">
        <w:t xml:space="preserve">a receiver or </w:t>
      </w:r>
      <w:r w:rsidR="008158B3">
        <w:t>an administrator</w:t>
      </w:r>
      <w:r w:rsidR="008158B3" w:rsidRPr="00761F80">
        <w:t xml:space="preserve"> </w:t>
      </w:r>
      <w:r w:rsidRPr="00761F80">
        <w:t xml:space="preserve">is appointed in respect of any property of the </w:t>
      </w:r>
      <w:r w:rsidR="00DD5CBB" w:rsidRPr="00761F80">
        <w:t xml:space="preserve">Market </w:t>
      </w:r>
      <w:r w:rsidRPr="00761F80">
        <w:t xml:space="preserve">Participant which is used in or relevant to the performance by the </w:t>
      </w:r>
      <w:r w:rsidR="00DD5CBB" w:rsidRPr="00761F80">
        <w:t xml:space="preserve">Market </w:t>
      </w:r>
      <w:r w:rsidRPr="00761F80">
        <w:t xml:space="preserve">Participant of its obligations under </w:t>
      </w:r>
      <w:r w:rsidR="00F05124">
        <w:t>this Code</w:t>
      </w:r>
      <w:r w:rsidRPr="00761F80">
        <w:t>, the Grid Code or its Licence;</w:t>
      </w:r>
    </w:p>
    <w:p w14:paraId="5EA2BA6C" w14:textId="5759A49B" w:rsidR="003A50D5" w:rsidRDefault="003A50D5" w:rsidP="00B03234">
      <w:pPr>
        <w:pStyle w:val="Heading5"/>
      </w:pPr>
      <w:r>
        <w:t xml:space="preserve">an administrator, liquidator, trustee in bankruptcy or person having a similar or analogous function under the laws of any relevant jurisdiction is appointed in respect of the </w:t>
      </w:r>
      <w:r w:rsidR="00DD5CBB">
        <w:t xml:space="preserve">Market </w:t>
      </w:r>
      <w:r>
        <w:t>Participant, or any action is taken to appoint such person;</w:t>
      </w:r>
    </w:p>
    <w:p w14:paraId="23D69C0D" w14:textId="6640BD5F" w:rsidR="003A50D5" w:rsidRDefault="003A50D5" w:rsidP="00B03234">
      <w:pPr>
        <w:pStyle w:val="Heading5"/>
      </w:pPr>
      <w:r>
        <w:t xml:space="preserve">an application is made for the winding up or dissolution or a resolution is passed or any steps are taken to pass a resolution for the winding up or dissolution of the </w:t>
      </w:r>
      <w:r w:rsidR="00DD5CBB">
        <w:t xml:space="preserve">Market </w:t>
      </w:r>
      <w:r>
        <w:t>Participant;</w:t>
      </w:r>
    </w:p>
    <w:p w14:paraId="7B2D57E4" w14:textId="6AD183B1" w:rsidR="003A50D5" w:rsidRDefault="003A50D5" w:rsidP="00B03234">
      <w:pPr>
        <w:pStyle w:val="Heading5"/>
      </w:pPr>
      <w:r>
        <w:t xml:space="preserve">the </w:t>
      </w:r>
      <w:r w:rsidR="00DD5CBB">
        <w:t xml:space="preserve">Market </w:t>
      </w:r>
      <w:r>
        <w:t xml:space="preserve">Participant is wound up or dissolved, unless the notice of winding up or dissolution is discharged; </w:t>
      </w:r>
    </w:p>
    <w:p w14:paraId="1591B660" w14:textId="1BFB8010" w:rsidR="003A50D5" w:rsidRDefault="003A50D5" w:rsidP="00B03234">
      <w:pPr>
        <w:pStyle w:val="Heading5"/>
      </w:pPr>
      <w:bookmarkStart w:id="934" w:name="_Ref60781540"/>
      <w:r>
        <w:t xml:space="preserve">the </w:t>
      </w:r>
      <w:r w:rsidR="00DD5CBB">
        <w:t xml:space="preserve">Market </w:t>
      </w:r>
      <w:r>
        <w:t>Participant is taken to be insolvent or unable to pay its debts under any applicable legislation;</w:t>
      </w:r>
      <w:bookmarkEnd w:id="934"/>
      <w:r>
        <w:t xml:space="preserve"> </w:t>
      </w:r>
    </w:p>
    <w:p w14:paraId="120E2DC3" w14:textId="2DDD6DF3" w:rsidR="003A50D5" w:rsidRDefault="003A50D5" w:rsidP="00B03234">
      <w:pPr>
        <w:pStyle w:val="Heading5"/>
      </w:pPr>
      <w:r>
        <w:t xml:space="preserve">the </w:t>
      </w:r>
      <w:r w:rsidR="00DD5CBB">
        <w:t xml:space="preserve">Market </w:t>
      </w:r>
      <w:r>
        <w:t>Participant ceases to satisfy any material requirement imposed upon it as a condition of its authori</w:t>
      </w:r>
      <w:r w:rsidR="005637E7">
        <w:t>z</w:t>
      </w:r>
      <w:r>
        <w:t xml:space="preserve">ation to participate in the </w:t>
      </w:r>
      <w:r w:rsidR="00DD5CBB">
        <w:t>CTBCM</w:t>
      </w:r>
      <w:r>
        <w:t xml:space="preserve">; </w:t>
      </w:r>
    </w:p>
    <w:p w14:paraId="44FE3DBF" w14:textId="17E24085" w:rsidR="003A50D5" w:rsidRDefault="003A50D5" w:rsidP="00B03234">
      <w:pPr>
        <w:pStyle w:val="Heading5"/>
      </w:pPr>
      <w:r>
        <w:t xml:space="preserve">the </w:t>
      </w:r>
      <w:r w:rsidR="00136176">
        <w:t>Market Participant</w:t>
      </w:r>
      <w:r>
        <w:t xml:space="preserve"> fails to inform the Market Operator of a material change in the information </w:t>
      </w:r>
      <w:r w:rsidR="00E427C9">
        <w:t>required under its</w:t>
      </w:r>
      <w:r>
        <w:t xml:space="preserve"> Admission Application pursuant </w:t>
      </w:r>
      <w:r w:rsidR="00E427C9">
        <w:t xml:space="preserve">to </w:t>
      </w:r>
      <w:r w:rsidR="008C02F7">
        <w:t>Sub-Section</w:t>
      </w:r>
      <w:r w:rsidR="00DD5CBB">
        <w:t xml:space="preserve"> </w:t>
      </w:r>
      <w:r w:rsidR="00DD5CBB">
        <w:fldChar w:fldCharType="begin"/>
      </w:r>
      <w:r w:rsidR="00DD5CBB">
        <w:instrText xml:space="preserve"> REF _Ref60780792 \w \h </w:instrText>
      </w:r>
      <w:r w:rsidR="00DD5CBB">
        <w:fldChar w:fldCharType="separate"/>
      </w:r>
      <w:r w:rsidR="00251DBF">
        <w:t>3.3.2</w:t>
      </w:r>
      <w:r w:rsidR="00DD5CBB">
        <w:fldChar w:fldCharType="end"/>
      </w:r>
      <w:r>
        <w:t>; or</w:t>
      </w:r>
    </w:p>
    <w:p w14:paraId="419EB1D5" w14:textId="77777777" w:rsidR="0028386E" w:rsidRDefault="003A50D5" w:rsidP="00B03234">
      <w:pPr>
        <w:pStyle w:val="Heading5"/>
      </w:pPr>
      <w:r>
        <w:t xml:space="preserve">the </w:t>
      </w:r>
      <w:r w:rsidR="00136176">
        <w:t>Market Participant</w:t>
      </w:r>
      <w:r w:rsidRPr="00187DB6">
        <w:t xml:space="preserve"> persistently commits breach of </w:t>
      </w:r>
      <w:r w:rsidR="00F05124">
        <w:t>this Code</w:t>
      </w:r>
      <w:r w:rsidRPr="00187DB6">
        <w:t xml:space="preserve"> or the Grid Code</w:t>
      </w:r>
    </w:p>
    <w:p w14:paraId="6893B328" w14:textId="4B2BA77F" w:rsidR="003A50D5" w:rsidRPr="00277F1A" w:rsidRDefault="0028386E" w:rsidP="00B03234">
      <w:pPr>
        <w:pStyle w:val="Heading5"/>
      </w:pPr>
      <w:r w:rsidRPr="00277F1A">
        <w:t>any other event, circumstances or situation that has been considered as an Event of Default by the provisions of this Code</w:t>
      </w:r>
      <w:r w:rsidR="003A50D5" w:rsidRPr="00277F1A">
        <w:t>.</w:t>
      </w:r>
    </w:p>
    <w:p w14:paraId="054CFF85" w14:textId="5DD1EA68" w:rsidR="003A50D5" w:rsidRDefault="00762528" w:rsidP="005B295A">
      <w:pPr>
        <w:pStyle w:val="Heading4"/>
      </w:pPr>
      <w:r>
        <w:t>A</w:t>
      </w:r>
      <w:r w:rsidR="003A50D5">
        <w:t xml:space="preserve"> </w:t>
      </w:r>
      <w:r w:rsidR="00DD5CBB">
        <w:t xml:space="preserve">Market </w:t>
      </w:r>
      <w:r w:rsidR="003A50D5">
        <w:t xml:space="preserve">Participant shall </w:t>
      </w:r>
      <w:r w:rsidR="0028386E">
        <w:t xml:space="preserve">inform </w:t>
      </w:r>
      <w:r w:rsidR="003A50D5">
        <w:t xml:space="preserve">the Market Operator immediately upon becoming aware of any circumstance that may give rise to or of the occurrence of an Event of Default. </w:t>
      </w:r>
    </w:p>
    <w:p w14:paraId="75F339B3" w14:textId="4BA711DD" w:rsidR="003A50D5" w:rsidRDefault="003A50D5" w:rsidP="005B295A">
      <w:pPr>
        <w:pStyle w:val="Heading4"/>
      </w:pPr>
      <w:bookmarkStart w:id="935" w:name="_Ref60781095"/>
      <w:r>
        <w:t xml:space="preserve">Where </w:t>
      </w:r>
      <w:r w:rsidR="00646F01">
        <w:t xml:space="preserve">a Market Participant is involved in an </w:t>
      </w:r>
      <w:r>
        <w:t xml:space="preserve">Event of Default, the Market Operator </w:t>
      </w:r>
      <w:r w:rsidR="001D0A86">
        <w:t>may</w:t>
      </w:r>
      <w:r>
        <w:t>:</w:t>
      </w:r>
      <w:bookmarkEnd w:id="935"/>
    </w:p>
    <w:p w14:paraId="0EF98490" w14:textId="5AAB538B" w:rsidR="003A50D5" w:rsidRDefault="003A50D5" w:rsidP="00B03234">
      <w:pPr>
        <w:pStyle w:val="Heading5"/>
      </w:pPr>
      <w:r>
        <w:t xml:space="preserve">issue to the </w:t>
      </w:r>
      <w:r w:rsidR="001D0A86">
        <w:t xml:space="preserve">concerned </w:t>
      </w:r>
      <w:r w:rsidR="00136176">
        <w:t>Market Participant</w:t>
      </w:r>
      <w:r>
        <w:t xml:space="preserve"> a Default Notice specifying the alleged default and requiring the </w:t>
      </w:r>
      <w:r w:rsidR="00136176">
        <w:t>Market Participant</w:t>
      </w:r>
      <w:r>
        <w:t xml:space="preserve"> to remedy the default within such time as may be specified in the Default Notice, which time shall not be more than</w:t>
      </w:r>
      <w:r w:rsidR="00A0199B">
        <w:t xml:space="preserve"> [2] Business Days</w:t>
      </w:r>
      <w:r w:rsidR="005C524A">
        <w:t>; and/or</w:t>
      </w:r>
    </w:p>
    <w:p w14:paraId="2E8BAB31" w14:textId="27199057" w:rsidR="003A50D5" w:rsidRDefault="001A7DDD" w:rsidP="001A7DDD">
      <w:pPr>
        <w:pStyle w:val="Heading5"/>
      </w:pPr>
      <w:r>
        <w:lastRenderedPageBreak/>
        <w:t xml:space="preserve">call on a Security Cover of the concerned Market Participant and </w:t>
      </w:r>
      <w:r w:rsidR="001D0A86">
        <w:t xml:space="preserve">recover such amount as the Market Operator determines appropriate that represents the amount of any money </w:t>
      </w:r>
      <w:r w:rsidR="00CF2D9E">
        <w:t xml:space="preserve">which is </w:t>
      </w:r>
      <w:r w:rsidR="001D0A86">
        <w:t>actually</w:t>
      </w:r>
      <w:r w:rsidR="00CF2D9E">
        <w:t xml:space="preserve"> owed</w:t>
      </w:r>
      <w:r w:rsidR="001D0A86">
        <w:t xml:space="preserve"> </w:t>
      </w:r>
      <w:r w:rsidR="00CF2D9E">
        <w:t xml:space="preserve">by the concerned Market Participant to the Market Operator or any of its contingent liabilities towards the Market Operator </w:t>
      </w:r>
      <w:r w:rsidR="001D0A86">
        <w:t>under this Code</w:t>
      </w:r>
      <w:r w:rsidR="005C524A">
        <w:t>; or</w:t>
      </w:r>
    </w:p>
    <w:p w14:paraId="736EFBDA" w14:textId="418F9AF4" w:rsidR="005C524A" w:rsidRPr="005C524A" w:rsidRDefault="005C524A">
      <w:pPr>
        <w:pStyle w:val="Heading5"/>
      </w:pPr>
      <w:r>
        <w:t>Issue a Suspension Order</w:t>
      </w:r>
      <w:r w:rsidR="006C3AC1">
        <w:t xml:space="preserve"> and Disconnection Order</w:t>
      </w:r>
      <w:r>
        <w:t>, if the matter is of such nature that require urgent action</w:t>
      </w:r>
      <w:r w:rsidR="006C3AC1">
        <w:t xml:space="preserve"> and the provisions of Sub-Section </w:t>
      </w:r>
      <w:r w:rsidR="006C3AC1">
        <w:fldChar w:fldCharType="begin"/>
      </w:r>
      <w:r w:rsidR="006C3AC1">
        <w:instrText xml:space="preserve"> REF _Ref63696606 \n \h </w:instrText>
      </w:r>
      <w:r w:rsidR="006C3AC1">
        <w:fldChar w:fldCharType="separate"/>
      </w:r>
      <w:r w:rsidR="006C3AC1">
        <w:t>17.2.2</w:t>
      </w:r>
      <w:r w:rsidR="006C3AC1">
        <w:fldChar w:fldCharType="end"/>
      </w:r>
      <w:r w:rsidR="006C3AC1">
        <w:t xml:space="preserve"> shall, </w:t>
      </w:r>
      <w:r w:rsidR="006C3AC1" w:rsidRPr="00B03C4A">
        <w:rPr>
          <w:i/>
          <w:iCs/>
        </w:rPr>
        <w:t>mutatis mutandis</w:t>
      </w:r>
      <w:r w:rsidR="006C3AC1">
        <w:t>, apply.</w:t>
      </w:r>
    </w:p>
    <w:p w14:paraId="3F33536A" w14:textId="6F689DCD" w:rsidR="003A50D5" w:rsidRDefault="003A50D5" w:rsidP="005B295A">
      <w:pPr>
        <w:pStyle w:val="Heading4"/>
      </w:pPr>
      <w:r>
        <w:t xml:space="preserve">Where the Market Operator issues a Default Notice to a </w:t>
      </w:r>
      <w:r w:rsidR="00DD5CBB">
        <w:t xml:space="preserve">Market </w:t>
      </w:r>
      <w:r>
        <w:t xml:space="preserve">Participant, the Market Operator shall </w:t>
      </w:r>
      <w:r w:rsidR="00686883">
        <w:t xml:space="preserve">also </w:t>
      </w:r>
      <w:r w:rsidR="00646F01" w:rsidRPr="00686883">
        <w:rPr>
          <w:highlight w:val="yellow"/>
        </w:rPr>
        <w:t xml:space="preserve">inform </w:t>
      </w:r>
      <w:r w:rsidRPr="00686883">
        <w:rPr>
          <w:highlight w:val="yellow"/>
        </w:rPr>
        <w:t xml:space="preserve">the </w:t>
      </w:r>
      <w:commentRangeStart w:id="936"/>
      <w:r w:rsidR="00DD5CBB" w:rsidRPr="00686883">
        <w:rPr>
          <w:highlight w:val="yellow"/>
        </w:rPr>
        <w:t>Authority</w:t>
      </w:r>
      <w:commentRangeEnd w:id="936"/>
      <w:r w:rsidR="00686883">
        <w:rPr>
          <w:rStyle w:val="CommentReference"/>
          <w:rFonts w:eastAsiaTheme="minorHAnsi" w:cstheme="minorBidi"/>
          <w:bCs w:val="0"/>
          <w:iCs w:val="0"/>
          <w:color w:val="1C1C1C"/>
        </w:rPr>
        <w:commentReference w:id="936"/>
      </w:r>
      <w:r>
        <w:t xml:space="preserve"> </w:t>
      </w:r>
      <w:r w:rsidR="00761F80">
        <w:t xml:space="preserve">and </w:t>
      </w:r>
      <w:r>
        <w:t>the T</w:t>
      </w:r>
      <w:r w:rsidR="00DD5CBB">
        <w:t xml:space="preserve">ransmission or Distribution </w:t>
      </w:r>
      <w:r w:rsidR="00761F80">
        <w:t>Network Service Provider</w:t>
      </w:r>
      <w:r w:rsidR="00DD5CBB">
        <w:t>, where</w:t>
      </w:r>
      <w:r>
        <w:t xml:space="preserve"> the </w:t>
      </w:r>
      <w:r w:rsidR="00DD5CBB">
        <w:t xml:space="preserve">Market </w:t>
      </w:r>
      <w:r>
        <w:t>Participant is connected:</w:t>
      </w:r>
    </w:p>
    <w:p w14:paraId="2F13D077" w14:textId="1B7ABE28" w:rsidR="003A50D5" w:rsidRDefault="00646F01" w:rsidP="00B03234">
      <w:pPr>
        <w:pStyle w:val="Heading5"/>
      </w:pPr>
      <w:r>
        <w:t xml:space="preserve">about </w:t>
      </w:r>
      <w:r w:rsidR="003A50D5">
        <w:t>the issuance of the Default Notice;</w:t>
      </w:r>
    </w:p>
    <w:p w14:paraId="26313F99" w14:textId="2C58E5D9" w:rsidR="003A50D5" w:rsidRDefault="00646F01" w:rsidP="00B03234">
      <w:pPr>
        <w:pStyle w:val="Heading5"/>
      </w:pPr>
      <w:r>
        <w:t xml:space="preserve">about </w:t>
      </w:r>
      <w:r w:rsidR="003A50D5">
        <w:t xml:space="preserve">the time within which the </w:t>
      </w:r>
      <w:r w:rsidR="00761F80">
        <w:t xml:space="preserve">Market </w:t>
      </w:r>
      <w:r w:rsidR="003A50D5">
        <w:t xml:space="preserve">Participant </w:t>
      </w:r>
      <w:r w:rsidR="00686883">
        <w:t>is required to remedy</w:t>
      </w:r>
      <w:r w:rsidR="003A50D5">
        <w:t xml:space="preserve"> the default as specified in the Default Notice; and</w:t>
      </w:r>
    </w:p>
    <w:p w14:paraId="4A61864E" w14:textId="3A0C0590" w:rsidR="003A50D5" w:rsidRDefault="003A50D5" w:rsidP="00686883">
      <w:pPr>
        <w:pStyle w:val="Heading4"/>
      </w:pPr>
      <w:bookmarkStart w:id="937" w:name="_Ref60791418"/>
      <w:r>
        <w:t xml:space="preserve"> </w:t>
      </w:r>
      <w:r w:rsidR="00686883">
        <w:t>O</w:t>
      </w:r>
      <w:r>
        <w:t xml:space="preserve">nce the default has been remedied by the </w:t>
      </w:r>
      <w:r w:rsidR="00136176">
        <w:t>Market Participant</w:t>
      </w:r>
      <w:r w:rsidR="00686883">
        <w:t>, the Market Operator shall inform the relevant Transmission or Distribution Network Service Provider</w:t>
      </w:r>
      <w:r>
        <w:t>.</w:t>
      </w:r>
      <w:bookmarkEnd w:id="937"/>
    </w:p>
    <w:p w14:paraId="1A6A413E" w14:textId="63348153" w:rsidR="003A50D5" w:rsidRDefault="003A50D5" w:rsidP="005B295A">
      <w:pPr>
        <w:pStyle w:val="Heading4"/>
      </w:pPr>
      <w:r>
        <w:t>A</w:t>
      </w:r>
      <w:r w:rsidR="00DD5CBB">
        <w:t xml:space="preserve"> Market</w:t>
      </w:r>
      <w:r>
        <w:t xml:space="preserve"> Participant may remedy an Event of Default, where the Default Notice relates to payment of amounts due to the Market Operator under </w:t>
      </w:r>
      <w:r w:rsidR="00F05124">
        <w:t>this Code</w:t>
      </w:r>
      <w:r>
        <w:t xml:space="preserve">, including </w:t>
      </w:r>
      <w:r w:rsidR="00DD5CBB">
        <w:t xml:space="preserve">Clauses </w:t>
      </w:r>
      <w:r w:rsidR="00DD5CBB">
        <w:fldChar w:fldCharType="begin"/>
      </w:r>
      <w:r w:rsidR="00DD5CBB">
        <w:instrText xml:space="preserve"> REF _Ref60781431 \w \h </w:instrText>
      </w:r>
      <w:r w:rsidR="00DD5CBB">
        <w:fldChar w:fldCharType="separate"/>
      </w:r>
      <w:r w:rsidR="00251DBF">
        <w:t>17.2.1.1.b)</w:t>
      </w:r>
      <w:r w:rsidR="00DD5CBB">
        <w:fldChar w:fldCharType="end"/>
      </w:r>
      <w:r w:rsidR="00DD5CBB">
        <w:t xml:space="preserve"> to </w:t>
      </w:r>
      <w:r w:rsidR="00DD5CBB">
        <w:fldChar w:fldCharType="begin"/>
      </w:r>
      <w:r w:rsidR="00DD5CBB">
        <w:instrText xml:space="preserve"> REF _Ref60781444 \w \h </w:instrText>
      </w:r>
      <w:r w:rsidR="00DD5CBB">
        <w:fldChar w:fldCharType="separate"/>
      </w:r>
      <w:r w:rsidR="00251DBF">
        <w:t>17.2.1.1.d)</w:t>
      </w:r>
      <w:r w:rsidR="00DD5CBB">
        <w:fldChar w:fldCharType="end"/>
      </w:r>
      <w:r w:rsidR="00DD5CBB">
        <w:t xml:space="preserve"> and</w:t>
      </w:r>
      <w:r>
        <w:t xml:space="preserve"> </w:t>
      </w:r>
      <w:r w:rsidR="00DD5CBB">
        <w:fldChar w:fldCharType="begin"/>
      </w:r>
      <w:r w:rsidR="00DD5CBB">
        <w:instrText xml:space="preserve"> REF _Ref60781489 \w \h </w:instrText>
      </w:r>
      <w:r w:rsidR="00DD5CBB">
        <w:fldChar w:fldCharType="separate"/>
      </w:r>
      <w:r w:rsidR="00251DBF">
        <w:t>17.2.1.1.h)</w:t>
      </w:r>
      <w:r w:rsidR="00DD5CBB">
        <w:fldChar w:fldCharType="end"/>
      </w:r>
      <w:r w:rsidR="00DD5CBB">
        <w:t xml:space="preserve"> </w:t>
      </w:r>
      <w:r>
        <w:t xml:space="preserve">to </w:t>
      </w:r>
      <w:r w:rsidR="00DD5CBB">
        <w:fldChar w:fldCharType="begin"/>
      </w:r>
      <w:r w:rsidR="00DD5CBB">
        <w:instrText xml:space="preserve"> REF _Ref60781540 \w \h </w:instrText>
      </w:r>
      <w:r w:rsidR="00DD5CBB">
        <w:fldChar w:fldCharType="separate"/>
      </w:r>
      <w:r w:rsidR="00251DBF">
        <w:t>17.2.1.1.n)</w:t>
      </w:r>
      <w:r w:rsidR="00DD5CBB">
        <w:fldChar w:fldCharType="end"/>
      </w:r>
      <w:r>
        <w:t>, as follows:</w:t>
      </w:r>
    </w:p>
    <w:p w14:paraId="7955B85E" w14:textId="527989C0" w:rsidR="003A50D5" w:rsidRDefault="003A50D5" w:rsidP="00B03234">
      <w:pPr>
        <w:pStyle w:val="Heading5"/>
      </w:pPr>
      <w:r>
        <w:t xml:space="preserve">by paying all </w:t>
      </w:r>
      <w:r w:rsidR="00646F01">
        <w:t>Amounts Payable</w:t>
      </w:r>
      <w:r>
        <w:t xml:space="preserve"> under </w:t>
      </w:r>
      <w:r w:rsidR="00F05124">
        <w:t>this Code</w:t>
      </w:r>
      <w:r>
        <w:t xml:space="preserve">, together with any </w:t>
      </w:r>
      <w:r w:rsidR="00646F01">
        <w:t>D</w:t>
      </w:r>
      <w:r>
        <w:t xml:space="preserve">efault </w:t>
      </w:r>
      <w:r w:rsidR="00646F01">
        <w:t>I</w:t>
      </w:r>
      <w:r>
        <w:t xml:space="preserve">nterest in accordance with </w:t>
      </w:r>
      <w:r w:rsidR="00B346FD">
        <w:t xml:space="preserve">any </w:t>
      </w:r>
      <w:r w:rsidR="008E7D79">
        <w:t>Debit Notification</w:t>
      </w:r>
      <w:r w:rsidR="00B346FD">
        <w:t xml:space="preserve"> issued by the Market Operator</w:t>
      </w:r>
      <w:r>
        <w:t xml:space="preserve"> and any costs and expenses determined by the Market Operator to have been incurred by it by reason of the default; and</w:t>
      </w:r>
    </w:p>
    <w:p w14:paraId="688EEDF9" w14:textId="5A6D9B04" w:rsidR="003A50D5" w:rsidRDefault="003A50D5" w:rsidP="00B03234">
      <w:pPr>
        <w:pStyle w:val="Heading5"/>
      </w:pPr>
      <w:r>
        <w:t xml:space="preserve">by providing additional Security Cover which complies with the requirements of </w:t>
      </w:r>
      <w:r w:rsidR="00DD5CBB">
        <w:fldChar w:fldCharType="begin"/>
      </w:r>
      <w:r w:rsidR="00DD5CBB">
        <w:instrText xml:space="preserve"> REF _Ref54689603 \w \h </w:instrText>
      </w:r>
      <w:r w:rsidR="00DD5CBB">
        <w:fldChar w:fldCharType="separate"/>
      </w:r>
      <w:r w:rsidR="00251DBF">
        <w:t>Chapter 14</w:t>
      </w:r>
      <w:r w:rsidR="00DD5CBB">
        <w:fldChar w:fldCharType="end"/>
      </w:r>
      <w:r>
        <w:t>.</w:t>
      </w:r>
    </w:p>
    <w:p w14:paraId="4E4C652A" w14:textId="01000C9A" w:rsidR="003A50D5" w:rsidRDefault="003A50D5" w:rsidP="005B295A">
      <w:pPr>
        <w:pStyle w:val="Heading4"/>
      </w:pPr>
      <w:r>
        <w:t xml:space="preserve">Notwithstanding that the Event of Default may have been remedied by the </w:t>
      </w:r>
      <w:r w:rsidR="00136176">
        <w:t>Market Participant</w:t>
      </w:r>
      <w:r>
        <w:t xml:space="preserve">, the Market Operator may, where it considers that it is in the interest of preserving the integrity of the </w:t>
      </w:r>
      <w:r w:rsidR="00DD5CBB">
        <w:t>CTBCM</w:t>
      </w:r>
      <w:r>
        <w:t>, impose such conditions on the authori</w:t>
      </w:r>
      <w:r w:rsidR="005637E7">
        <w:t>z</w:t>
      </w:r>
      <w:r>
        <w:t xml:space="preserve">ation of a </w:t>
      </w:r>
      <w:r w:rsidR="00DD5CBB">
        <w:t xml:space="preserve">Market </w:t>
      </w:r>
      <w:r>
        <w:t xml:space="preserve">Participant to participate in the </w:t>
      </w:r>
      <w:r w:rsidR="00DD5CBB">
        <w:t xml:space="preserve">Energy or Capacity Balancing Mechanisms </w:t>
      </w:r>
      <w:r>
        <w:t xml:space="preserve">as </w:t>
      </w:r>
      <w:r w:rsidR="00646F01">
        <w:t>deemed appropriate</w:t>
      </w:r>
      <w:r>
        <w:t xml:space="preserve">. </w:t>
      </w:r>
    </w:p>
    <w:p w14:paraId="5B6D2C54" w14:textId="77777777" w:rsidR="00187DB6" w:rsidRDefault="00187DB6" w:rsidP="00C173D0">
      <w:pPr>
        <w:pStyle w:val="Heading3"/>
      </w:pPr>
      <w:bookmarkStart w:id="938" w:name="_Ref63696606"/>
      <w:r>
        <w:t>Suspension Orders and Disconnection Orders</w:t>
      </w:r>
      <w:bookmarkEnd w:id="938"/>
      <w:r>
        <w:t xml:space="preserve"> </w:t>
      </w:r>
    </w:p>
    <w:p w14:paraId="63D1D1D3" w14:textId="74423982" w:rsidR="003A50D5" w:rsidRDefault="003A50D5" w:rsidP="005B295A">
      <w:pPr>
        <w:pStyle w:val="Heading4"/>
      </w:pPr>
      <w:bookmarkStart w:id="939" w:name="_Ref60782050"/>
      <w:r>
        <w:t xml:space="preserve">If an Event of Default is not remedied within the time specified in the Default Notice or within such longer period as may be </w:t>
      </w:r>
      <w:r w:rsidR="002517D9">
        <w:t>allowed</w:t>
      </w:r>
      <w:r>
        <w:t xml:space="preserve"> by the Market Operator</w:t>
      </w:r>
      <w:r w:rsidR="002517D9">
        <w:t xml:space="preserve"> in writing</w:t>
      </w:r>
      <w:r>
        <w:t xml:space="preserve">, </w:t>
      </w:r>
      <w:r w:rsidR="002517D9">
        <w:t xml:space="preserve">a notice of intention indicating the following may be issued by </w:t>
      </w:r>
      <w:r>
        <w:t>the Market Operator</w:t>
      </w:r>
      <w:r w:rsidR="002517D9">
        <w:t>:</w:t>
      </w:r>
      <w:r>
        <w:t xml:space="preserve"> </w:t>
      </w:r>
      <w:bookmarkEnd w:id="939"/>
    </w:p>
    <w:p w14:paraId="036B7621" w14:textId="0E1BA949" w:rsidR="003A50D5" w:rsidRDefault="003A50D5" w:rsidP="00B03234">
      <w:pPr>
        <w:pStyle w:val="Heading5"/>
      </w:pPr>
      <w:bookmarkStart w:id="940" w:name="_Ref60782467"/>
      <w:r>
        <w:t xml:space="preserve">a Suspension Order to the </w:t>
      </w:r>
      <w:r w:rsidR="00A22D29">
        <w:t xml:space="preserve">Market </w:t>
      </w:r>
      <w:r>
        <w:t xml:space="preserve">Participant suspending or restricting all or any of the </w:t>
      </w:r>
      <w:r w:rsidR="00A22D29">
        <w:t xml:space="preserve">Market </w:t>
      </w:r>
      <w:r>
        <w:t xml:space="preserve">Participant’s rights to participate in the </w:t>
      </w:r>
      <w:r w:rsidR="00DD5CBB">
        <w:t>CTBCM</w:t>
      </w:r>
      <w:r>
        <w:t xml:space="preserve">; </w:t>
      </w:r>
      <w:r w:rsidR="00187DB6">
        <w:t>and/</w:t>
      </w:r>
      <w:r>
        <w:t>or</w:t>
      </w:r>
      <w:bookmarkEnd w:id="940"/>
    </w:p>
    <w:p w14:paraId="4C9F87BC" w14:textId="6FC6A215" w:rsidR="003A50D5" w:rsidRDefault="003A50D5" w:rsidP="00B03234">
      <w:pPr>
        <w:pStyle w:val="Heading5"/>
      </w:pPr>
      <w:bookmarkStart w:id="941" w:name="_Hlk77257976"/>
      <w:r>
        <w:t xml:space="preserve">a Disconnection Order to </w:t>
      </w:r>
      <w:r w:rsidR="00DD5CBB">
        <w:t xml:space="preserve">the </w:t>
      </w:r>
      <w:r w:rsidR="00646F01">
        <w:t xml:space="preserve">relevant </w:t>
      </w:r>
      <w:r w:rsidR="00DD5CBB">
        <w:t xml:space="preserve">Transmission or Distribution </w:t>
      </w:r>
      <w:r w:rsidR="00187DB6">
        <w:t>Network Service Provider</w:t>
      </w:r>
      <w:bookmarkEnd w:id="941"/>
      <w:r w:rsidR="00DD5CBB">
        <w:t>,</w:t>
      </w:r>
      <w:r>
        <w:t xml:space="preserve"> directing the </w:t>
      </w:r>
      <w:r w:rsidR="002517D9">
        <w:t>d</w:t>
      </w:r>
      <w:r>
        <w:t xml:space="preserve">isconnection of the relevant Facilities or equipment of the </w:t>
      </w:r>
      <w:r w:rsidR="00DD5CBB">
        <w:t xml:space="preserve">Market </w:t>
      </w:r>
      <w:r>
        <w:t>Participant</w:t>
      </w:r>
      <w:r w:rsidR="002517D9">
        <w:t>.</w:t>
      </w:r>
    </w:p>
    <w:p w14:paraId="1F271688" w14:textId="4A5FD241" w:rsidR="003A50D5" w:rsidRPr="00A22D29" w:rsidRDefault="00646F01" w:rsidP="00646F01">
      <w:pPr>
        <w:pStyle w:val="Heading4"/>
      </w:pPr>
      <w:r>
        <w:t>The Market Operator</w:t>
      </w:r>
      <w:r w:rsidRPr="00A22D29">
        <w:t xml:space="preserve"> </w:t>
      </w:r>
      <w:r w:rsidR="003A50D5" w:rsidRPr="00A22D29">
        <w:t xml:space="preserve">shall provide a copy of </w:t>
      </w:r>
      <w:r>
        <w:t>the</w:t>
      </w:r>
      <w:r w:rsidRPr="00A22D29">
        <w:t xml:space="preserve"> </w:t>
      </w:r>
      <w:r w:rsidR="003A50D5" w:rsidRPr="00A22D29">
        <w:t>notice</w:t>
      </w:r>
      <w:r>
        <w:t xml:space="preserve"> issued pursuant to Clause </w:t>
      </w:r>
      <w:r>
        <w:fldChar w:fldCharType="begin"/>
      </w:r>
      <w:r>
        <w:instrText xml:space="preserve"> REF _Ref60782050 \w \h </w:instrText>
      </w:r>
      <w:r>
        <w:fldChar w:fldCharType="separate"/>
      </w:r>
      <w:r>
        <w:t>17.2.2.1</w:t>
      </w:r>
      <w:r>
        <w:fldChar w:fldCharType="end"/>
      </w:r>
      <w:r>
        <w:t xml:space="preserve"> </w:t>
      </w:r>
      <w:r w:rsidR="003A50D5" w:rsidRPr="00A22D29">
        <w:t xml:space="preserve">to </w:t>
      </w:r>
      <w:r>
        <w:t>the relevant</w:t>
      </w:r>
      <w:r w:rsidRPr="00A22D29">
        <w:t xml:space="preserve"> </w:t>
      </w:r>
      <w:r w:rsidR="00DD5CBB" w:rsidRPr="00A22D29">
        <w:t xml:space="preserve">Transmission or Distribution </w:t>
      </w:r>
      <w:r w:rsidR="00187DB6" w:rsidRPr="00A22D29">
        <w:t>Network Service Provider</w:t>
      </w:r>
      <w:r w:rsidR="003A50D5" w:rsidRPr="00A22D29">
        <w:t>.</w:t>
      </w:r>
    </w:p>
    <w:p w14:paraId="39983413" w14:textId="5CB83C16" w:rsidR="003A50D5" w:rsidRDefault="003349E9" w:rsidP="005B295A">
      <w:pPr>
        <w:pStyle w:val="Heading4"/>
      </w:pPr>
      <w:bookmarkStart w:id="942" w:name="_Ref60782158"/>
      <w:r>
        <w:lastRenderedPageBreak/>
        <w:t>Upon receipt of the</w:t>
      </w:r>
      <w:r w:rsidR="003A50D5">
        <w:t xml:space="preserve"> notice </w:t>
      </w:r>
      <w:r w:rsidR="00ED6769">
        <w:t xml:space="preserve">issued </w:t>
      </w:r>
      <w:r>
        <w:t>pursuant to</w:t>
      </w:r>
      <w:r w:rsidR="003A50D5">
        <w:t xml:space="preserve"> </w:t>
      </w:r>
      <w:r w:rsidR="00DD5CBB">
        <w:t xml:space="preserve">Clause </w:t>
      </w:r>
      <w:r w:rsidR="00DD5CBB">
        <w:fldChar w:fldCharType="begin"/>
      </w:r>
      <w:r w:rsidR="00DD5CBB">
        <w:instrText xml:space="preserve"> REF _Ref60782050 \w \h </w:instrText>
      </w:r>
      <w:r w:rsidR="00DD5CBB">
        <w:fldChar w:fldCharType="separate"/>
      </w:r>
      <w:r>
        <w:t>17.2.2.1</w:t>
      </w:r>
      <w:r w:rsidR="00DD5CBB">
        <w:fldChar w:fldCharType="end"/>
      </w:r>
      <w:r w:rsidR="003A50D5">
        <w:t xml:space="preserve">, the </w:t>
      </w:r>
      <w:r w:rsidR="00ED6769">
        <w:t xml:space="preserve">concerned </w:t>
      </w:r>
      <w:r w:rsidR="00DD5CBB">
        <w:t xml:space="preserve">Market </w:t>
      </w:r>
      <w:r w:rsidR="003A50D5">
        <w:t xml:space="preserve">Participant shall have the right to request, within 2 Business Days,  a </w:t>
      </w:r>
      <w:r>
        <w:t xml:space="preserve">hearing </w:t>
      </w:r>
      <w:commentRangeStart w:id="943"/>
      <w:commentRangeEnd w:id="943"/>
      <w:r w:rsidR="00376ADB">
        <w:rPr>
          <w:rStyle w:val="CommentReference"/>
          <w:rFonts w:eastAsiaTheme="minorHAnsi" w:cstheme="minorBidi"/>
          <w:bCs w:val="0"/>
          <w:iCs w:val="0"/>
          <w:color w:val="1C1C1C"/>
        </w:rPr>
        <w:commentReference w:id="943"/>
      </w:r>
      <w:r w:rsidR="003A50D5">
        <w:t xml:space="preserve">before the Market Operator to </w:t>
      </w:r>
      <w:r>
        <w:t>justify that</w:t>
      </w:r>
      <w:r w:rsidR="003A50D5">
        <w:t xml:space="preserve"> the Suspension Order, the Disconnection Order, or both, as the case may be, </w:t>
      </w:r>
      <w:r>
        <w:t xml:space="preserve">shall </w:t>
      </w:r>
      <w:r w:rsidR="003A50D5">
        <w:t>not be issued.</w:t>
      </w:r>
      <w:bookmarkEnd w:id="942"/>
    </w:p>
    <w:p w14:paraId="1F12A07C" w14:textId="77B70699" w:rsidR="003A50D5" w:rsidRDefault="003A50D5" w:rsidP="005B295A">
      <w:pPr>
        <w:pStyle w:val="Heading4"/>
      </w:pPr>
      <w:r>
        <w:t xml:space="preserve">Where the </w:t>
      </w:r>
      <w:r w:rsidR="00136176">
        <w:t>Market Participant</w:t>
      </w:r>
      <w:r>
        <w:t>:</w:t>
      </w:r>
    </w:p>
    <w:p w14:paraId="28A377E2" w14:textId="15C13234" w:rsidR="003A50D5" w:rsidRDefault="003A50D5" w:rsidP="00B03234">
      <w:pPr>
        <w:pStyle w:val="Heading5"/>
      </w:pPr>
      <w:r>
        <w:t xml:space="preserve">has not requested a </w:t>
      </w:r>
      <w:r w:rsidR="003349E9">
        <w:t xml:space="preserve">hearing </w:t>
      </w:r>
      <w:r>
        <w:t xml:space="preserve">pursuant to </w:t>
      </w:r>
      <w:r w:rsidR="00DD5CBB">
        <w:t>Clause</w:t>
      </w:r>
      <w:r w:rsidR="00DD5CBB">
        <w:fldChar w:fldCharType="begin"/>
      </w:r>
      <w:r w:rsidR="00DD5CBB">
        <w:instrText xml:space="preserve"> REF _Ref60782158 \w \h </w:instrText>
      </w:r>
      <w:r w:rsidR="00DD5CBB">
        <w:fldChar w:fldCharType="separate"/>
      </w:r>
      <w:r w:rsidR="003349E9">
        <w:t>17.2.2.3</w:t>
      </w:r>
      <w:r w:rsidR="00DD5CBB">
        <w:fldChar w:fldCharType="end"/>
      </w:r>
      <w:r>
        <w:t xml:space="preserve">, or has notified the Market Operator that it does not intend to request </w:t>
      </w:r>
      <w:r w:rsidR="00187DB6">
        <w:t xml:space="preserve">such </w:t>
      </w:r>
      <w:r>
        <w:t xml:space="preserve">a </w:t>
      </w:r>
      <w:r w:rsidR="003349E9">
        <w:t>hearing</w:t>
      </w:r>
      <w:r w:rsidR="00187DB6">
        <w:t>;</w:t>
      </w:r>
      <w:r>
        <w:t xml:space="preserve"> or</w:t>
      </w:r>
    </w:p>
    <w:p w14:paraId="4AA957AC" w14:textId="66F2EF9C" w:rsidR="003A50D5" w:rsidRDefault="003A50D5" w:rsidP="00B03234">
      <w:pPr>
        <w:pStyle w:val="Heading5"/>
      </w:pPr>
      <w:bookmarkStart w:id="944" w:name="_Ref60783227"/>
      <w:r>
        <w:t>has requested a hearing, then upon conclusion of a hearing</w:t>
      </w:r>
      <w:r w:rsidR="003349E9">
        <w:t>,</w:t>
      </w:r>
      <w:r>
        <w:t xml:space="preserve"> </w:t>
      </w:r>
      <w:bookmarkEnd w:id="944"/>
      <w:r>
        <w:t>the Market Operator may:</w:t>
      </w:r>
    </w:p>
    <w:p w14:paraId="5D952FC8" w14:textId="35A1C710" w:rsidR="003A50D5" w:rsidRDefault="003A50D5" w:rsidP="00CF7164">
      <w:pPr>
        <w:pStyle w:val="Heading6"/>
      </w:pPr>
      <w:r>
        <w:t xml:space="preserve">issue a Suspension Order to the </w:t>
      </w:r>
      <w:r w:rsidR="00DD5CBB">
        <w:t xml:space="preserve">Market </w:t>
      </w:r>
      <w:r>
        <w:t xml:space="preserve">Participant suspending or restricting all or any of the </w:t>
      </w:r>
      <w:r w:rsidR="00DD5CBB">
        <w:t xml:space="preserve">Market </w:t>
      </w:r>
      <w:r>
        <w:t xml:space="preserve">Participant’s rights to participate in the </w:t>
      </w:r>
      <w:r w:rsidR="00DD5CBB">
        <w:t>CTBCM</w:t>
      </w:r>
      <w:r>
        <w:t>;</w:t>
      </w:r>
      <w:r w:rsidR="00187DB6">
        <w:t xml:space="preserve"> and/or </w:t>
      </w:r>
    </w:p>
    <w:p w14:paraId="3F5704BE" w14:textId="4D02BF20" w:rsidR="003A50D5" w:rsidRDefault="00187DB6" w:rsidP="00CF7164">
      <w:pPr>
        <w:pStyle w:val="Heading6"/>
      </w:pPr>
      <w:r>
        <w:t xml:space="preserve">if considered appropriate, </w:t>
      </w:r>
      <w:r w:rsidR="003A50D5">
        <w:t xml:space="preserve">issue, with </w:t>
      </w:r>
      <w:r w:rsidR="003349E9">
        <w:t xml:space="preserve">a copy </w:t>
      </w:r>
      <w:r w:rsidR="003A50D5">
        <w:t xml:space="preserve">to the </w:t>
      </w:r>
      <w:r w:rsidR="00FA658C">
        <w:t>Marke</w:t>
      </w:r>
      <w:r w:rsidR="002651AA">
        <w:t>t</w:t>
      </w:r>
      <w:r w:rsidR="00FA658C">
        <w:t xml:space="preserve"> </w:t>
      </w:r>
      <w:r w:rsidR="003A50D5">
        <w:t xml:space="preserve">Participant, a Disconnection Order to the </w:t>
      </w:r>
      <w:r w:rsidR="003349E9">
        <w:t xml:space="preserve">relevant </w:t>
      </w:r>
      <w:r w:rsidR="00FA658C">
        <w:t xml:space="preserve">Transmission or Distribution </w:t>
      </w:r>
      <w:r>
        <w:t>Network Service Provider</w:t>
      </w:r>
      <w:r w:rsidR="003A50D5">
        <w:t xml:space="preserve"> directing Disconnection of the relevant Facilities or equipment of the Suspended </w:t>
      </w:r>
      <w:r w:rsidR="00FA658C">
        <w:t xml:space="preserve">Market </w:t>
      </w:r>
      <w:r w:rsidR="003A50D5">
        <w:t xml:space="preserve">Participant from the </w:t>
      </w:r>
      <w:r w:rsidR="000D5129">
        <w:t>Transmission Network</w:t>
      </w:r>
      <w:r w:rsidR="003A50D5">
        <w:t xml:space="preserve"> or the </w:t>
      </w:r>
      <w:r w:rsidR="00756A40">
        <w:t>Distribution Network</w:t>
      </w:r>
      <w:r w:rsidR="003A50D5">
        <w:t xml:space="preserve"> </w:t>
      </w:r>
      <w:r>
        <w:t>as the case may be</w:t>
      </w:r>
      <w:r w:rsidR="003A50D5">
        <w:t>;</w:t>
      </w:r>
      <w:r w:rsidR="003349E9">
        <w:t xml:space="preserve"> </w:t>
      </w:r>
      <w:r>
        <w:t>and/</w:t>
      </w:r>
      <w:r w:rsidR="003A50D5">
        <w:t>or</w:t>
      </w:r>
    </w:p>
    <w:p w14:paraId="085DB4E2" w14:textId="0DEAE00D" w:rsidR="003A50D5" w:rsidRDefault="003A50D5" w:rsidP="00CF7164">
      <w:pPr>
        <w:pStyle w:val="Heading6"/>
      </w:pPr>
      <w:r>
        <w:t xml:space="preserve">make such other order as </w:t>
      </w:r>
      <w:r w:rsidR="003349E9">
        <w:t>deemed appropriate</w:t>
      </w:r>
      <w:r>
        <w:t>.</w:t>
      </w:r>
    </w:p>
    <w:p w14:paraId="0DF0FD00" w14:textId="4449860B" w:rsidR="003A50D5" w:rsidRDefault="00762528" w:rsidP="005B295A">
      <w:pPr>
        <w:pStyle w:val="Heading4"/>
      </w:pPr>
      <w:r>
        <w:t>W</w:t>
      </w:r>
      <w:r w:rsidR="003A50D5">
        <w:t xml:space="preserve">here the </w:t>
      </w:r>
      <w:r w:rsidR="00136176">
        <w:t>Market Participant</w:t>
      </w:r>
      <w:r w:rsidR="003A50D5">
        <w:t xml:space="preserve"> has requested a hearing pursuant to</w:t>
      </w:r>
      <w:r w:rsidR="00FA658C" w:rsidRPr="00FA658C">
        <w:t xml:space="preserve"> </w:t>
      </w:r>
      <w:r w:rsidR="00FA658C">
        <w:t>Clause</w:t>
      </w:r>
      <w:r w:rsidR="00652581">
        <w:t xml:space="preserve"> </w:t>
      </w:r>
      <w:r w:rsidR="00FA658C">
        <w:fldChar w:fldCharType="begin"/>
      </w:r>
      <w:r w:rsidR="00FA658C">
        <w:instrText xml:space="preserve"> REF _Ref60782158 \w \h </w:instrText>
      </w:r>
      <w:r w:rsidR="00FA658C">
        <w:fldChar w:fldCharType="separate"/>
      </w:r>
      <w:r w:rsidR="003349E9">
        <w:t>17.2.2.3</w:t>
      </w:r>
      <w:r w:rsidR="00FA658C">
        <w:fldChar w:fldCharType="end"/>
      </w:r>
      <w:r w:rsidR="003A50D5">
        <w:t xml:space="preserve">, the Market Operator, within </w:t>
      </w:r>
      <w:r w:rsidR="00FA658C">
        <w:t>ten [10]</w:t>
      </w:r>
      <w:r w:rsidR="003A50D5">
        <w:t xml:space="preserve"> Business Days of the date of receipt of such request, shall </w:t>
      </w:r>
      <w:r w:rsidR="00ED6769">
        <w:t xml:space="preserve">hold </w:t>
      </w:r>
      <w:r w:rsidR="003A50D5">
        <w:t xml:space="preserve">a </w:t>
      </w:r>
      <w:r w:rsidR="003349E9">
        <w:t xml:space="preserve">hearing </w:t>
      </w:r>
      <w:r w:rsidR="003A50D5">
        <w:t xml:space="preserve">providing the </w:t>
      </w:r>
      <w:r w:rsidR="00FA658C">
        <w:t xml:space="preserve">Market </w:t>
      </w:r>
      <w:r w:rsidR="003A50D5">
        <w:t xml:space="preserve">Participant with a reasonable opportunity to </w:t>
      </w:r>
      <w:r w:rsidR="003349E9">
        <w:t>justify that</w:t>
      </w:r>
      <w:r w:rsidR="003A50D5">
        <w:t xml:space="preserve"> why the Suspension Order, the Disconnection Order or both should not be issued against it. In such circumstances, the Market Operator shall not issue either the Suspension Order or the Disconnection Order until such hearing has been held.</w:t>
      </w:r>
    </w:p>
    <w:p w14:paraId="712693A2" w14:textId="6B137414" w:rsidR="003A50D5" w:rsidRDefault="003349E9" w:rsidP="005B295A">
      <w:pPr>
        <w:pStyle w:val="Heading4"/>
      </w:pPr>
      <w:r>
        <w:t>T</w:t>
      </w:r>
      <w:r w:rsidR="003A50D5">
        <w:t xml:space="preserve">he Market Operator </w:t>
      </w:r>
      <w:r w:rsidR="00ED6769">
        <w:t xml:space="preserve">may withdraw </w:t>
      </w:r>
      <w:r w:rsidR="003A50D5">
        <w:t xml:space="preserve">a Suspension Order if the </w:t>
      </w:r>
      <w:r w:rsidR="00ED6769">
        <w:t>E</w:t>
      </w:r>
      <w:r w:rsidR="003A50D5">
        <w:t>vent</w:t>
      </w:r>
      <w:r w:rsidR="00ED6769">
        <w:t xml:space="preserve"> of Default</w:t>
      </w:r>
      <w:r w:rsidR="00A30633">
        <w:t xml:space="preserve">, which caused issuance of the Suspension Order, </w:t>
      </w:r>
      <w:r w:rsidR="003A50D5">
        <w:t xml:space="preserve"> is remedied and there are no </w:t>
      </w:r>
      <w:r w:rsidR="00A30633">
        <w:t xml:space="preserve">outstanding </w:t>
      </w:r>
      <w:r w:rsidR="003A50D5">
        <w:t xml:space="preserve">Events of Default with respect to the Suspended </w:t>
      </w:r>
      <w:r w:rsidR="00FA658C">
        <w:t xml:space="preserve">Market </w:t>
      </w:r>
      <w:r w:rsidR="003A50D5">
        <w:t xml:space="preserve">Participant, provided that the Market Operator may, as a condition of </w:t>
      </w:r>
      <w:r w:rsidR="00ED6769">
        <w:t>withdr</w:t>
      </w:r>
      <w:r w:rsidR="00A30633">
        <w:t>a</w:t>
      </w:r>
      <w:r w:rsidR="00ED6769">
        <w:t xml:space="preserve">wing </w:t>
      </w:r>
      <w:r w:rsidR="003A50D5">
        <w:t xml:space="preserve">a Suspension Order, impose such conditions on the </w:t>
      </w:r>
      <w:r w:rsidR="00136176">
        <w:t>Market Participant</w:t>
      </w:r>
      <w:r w:rsidR="003A50D5">
        <w:t xml:space="preserve"> to participate in the </w:t>
      </w:r>
      <w:r w:rsidR="00FA658C">
        <w:t>CTBCM</w:t>
      </w:r>
      <w:r w:rsidR="00A30633">
        <w:t>, as</w:t>
      </w:r>
      <w:r w:rsidR="003A50D5">
        <w:t xml:space="preserve"> </w:t>
      </w:r>
      <w:r>
        <w:t>deemed appropriate</w:t>
      </w:r>
      <w:r w:rsidR="003A50D5">
        <w:t xml:space="preserve"> including</w:t>
      </w:r>
      <w:r w:rsidR="00A30633">
        <w:t>:</w:t>
      </w:r>
    </w:p>
    <w:p w14:paraId="6FFA9540" w14:textId="64591C33" w:rsidR="003A50D5" w:rsidRDefault="003A50D5" w:rsidP="00B03234">
      <w:pPr>
        <w:pStyle w:val="Heading5"/>
      </w:pPr>
      <w:r>
        <w:t xml:space="preserve">establishing a lower </w:t>
      </w:r>
      <w:r w:rsidR="00EC1896">
        <w:t>buying and sellin</w:t>
      </w:r>
      <w:r w:rsidR="00EC1896" w:rsidRPr="006C3AC1">
        <w:t>g</w:t>
      </w:r>
      <w:r w:rsidRPr="006C3AC1">
        <w:t xml:space="preserve"> limit </w:t>
      </w:r>
      <w:r w:rsidR="006C3AC1" w:rsidRPr="00B03C4A">
        <w:t>for</w:t>
      </w:r>
      <w:r w:rsidRPr="00B03C4A">
        <w:t xml:space="preserve"> the </w:t>
      </w:r>
      <w:r w:rsidR="00136176" w:rsidRPr="00B03C4A">
        <w:t>Market Participant</w:t>
      </w:r>
      <w:r w:rsidRPr="00B03C4A">
        <w:t xml:space="preserve"> than would otherwise be the case under </w:t>
      </w:r>
      <w:r w:rsidR="00F05124" w:rsidRPr="00B03C4A">
        <w:t>this Code</w:t>
      </w:r>
      <w:r w:rsidRPr="006C3AC1">
        <w:t>;</w:t>
      </w:r>
    </w:p>
    <w:p w14:paraId="7B3CAB90" w14:textId="6A78A736" w:rsidR="003A50D5" w:rsidRDefault="003A50D5" w:rsidP="00B03234">
      <w:pPr>
        <w:pStyle w:val="Heading5"/>
      </w:pPr>
      <w:r>
        <w:t xml:space="preserve">establishing a more frequent </w:t>
      </w:r>
      <w:r w:rsidR="00A30633">
        <w:t xml:space="preserve">and </w:t>
      </w:r>
      <w:r>
        <w:t xml:space="preserve">continuing schedule of payments </w:t>
      </w:r>
      <w:r w:rsidRPr="00B03C4A">
        <w:t xml:space="preserve">than would otherwise be the case under </w:t>
      </w:r>
      <w:r w:rsidR="00F05124" w:rsidRPr="00B03C4A">
        <w:t>this Code</w:t>
      </w:r>
      <w:r>
        <w:t>; or</w:t>
      </w:r>
    </w:p>
    <w:p w14:paraId="618EA221" w14:textId="74E09E70" w:rsidR="003A50D5" w:rsidRDefault="003A50D5" w:rsidP="00B03234">
      <w:pPr>
        <w:pStyle w:val="Heading5"/>
      </w:pPr>
      <w:r>
        <w:t xml:space="preserve">imposing more stringent </w:t>
      </w:r>
      <w:r w:rsidR="00FA658C">
        <w:t>Security Cover</w:t>
      </w:r>
      <w:r w:rsidR="006C3AC1">
        <w:t xml:space="preserve"> requirement</w:t>
      </w:r>
      <w:r>
        <w:t xml:space="preserve"> </w:t>
      </w:r>
      <w:r w:rsidRPr="00B03C4A">
        <w:t xml:space="preserve">than would otherwise be the case under </w:t>
      </w:r>
      <w:r w:rsidR="00FA658C" w:rsidRPr="00B03C4A">
        <w:fldChar w:fldCharType="begin"/>
      </w:r>
      <w:r w:rsidR="00FA658C" w:rsidRPr="00B03C4A">
        <w:instrText xml:space="preserve"> REF _Ref54689603 \w \h </w:instrText>
      </w:r>
      <w:r w:rsidR="00A30633" w:rsidRPr="00B03C4A">
        <w:instrText xml:space="preserve"> \* MERGEFORMAT </w:instrText>
      </w:r>
      <w:r w:rsidR="00FA658C" w:rsidRPr="00B03C4A">
        <w:fldChar w:fldCharType="separate"/>
      </w:r>
      <w:r w:rsidR="00251DBF" w:rsidRPr="00B03C4A">
        <w:t>Chapter 14</w:t>
      </w:r>
      <w:r w:rsidR="00FA658C" w:rsidRPr="00B03C4A">
        <w:fldChar w:fldCharType="end"/>
      </w:r>
      <w:r>
        <w:t>.</w:t>
      </w:r>
    </w:p>
    <w:p w14:paraId="37EEBEB4" w14:textId="3B4DD822" w:rsidR="003A50D5" w:rsidRDefault="003A50D5" w:rsidP="005B295A">
      <w:pPr>
        <w:pStyle w:val="Heading4"/>
      </w:pPr>
      <w:r>
        <w:t xml:space="preserve">Following the issuance of a Suspension Order to a </w:t>
      </w:r>
      <w:r w:rsidR="00136176">
        <w:t>Market Participant</w:t>
      </w:r>
      <w:r>
        <w:t>, the Market Operator may do one or more of the following to give effect to the Suspension Order:</w:t>
      </w:r>
    </w:p>
    <w:p w14:paraId="5D16DCC0" w14:textId="6E17CD9E" w:rsidR="003A50D5" w:rsidRDefault="003A50D5" w:rsidP="00B03234">
      <w:pPr>
        <w:pStyle w:val="Heading5"/>
      </w:pPr>
      <w:r>
        <w:t xml:space="preserve">reject </w:t>
      </w:r>
      <w:r w:rsidR="000309C6">
        <w:t xml:space="preserve">registering </w:t>
      </w:r>
      <w:r>
        <w:t xml:space="preserve">any </w:t>
      </w:r>
      <w:r w:rsidR="000309C6">
        <w:t>new Contract</w:t>
      </w:r>
      <w:r>
        <w:t xml:space="preserve"> submitted by the Suspended </w:t>
      </w:r>
      <w:r w:rsidR="002651AA">
        <w:t xml:space="preserve">Market </w:t>
      </w:r>
      <w:r>
        <w:t>Participant;</w:t>
      </w:r>
    </w:p>
    <w:p w14:paraId="511F9807" w14:textId="682B1D0E" w:rsidR="003A50D5" w:rsidRDefault="003A50D5" w:rsidP="00B03234">
      <w:pPr>
        <w:pStyle w:val="Heading5"/>
      </w:pPr>
      <w:r>
        <w:t xml:space="preserve">withhold the payment of any amounts to the Suspended </w:t>
      </w:r>
      <w:r w:rsidR="002651AA">
        <w:t xml:space="preserve">Market </w:t>
      </w:r>
      <w:r>
        <w:t xml:space="preserve">Participant under </w:t>
      </w:r>
      <w:r w:rsidR="00F05124">
        <w:t>this Code</w:t>
      </w:r>
      <w:r>
        <w:t xml:space="preserve">; or </w:t>
      </w:r>
    </w:p>
    <w:p w14:paraId="44181C0F" w14:textId="4EE71FAF" w:rsidR="003A50D5" w:rsidRDefault="003A50D5" w:rsidP="00B03234">
      <w:pPr>
        <w:pStyle w:val="Heading5"/>
      </w:pPr>
      <w:r>
        <w:t xml:space="preserve">make such further order or issue such directions to the Suspended </w:t>
      </w:r>
      <w:r w:rsidR="002651AA">
        <w:t xml:space="preserve">Market </w:t>
      </w:r>
      <w:r>
        <w:t xml:space="preserve">Participant as </w:t>
      </w:r>
      <w:r w:rsidR="003349E9">
        <w:t>deemed appropriate</w:t>
      </w:r>
      <w:r>
        <w:t>.</w:t>
      </w:r>
    </w:p>
    <w:p w14:paraId="6BF94B48" w14:textId="43F9E48C" w:rsidR="003A50D5" w:rsidRPr="00B03361" w:rsidRDefault="003A50D5" w:rsidP="005B295A">
      <w:pPr>
        <w:pStyle w:val="Heading4"/>
      </w:pPr>
      <w:bookmarkStart w:id="945" w:name="_Ref60783912"/>
      <w:r>
        <w:lastRenderedPageBreak/>
        <w:t xml:space="preserve">The </w:t>
      </w:r>
      <w:r w:rsidR="002651AA">
        <w:t xml:space="preserve">Transmission or Distribution </w:t>
      </w:r>
      <w:r w:rsidR="000309C6">
        <w:t>Network Service Provider</w:t>
      </w:r>
      <w:r w:rsidR="002651AA">
        <w:t xml:space="preserve">, as the case may be, which </w:t>
      </w:r>
      <w:r>
        <w:t>receives a Disconnection Order from the Market Operator</w:t>
      </w:r>
      <w:r w:rsidR="000309C6">
        <w:t>,</w:t>
      </w:r>
      <w:r>
        <w:t xml:space="preserve"> shall </w:t>
      </w:r>
      <w:r w:rsidR="002651AA">
        <w:t xml:space="preserve">disconnect the Facilities or equipment of the Suspended Participant referred to in the Disconnection Order, </w:t>
      </w:r>
      <w:r>
        <w:t>on the date and at the time specified in the Disconnection Order</w:t>
      </w:r>
      <w:r w:rsidR="002651AA">
        <w:t xml:space="preserve">. The </w:t>
      </w:r>
      <w:r w:rsidR="000309C6">
        <w:t>Transmission or Distribution Network Service Provider</w:t>
      </w:r>
      <w:r w:rsidR="002651AA">
        <w:t xml:space="preserve">, </w:t>
      </w:r>
      <w:r>
        <w:t xml:space="preserve">as the case may be, shall not reconnect such Facilities or equipment until it receives the notice referred to in </w:t>
      </w:r>
      <w:r w:rsidR="00B03361">
        <w:t xml:space="preserve">Clause </w:t>
      </w:r>
      <w:r w:rsidR="00B03361">
        <w:rPr>
          <w:highlight w:val="cyan"/>
        </w:rPr>
        <w:fldChar w:fldCharType="begin"/>
      </w:r>
      <w:r w:rsidR="00B03361">
        <w:instrText xml:space="preserve"> REF _Ref60793630 \w \h </w:instrText>
      </w:r>
      <w:r w:rsidR="00B03361">
        <w:rPr>
          <w:highlight w:val="cyan"/>
        </w:rPr>
      </w:r>
      <w:r w:rsidR="00B03361">
        <w:rPr>
          <w:highlight w:val="cyan"/>
        </w:rPr>
        <w:fldChar w:fldCharType="separate"/>
      </w:r>
      <w:r w:rsidR="00251DBF">
        <w:t>17.2.2.10</w:t>
      </w:r>
      <w:r w:rsidR="00B03361">
        <w:rPr>
          <w:highlight w:val="cyan"/>
        </w:rPr>
        <w:fldChar w:fldCharType="end"/>
      </w:r>
      <w:r>
        <w:t xml:space="preserve">, and shall reconnect such Facilities or equipment on the date and at the time specified in such notice. No costs associated with </w:t>
      </w:r>
      <w:r w:rsidR="006C3AC1">
        <w:t>d</w:t>
      </w:r>
      <w:r>
        <w:t xml:space="preserve">isconnection and </w:t>
      </w:r>
      <w:r w:rsidR="006C3AC1">
        <w:t>r</w:t>
      </w:r>
      <w:r w:rsidRPr="00B03361">
        <w:t>econnection shall be borne by the Market Operator.</w:t>
      </w:r>
      <w:bookmarkEnd w:id="945"/>
    </w:p>
    <w:p w14:paraId="55C9EF35" w14:textId="77087C26" w:rsidR="003A50D5" w:rsidRPr="00B03361" w:rsidRDefault="00E63D93" w:rsidP="005B295A">
      <w:pPr>
        <w:pStyle w:val="Heading4"/>
      </w:pPr>
      <w:r>
        <w:t>T</w:t>
      </w:r>
      <w:r w:rsidR="003A50D5" w:rsidRPr="00B03361">
        <w:t xml:space="preserve">he Market Operator may at any time and upon notice to the Suspended </w:t>
      </w:r>
      <w:r w:rsidR="002651AA" w:rsidRPr="00B03361">
        <w:t xml:space="preserve">Market </w:t>
      </w:r>
      <w:r w:rsidR="003A50D5" w:rsidRPr="00B03361">
        <w:t xml:space="preserve">Participant, extend, stay the operation of or </w:t>
      </w:r>
      <w:r w:rsidR="00A30633">
        <w:t>withdraw</w:t>
      </w:r>
      <w:r w:rsidR="00A30633" w:rsidRPr="00B03361">
        <w:t xml:space="preserve"> </w:t>
      </w:r>
      <w:r w:rsidR="003A50D5" w:rsidRPr="00B03361">
        <w:t>a Suspension Order</w:t>
      </w:r>
      <w:r w:rsidR="005D59CB">
        <w:t xml:space="preserve"> as well as the Disconnection Order</w:t>
      </w:r>
      <w:r w:rsidR="003A50D5" w:rsidRPr="00B03361">
        <w:t xml:space="preserve"> or modify the conditions of any Suspension Order</w:t>
      </w:r>
      <w:r w:rsidR="005D59CB">
        <w:t xml:space="preserve"> as well as the Disconnection Order</w:t>
      </w:r>
      <w:r w:rsidR="003A50D5" w:rsidRPr="00B03361">
        <w:t xml:space="preserve">, and shall </w:t>
      </w:r>
      <w:r w:rsidR="00A30633">
        <w:t>inform</w:t>
      </w:r>
      <w:r w:rsidR="00A30633" w:rsidRPr="00B03361">
        <w:t xml:space="preserve"> </w:t>
      </w:r>
      <w:r w:rsidR="003A50D5" w:rsidRPr="00B03361">
        <w:t xml:space="preserve">the </w:t>
      </w:r>
      <w:r w:rsidR="000309C6" w:rsidRPr="00B03361">
        <w:t>Transmission or Distribution Network Service Provider</w:t>
      </w:r>
      <w:r w:rsidR="003A50D5" w:rsidRPr="00B03361">
        <w:t>, as the case may be, accordingly.</w:t>
      </w:r>
    </w:p>
    <w:p w14:paraId="3EC6C76A" w14:textId="098332A5" w:rsidR="003A50D5" w:rsidRDefault="003A50D5" w:rsidP="005B295A">
      <w:pPr>
        <w:pStyle w:val="Heading4"/>
      </w:pPr>
      <w:r w:rsidRPr="00B03361">
        <w:t>The Market</w:t>
      </w:r>
      <w:r>
        <w:t xml:space="preserve"> Operator shall, immediately following the issuance of a Suspension Order, publish a notice on the </w:t>
      </w:r>
      <w:r w:rsidR="00C1591E">
        <w:t xml:space="preserve">MO </w:t>
      </w:r>
      <w:r>
        <w:t xml:space="preserve">Website and issue a public statement that the rights of the Suspended </w:t>
      </w:r>
      <w:r w:rsidR="002651AA">
        <w:t xml:space="preserve">Market </w:t>
      </w:r>
      <w:r>
        <w:t xml:space="preserve">Participant to participate in the </w:t>
      </w:r>
      <w:r w:rsidR="002651AA">
        <w:t>CTBCM</w:t>
      </w:r>
      <w:r>
        <w:t xml:space="preserve"> have been Suspended or restricted, including details of the suspension or restriction, and whether a Disconnection Order has also been issued in respect of the Suspended </w:t>
      </w:r>
      <w:r w:rsidR="002651AA">
        <w:t xml:space="preserve">Market </w:t>
      </w:r>
      <w:r>
        <w:t xml:space="preserve">Participant. The Market Operator shall issue a public notice promptly after a Suspension Order and, where applicable, a Disconnection Order, is </w:t>
      </w:r>
      <w:r w:rsidR="005D59CB">
        <w:t>withdrawn</w:t>
      </w:r>
      <w:r>
        <w:t>, extended, modified or stayed</w:t>
      </w:r>
      <w:r w:rsidR="00E63D93">
        <w:t xml:space="preserve"> and</w:t>
      </w:r>
      <w:r>
        <w:t xml:space="preserve"> publish the same on the </w:t>
      </w:r>
      <w:r w:rsidR="00C1591E">
        <w:t xml:space="preserve">MO </w:t>
      </w:r>
      <w:r>
        <w:t>Website.</w:t>
      </w:r>
    </w:p>
    <w:p w14:paraId="6ADCFB6E" w14:textId="6557E3F4" w:rsidR="003A50D5" w:rsidRDefault="005D59CB" w:rsidP="005B295A">
      <w:pPr>
        <w:pStyle w:val="Heading4"/>
      </w:pPr>
      <w:r>
        <w:t>With effect from the date of issuance of Suspension Order</w:t>
      </w:r>
      <w:r w:rsidR="003A50D5">
        <w:t xml:space="preserve">, the Suspended </w:t>
      </w:r>
      <w:r w:rsidR="00136176">
        <w:t>Market Participant</w:t>
      </w:r>
      <w:r w:rsidR="003A50D5" w:rsidRPr="00B03361">
        <w:t xml:space="preserve"> </w:t>
      </w:r>
      <w:r>
        <w:t xml:space="preserve">shall not be </w:t>
      </w:r>
      <w:r w:rsidR="003A50D5" w:rsidRPr="00B03361">
        <w:t xml:space="preserve">eligible to trade or enter into any transaction in the </w:t>
      </w:r>
      <w:r w:rsidR="002651AA" w:rsidRPr="00B03361">
        <w:t xml:space="preserve">CTBCM </w:t>
      </w:r>
      <w:r w:rsidR="003A50D5" w:rsidRPr="00B03361">
        <w:t>to the extent specified in the Suspension Order.</w:t>
      </w:r>
    </w:p>
    <w:p w14:paraId="3AA6A791" w14:textId="77D0FDE0" w:rsidR="003A50D5" w:rsidRDefault="003A50D5" w:rsidP="005B295A">
      <w:pPr>
        <w:pStyle w:val="Heading4"/>
      </w:pPr>
      <w:r>
        <w:t xml:space="preserve">The Suspended </w:t>
      </w:r>
      <w:r w:rsidR="002651AA">
        <w:t xml:space="preserve">Market </w:t>
      </w:r>
      <w:r>
        <w:t xml:space="preserve">Participant shall comply with the terms of the Suspension Order issued to it. A Suspended </w:t>
      </w:r>
      <w:r w:rsidR="002651AA">
        <w:t xml:space="preserve">Market </w:t>
      </w:r>
      <w:r>
        <w:t xml:space="preserve">Participant shall also comply with any </w:t>
      </w:r>
      <w:r w:rsidR="005D59CB">
        <w:t xml:space="preserve">subsequent </w:t>
      </w:r>
      <w:r>
        <w:t xml:space="preserve">order, including any directions or arrangements which may be made for the purpose of giving effect to the Suspension Order, made by the Market </w:t>
      </w:r>
      <w:r w:rsidR="00B03361">
        <w:t>Operator.</w:t>
      </w:r>
    </w:p>
    <w:p w14:paraId="26774237" w14:textId="011FC777" w:rsidR="003A50D5" w:rsidRDefault="003A50D5" w:rsidP="005B295A">
      <w:pPr>
        <w:pStyle w:val="Heading4"/>
      </w:pPr>
      <w:r>
        <w:t xml:space="preserve">A Suspended </w:t>
      </w:r>
      <w:r w:rsidR="00136176">
        <w:t>Market Participant</w:t>
      </w:r>
      <w:r>
        <w:t xml:space="preserve"> shall remain liable for all of its obligations as a </w:t>
      </w:r>
      <w:r w:rsidR="00136176">
        <w:t>Market Participant</w:t>
      </w:r>
      <w:r>
        <w:t xml:space="preserve">, other than as expressly provided in </w:t>
      </w:r>
      <w:r w:rsidR="005D59CB">
        <w:t xml:space="preserve">the </w:t>
      </w:r>
      <w:r>
        <w:t xml:space="preserve">Suspension Order, including but not limited to, the payment of any </w:t>
      </w:r>
      <w:r w:rsidR="00E63D93">
        <w:t xml:space="preserve">amounts </w:t>
      </w:r>
      <w:r>
        <w:t xml:space="preserve">to the Market Operator in respect of any Energy withdrawn while the Suspension Order is in effect. Issuance of a Suspension Order shall not affect any liability or obligation of a Suspended </w:t>
      </w:r>
      <w:r w:rsidR="002651AA">
        <w:t xml:space="preserve">Market </w:t>
      </w:r>
      <w:r>
        <w:t xml:space="preserve">Participant for the payment of any </w:t>
      </w:r>
      <w:r w:rsidR="00E63D93">
        <w:t xml:space="preserve">amounts </w:t>
      </w:r>
      <w:r>
        <w:t xml:space="preserve">to the Market Operator or any other person which </w:t>
      </w:r>
      <w:r w:rsidR="00E63D93">
        <w:t xml:space="preserve">were </w:t>
      </w:r>
      <w:r>
        <w:t xml:space="preserve">incurred or arose under </w:t>
      </w:r>
      <w:r w:rsidR="000B1C92">
        <w:t xml:space="preserve">this </w:t>
      </w:r>
      <w:r w:rsidR="00F64A42">
        <w:t>Code</w:t>
      </w:r>
      <w:r>
        <w:t>:</w:t>
      </w:r>
    </w:p>
    <w:p w14:paraId="4833F7F8" w14:textId="44DAFF17" w:rsidR="003A50D5" w:rsidRDefault="003A50D5" w:rsidP="00B03234">
      <w:pPr>
        <w:pStyle w:val="Heading5"/>
      </w:pPr>
      <w:r>
        <w:t>prior to the date on which the Suspension Order was issued; or</w:t>
      </w:r>
    </w:p>
    <w:p w14:paraId="0CBCC395" w14:textId="74C00F1D" w:rsidR="003A50D5" w:rsidRDefault="003A50D5" w:rsidP="00B03234">
      <w:pPr>
        <w:pStyle w:val="Heading5"/>
      </w:pPr>
      <w:r>
        <w:t xml:space="preserve">during any period in which the operation of the Suspension Order has been stayed, </w:t>
      </w:r>
    </w:p>
    <w:p w14:paraId="40A7E07A" w14:textId="3B33E2B1" w:rsidR="003A50D5" w:rsidRDefault="003A50D5" w:rsidP="00A22D29">
      <w:pPr>
        <w:pStyle w:val="BodyText"/>
      </w:pPr>
      <w:r>
        <w:t>regardless the date on which any claim relating thereto may be made.</w:t>
      </w:r>
    </w:p>
    <w:p w14:paraId="035B8EC0" w14:textId="0B1B3AE8" w:rsidR="003A50D5" w:rsidRPr="008B6C89" w:rsidRDefault="00EA4D6F" w:rsidP="008B6C89">
      <w:pPr>
        <w:pStyle w:val="Heading3"/>
        <w:rPr>
          <w:rStyle w:val="Heading3Char"/>
          <w:smallCaps/>
        </w:rPr>
      </w:pPr>
      <w:bookmarkStart w:id="946" w:name="_Ref63964028"/>
      <w:r>
        <w:rPr>
          <w:rStyle w:val="Heading3Char"/>
          <w:smallCaps/>
        </w:rPr>
        <w:t xml:space="preserve">Revocation of registration and </w:t>
      </w:r>
      <w:r w:rsidR="003A50D5" w:rsidRPr="008B6C89">
        <w:rPr>
          <w:rStyle w:val="Heading3Char"/>
          <w:smallCaps/>
        </w:rPr>
        <w:t xml:space="preserve">Termination </w:t>
      </w:r>
      <w:r>
        <w:rPr>
          <w:rStyle w:val="Heading3Char"/>
          <w:smallCaps/>
        </w:rPr>
        <w:t>of Market Participation Agreement</w:t>
      </w:r>
      <w:r w:rsidR="003A50D5" w:rsidRPr="008B6C89">
        <w:rPr>
          <w:rStyle w:val="Heading3Char"/>
          <w:smallCaps/>
        </w:rPr>
        <w:t xml:space="preserve"> </w:t>
      </w:r>
      <w:bookmarkEnd w:id="946"/>
    </w:p>
    <w:p w14:paraId="6A801AD6" w14:textId="76C4532A" w:rsidR="003A50D5" w:rsidRDefault="00762528" w:rsidP="005B295A">
      <w:pPr>
        <w:pStyle w:val="Heading4"/>
      </w:pPr>
      <w:bookmarkStart w:id="947" w:name="_Ref63697032"/>
      <w:r>
        <w:t>T</w:t>
      </w:r>
      <w:r w:rsidR="003A50D5">
        <w:t>he Market Operator may</w:t>
      </w:r>
      <w:r w:rsidR="002651AA">
        <w:t>,</w:t>
      </w:r>
      <w:r w:rsidR="003A50D5">
        <w:t xml:space="preserve"> by Termination Order</w:t>
      </w:r>
      <w:r w:rsidR="002651AA">
        <w:t>,</w:t>
      </w:r>
      <w:r w:rsidR="003A50D5">
        <w:t xml:space="preserve"> </w:t>
      </w:r>
      <w:r w:rsidR="00277F1A">
        <w:t xml:space="preserve">revoke the registration of a Market Participant and </w:t>
      </w:r>
      <w:r w:rsidR="003A50D5">
        <w:t xml:space="preserve">terminate </w:t>
      </w:r>
      <w:r w:rsidR="00277F1A">
        <w:t>its Market Participation Agreement as well as its</w:t>
      </w:r>
      <w:r w:rsidR="003A50D5">
        <w:t xml:space="preserve"> right to participate in the </w:t>
      </w:r>
      <w:r w:rsidR="002651AA">
        <w:t>CTBCM</w:t>
      </w:r>
      <w:r w:rsidR="003A50D5">
        <w:t xml:space="preserve"> where a Suspended </w:t>
      </w:r>
      <w:r w:rsidR="002651AA">
        <w:t xml:space="preserve">Market </w:t>
      </w:r>
      <w:r w:rsidR="003A50D5">
        <w:t>Participant:</w:t>
      </w:r>
      <w:bookmarkEnd w:id="947"/>
      <w:r w:rsidR="003A50D5">
        <w:t xml:space="preserve"> </w:t>
      </w:r>
    </w:p>
    <w:p w14:paraId="4F9281B2" w14:textId="7318B79E" w:rsidR="003A50D5" w:rsidRDefault="003A50D5" w:rsidP="00B03234">
      <w:pPr>
        <w:pStyle w:val="Heading5"/>
      </w:pPr>
      <w:r>
        <w:t>has not remedied</w:t>
      </w:r>
      <w:r w:rsidR="00EA4D6F">
        <w:t>,</w:t>
      </w:r>
      <w:r>
        <w:t xml:space="preserve"> </w:t>
      </w:r>
      <w:r w:rsidR="00EA4D6F">
        <w:t xml:space="preserve">to the satisfaction of the Market Operator, </w:t>
      </w:r>
      <w:r>
        <w:t xml:space="preserve">the Event of Default </w:t>
      </w:r>
      <w:r w:rsidRPr="00B03C4A">
        <w:lastRenderedPageBreak/>
        <w:t xml:space="preserve">which </w:t>
      </w:r>
      <w:r w:rsidR="00EA4D6F" w:rsidRPr="00B03C4A">
        <w:t xml:space="preserve">caused </w:t>
      </w:r>
      <w:r w:rsidRPr="00B03C4A">
        <w:t>the issuance of the Suspension Order</w:t>
      </w:r>
      <w:r>
        <w:t xml:space="preserve"> within </w:t>
      </w:r>
      <w:r w:rsidR="004F552B">
        <w:t>[</w:t>
      </w:r>
      <w:r>
        <w:t>30</w:t>
      </w:r>
      <w:r w:rsidR="004F552B">
        <w:t>]</w:t>
      </w:r>
      <w:r>
        <w:t xml:space="preserve"> Business Days </w:t>
      </w:r>
      <w:r w:rsidRPr="00277F1A">
        <w:t>of the</w:t>
      </w:r>
      <w:r w:rsidRPr="00EA4D6F">
        <w:rPr>
          <w:strike/>
        </w:rPr>
        <w:t xml:space="preserve"> </w:t>
      </w:r>
      <w:r w:rsidRPr="00277F1A">
        <w:t>date of issuance of the Suspension Order</w:t>
      </w:r>
      <w:r w:rsidR="00E63D93">
        <w:t xml:space="preserve"> or any other date as specified by the Market Operator</w:t>
      </w:r>
      <w:r>
        <w:t>; or</w:t>
      </w:r>
    </w:p>
    <w:p w14:paraId="42867077" w14:textId="16492DB3" w:rsidR="003A50D5" w:rsidRDefault="003A50D5" w:rsidP="00B03234">
      <w:pPr>
        <w:pStyle w:val="Heading5"/>
      </w:pPr>
      <w:r>
        <w:t xml:space="preserve">has </w:t>
      </w:r>
      <w:r w:rsidR="00E63D93">
        <w:t xml:space="preserve">informed </w:t>
      </w:r>
      <w:r>
        <w:t>the Market Operator that it is not likely to remedy such Event of Default.</w:t>
      </w:r>
    </w:p>
    <w:p w14:paraId="3A95672A" w14:textId="3D831C07" w:rsidR="003A50D5" w:rsidRPr="00B03C4A" w:rsidRDefault="003A50D5" w:rsidP="00277F1A">
      <w:pPr>
        <w:pStyle w:val="Heading4"/>
      </w:pPr>
      <w:r w:rsidRPr="00B03C4A">
        <w:t xml:space="preserve">Notwithstanding that a </w:t>
      </w:r>
      <w:r w:rsidR="00136176" w:rsidRPr="00B03C4A">
        <w:t>Market Participant</w:t>
      </w:r>
      <w:r w:rsidRPr="00B03C4A">
        <w:t xml:space="preserve"> may have remedied breach of </w:t>
      </w:r>
      <w:r w:rsidR="002651AA" w:rsidRPr="00B03C4A">
        <w:t xml:space="preserve">this </w:t>
      </w:r>
      <w:r w:rsidR="00F64A42" w:rsidRPr="00B03C4A">
        <w:t>Code</w:t>
      </w:r>
      <w:r w:rsidR="002651AA" w:rsidRPr="00B03C4A">
        <w:t xml:space="preserve"> </w:t>
      </w:r>
      <w:r w:rsidRPr="00B03C4A">
        <w:t>or the Grid Code</w:t>
      </w:r>
      <w:r w:rsidR="00BD1223" w:rsidRPr="00B03C4A">
        <w:t xml:space="preserve"> pursuant to the non-compliance letters or financial penalties imposed </w:t>
      </w:r>
      <w:r w:rsidR="00597B42" w:rsidRPr="00B03C4A">
        <w:t>in accordance with</w:t>
      </w:r>
      <w:r w:rsidR="00BD1223" w:rsidRPr="00B03C4A">
        <w:t xml:space="preserve"> Sub-Section </w:t>
      </w:r>
      <w:r w:rsidR="00BD1223" w:rsidRPr="00B03C4A">
        <w:fldChar w:fldCharType="begin"/>
      </w:r>
      <w:r w:rsidR="00BD1223" w:rsidRPr="00B03C4A">
        <w:instrText xml:space="preserve"> REF _Ref60791799 \w \h  \* MERGEFORMAT </w:instrText>
      </w:r>
      <w:r w:rsidR="00BD1223" w:rsidRPr="00B03C4A">
        <w:fldChar w:fldCharType="separate"/>
      </w:r>
      <w:r w:rsidR="00BD1223" w:rsidRPr="00B03C4A">
        <w:t>17.3.1</w:t>
      </w:r>
      <w:r w:rsidR="00BD1223" w:rsidRPr="00B03C4A">
        <w:fldChar w:fldCharType="end"/>
      </w:r>
      <w:r w:rsidRPr="00B03C4A">
        <w:t>, the Market Operator may</w:t>
      </w:r>
      <w:r w:rsidR="003E74DB" w:rsidRPr="00B03C4A">
        <w:t>,</w:t>
      </w:r>
      <w:r w:rsidRPr="00B03C4A">
        <w:t xml:space="preserve"> by Termination Order</w:t>
      </w:r>
      <w:r w:rsidR="003E74DB" w:rsidRPr="00B03C4A">
        <w:t>, revoke the registration of a Market Participant and</w:t>
      </w:r>
      <w:r w:rsidRPr="00B03C4A">
        <w:t xml:space="preserve"> terminate a </w:t>
      </w:r>
      <w:r w:rsidR="00136176" w:rsidRPr="00B03C4A">
        <w:t>Market Participant</w:t>
      </w:r>
      <w:r w:rsidRPr="00B03C4A">
        <w:t xml:space="preserve">’s right to participate in the </w:t>
      </w:r>
      <w:r w:rsidR="002651AA" w:rsidRPr="00B03C4A">
        <w:t>CTBCM</w:t>
      </w:r>
      <w:r w:rsidRPr="00B03C4A">
        <w:t xml:space="preserve"> if a </w:t>
      </w:r>
      <w:r w:rsidR="00136176" w:rsidRPr="00B03C4A">
        <w:t>Market Participant</w:t>
      </w:r>
      <w:r w:rsidRPr="00B03C4A">
        <w:t xml:space="preserve"> has been found to be in breach of </w:t>
      </w:r>
      <w:r w:rsidR="00F05124" w:rsidRPr="00B03C4A">
        <w:t>this Code</w:t>
      </w:r>
      <w:r w:rsidRPr="00B03C4A">
        <w:t xml:space="preserve"> or the Grid Code on a persistent basis</w:t>
      </w:r>
      <w:r w:rsidR="004F552B" w:rsidRPr="00B03C4A">
        <w:t>.</w:t>
      </w:r>
    </w:p>
    <w:p w14:paraId="10A3793F" w14:textId="6A442BD5" w:rsidR="003A50D5" w:rsidRPr="00597B42" w:rsidRDefault="00762528" w:rsidP="005B295A">
      <w:pPr>
        <w:pStyle w:val="Heading4"/>
      </w:pPr>
      <w:bookmarkStart w:id="948" w:name="_Ref60784537"/>
      <w:r>
        <w:t>W</w:t>
      </w:r>
      <w:r w:rsidR="003A50D5" w:rsidRPr="00B03361">
        <w:t>here the Market Operator intends</w:t>
      </w:r>
      <w:r w:rsidR="003A50D5">
        <w:t xml:space="preserve"> to issue a Termination Order, the Market Operator </w:t>
      </w:r>
      <w:r w:rsidR="00597B42">
        <w:t xml:space="preserve">may </w:t>
      </w:r>
      <w:r w:rsidR="00597B42" w:rsidRPr="00597B42">
        <w:t>issue a notice of intention</w:t>
      </w:r>
      <w:r w:rsidR="00481C2D">
        <w:t>,</w:t>
      </w:r>
      <w:r w:rsidR="00597B42" w:rsidRPr="00597B42">
        <w:t xml:space="preserve"> </w:t>
      </w:r>
      <w:r w:rsidR="00481C2D">
        <w:t xml:space="preserve">including the reasons thereof, </w:t>
      </w:r>
      <w:r w:rsidR="00597B42" w:rsidRPr="00597B42">
        <w:t>to the concerned Market Participant indicating the following may be issued</w:t>
      </w:r>
      <w:r w:rsidR="00E63D93" w:rsidRPr="00597B42">
        <w:t>:</w:t>
      </w:r>
      <w:bookmarkEnd w:id="948"/>
    </w:p>
    <w:p w14:paraId="6A6F2832" w14:textId="247FB6C0" w:rsidR="003A50D5" w:rsidRPr="00B03C4A" w:rsidRDefault="00597B42" w:rsidP="00B03234">
      <w:pPr>
        <w:pStyle w:val="Heading5"/>
      </w:pPr>
      <w:r w:rsidRPr="00597B42">
        <w:t>a Termination Order to revoke the registration of the Market Participants and the re</w:t>
      </w:r>
      <w:r>
        <w:t>a</w:t>
      </w:r>
      <w:r w:rsidRPr="00597B42">
        <w:t>s</w:t>
      </w:r>
      <w:r w:rsidR="00481C2D">
        <w:t>ons thereof</w:t>
      </w:r>
      <w:r w:rsidR="003A50D5" w:rsidRPr="00B03C4A">
        <w:t>;</w:t>
      </w:r>
    </w:p>
    <w:p w14:paraId="4565FCDA" w14:textId="08B6A298" w:rsidR="003A50D5" w:rsidRPr="00B03C4A" w:rsidRDefault="00481C2D" w:rsidP="00B03234">
      <w:pPr>
        <w:pStyle w:val="Heading5"/>
      </w:pPr>
      <w:bookmarkStart w:id="949" w:name="_Ref60784646"/>
      <w:r w:rsidRPr="00481C2D">
        <w:t>a Disconnection Order to the relevant Transmission or Distribution Network Service Provider</w:t>
      </w:r>
      <w:r>
        <w:t>, if not already issued</w:t>
      </w:r>
      <w:r w:rsidR="003A50D5" w:rsidRPr="00B03C4A">
        <w:t>; and</w:t>
      </w:r>
      <w:bookmarkEnd w:id="949"/>
    </w:p>
    <w:p w14:paraId="6345A801" w14:textId="77777777" w:rsidR="00481C2D" w:rsidRDefault="00481C2D" w:rsidP="005B295A">
      <w:pPr>
        <w:pStyle w:val="Heading4"/>
      </w:pPr>
      <w:r>
        <w:t>The Market Operator</w:t>
      </w:r>
      <w:r w:rsidRPr="00A22D29">
        <w:t xml:space="preserve"> shall provide a copy of </w:t>
      </w:r>
      <w:r>
        <w:t>the</w:t>
      </w:r>
      <w:r w:rsidRPr="00A22D29">
        <w:t xml:space="preserve"> notice</w:t>
      </w:r>
      <w:r>
        <w:t xml:space="preserve"> issued pursuant to Clause </w:t>
      </w:r>
      <w:r w:rsidRPr="00E17701">
        <w:fldChar w:fldCharType="begin"/>
      </w:r>
      <w:r w:rsidRPr="00E17701">
        <w:instrText xml:space="preserve"> REF _Ref60784537 \w \h  \* MERGEFORMAT </w:instrText>
      </w:r>
      <w:r w:rsidRPr="00E17701">
        <w:fldChar w:fldCharType="separate"/>
      </w:r>
      <w:r w:rsidRPr="00E17701">
        <w:t>17.2.3.3</w:t>
      </w:r>
      <w:r w:rsidRPr="00E17701">
        <w:fldChar w:fldCharType="end"/>
      </w:r>
      <w:r>
        <w:t xml:space="preserve"> </w:t>
      </w:r>
      <w:r w:rsidRPr="00A22D29">
        <w:t xml:space="preserve">to </w:t>
      </w:r>
      <w:r>
        <w:t>the Authority and the relevant</w:t>
      </w:r>
      <w:r w:rsidRPr="00A22D29">
        <w:t xml:space="preserve"> Transmission or Distribution Network Service Provider</w:t>
      </w:r>
    </w:p>
    <w:p w14:paraId="06D66A91" w14:textId="33D79CFA" w:rsidR="003A50D5" w:rsidRDefault="00481C2D" w:rsidP="005B295A">
      <w:pPr>
        <w:pStyle w:val="Heading4"/>
      </w:pPr>
      <w:bookmarkStart w:id="950" w:name="_Ref77258727"/>
      <w:r>
        <w:t xml:space="preserve">Upon receipt of the notice issued pursuant to Clause </w:t>
      </w:r>
      <w:r w:rsidRPr="00E17701">
        <w:fldChar w:fldCharType="begin"/>
      </w:r>
      <w:r w:rsidRPr="00E17701">
        <w:instrText xml:space="preserve"> REF _Ref60784537 \w \h  \* MERGEFORMAT </w:instrText>
      </w:r>
      <w:r w:rsidRPr="00E17701">
        <w:fldChar w:fldCharType="separate"/>
      </w:r>
      <w:r w:rsidRPr="00E17701">
        <w:t>17.2.3.3</w:t>
      </w:r>
      <w:r w:rsidRPr="00E17701">
        <w:fldChar w:fldCharType="end"/>
      </w:r>
      <w:r>
        <w:t>, the concerned Market Participant shall have the right to request, within 2 Business Days,  a hearing before the Market Operator to justify that the Termination Order, the Disconnection Order, or both, as the case may be, shall not be issued</w:t>
      </w:r>
      <w:r w:rsidR="003A50D5" w:rsidRPr="00B03C4A">
        <w:t>.</w:t>
      </w:r>
      <w:bookmarkEnd w:id="950"/>
      <w:r w:rsidR="003A50D5" w:rsidRPr="00B03C4A">
        <w:t xml:space="preserve"> </w:t>
      </w:r>
    </w:p>
    <w:p w14:paraId="6E6AFD77" w14:textId="77777777" w:rsidR="00FF1049" w:rsidRDefault="00FF1049" w:rsidP="00FF1049">
      <w:pPr>
        <w:pStyle w:val="Heading4"/>
      </w:pPr>
      <w:r>
        <w:t>Where the Market Participant:</w:t>
      </w:r>
    </w:p>
    <w:p w14:paraId="198AB465" w14:textId="01EC700E" w:rsidR="00FF1049" w:rsidRDefault="00FF1049" w:rsidP="00FF1049">
      <w:pPr>
        <w:pStyle w:val="Heading5"/>
      </w:pPr>
      <w:r>
        <w:t>has not requested a hearing pursuant to Clause</w:t>
      </w:r>
      <w:r>
        <w:fldChar w:fldCharType="begin"/>
      </w:r>
      <w:r>
        <w:instrText xml:space="preserve"> REF _Ref77258727 \w \h </w:instrText>
      </w:r>
      <w:r>
        <w:fldChar w:fldCharType="separate"/>
      </w:r>
      <w:r>
        <w:t>17.2.3.5</w:t>
      </w:r>
      <w:r>
        <w:fldChar w:fldCharType="end"/>
      </w:r>
      <w:r>
        <w:t>, or has notified the Market Operator that it does not intend to request such a hearing; or</w:t>
      </w:r>
    </w:p>
    <w:p w14:paraId="79374B66" w14:textId="77777777" w:rsidR="00FF1049" w:rsidRDefault="00FF1049" w:rsidP="00FF1049">
      <w:pPr>
        <w:pStyle w:val="Heading5"/>
      </w:pPr>
      <w:r>
        <w:t>has requested a hearing, then upon conclusion of a hearing, the Market Operator may:</w:t>
      </w:r>
    </w:p>
    <w:p w14:paraId="5954778C" w14:textId="69FDE314" w:rsidR="00FF1049" w:rsidRDefault="00FF1049" w:rsidP="00FF1049">
      <w:pPr>
        <w:pStyle w:val="Heading6"/>
      </w:pPr>
      <w:r>
        <w:t xml:space="preserve">issue a Termination Order to the Market Participant revoking its registration or restricting all of the Market Participant’s rights to participate in the CTBCM; and/or </w:t>
      </w:r>
    </w:p>
    <w:p w14:paraId="187B1A7E" w14:textId="5A06DEAA" w:rsidR="00FF1049" w:rsidRDefault="00FF1049" w:rsidP="00FF1049">
      <w:pPr>
        <w:pStyle w:val="Heading6"/>
      </w:pPr>
      <w:r>
        <w:t>if not already issued, issue, with a copy to the Market Participant, a Disconnection Order to the relevant Transmission or Distribution Network Service Provider directing Disconnection of the relevant Facilities or equipment of the Terminated Market Participant from the Transmission Network or the Distribution Network as the case may be; and/or</w:t>
      </w:r>
    </w:p>
    <w:p w14:paraId="45B40514" w14:textId="77777777" w:rsidR="00FF1049" w:rsidRDefault="00FF1049" w:rsidP="00FF1049">
      <w:pPr>
        <w:pStyle w:val="Heading6"/>
      </w:pPr>
      <w:r>
        <w:t>make such other order as deemed appropriate.</w:t>
      </w:r>
    </w:p>
    <w:p w14:paraId="263397AD" w14:textId="4CBF9172" w:rsidR="00FF1049" w:rsidRDefault="00FF1049" w:rsidP="00FF1049">
      <w:pPr>
        <w:pStyle w:val="Heading4"/>
      </w:pPr>
      <w:r>
        <w:t>Where the Market Participant has requested a hearing pursuant to</w:t>
      </w:r>
      <w:r w:rsidRPr="00FA658C">
        <w:t xml:space="preserve"> </w:t>
      </w:r>
      <w:r>
        <w:t>Clause</w:t>
      </w:r>
      <w:r>
        <w:fldChar w:fldCharType="begin"/>
      </w:r>
      <w:r>
        <w:instrText xml:space="preserve"> REF _Ref77258727 \w \h </w:instrText>
      </w:r>
      <w:r>
        <w:fldChar w:fldCharType="separate"/>
      </w:r>
      <w:r>
        <w:t>17.2.3.5</w:t>
      </w:r>
      <w:r>
        <w:fldChar w:fldCharType="end"/>
      </w:r>
      <w:r>
        <w:t>, the Market Operator, within ten [10] Business Days of the date of receipt of such request, shall hold a hearing providing the Market Participant with a reasonable opportunity to justify that why the Termination Order, the Disconnection Order or both should not be issued against it. In such circumstances, the Market Operator shall not issue either the Termination Order, the Disconnection Order or any other order until such hearing has been held.</w:t>
      </w:r>
    </w:p>
    <w:p w14:paraId="7F189DCF" w14:textId="77777777" w:rsidR="00FF1049" w:rsidRPr="00B03C4A" w:rsidRDefault="00FF1049" w:rsidP="00B03C4A">
      <w:pPr>
        <w:pStyle w:val="BodyText"/>
      </w:pPr>
    </w:p>
    <w:p w14:paraId="14C09AA0" w14:textId="74459F84" w:rsidR="003A50D5" w:rsidRDefault="0085192B" w:rsidP="00965CEC">
      <w:pPr>
        <w:pStyle w:val="Heading4"/>
      </w:pPr>
      <w:r>
        <w:lastRenderedPageBreak/>
        <w:t xml:space="preserve">Upon receipt of the Disconnection Order, the </w:t>
      </w:r>
      <w:r w:rsidR="00B03361">
        <w:t xml:space="preserve">Transmission or Distribution Network </w:t>
      </w:r>
      <w:r w:rsidR="00B03361" w:rsidRPr="000F79C6">
        <w:t>Service Provider</w:t>
      </w:r>
      <w:r w:rsidR="002651AA" w:rsidRPr="000F79C6">
        <w:t xml:space="preserve"> </w:t>
      </w:r>
      <w:r w:rsidR="003A50D5" w:rsidRPr="000F79C6">
        <w:t xml:space="preserve">shall, on the date and at the time specified in the Disconnection Order, </w:t>
      </w:r>
      <w:r w:rsidR="00BD1223" w:rsidRPr="00B03C4A">
        <w:t>d</w:t>
      </w:r>
      <w:r w:rsidR="003A50D5" w:rsidRPr="00B03C4A">
        <w:t>isconnect</w:t>
      </w:r>
      <w:r w:rsidR="003A50D5" w:rsidRPr="000F79C6">
        <w:t xml:space="preserve"> the </w:t>
      </w:r>
      <w:bookmarkStart w:id="951" w:name="_Hlk66455899"/>
      <w:r w:rsidRPr="000F79C6">
        <w:t>relevant</w:t>
      </w:r>
      <w:r w:rsidR="003A50D5" w:rsidRPr="000F79C6">
        <w:t xml:space="preserve"> Facility </w:t>
      </w:r>
      <w:bookmarkEnd w:id="951"/>
      <w:r w:rsidR="003A50D5" w:rsidRPr="000F79C6">
        <w:t xml:space="preserve">or equipment of the Terminated </w:t>
      </w:r>
      <w:r w:rsidR="002651AA" w:rsidRPr="000F79C6">
        <w:t xml:space="preserve">Market </w:t>
      </w:r>
      <w:r w:rsidR="003A50D5" w:rsidRPr="000F79C6">
        <w:t xml:space="preserve">Participant referred to in the Disconnection Order. The </w:t>
      </w:r>
      <w:r w:rsidR="00B03361" w:rsidRPr="000F79C6">
        <w:t>Transmission or Distribution Network Service Provider</w:t>
      </w:r>
      <w:r w:rsidR="002651AA" w:rsidRPr="000F79C6">
        <w:t xml:space="preserve">, </w:t>
      </w:r>
      <w:r w:rsidR="003A50D5" w:rsidRPr="000F79C6">
        <w:t xml:space="preserve">as the case may be, shall not reconnect such Facilities or equipment until the Terminated </w:t>
      </w:r>
      <w:r w:rsidR="00523A76" w:rsidRPr="000F79C6">
        <w:t>Market Participant</w:t>
      </w:r>
      <w:r w:rsidR="003A50D5" w:rsidRPr="000F79C6">
        <w:t xml:space="preserve"> is again admitted as a </w:t>
      </w:r>
      <w:r w:rsidR="002651AA" w:rsidRPr="000F79C6">
        <w:t xml:space="preserve">Market </w:t>
      </w:r>
      <w:r w:rsidR="003A50D5" w:rsidRPr="000F79C6">
        <w:t xml:space="preserve">Participant in accordance with </w:t>
      </w:r>
      <w:r w:rsidR="00F05124" w:rsidRPr="000F79C6">
        <w:t>this Code</w:t>
      </w:r>
      <w:r w:rsidR="003A50D5" w:rsidRPr="000F79C6">
        <w:t xml:space="preserve">. No costs associated with </w:t>
      </w:r>
      <w:r w:rsidR="00BD1223" w:rsidRPr="00B03C4A">
        <w:t>d</w:t>
      </w:r>
      <w:r w:rsidR="003A50D5" w:rsidRPr="00B03C4A">
        <w:t xml:space="preserve">isconnection and </w:t>
      </w:r>
      <w:r w:rsidR="00BD1223" w:rsidRPr="00B03C4A">
        <w:t>r</w:t>
      </w:r>
      <w:r w:rsidR="003A50D5" w:rsidRPr="00B03C4A">
        <w:t>econnection</w:t>
      </w:r>
      <w:r w:rsidR="003A50D5" w:rsidRPr="000F79C6">
        <w:t xml:space="preserve"> shall</w:t>
      </w:r>
      <w:r w:rsidR="003A50D5">
        <w:t xml:space="preserve"> be borne by the Market Operator.</w:t>
      </w:r>
    </w:p>
    <w:p w14:paraId="4B605081" w14:textId="7F5984A8" w:rsidR="003A50D5" w:rsidRDefault="00A55FB7" w:rsidP="00965CEC">
      <w:pPr>
        <w:pStyle w:val="Heading4"/>
      </w:pPr>
      <w:r>
        <w:t xml:space="preserve">With effect from the date of issuance of the </w:t>
      </w:r>
      <w:r w:rsidR="003A50D5">
        <w:t xml:space="preserve">Termination Order, all rights of the Terminated </w:t>
      </w:r>
      <w:r w:rsidR="002651AA">
        <w:t xml:space="preserve">Market </w:t>
      </w:r>
      <w:r w:rsidR="003A50D5">
        <w:t xml:space="preserve">Participant to participate in the </w:t>
      </w:r>
      <w:r w:rsidR="002651AA">
        <w:t>CTBCM</w:t>
      </w:r>
      <w:r w:rsidR="003A50D5">
        <w:t xml:space="preserve"> shall </w:t>
      </w:r>
      <w:r>
        <w:t>stand t</w:t>
      </w:r>
      <w:r w:rsidR="003A50D5">
        <w:t>erminated.</w:t>
      </w:r>
    </w:p>
    <w:p w14:paraId="48FD5375" w14:textId="6BF4078F" w:rsidR="003A50D5" w:rsidRDefault="003A50D5" w:rsidP="005B295A">
      <w:pPr>
        <w:pStyle w:val="Heading4"/>
      </w:pPr>
      <w:r>
        <w:t xml:space="preserve">The Market Operator shall, immediately following the issuance of a Termination Order, publish the Termination Order on the </w:t>
      </w:r>
      <w:r w:rsidR="00C1591E">
        <w:t xml:space="preserve">MO </w:t>
      </w:r>
      <w:r>
        <w:t xml:space="preserve">Website and issue a public announcement that the rights of the Terminated </w:t>
      </w:r>
      <w:r w:rsidR="002651AA">
        <w:t xml:space="preserve">Market </w:t>
      </w:r>
      <w:r>
        <w:t xml:space="preserve">Participant to participate in the </w:t>
      </w:r>
      <w:r w:rsidR="002651AA">
        <w:t>CTBCM</w:t>
      </w:r>
      <w:r>
        <w:t xml:space="preserve"> have been terminated and that a Disconnection Order has been issued in respect of the Terminated </w:t>
      </w:r>
      <w:r w:rsidR="00364509">
        <w:t xml:space="preserve">Market </w:t>
      </w:r>
      <w:r>
        <w:t>Participant.</w:t>
      </w:r>
    </w:p>
    <w:p w14:paraId="39778D3D" w14:textId="67A0BA83" w:rsidR="003A50D5" w:rsidRDefault="003A50D5" w:rsidP="005B295A">
      <w:pPr>
        <w:pStyle w:val="Heading4"/>
      </w:pPr>
      <w:r>
        <w:t xml:space="preserve">A Terminated </w:t>
      </w:r>
      <w:r w:rsidR="00523A76">
        <w:t>Market Participant</w:t>
      </w:r>
      <w:r>
        <w:t xml:space="preserve"> shall remain subject to and liable for all of its obligations and liabilities as a </w:t>
      </w:r>
      <w:r w:rsidR="00364509">
        <w:t xml:space="preserve">Market </w:t>
      </w:r>
      <w:r>
        <w:t xml:space="preserve">Participant, which were incurred or arose under </w:t>
      </w:r>
      <w:r w:rsidR="00F05124">
        <w:t>this Code</w:t>
      </w:r>
      <w:r w:rsidR="00364509">
        <w:t xml:space="preserve"> </w:t>
      </w:r>
      <w:r>
        <w:t xml:space="preserve">prior to the date on which it ceases to be a </w:t>
      </w:r>
      <w:r w:rsidR="00364509">
        <w:t xml:space="preserve">Market </w:t>
      </w:r>
      <w:r>
        <w:t>Participant</w:t>
      </w:r>
      <w:r w:rsidR="00364509">
        <w:t>,</w:t>
      </w:r>
      <w:r>
        <w:t xml:space="preserve"> regardless of the date on which any claim relating thereto may be made.</w:t>
      </w:r>
    </w:p>
    <w:p w14:paraId="3A723FEB" w14:textId="67E26279" w:rsidR="003A50D5" w:rsidRDefault="003A50D5" w:rsidP="005B295A">
      <w:pPr>
        <w:pStyle w:val="Heading4"/>
      </w:pPr>
      <w:r>
        <w:t xml:space="preserve">A Terminated </w:t>
      </w:r>
      <w:r w:rsidR="00523A76">
        <w:t>Market Participant</w:t>
      </w:r>
      <w:r>
        <w:t xml:space="preserve"> who </w:t>
      </w:r>
      <w:r w:rsidR="00FF1049">
        <w:t xml:space="preserve">desires </w:t>
      </w:r>
      <w:r>
        <w:t xml:space="preserve">to be readmitted as a </w:t>
      </w:r>
      <w:r w:rsidR="00364509">
        <w:t xml:space="preserve">Market </w:t>
      </w:r>
      <w:r>
        <w:t xml:space="preserve">Participant shall be required to re-apply for </w:t>
      </w:r>
      <w:r w:rsidR="004D26E1">
        <w:t xml:space="preserve">registration </w:t>
      </w:r>
      <w:r>
        <w:t xml:space="preserve">to participate in the </w:t>
      </w:r>
      <w:r w:rsidR="00364509">
        <w:t>CTBCM</w:t>
      </w:r>
      <w:r>
        <w:t xml:space="preserve">, in accordance with the provisions </w:t>
      </w:r>
      <w:r w:rsidR="00364509">
        <w:t xml:space="preserve">of </w:t>
      </w:r>
      <w:r w:rsidR="00364509">
        <w:fldChar w:fldCharType="begin"/>
      </w:r>
      <w:r w:rsidR="00364509">
        <w:instrText xml:space="preserve"> REF _Ref60785495 \w \h </w:instrText>
      </w:r>
      <w:r w:rsidR="00B03361">
        <w:instrText xml:space="preserve"> \* MERGEFORMAT </w:instrText>
      </w:r>
      <w:r w:rsidR="00364509">
        <w:fldChar w:fldCharType="separate"/>
      </w:r>
      <w:r w:rsidR="00251DBF">
        <w:t>Chapter 3</w:t>
      </w:r>
      <w:r w:rsidR="00364509">
        <w:fldChar w:fldCharType="end"/>
      </w:r>
      <w:r>
        <w:t>. The Market Operator may impose such</w:t>
      </w:r>
      <w:r w:rsidR="004D26E1">
        <w:t xml:space="preserve"> additional</w:t>
      </w:r>
      <w:r>
        <w:t xml:space="preserve"> terms and conditions on the right of the </w:t>
      </w:r>
      <w:r w:rsidR="00364509">
        <w:t xml:space="preserve">Market </w:t>
      </w:r>
      <w:r>
        <w:t xml:space="preserve">Participant to participate in the </w:t>
      </w:r>
      <w:r w:rsidR="00364509">
        <w:t>CTBCM</w:t>
      </w:r>
      <w:r>
        <w:t xml:space="preserve"> as </w:t>
      </w:r>
      <w:r w:rsidR="0085192B">
        <w:t>deemed appropriate</w:t>
      </w:r>
      <w:r>
        <w:t xml:space="preserve"> in the circumstances, whether or not such terms and conditions are otherwise applicable to other </w:t>
      </w:r>
      <w:r w:rsidR="00364509">
        <w:t xml:space="preserve">Market </w:t>
      </w:r>
      <w:r>
        <w:t>Participants</w:t>
      </w:r>
      <w:r w:rsidR="004D26E1">
        <w:t xml:space="preserve"> or has been provided under this Code</w:t>
      </w:r>
      <w:r>
        <w:t>.</w:t>
      </w:r>
    </w:p>
    <w:p w14:paraId="4C0ADD48" w14:textId="0DD6D199" w:rsidR="003A50D5" w:rsidRDefault="003A50D5" w:rsidP="00C173D0">
      <w:pPr>
        <w:pStyle w:val="Heading2"/>
      </w:pPr>
      <w:bookmarkStart w:id="952" w:name="_Ref60932092"/>
      <w:bookmarkStart w:id="953" w:name="_Toc64846735"/>
      <w:bookmarkStart w:id="954" w:name="_Toc69477035"/>
      <w:bookmarkStart w:id="955" w:name="_Ref60791293"/>
      <w:r>
        <w:t>Non-compliance</w:t>
      </w:r>
      <w:bookmarkEnd w:id="952"/>
      <w:bookmarkEnd w:id="953"/>
      <w:bookmarkEnd w:id="954"/>
      <w:r>
        <w:t xml:space="preserve"> </w:t>
      </w:r>
      <w:bookmarkEnd w:id="955"/>
    </w:p>
    <w:p w14:paraId="3CF7E47C" w14:textId="72E8AA53" w:rsidR="00B360FA" w:rsidRPr="00B360FA" w:rsidRDefault="00B360FA" w:rsidP="00C173D0">
      <w:pPr>
        <w:pStyle w:val="Heading3"/>
      </w:pPr>
      <w:bookmarkStart w:id="956" w:name="_Ref60791799"/>
      <w:r>
        <w:t>Non</w:t>
      </w:r>
      <w:r w:rsidR="005637E7">
        <w:t>-</w:t>
      </w:r>
      <w:r>
        <w:t xml:space="preserve">Compliance </w:t>
      </w:r>
      <w:r w:rsidR="004D26E1">
        <w:t>Warning</w:t>
      </w:r>
      <w:r w:rsidR="008F5D2D">
        <w:t xml:space="preserve"> Letters</w:t>
      </w:r>
      <w:r w:rsidR="004D26E1">
        <w:t xml:space="preserve"> </w:t>
      </w:r>
      <w:r>
        <w:t>and Financial Penalties</w:t>
      </w:r>
      <w:bookmarkEnd w:id="956"/>
    </w:p>
    <w:p w14:paraId="57D7F4DD" w14:textId="78AB335C" w:rsidR="003A50D5" w:rsidRDefault="003A50D5" w:rsidP="005B295A">
      <w:pPr>
        <w:pStyle w:val="Heading4"/>
      </w:pPr>
      <w:r>
        <w:t xml:space="preserve">This </w:t>
      </w:r>
      <w:r w:rsidR="008C02F7">
        <w:t>Sub-Section</w:t>
      </w:r>
      <w:r>
        <w:t xml:space="preserve"> sets forth the manner in which the Market Operator </w:t>
      </w:r>
      <w:r w:rsidR="004D26E1">
        <w:t xml:space="preserve">may </w:t>
      </w:r>
      <w:r>
        <w:t xml:space="preserve">issue non-compliance </w:t>
      </w:r>
      <w:r w:rsidR="008F5D2D">
        <w:t xml:space="preserve">warning </w:t>
      </w:r>
      <w:r>
        <w:t xml:space="preserve">letters and </w:t>
      </w:r>
      <w:r w:rsidR="004D26E1">
        <w:t xml:space="preserve">impose </w:t>
      </w:r>
      <w:r>
        <w:t xml:space="preserve">financial penalties on </w:t>
      </w:r>
      <w:r w:rsidR="007358EE">
        <w:t xml:space="preserve">Market </w:t>
      </w:r>
      <w:r>
        <w:t xml:space="preserve">Participants for breaches of </w:t>
      </w:r>
      <w:r w:rsidR="00F05124">
        <w:t>this Code</w:t>
      </w:r>
      <w:r>
        <w:t xml:space="preserve"> </w:t>
      </w:r>
      <w:commentRangeStart w:id="957"/>
      <w:r w:rsidR="00B03361">
        <w:rPr>
          <w:highlight w:val="cyan"/>
        </w:rPr>
        <w:t>or</w:t>
      </w:r>
      <w:r w:rsidRPr="007358EE">
        <w:rPr>
          <w:highlight w:val="cyan"/>
        </w:rPr>
        <w:t xml:space="preserve"> the Grid Code.</w:t>
      </w:r>
      <w:commentRangeEnd w:id="957"/>
      <w:r w:rsidR="00BE5FAD">
        <w:rPr>
          <w:rStyle w:val="CommentReference"/>
          <w:rFonts w:eastAsiaTheme="minorHAnsi" w:cstheme="minorBidi"/>
          <w:bCs w:val="0"/>
          <w:iCs w:val="0"/>
          <w:color w:val="1C1C1C"/>
        </w:rPr>
        <w:commentReference w:id="957"/>
      </w:r>
    </w:p>
    <w:p w14:paraId="12D996BC" w14:textId="338B791A" w:rsidR="003A50D5" w:rsidRDefault="003A50D5" w:rsidP="005B295A">
      <w:pPr>
        <w:pStyle w:val="Heading4"/>
      </w:pPr>
      <w:bookmarkStart w:id="958" w:name="_Ref60789081"/>
      <w:r>
        <w:t xml:space="preserve">Where imposition of a </w:t>
      </w:r>
      <w:r w:rsidR="004D26E1">
        <w:t xml:space="preserve">penalty </w:t>
      </w:r>
      <w:r>
        <w:t xml:space="preserve">in respect of </w:t>
      </w:r>
      <w:r w:rsidR="004D26E1">
        <w:t xml:space="preserve">a </w:t>
      </w:r>
      <w:r>
        <w:t xml:space="preserve">breach of </w:t>
      </w:r>
      <w:r w:rsidR="004D26E1">
        <w:t>this Code is provided</w:t>
      </w:r>
      <w:r>
        <w:t>, the Market Operator shall:</w:t>
      </w:r>
      <w:bookmarkEnd w:id="958"/>
    </w:p>
    <w:p w14:paraId="4078529C" w14:textId="5FC913B6" w:rsidR="003A50D5" w:rsidRDefault="003A50D5" w:rsidP="00B03234">
      <w:pPr>
        <w:pStyle w:val="Heading5"/>
      </w:pPr>
      <w:bookmarkStart w:id="959" w:name="_Ref60788809"/>
      <w:r>
        <w:t xml:space="preserve">determine the level of non-compliance by the </w:t>
      </w:r>
      <w:r w:rsidR="007358EE">
        <w:t xml:space="preserve">Market </w:t>
      </w:r>
      <w:r>
        <w:t xml:space="preserve">Participant in accordance with </w:t>
      </w:r>
      <w:r w:rsidR="007358EE">
        <w:t xml:space="preserve">Clause </w:t>
      </w:r>
      <w:r w:rsidR="007358EE">
        <w:fldChar w:fldCharType="begin"/>
      </w:r>
      <w:r w:rsidR="007358EE">
        <w:instrText xml:space="preserve"> REF _Ref60788622 \w \h </w:instrText>
      </w:r>
      <w:r w:rsidR="007358EE">
        <w:fldChar w:fldCharType="separate"/>
      </w:r>
      <w:r w:rsidR="00251DBF">
        <w:t>17.3.1.3</w:t>
      </w:r>
      <w:r w:rsidR="007358EE">
        <w:fldChar w:fldCharType="end"/>
      </w:r>
      <w:r>
        <w:t>;</w:t>
      </w:r>
      <w:bookmarkEnd w:id="959"/>
    </w:p>
    <w:p w14:paraId="6305F9DF" w14:textId="44E3788B" w:rsidR="003A50D5" w:rsidRDefault="003A50D5" w:rsidP="00B03234">
      <w:pPr>
        <w:pStyle w:val="Heading5"/>
      </w:pPr>
      <w:bookmarkStart w:id="960" w:name="_Ref60789038"/>
      <w:r>
        <w:t xml:space="preserve">determine the rate of recurrence of non-compliance by the </w:t>
      </w:r>
      <w:r w:rsidR="007358EE">
        <w:t xml:space="preserve">Market </w:t>
      </w:r>
      <w:r>
        <w:t xml:space="preserve">Participant in accordance with </w:t>
      </w:r>
      <w:r w:rsidR="007358EE">
        <w:t xml:space="preserve">Clause </w:t>
      </w:r>
      <w:r w:rsidR="007358EE">
        <w:fldChar w:fldCharType="begin"/>
      </w:r>
      <w:r w:rsidR="007358EE">
        <w:instrText xml:space="preserve"> REF _Ref60788694 \w \h </w:instrText>
      </w:r>
      <w:r w:rsidR="007358EE">
        <w:fldChar w:fldCharType="separate"/>
      </w:r>
      <w:r w:rsidR="00251DBF">
        <w:t>17.3.1.4</w:t>
      </w:r>
      <w:r w:rsidR="007358EE">
        <w:fldChar w:fldCharType="end"/>
      </w:r>
      <w:r>
        <w:t>;</w:t>
      </w:r>
      <w:bookmarkEnd w:id="960"/>
      <w:r>
        <w:t xml:space="preserve"> </w:t>
      </w:r>
    </w:p>
    <w:p w14:paraId="774FB99F" w14:textId="4CD6901B" w:rsidR="003A50D5" w:rsidRDefault="003A50D5" w:rsidP="00B03234">
      <w:pPr>
        <w:pStyle w:val="Heading5"/>
      </w:pPr>
      <w:r>
        <w:t>based on the determinations made in accordance with paragraphs (a) and (b)</w:t>
      </w:r>
      <w:r w:rsidR="0085192B">
        <w:t>,</w:t>
      </w:r>
      <w:r>
        <w:t xml:space="preserve"> determine whether to issue a non-compliance </w:t>
      </w:r>
      <w:r w:rsidR="008F5D2D">
        <w:t xml:space="preserve">warning </w:t>
      </w:r>
      <w:r>
        <w:t>letter or impose a financial penalty; and</w:t>
      </w:r>
    </w:p>
    <w:p w14:paraId="48911241" w14:textId="041EC5A2" w:rsidR="003A50D5" w:rsidRDefault="003A50D5" w:rsidP="00B03234">
      <w:pPr>
        <w:pStyle w:val="Heading5"/>
      </w:pPr>
      <w:r>
        <w:t xml:space="preserve">where a determination is made to impose a financial penalty, fix the amount of the penalty in accordance with </w:t>
      </w:r>
      <w:r w:rsidR="007358EE">
        <w:t xml:space="preserve">Clause </w:t>
      </w:r>
      <w:r w:rsidR="007358EE">
        <w:fldChar w:fldCharType="begin"/>
      </w:r>
      <w:r w:rsidR="007358EE">
        <w:instrText xml:space="preserve"> REF _Ref60788766 \w \h </w:instrText>
      </w:r>
      <w:r w:rsidR="007358EE">
        <w:fldChar w:fldCharType="separate"/>
      </w:r>
      <w:r w:rsidR="00251DBF">
        <w:t>17.3.1.6</w:t>
      </w:r>
      <w:r w:rsidR="007358EE">
        <w:fldChar w:fldCharType="end"/>
      </w:r>
      <w:r>
        <w:t>.</w:t>
      </w:r>
    </w:p>
    <w:p w14:paraId="00762D72" w14:textId="690481A3" w:rsidR="003A50D5" w:rsidRDefault="003A50D5" w:rsidP="005B295A">
      <w:pPr>
        <w:pStyle w:val="Heading4"/>
      </w:pPr>
      <w:bookmarkStart w:id="961" w:name="_Ref60788622"/>
      <w:r>
        <w:t xml:space="preserve">The Market Operator shall determine the level of non-compliance referred to in </w:t>
      </w:r>
      <w:r w:rsidR="00CF5C22">
        <w:t xml:space="preserve">Clause </w:t>
      </w:r>
      <w:r w:rsidR="007358EE">
        <w:fldChar w:fldCharType="begin"/>
      </w:r>
      <w:r w:rsidR="007358EE">
        <w:instrText xml:space="preserve"> REF _Ref60788809 \w \h </w:instrText>
      </w:r>
      <w:r w:rsidR="007358EE">
        <w:fldChar w:fldCharType="separate"/>
      </w:r>
      <w:r w:rsidR="00251DBF">
        <w:t>17.3.1.2.a)</w:t>
      </w:r>
      <w:r w:rsidR="007358EE">
        <w:fldChar w:fldCharType="end"/>
      </w:r>
      <w:r w:rsidR="00CF5C22">
        <w:t xml:space="preserve"> above</w:t>
      </w:r>
      <w:r>
        <w:t xml:space="preserve"> as follows:</w:t>
      </w:r>
      <w:bookmarkEnd w:id="961"/>
    </w:p>
    <w:p w14:paraId="50BA1C1F" w14:textId="23104940" w:rsidR="003A50D5" w:rsidRDefault="003A50D5" w:rsidP="00B03234">
      <w:pPr>
        <w:pStyle w:val="Heading5"/>
      </w:pPr>
      <w:r>
        <w:lastRenderedPageBreak/>
        <w:t xml:space="preserve">Level “L1” shall be determined where the </w:t>
      </w:r>
      <w:r w:rsidR="007358EE">
        <w:t xml:space="preserve">Market </w:t>
      </w:r>
      <w:r>
        <w:t xml:space="preserve">Participant has complied in part, but not in whole, with all the requirements of </w:t>
      </w:r>
      <w:r w:rsidR="0085192B">
        <w:t xml:space="preserve">a </w:t>
      </w:r>
      <w:r w:rsidR="007358EE">
        <w:t>Clause or a provision of this Code</w:t>
      </w:r>
      <w:r w:rsidR="00476AE0">
        <w:t xml:space="preserve"> </w:t>
      </w:r>
      <w:r w:rsidR="00FF1049">
        <w:rPr>
          <w:highlight w:val="yellow"/>
        </w:rPr>
        <w:t>or</w:t>
      </w:r>
      <w:r w:rsidR="00FF1049" w:rsidRPr="0085192B">
        <w:rPr>
          <w:highlight w:val="yellow"/>
        </w:rPr>
        <w:t xml:space="preserve"> </w:t>
      </w:r>
      <w:r w:rsidR="00476AE0" w:rsidRPr="0085192B">
        <w:rPr>
          <w:highlight w:val="yellow"/>
        </w:rPr>
        <w:t>the Grid Code</w:t>
      </w:r>
      <w:r>
        <w:t xml:space="preserve"> and where the </w:t>
      </w:r>
      <w:r w:rsidR="007358EE">
        <w:t xml:space="preserve">Market </w:t>
      </w:r>
      <w:r>
        <w:t>Participant has, on its own initiative, informed the Market Operator on a timely basis of the non-compliance, the reasons for non-compliance and the manner in and the time within which such non-compliance will be remedied;</w:t>
      </w:r>
    </w:p>
    <w:p w14:paraId="0ED5A376" w14:textId="42D6DD10" w:rsidR="003A50D5" w:rsidRDefault="003A50D5" w:rsidP="00B03234">
      <w:pPr>
        <w:pStyle w:val="Heading5"/>
      </w:pPr>
      <w:r>
        <w:t xml:space="preserve">Level “L2” shall be determined where the </w:t>
      </w:r>
      <w:r w:rsidR="007358EE">
        <w:t xml:space="preserve">Market </w:t>
      </w:r>
      <w:r>
        <w:t xml:space="preserve">Participant has failed to comply with all of the requirements of a </w:t>
      </w:r>
      <w:r w:rsidR="007358EE">
        <w:t xml:space="preserve">Clause or a provision </w:t>
      </w:r>
      <w:r w:rsidR="00476AE0">
        <w:t xml:space="preserve">of this Code </w:t>
      </w:r>
      <w:r w:rsidR="00476AE0" w:rsidRPr="00FD018F">
        <w:rPr>
          <w:highlight w:val="yellow"/>
        </w:rPr>
        <w:t>or the Grid Code</w:t>
      </w:r>
      <w:r w:rsidR="00476AE0">
        <w:t xml:space="preserve"> </w:t>
      </w:r>
      <w:r>
        <w:t xml:space="preserve">and where the </w:t>
      </w:r>
      <w:r w:rsidR="007358EE">
        <w:t xml:space="preserve">Market </w:t>
      </w:r>
      <w:r>
        <w:t xml:space="preserve">Participant has, </w:t>
      </w:r>
      <w:r w:rsidR="00FD018F">
        <w:t xml:space="preserve">on </w:t>
      </w:r>
      <w:r>
        <w:t>its own initiative, informed the Market Operator on a timely basis of the non-compliance, the reasons for non-compliance and the manner in which and the time within which such non-compliance will be remedied;</w:t>
      </w:r>
    </w:p>
    <w:p w14:paraId="34ECAEC6" w14:textId="32959874" w:rsidR="003A50D5" w:rsidRDefault="003A50D5" w:rsidP="00B03234">
      <w:pPr>
        <w:pStyle w:val="Heading5"/>
      </w:pPr>
      <w:r>
        <w:t xml:space="preserve">Level “L3” shall be determined where the </w:t>
      </w:r>
      <w:r w:rsidR="007358EE">
        <w:t xml:space="preserve">Market </w:t>
      </w:r>
      <w:r>
        <w:t xml:space="preserve">Participant has failed to comply, in whole or in part, with all of the requirements of a </w:t>
      </w:r>
      <w:r w:rsidR="007358EE">
        <w:t>Clause or a provision</w:t>
      </w:r>
      <w:r w:rsidR="00476AE0">
        <w:t xml:space="preserve"> of this Code </w:t>
      </w:r>
      <w:r w:rsidR="00476AE0" w:rsidRPr="00FD018F">
        <w:rPr>
          <w:highlight w:val="yellow"/>
        </w:rPr>
        <w:t>or the Grid Code</w:t>
      </w:r>
      <w:r w:rsidR="007358EE">
        <w:t xml:space="preserve"> </w:t>
      </w:r>
      <w:r>
        <w:t xml:space="preserve">and has failed to inform the Market Operator of the non-compliance on its own initiative and on a timely basis but, at the Market Operator’s </w:t>
      </w:r>
      <w:r w:rsidR="00FD018F">
        <w:t xml:space="preserve">notice </w:t>
      </w:r>
      <w:r>
        <w:t xml:space="preserve">and within the time specified in the </w:t>
      </w:r>
      <w:r w:rsidR="00FD018F">
        <w:t>notice</w:t>
      </w:r>
      <w:r>
        <w:t>, informs the Market Operator of the reasons for non-compliance and the manner in which and the time within which such non-compliance will be remedied; and</w:t>
      </w:r>
    </w:p>
    <w:p w14:paraId="76F9B1A6" w14:textId="7F5D7B3A" w:rsidR="003A50D5" w:rsidRDefault="003A50D5" w:rsidP="00B03234">
      <w:pPr>
        <w:pStyle w:val="Heading5"/>
      </w:pPr>
      <w:r>
        <w:t xml:space="preserve">Level “L4” shall be determined where the </w:t>
      </w:r>
      <w:r w:rsidR="00523A76">
        <w:t>Market Participant</w:t>
      </w:r>
      <w:r>
        <w:t xml:space="preserve"> has failed to comply, in whole or in part, with all of the requirements of a </w:t>
      </w:r>
      <w:r w:rsidR="007358EE">
        <w:t>Clause or provision</w:t>
      </w:r>
      <w:r w:rsidR="00476AE0">
        <w:t xml:space="preserve"> this Code or the Grid Code</w:t>
      </w:r>
      <w:r w:rsidR="007358EE">
        <w:t xml:space="preserve"> </w:t>
      </w:r>
      <w:r>
        <w:t xml:space="preserve">and has failed to inform the Market Operator of the non-compliance on its own initiative, and on a timely basis, and has failed to respond to the Market Operator’s </w:t>
      </w:r>
      <w:r w:rsidR="00FD018F">
        <w:t>notice</w:t>
      </w:r>
      <w:r>
        <w:t xml:space="preserve">, within the time specified in the </w:t>
      </w:r>
      <w:r w:rsidR="00CF5C22">
        <w:t>notice</w:t>
      </w:r>
      <w:r>
        <w:t>, for a statement of the reasons for such non-compliance and of the manner in which and the time within which such non-compliance will be remedied.</w:t>
      </w:r>
    </w:p>
    <w:p w14:paraId="642137B2" w14:textId="6DB01EEF" w:rsidR="003A50D5" w:rsidRDefault="003A50D5" w:rsidP="005B295A">
      <w:pPr>
        <w:pStyle w:val="Heading4"/>
      </w:pPr>
      <w:bookmarkStart w:id="962" w:name="_Ref60788694"/>
      <w:r>
        <w:t xml:space="preserve">The Market Operator shall determine the rate of recurrence of non-compliance </w:t>
      </w:r>
      <w:r w:rsidR="009632B4">
        <w:t xml:space="preserve">as </w:t>
      </w:r>
      <w:r w:rsidRPr="00B03C4A">
        <w:t>referred to in</w:t>
      </w:r>
      <w:r w:rsidR="00B5735F" w:rsidRPr="00B03C4A">
        <w:t xml:space="preserve"> Clause </w:t>
      </w:r>
      <w:r w:rsidR="007358EE" w:rsidRPr="00B03C4A">
        <w:fldChar w:fldCharType="begin"/>
      </w:r>
      <w:r w:rsidR="007358EE" w:rsidRPr="00B03C4A">
        <w:instrText xml:space="preserve"> REF _Ref60789038 \w \h </w:instrText>
      </w:r>
      <w:r w:rsidR="00B5735F" w:rsidRPr="00B03C4A">
        <w:instrText xml:space="preserve"> \* MERGEFORMAT </w:instrText>
      </w:r>
      <w:r w:rsidR="007358EE" w:rsidRPr="00B03C4A">
        <w:fldChar w:fldCharType="separate"/>
      </w:r>
      <w:r w:rsidR="00251DBF" w:rsidRPr="00B03C4A">
        <w:t>17.3.1.2.b)</w:t>
      </w:r>
      <w:r w:rsidR="007358EE" w:rsidRPr="00B03C4A">
        <w:fldChar w:fldCharType="end"/>
      </w:r>
      <w:r>
        <w:t xml:space="preserve"> based on the frequency and duration </w:t>
      </w:r>
      <w:r w:rsidR="00B5735F">
        <w:t xml:space="preserve">of the </w:t>
      </w:r>
      <w:r>
        <w:t>breach</w:t>
      </w:r>
      <w:r w:rsidR="00B5735F">
        <w:t>es</w:t>
      </w:r>
      <w:r>
        <w:t xml:space="preserve"> of </w:t>
      </w:r>
      <w:r w:rsidR="00F05124">
        <w:t>this Code</w:t>
      </w:r>
      <w:r>
        <w:t>.</w:t>
      </w:r>
      <w:bookmarkEnd w:id="962"/>
    </w:p>
    <w:p w14:paraId="05E362F3" w14:textId="0C1C400E" w:rsidR="003A50D5" w:rsidRDefault="003E59FA" w:rsidP="00B5735F">
      <w:pPr>
        <w:pStyle w:val="Heading4"/>
      </w:pPr>
      <w:r>
        <w:t xml:space="preserve">Subject to the provisions of Clause </w:t>
      </w:r>
      <w:r w:rsidR="009632B4">
        <w:rPr>
          <w:bCs w:val="0"/>
          <w:iCs w:val="0"/>
          <w:highlight w:val="yellow"/>
        </w:rPr>
        <w:fldChar w:fldCharType="begin"/>
      </w:r>
      <w:r w:rsidR="009632B4">
        <w:instrText xml:space="preserve"> REF _Ref60789242 \n \h </w:instrText>
      </w:r>
      <w:r w:rsidR="009632B4">
        <w:rPr>
          <w:bCs w:val="0"/>
          <w:iCs w:val="0"/>
          <w:highlight w:val="yellow"/>
        </w:rPr>
      </w:r>
      <w:r w:rsidR="009632B4">
        <w:rPr>
          <w:bCs w:val="0"/>
          <w:iCs w:val="0"/>
          <w:highlight w:val="yellow"/>
        </w:rPr>
        <w:fldChar w:fldCharType="separate"/>
      </w:r>
      <w:r w:rsidR="009632B4">
        <w:t>17.3.1.6</w:t>
      </w:r>
      <w:r w:rsidR="009632B4">
        <w:rPr>
          <w:bCs w:val="0"/>
          <w:iCs w:val="0"/>
          <w:highlight w:val="yellow"/>
        </w:rPr>
        <w:fldChar w:fldCharType="end"/>
      </w:r>
      <w:r>
        <w:t>, b</w:t>
      </w:r>
      <w:r w:rsidR="00B5735F">
        <w:t xml:space="preserve">ased on the determinations made under Clause </w:t>
      </w:r>
      <w:r w:rsidR="00B5735F">
        <w:fldChar w:fldCharType="begin"/>
      </w:r>
      <w:r w:rsidR="00B5735F">
        <w:instrText xml:space="preserve"> REF _Ref60789081 \w \h </w:instrText>
      </w:r>
      <w:r w:rsidR="00B5735F">
        <w:fldChar w:fldCharType="separate"/>
      </w:r>
      <w:r w:rsidR="00B5735F">
        <w:t>17.3.1.2</w:t>
      </w:r>
      <w:r w:rsidR="00B5735F">
        <w:fldChar w:fldCharType="end"/>
      </w:r>
      <w:r w:rsidR="00B5735F">
        <w:t xml:space="preserve"> and the provisions of the table set forth </w:t>
      </w:r>
      <w:r w:rsidR="00EF1F98">
        <w:t>below</w:t>
      </w:r>
      <w:r w:rsidR="00B5735F">
        <w:t>, the Market Operator may issue a warning letter for non- compliance and/or impose a financial penalty within the ranges specified in the following table</w:t>
      </w:r>
      <w:bookmarkStart w:id="963" w:name="_Ref60788766"/>
      <w:r w:rsidR="003A50D5">
        <w:t>:</w:t>
      </w:r>
      <w:bookmarkEnd w:id="963"/>
    </w:p>
    <w:p w14:paraId="3C6E136E" w14:textId="1862062C" w:rsidR="0005549E" w:rsidRPr="0005549E" w:rsidRDefault="0005549E" w:rsidP="00A22D29">
      <w:pPr>
        <w:pStyle w:val="Caption"/>
      </w:pPr>
      <w:r w:rsidRPr="0005549E">
        <w:t xml:space="preserve">Table </w:t>
      </w:r>
      <w:fldSimple w:instr=" SEQ Table \* ARABIC ">
        <w:r w:rsidR="00334EEA">
          <w:rPr>
            <w:noProof/>
          </w:rPr>
          <w:t>3</w:t>
        </w:r>
      </w:fldSimple>
      <w:r>
        <w:t>: Financial Penalties</w:t>
      </w:r>
    </w:p>
    <w:tbl>
      <w:tblPr>
        <w:tblStyle w:val="TableGrid"/>
        <w:tblW w:w="0" w:type="auto"/>
        <w:tblInd w:w="2047" w:type="dxa"/>
        <w:tblLook w:val="04A0" w:firstRow="1" w:lastRow="0" w:firstColumn="1" w:lastColumn="0" w:noHBand="0" w:noVBand="1"/>
      </w:tblPr>
      <w:tblGrid>
        <w:gridCol w:w="1984"/>
        <w:gridCol w:w="4111"/>
      </w:tblGrid>
      <w:tr w:rsidR="007358EE" w:rsidRPr="007358EE" w14:paraId="17CFAF22" w14:textId="77777777" w:rsidTr="0005549E">
        <w:tc>
          <w:tcPr>
            <w:tcW w:w="1984" w:type="dxa"/>
            <w:tcBorders>
              <w:right w:val="single" w:sz="4" w:space="0" w:color="FFFFFF" w:themeColor="background1"/>
            </w:tcBorders>
            <w:shd w:val="clear" w:color="auto" w:fill="000000" w:themeFill="text1"/>
            <w:vAlign w:val="center"/>
          </w:tcPr>
          <w:p w14:paraId="56D1978E" w14:textId="5C91EC6D" w:rsidR="007358EE" w:rsidRPr="00D33910" w:rsidRDefault="007358EE" w:rsidP="00A22D29">
            <w:pPr>
              <w:pStyle w:val="BodyText"/>
              <w:ind w:left="357"/>
              <w:rPr>
                <w:color w:val="FFFFFF" w:themeColor="background1"/>
              </w:rPr>
            </w:pPr>
            <w:r w:rsidRPr="00D33910">
              <w:rPr>
                <w:color w:val="FFFFFF" w:themeColor="background1"/>
              </w:rPr>
              <w:t>Level of Non-Compliance</w:t>
            </w:r>
          </w:p>
        </w:tc>
        <w:tc>
          <w:tcPr>
            <w:tcW w:w="4111" w:type="dxa"/>
            <w:tcBorders>
              <w:left w:val="single" w:sz="4" w:space="0" w:color="FFFFFF" w:themeColor="background1"/>
            </w:tcBorders>
            <w:shd w:val="clear" w:color="auto" w:fill="000000" w:themeFill="text1"/>
            <w:vAlign w:val="center"/>
          </w:tcPr>
          <w:p w14:paraId="41AFFED3" w14:textId="59F81542" w:rsidR="007358EE" w:rsidRPr="00D33910" w:rsidRDefault="007358EE" w:rsidP="00D33910">
            <w:pPr>
              <w:pStyle w:val="BodyText"/>
              <w:ind w:left="77"/>
              <w:rPr>
                <w:color w:val="FFFFFF" w:themeColor="background1"/>
              </w:rPr>
            </w:pPr>
            <w:r w:rsidRPr="00D33910">
              <w:rPr>
                <w:color w:val="FFFFFF" w:themeColor="background1"/>
              </w:rPr>
              <w:t>Range of Sanctions</w:t>
            </w:r>
          </w:p>
        </w:tc>
      </w:tr>
      <w:tr w:rsidR="007358EE" w14:paraId="5FCC2A7E" w14:textId="77777777" w:rsidTr="0005549E">
        <w:tc>
          <w:tcPr>
            <w:tcW w:w="1984" w:type="dxa"/>
          </w:tcPr>
          <w:p w14:paraId="157E73F6" w14:textId="4B194ED4" w:rsidR="007358EE" w:rsidRDefault="007358EE" w:rsidP="00D33910">
            <w:pPr>
              <w:pStyle w:val="BodyText"/>
              <w:ind w:left="782"/>
            </w:pPr>
            <w:r>
              <w:t>L1</w:t>
            </w:r>
          </w:p>
        </w:tc>
        <w:tc>
          <w:tcPr>
            <w:tcW w:w="4111" w:type="dxa"/>
          </w:tcPr>
          <w:p w14:paraId="2F335838" w14:textId="0393884D" w:rsidR="007358EE" w:rsidRDefault="007358EE" w:rsidP="00D33910">
            <w:pPr>
              <w:pStyle w:val="BodyText"/>
              <w:ind w:left="219" w:right="204"/>
            </w:pPr>
            <w:r>
              <w:t>Non-Compliance</w:t>
            </w:r>
            <w:r w:rsidR="00EF1F98">
              <w:t xml:space="preserve"> warning</w:t>
            </w:r>
            <w:r>
              <w:t xml:space="preserve"> letter </w:t>
            </w:r>
            <w:r w:rsidR="00F673AF">
              <w:t>and/or</w:t>
            </w:r>
            <w:r>
              <w:t xml:space="preserve"> up to [</w:t>
            </w:r>
            <w:r w:rsidR="00EF1F98">
              <w:t>One Million</w:t>
            </w:r>
            <w:r>
              <w:t>] PKR</w:t>
            </w:r>
          </w:p>
        </w:tc>
      </w:tr>
      <w:tr w:rsidR="007358EE" w14:paraId="19BB22E4" w14:textId="77777777" w:rsidTr="0005549E">
        <w:tc>
          <w:tcPr>
            <w:tcW w:w="1984" w:type="dxa"/>
          </w:tcPr>
          <w:p w14:paraId="36870EEC" w14:textId="6FDE37A7" w:rsidR="007358EE" w:rsidRDefault="007358EE" w:rsidP="00D33910">
            <w:pPr>
              <w:pStyle w:val="BodyText"/>
              <w:ind w:left="782"/>
            </w:pPr>
            <w:r>
              <w:t>L2</w:t>
            </w:r>
          </w:p>
        </w:tc>
        <w:tc>
          <w:tcPr>
            <w:tcW w:w="4111" w:type="dxa"/>
          </w:tcPr>
          <w:p w14:paraId="765443D4" w14:textId="4DE09BEF" w:rsidR="007358EE" w:rsidRDefault="007358EE" w:rsidP="00D33910">
            <w:pPr>
              <w:pStyle w:val="BodyText"/>
              <w:ind w:left="219" w:right="204"/>
            </w:pPr>
            <w:r>
              <w:t>Non-Compliance</w:t>
            </w:r>
            <w:r w:rsidR="00EF1F98">
              <w:t xml:space="preserve"> warning</w:t>
            </w:r>
            <w:r>
              <w:t xml:space="preserve"> letter </w:t>
            </w:r>
            <w:r w:rsidR="00F673AF">
              <w:t xml:space="preserve">and/or </w:t>
            </w:r>
            <w:r>
              <w:t xml:space="preserve">up to </w:t>
            </w:r>
            <w:r w:rsidR="00EF1F98">
              <w:t xml:space="preserve">[Ten Million] </w:t>
            </w:r>
            <w:r>
              <w:t>PKR</w:t>
            </w:r>
          </w:p>
        </w:tc>
      </w:tr>
      <w:tr w:rsidR="007358EE" w14:paraId="0C906ABE" w14:textId="77777777" w:rsidTr="0005549E">
        <w:tc>
          <w:tcPr>
            <w:tcW w:w="1984" w:type="dxa"/>
          </w:tcPr>
          <w:p w14:paraId="3B363682" w14:textId="07D75248" w:rsidR="007358EE" w:rsidRDefault="007358EE" w:rsidP="00D33910">
            <w:pPr>
              <w:pStyle w:val="BodyText"/>
              <w:ind w:left="782"/>
            </w:pPr>
            <w:r>
              <w:t>L3</w:t>
            </w:r>
          </w:p>
        </w:tc>
        <w:tc>
          <w:tcPr>
            <w:tcW w:w="4111" w:type="dxa"/>
          </w:tcPr>
          <w:p w14:paraId="29D5DD1D" w14:textId="3CCAEEE0" w:rsidR="007358EE" w:rsidRDefault="007358EE" w:rsidP="00D33910">
            <w:pPr>
              <w:pStyle w:val="BodyText"/>
              <w:ind w:left="219" w:right="204"/>
            </w:pPr>
            <w:r>
              <w:t>Non-Compliance</w:t>
            </w:r>
            <w:r w:rsidR="00EF1F98">
              <w:t xml:space="preserve"> warning</w:t>
            </w:r>
            <w:r>
              <w:t xml:space="preserve"> letter </w:t>
            </w:r>
            <w:r w:rsidR="00F673AF">
              <w:t xml:space="preserve">and/or </w:t>
            </w:r>
            <w:r>
              <w:t xml:space="preserve">up to </w:t>
            </w:r>
            <w:r w:rsidR="00EF1F98">
              <w:t xml:space="preserve">[One Hundred Million] </w:t>
            </w:r>
            <w:r>
              <w:t>PKR</w:t>
            </w:r>
          </w:p>
        </w:tc>
      </w:tr>
      <w:tr w:rsidR="007358EE" w14:paraId="49551776" w14:textId="77777777" w:rsidTr="0005549E">
        <w:tc>
          <w:tcPr>
            <w:tcW w:w="1984" w:type="dxa"/>
          </w:tcPr>
          <w:p w14:paraId="1B5BC042" w14:textId="3AD81A6A" w:rsidR="007358EE" w:rsidRDefault="007358EE" w:rsidP="00D33910">
            <w:pPr>
              <w:pStyle w:val="BodyText"/>
              <w:ind w:left="782"/>
            </w:pPr>
            <w:r>
              <w:t>L4</w:t>
            </w:r>
          </w:p>
        </w:tc>
        <w:tc>
          <w:tcPr>
            <w:tcW w:w="4111" w:type="dxa"/>
          </w:tcPr>
          <w:p w14:paraId="29EB7786" w14:textId="7BBF8517" w:rsidR="007358EE" w:rsidRDefault="00F673AF" w:rsidP="00D33910">
            <w:pPr>
              <w:pStyle w:val="BodyText"/>
              <w:ind w:left="219" w:right="204"/>
            </w:pPr>
            <w:r>
              <w:t xml:space="preserve">Non-Compliance </w:t>
            </w:r>
            <w:r w:rsidR="00EF1F98">
              <w:t xml:space="preserve">warning </w:t>
            </w:r>
            <w:r>
              <w:t xml:space="preserve">letter and </w:t>
            </w:r>
            <w:r w:rsidR="007358EE">
              <w:t xml:space="preserve">From </w:t>
            </w:r>
            <w:r w:rsidR="00EF1F98">
              <w:t xml:space="preserve">[One Hundred Million] </w:t>
            </w:r>
            <w:r w:rsidR="007358EE">
              <w:t xml:space="preserve">PKR to </w:t>
            </w:r>
            <w:r w:rsidR="00EF1F98">
              <w:t xml:space="preserve">[One Thousand Million] </w:t>
            </w:r>
            <w:r w:rsidR="007358EE">
              <w:t>PKR</w:t>
            </w:r>
          </w:p>
        </w:tc>
      </w:tr>
    </w:tbl>
    <w:p w14:paraId="728E439A" w14:textId="78285379" w:rsidR="003A50D5" w:rsidRDefault="003A50D5" w:rsidP="005B295A">
      <w:pPr>
        <w:pStyle w:val="Heading4"/>
      </w:pPr>
      <w:bookmarkStart w:id="964" w:name="_Ref60789242"/>
      <w:r>
        <w:lastRenderedPageBreak/>
        <w:t xml:space="preserve">In fixing the amount of the financial penalty within the ranges described in the table </w:t>
      </w:r>
      <w:r w:rsidRPr="00EF1F98">
        <w:rPr>
          <w:strike/>
        </w:rPr>
        <w:t xml:space="preserve">set </w:t>
      </w:r>
      <w:r w:rsidRPr="00B03C4A">
        <w:t xml:space="preserve">forth in </w:t>
      </w:r>
      <w:r w:rsidR="00A06AB8" w:rsidRPr="00B03C4A">
        <w:t xml:space="preserve">Clause </w:t>
      </w:r>
      <w:r w:rsidR="00A06AB8" w:rsidRPr="00B03C4A">
        <w:fldChar w:fldCharType="begin"/>
      </w:r>
      <w:r w:rsidR="00A06AB8" w:rsidRPr="00B03C4A">
        <w:instrText xml:space="preserve"> REF _Ref60788766 \w \h </w:instrText>
      </w:r>
      <w:r w:rsidR="00EF1F98" w:rsidRPr="00B03C4A">
        <w:instrText xml:space="preserve"> \* MERGEFORMAT </w:instrText>
      </w:r>
      <w:r w:rsidR="00A06AB8" w:rsidRPr="00B03C4A">
        <w:fldChar w:fldCharType="separate"/>
      </w:r>
      <w:r w:rsidR="00EF1F98" w:rsidRPr="00B03C4A">
        <w:t>17.3.1.5</w:t>
      </w:r>
      <w:r w:rsidR="00A06AB8" w:rsidRPr="00B03C4A">
        <w:fldChar w:fldCharType="end"/>
      </w:r>
      <w:r w:rsidRPr="009632B4">
        <w:t>,</w:t>
      </w:r>
      <w:r>
        <w:t xml:space="preserve"> the Market Operator, </w:t>
      </w:r>
      <w:r w:rsidRPr="00EF1F98">
        <w:rPr>
          <w:highlight w:val="yellow"/>
        </w:rPr>
        <w:t>and where appropriate,</w:t>
      </w:r>
      <w:r>
        <w:t xml:space="preserve"> </w:t>
      </w:r>
      <w:r w:rsidRPr="00C87D6F">
        <w:rPr>
          <w:highlight w:val="yellow"/>
        </w:rPr>
        <w:t xml:space="preserve">the </w:t>
      </w:r>
      <w:r w:rsidR="00FF1049">
        <w:rPr>
          <w:highlight w:val="yellow"/>
        </w:rPr>
        <w:t>adjudication</w:t>
      </w:r>
      <w:r w:rsidR="00FF1049" w:rsidRPr="00C87D6F">
        <w:rPr>
          <w:highlight w:val="yellow"/>
        </w:rPr>
        <w:t xml:space="preserve"> </w:t>
      </w:r>
      <w:r w:rsidR="00FF1049" w:rsidRPr="00B03C4A">
        <w:rPr>
          <w:highlight w:val="yellow"/>
        </w:rPr>
        <w:t>panel</w:t>
      </w:r>
      <w:r>
        <w:t>, shall have regard to:</w:t>
      </w:r>
      <w:bookmarkEnd w:id="964"/>
    </w:p>
    <w:p w14:paraId="56C47077" w14:textId="597B32DC" w:rsidR="003A50D5" w:rsidRDefault="003A50D5" w:rsidP="00B03234">
      <w:pPr>
        <w:pStyle w:val="Heading5"/>
      </w:pPr>
      <w:r>
        <w:t>the circumstances in which the breach occurred;</w:t>
      </w:r>
    </w:p>
    <w:p w14:paraId="491B7972" w14:textId="68734AA6" w:rsidR="003A50D5" w:rsidRDefault="003A50D5" w:rsidP="00B03234">
      <w:pPr>
        <w:pStyle w:val="Heading5"/>
      </w:pPr>
      <w:r>
        <w:t>the severity of the breach;</w:t>
      </w:r>
    </w:p>
    <w:p w14:paraId="3E0ED9B0" w14:textId="0CFB40A2" w:rsidR="003A50D5" w:rsidRDefault="00EF1F98" w:rsidP="00B03234">
      <w:pPr>
        <w:pStyle w:val="Heading5"/>
      </w:pPr>
      <w:r>
        <w:t>whether</w:t>
      </w:r>
      <w:r w:rsidR="003A50D5">
        <w:t xml:space="preserve"> the breach was inadvertent, negligent, deliberate or otherwise;</w:t>
      </w:r>
    </w:p>
    <w:p w14:paraId="5AC21585" w14:textId="1DEB341C" w:rsidR="003A50D5" w:rsidRDefault="003A50D5" w:rsidP="00B03234">
      <w:pPr>
        <w:pStyle w:val="Heading5"/>
      </w:pPr>
      <w:r>
        <w:t xml:space="preserve">the length of time the breach </w:t>
      </w:r>
      <w:r w:rsidR="00EF1F98">
        <w:t>was not remedied</w:t>
      </w:r>
      <w:r>
        <w:t>;</w:t>
      </w:r>
    </w:p>
    <w:p w14:paraId="62C06E53" w14:textId="7BB16376" w:rsidR="003A50D5" w:rsidRDefault="003A50D5" w:rsidP="00B03234">
      <w:pPr>
        <w:pStyle w:val="Heading5"/>
      </w:pPr>
      <w:r>
        <w:t xml:space="preserve">the actions of the </w:t>
      </w:r>
      <w:r w:rsidR="00A06AB8">
        <w:t xml:space="preserve">Market </w:t>
      </w:r>
      <w:r>
        <w:t>Participant on becoming aware of the breach;</w:t>
      </w:r>
    </w:p>
    <w:p w14:paraId="0B554C48" w14:textId="656D07E6" w:rsidR="003A50D5" w:rsidRDefault="003A50D5" w:rsidP="00B03234">
      <w:pPr>
        <w:pStyle w:val="Heading5"/>
      </w:pPr>
      <w:r>
        <w:t xml:space="preserve">whether the </w:t>
      </w:r>
      <w:r w:rsidR="00A06AB8">
        <w:t xml:space="preserve">Market </w:t>
      </w:r>
      <w:r>
        <w:t xml:space="preserve">Participant disclosed the matter to the Market Operator on its own or whether it was </w:t>
      </w:r>
      <w:r w:rsidR="00EF1F98">
        <w:t>notified by the Market Operator</w:t>
      </w:r>
      <w:r>
        <w:t>;</w:t>
      </w:r>
    </w:p>
    <w:p w14:paraId="625C2FBC" w14:textId="17A5499D" w:rsidR="003A50D5" w:rsidRDefault="003A50D5" w:rsidP="00B03234">
      <w:pPr>
        <w:pStyle w:val="Heading5"/>
      </w:pPr>
      <w:r>
        <w:t xml:space="preserve">any benefit that the </w:t>
      </w:r>
      <w:r w:rsidR="00A06AB8">
        <w:t xml:space="preserve">Market </w:t>
      </w:r>
      <w:r>
        <w:t>Participant obtained or expected to obtain as a result of the breach;</w:t>
      </w:r>
    </w:p>
    <w:p w14:paraId="05A02760" w14:textId="408689DE" w:rsidR="003A50D5" w:rsidRPr="00B03361" w:rsidRDefault="003A50D5" w:rsidP="00B03234">
      <w:pPr>
        <w:pStyle w:val="Heading5"/>
      </w:pPr>
      <w:r w:rsidRPr="00B03361">
        <w:t xml:space="preserve">any previous breach by the </w:t>
      </w:r>
      <w:r w:rsidR="00A06AB8" w:rsidRPr="00B03361">
        <w:t xml:space="preserve">Market </w:t>
      </w:r>
      <w:r w:rsidRPr="00B03361">
        <w:t xml:space="preserve">Participant of </w:t>
      </w:r>
      <w:r w:rsidR="00F05124">
        <w:t>this Code</w:t>
      </w:r>
      <w:r w:rsidR="00B03361" w:rsidRPr="00B03361">
        <w:t xml:space="preserve"> or</w:t>
      </w:r>
      <w:r w:rsidRPr="00B03361">
        <w:t xml:space="preserve"> the Grid Code;</w:t>
      </w:r>
    </w:p>
    <w:p w14:paraId="6C134CD0" w14:textId="53E5B10F" w:rsidR="003A50D5" w:rsidRDefault="003A50D5" w:rsidP="00B03234">
      <w:pPr>
        <w:pStyle w:val="Heading5"/>
      </w:pPr>
      <w:r>
        <w:t xml:space="preserve">the impact of the breach on other </w:t>
      </w:r>
      <w:r w:rsidR="00A06AB8">
        <w:t xml:space="preserve">Market </w:t>
      </w:r>
      <w:r>
        <w:t>Participants;</w:t>
      </w:r>
    </w:p>
    <w:p w14:paraId="3B76B795" w14:textId="100EDA84" w:rsidR="003A50D5" w:rsidRDefault="003A50D5" w:rsidP="00B03234">
      <w:pPr>
        <w:pStyle w:val="Heading5"/>
      </w:pPr>
      <w:r>
        <w:t xml:space="preserve">the impact of the breach on the </w:t>
      </w:r>
      <w:r w:rsidR="00A06AB8">
        <w:t xml:space="preserve">CTBCM </w:t>
      </w:r>
      <w:r>
        <w:t>as a whole; and</w:t>
      </w:r>
      <w:r w:rsidR="00456831">
        <w:t>/or</w:t>
      </w:r>
    </w:p>
    <w:p w14:paraId="546D97E2" w14:textId="0A3089C5" w:rsidR="003A50D5" w:rsidRDefault="003A50D5" w:rsidP="00B03234">
      <w:pPr>
        <w:pStyle w:val="Heading5"/>
      </w:pPr>
      <w:r>
        <w:t>such other relevant matters as the Market Operator considers appropriate.</w:t>
      </w:r>
    </w:p>
    <w:p w14:paraId="47FF0085" w14:textId="255D1F85" w:rsidR="003A50D5" w:rsidRDefault="003A50D5" w:rsidP="005B295A">
      <w:pPr>
        <w:pStyle w:val="Heading4"/>
      </w:pPr>
      <w:r>
        <w:t>Where:</w:t>
      </w:r>
    </w:p>
    <w:p w14:paraId="1CC3DA37" w14:textId="6030E5A6" w:rsidR="003A50D5" w:rsidRPr="00B03361" w:rsidRDefault="003A50D5" w:rsidP="00B03234">
      <w:pPr>
        <w:pStyle w:val="Heading5"/>
      </w:pPr>
      <w:r>
        <w:t xml:space="preserve">a </w:t>
      </w:r>
      <w:r w:rsidR="00A06AB8">
        <w:t xml:space="preserve">Market </w:t>
      </w:r>
      <w:r>
        <w:t xml:space="preserve">Participant </w:t>
      </w:r>
      <w:r w:rsidRPr="00B03361">
        <w:t xml:space="preserve">has breached a </w:t>
      </w:r>
      <w:r w:rsidR="00A06AB8" w:rsidRPr="00B03361">
        <w:t xml:space="preserve">Clause or a provision </w:t>
      </w:r>
      <w:r w:rsidRPr="00B03361">
        <w:t xml:space="preserve">for which no </w:t>
      </w:r>
      <w:r w:rsidR="00EF1F98">
        <w:t>penalty</w:t>
      </w:r>
      <w:r w:rsidR="00EF1F98" w:rsidRPr="00B03361">
        <w:t xml:space="preserve"> </w:t>
      </w:r>
      <w:r w:rsidRPr="00B03361">
        <w:t xml:space="preserve">is specified in the </w:t>
      </w:r>
      <w:r w:rsidR="00F64A42">
        <w:t>Commercial Code</w:t>
      </w:r>
      <w:r w:rsidR="00A06AB8" w:rsidRPr="00B03361">
        <w:t xml:space="preserve"> </w:t>
      </w:r>
      <w:r w:rsidRPr="00B03C4A">
        <w:rPr>
          <w:highlight w:val="yellow"/>
        </w:rPr>
        <w:t>or the Grid Code</w:t>
      </w:r>
      <w:r w:rsidRPr="00B03361">
        <w:t>; or</w:t>
      </w:r>
    </w:p>
    <w:p w14:paraId="2097390A" w14:textId="4EE6F389" w:rsidR="003A50D5" w:rsidRDefault="003A50D5" w:rsidP="00B03234">
      <w:pPr>
        <w:pStyle w:val="Heading5"/>
      </w:pPr>
      <w:r>
        <w:t xml:space="preserve">a </w:t>
      </w:r>
      <w:r w:rsidR="00A06AB8">
        <w:t xml:space="preserve">Market </w:t>
      </w:r>
      <w:r>
        <w:t xml:space="preserve">Participant has failed to comply with an order made pursuant to </w:t>
      </w:r>
      <w:r w:rsidR="008C02F7">
        <w:t>Sub-Section</w:t>
      </w:r>
      <w:r w:rsidR="00A06AB8">
        <w:t xml:space="preserve"> </w:t>
      </w:r>
      <w:r w:rsidR="00A06AB8">
        <w:fldChar w:fldCharType="begin"/>
      </w:r>
      <w:r w:rsidR="00A06AB8">
        <w:instrText xml:space="preserve"> REF _Ref60789853 \w \h </w:instrText>
      </w:r>
      <w:r w:rsidR="00A06AB8">
        <w:fldChar w:fldCharType="separate"/>
      </w:r>
      <w:r w:rsidR="00251DBF">
        <w:t>17.1.2</w:t>
      </w:r>
      <w:r w:rsidR="00A06AB8">
        <w:fldChar w:fldCharType="end"/>
      </w:r>
      <w:r>
        <w:t>,</w:t>
      </w:r>
    </w:p>
    <w:p w14:paraId="6473EBEE" w14:textId="472D680D" w:rsidR="003A50D5" w:rsidRDefault="003A50D5" w:rsidP="00A22D29">
      <w:pPr>
        <w:pStyle w:val="BodyText"/>
      </w:pPr>
      <w:r>
        <w:t xml:space="preserve">the Market Operator </w:t>
      </w:r>
      <w:r w:rsidR="003E59FA">
        <w:t>may</w:t>
      </w:r>
      <w:r>
        <w:t>, without prejudice to any other enforcement action</w:t>
      </w:r>
      <w:r w:rsidR="003E59FA">
        <w:t>s</w:t>
      </w:r>
      <w:r>
        <w:t xml:space="preserve"> that </w:t>
      </w:r>
      <w:r w:rsidR="003E59FA">
        <w:t>are</w:t>
      </w:r>
      <w:r>
        <w:t xml:space="preserve"> provided in </w:t>
      </w:r>
      <w:r w:rsidR="00F05124">
        <w:t>this Code</w:t>
      </w:r>
      <w:r w:rsidRPr="00B03361">
        <w:t xml:space="preserve"> </w:t>
      </w:r>
      <w:r w:rsidRPr="00FD018F">
        <w:rPr>
          <w:highlight w:val="yellow"/>
        </w:rPr>
        <w:t>or the Grid Code</w:t>
      </w:r>
      <w:r w:rsidRPr="00B03361">
        <w:t xml:space="preserve">, impose on the </w:t>
      </w:r>
      <w:r w:rsidR="00523A76">
        <w:t>Market Participant</w:t>
      </w:r>
      <w:r w:rsidRPr="00B03361">
        <w:t xml:space="preserve"> a financial penalty </w:t>
      </w:r>
      <w:r w:rsidR="003E59FA">
        <w:t>for an</w:t>
      </w:r>
      <w:r w:rsidR="003E59FA" w:rsidRPr="00B03361">
        <w:t xml:space="preserve"> </w:t>
      </w:r>
      <w:r w:rsidRPr="00B03361">
        <w:t xml:space="preserve">amount </w:t>
      </w:r>
      <w:r w:rsidR="003E59FA">
        <w:t>as</w:t>
      </w:r>
      <w:r w:rsidRPr="00B03361">
        <w:t xml:space="preserve"> fixed by the Market</w:t>
      </w:r>
      <w:r>
        <w:t xml:space="preserve"> Operator </w:t>
      </w:r>
      <w:r w:rsidR="003E59FA">
        <w:t xml:space="preserve">after </w:t>
      </w:r>
      <w:r>
        <w:t>having regard to the criteria set forth in</w:t>
      </w:r>
      <w:r w:rsidR="00A06AB8">
        <w:t xml:space="preserve"> Clause </w:t>
      </w:r>
      <w:r w:rsidR="00A06AB8">
        <w:fldChar w:fldCharType="begin"/>
      </w:r>
      <w:r w:rsidR="00A06AB8">
        <w:instrText xml:space="preserve"> REF _Ref60789242 \w \h </w:instrText>
      </w:r>
      <w:r w:rsidR="00A06AB8">
        <w:fldChar w:fldCharType="separate"/>
      </w:r>
      <w:r w:rsidR="003E59FA">
        <w:t>17.3.1.6</w:t>
      </w:r>
      <w:r w:rsidR="00A06AB8">
        <w:fldChar w:fldCharType="end"/>
      </w:r>
      <w:r>
        <w:t xml:space="preserve"> and to the factors noted in </w:t>
      </w:r>
      <w:r w:rsidR="00A06AB8">
        <w:t xml:space="preserve">Clause </w:t>
      </w:r>
      <w:r w:rsidR="00A06AB8">
        <w:fldChar w:fldCharType="begin"/>
      </w:r>
      <w:r w:rsidR="00A06AB8">
        <w:instrText xml:space="preserve"> REF _Ref60790065 \w \h </w:instrText>
      </w:r>
      <w:r w:rsidR="00A06AB8">
        <w:fldChar w:fldCharType="separate"/>
      </w:r>
      <w:r w:rsidR="003E59FA">
        <w:t>17.3.1.8.b)</w:t>
      </w:r>
      <w:r w:rsidR="00A06AB8">
        <w:fldChar w:fldCharType="end"/>
      </w:r>
      <w:r>
        <w:t>, where applicable.</w:t>
      </w:r>
    </w:p>
    <w:p w14:paraId="4E2EE53F" w14:textId="4686271F" w:rsidR="003A50D5" w:rsidRDefault="003A50D5" w:rsidP="005B295A">
      <w:pPr>
        <w:pStyle w:val="Heading4"/>
      </w:pPr>
      <w:r>
        <w:t xml:space="preserve">The Market Operator may impose on a </w:t>
      </w:r>
      <w:r w:rsidR="00523A76">
        <w:t>Market Participant</w:t>
      </w:r>
      <w:r>
        <w:t xml:space="preserve"> a financial penalty in excess of the amount otherwise provided for in</w:t>
      </w:r>
      <w:r w:rsidR="00A06AB8">
        <w:t xml:space="preserve"> Clause</w:t>
      </w:r>
      <w:r>
        <w:t xml:space="preserve"> </w:t>
      </w:r>
      <w:r w:rsidR="00A06AB8">
        <w:fldChar w:fldCharType="begin"/>
      </w:r>
      <w:r w:rsidR="00A06AB8">
        <w:instrText xml:space="preserve"> REF _Ref60788766 \w \h </w:instrText>
      </w:r>
      <w:r w:rsidR="00A06AB8">
        <w:fldChar w:fldCharType="separate"/>
      </w:r>
      <w:r w:rsidR="00251DBF">
        <w:t>17.3.1.6</w:t>
      </w:r>
      <w:r w:rsidR="00A06AB8">
        <w:fldChar w:fldCharType="end"/>
      </w:r>
      <w:r>
        <w:t xml:space="preserve"> where:</w:t>
      </w:r>
    </w:p>
    <w:p w14:paraId="48E2F973" w14:textId="05C8F68D" w:rsidR="003A50D5" w:rsidRDefault="003A50D5" w:rsidP="00B03234">
      <w:pPr>
        <w:pStyle w:val="Heading5"/>
      </w:pPr>
      <w:r>
        <w:t xml:space="preserve">the Market Operator determines that the impact of the </w:t>
      </w:r>
      <w:r w:rsidR="00326AB2">
        <w:t xml:space="preserve">Market </w:t>
      </w:r>
      <w:r>
        <w:t xml:space="preserve">Participant’s breach on the </w:t>
      </w:r>
      <w:r w:rsidR="00326AB2">
        <w:t xml:space="preserve">CTBCM </w:t>
      </w:r>
      <w:r>
        <w:t>is particularly severe; or</w:t>
      </w:r>
    </w:p>
    <w:p w14:paraId="46889B07" w14:textId="21341293" w:rsidR="003A50D5" w:rsidRPr="00B03361" w:rsidRDefault="003A50D5" w:rsidP="00B03234">
      <w:pPr>
        <w:pStyle w:val="Heading5"/>
      </w:pPr>
      <w:bookmarkStart w:id="965" w:name="_Ref60790065"/>
      <w:r>
        <w:t>the rate of recurrence of non-</w:t>
      </w:r>
      <w:r w:rsidRPr="00B03361">
        <w:t xml:space="preserve">compliance by the </w:t>
      </w:r>
      <w:r w:rsidR="00326AB2" w:rsidRPr="00B03361">
        <w:t xml:space="preserve">Market </w:t>
      </w:r>
      <w:r w:rsidRPr="00B03361">
        <w:t xml:space="preserve">Participant with </w:t>
      </w:r>
      <w:r w:rsidR="00F05124">
        <w:t>this Code</w:t>
      </w:r>
      <w:r w:rsidR="00326AB2" w:rsidRPr="00B03361">
        <w:t xml:space="preserve"> </w:t>
      </w:r>
      <w:r w:rsidRPr="00FD018F">
        <w:rPr>
          <w:highlight w:val="yellow"/>
        </w:rPr>
        <w:t>and/or the Grid Code</w:t>
      </w:r>
      <w:r w:rsidRPr="00B03361">
        <w:t xml:space="preserve"> is of such frequency or duration as to warrant the imposition of a higher financial penalty.</w:t>
      </w:r>
      <w:bookmarkEnd w:id="965"/>
    </w:p>
    <w:p w14:paraId="01B024C1" w14:textId="10F8AD60" w:rsidR="003A50D5" w:rsidRPr="00B03361" w:rsidRDefault="003A50D5" w:rsidP="005B295A">
      <w:pPr>
        <w:pStyle w:val="Heading4"/>
      </w:pPr>
      <w:bookmarkStart w:id="966" w:name="_Ref60789209"/>
      <w:r>
        <w:t xml:space="preserve">No additional financial </w:t>
      </w:r>
      <w:r w:rsidRPr="00354129">
        <w:t xml:space="preserve">penalty may be imposed in respect of a breach of </w:t>
      </w:r>
      <w:r w:rsidR="00F05124" w:rsidRPr="00354129">
        <w:t>this Code</w:t>
      </w:r>
      <w:r w:rsidRPr="00354129">
        <w:t xml:space="preserve"> or </w:t>
      </w:r>
      <w:r w:rsidRPr="00B03C4A">
        <w:t>the Grid Code</w:t>
      </w:r>
      <w:r w:rsidRPr="00354129">
        <w:t xml:space="preserve"> for which a financial penalty has already been imposed, provided that nothing in this </w:t>
      </w:r>
      <w:r w:rsidR="00B03361" w:rsidRPr="00354129">
        <w:t xml:space="preserve">Clause </w:t>
      </w:r>
      <w:r w:rsidRPr="00354129">
        <w:t>shall prevent</w:t>
      </w:r>
      <w:r w:rsidRPr="00B03361">
        <w:t xml:space="preserve"> the Market Operator from imposing a financial penalty for failure by a </w:t>
      </w:r>
      <w:r w:rsidR="00326AB2" w:rsidRPr="00B03361">
        <w:t xml:space="preserve">Market </w:t>
      </w:r>
      <w:r w:rsidRPr="00B03361">
        <w:t>Participant to remedy a breach in respect of which a financial penalty has been imposed or if there is any repetition or continuation of such breach.</w:t>
      </w:r>
      <w:bookmarkEnd w:id="966"/>
    </w:p>
    <w:p w14:paraId="5D7E9EFB" w14:textId="49574D70" w:rsidR="003A50D5" w:rsidRPr="00B360FA" w:rsidRDefault="003A50D5" w:rsidP="00C173D0">
      <w:pPr>
        <w:pStyle w:val="Heading2"/>
        <w:rPr>
          <w:rStyle w:val="Heading3Char"/>
        </w:rPr>
      </w:pPr>
      <w:bookmarkStart w:id="967" w:name="_Toc64846736"/>
      <w:bookmarkStart w:id="968" w:name="_Toc69477036"/>
      <w:r w:rsidRPr="00B360FA">
        <w:rPr>
          <w:rStyle w:val="Heading3Char"/>
        </w:rPr>
        <w:lastRenderedPageBreak/>
        <w:t>Officers and Agents</w:t>
      </w:r>
      <w:bookmarkEnd w:id="967"/>
      <w:bookmarkEnd w:id="968"/>
    </w:p>
    <w:p w14:paraId="06552B2B" w14:textId="209D8A31" w:rsidR="003A50D5" w:rsidRPr="00B03C4A" w:rsidRDefault="003A50D5" w:rsidP="005B295A">
      <w:pPr>
        <w:pStyle w:val="Heading4"/>
      </w:pPr>
      <w:r w:rsidRPr="00B03C4A">
        <w:t>If any director, officer, employee</w:t>
      </w:r>
      <w:r w:rsidR="009853D8" w:rsidRPr="00B03C4A">
        <w:t>,</w:t>
      </w:r>
      <w:r w:rsidRPr="00B03C4A">
        <w:t xml:space="preserve"> partner or agent of a </w:t>
      </w:r>
      <w:r w:rsidR="00326AB2" w:rsidRPr="00B03C4A">
        <w:t xml:space="preserve">Market </w:t>
      </w:r>
      <w:r w:rsidRPr="00B03C4A">
        <w:t>Participant</w:t>
      </w:r>
      <w:r w:rsidR="00FD018F" w:rsidRPr="00B03C4A">
        <w:t>,</w:t>
      </w:r>
      <w:r w:rsidRPr="00B03C4A">
        <w:t xml:space="preserve"> the T</w:t>
      </w:r>
      <w:r w:rsidR="00326AB2" w:rsidRPr="00B03C4A">
        <w:t xml:space="preserve">ransmission Service Provider, the Distribution Network Service Provider, </w:t>
      </w:r>
      <w:r w:rsidRPr="00B03C4A">
        <w:t xml:space="preserve">the System Operator or the Market Operator does any act or refrains from doing any act which if done or omitted to be done, as the case may be, by a </w:t>
      </w:r>
      <w:r w:rsidR="00326AB2" w:rsidRPr="00B03C4A">
        <w:t xml:space="preserve">Market </w:t>
      </w:r>
      <w:r w:rsidRPr="00B03C4A">
        <w:t>Participant</w:t>
      </w:r>
      <w:r w:rsidR="00FD018F" w:rsidRPr="00B03C4A">
        <w:t>,</w:t>
      </w:r>
      <w:r w:rsidRPr="00B03C4A">
        <w:t xml:space="preserve"> the </w:t>
      </w:r>
      <w:r w:rsidR="00326AB2" w:rsidRPr="00B03C4A">
        <w:t>Transmission Service Provider, the Distribution Network Service Provider, the System Operator or the Market Operator</w:t>
      </w:r>
      <w:r w:rsidRPr="00B03C4A">
        <w:t xml:space="preserve"> would constitute a breach of </w:t>
      </w:r>
      <w:r w:rsidR="00F05124" w:rsidRPr="00B03C4A">
        <w:t>this Code</w:t>
      </w:r>
      <w:r w:rsidR="00326AB2" w:rsidRPr="00B03C4A">
        <w:t xml:space="preserve"> </w:t>
      </w:r>
      <w:r w:rsidRPr="00B03C4A">
        <w:t xml:space="preserve"> or the Grid Code, such act or omission shall be deemed</w:t>
      </w:r>
      <w:r w:rsidR="00B03361" w:rsidRPr="00B03C4A">
        <w:t>,</w:t>
      </w:r>
      <w:r w:rsidRPr="00B03C4A">
        <w:t xml:space="preserve"> for the purposes of this </w:t>
      </w:r>
      <w:r w:rsidR="00B03361" w:rsidRPr="00B03C4A">
        <w:t xml:space="preserve"> </w:t>
      </w:r>
      <w:r w:rsidR="00206E65" w:rsidRPr="00B03C4A">
        <w:t xml:space="preserve">Chapter </w:t>
      </w:r>
      <w:r w:rsidR="00B03361" w:rsidRPr="00B03C4A">
        <w:t xml:space="preserve">of the </w:t>
      </w:r>
      <w:r w:rsidR="00F64A42" w:rsidRPr="00B03C4A">
        <w:t>Commercial Code</w:t>
      </w:r>
      <w:r w:rsidR="00B03361" w:rsidRPr="00B03C4A">
        <w:t>,</w:t>
      </w:r>
      <w:r w:rsidRPr="00B03C4A">
        <w:t xml:space="preserve"> to be the act or omission of the</w:t>
      </w:r>
      <w:r w:rsidR="00326AB2" w:rsidRPr="00B03C4A">
        <w:t xml:space="preserve"> Market</w:t>
      </w:r>
      <w:r w:rsidRPr="00B03C4A">
        <w:t xml:space="preserve"> Participant</w:t>
      </w:r>
      <w:r w:rsidR="00FD018F" w:rsidRPr="00B03C4A">
        <w:t>,</w:t>
      </w:r>
      <w:r w:rsidRPr="00B03C4A">
        <w:t xml:space="preserve"> the </w:t>
      </w:r>
      <w:r w:rsidR="00326AB2" w:rsidRPr="00B03C4A">
        <w:t>Transmission Service Provider, the Distribution Network Service Provider, the System Operator or the Market Operator</w:t>
      </w:r>
      <w:r w:rsidRPr="00B03C4A">
        <w:t>, as the case may be.</w:t>
      </w:r>
    </w:p>
    <w:p w14:paraId="6BE25295" w14:textId="73CD35DB" w:rsidR="003E59FA" w:rsidRDefault="00DA65F0" w:rsidP="003E59FA">
      <w:pPr>
        <w:pStyle w:val="Heading2"/>
        <w:rPr>
          <w:rStyle w:val="Heading3Char"/>
        </w:rPr>
      </w:pPr>
      <w:r>
        <w:rPr>
          <w:rStyle w:val="Heading3Char"/>
        </w:rPr>
        <w:t>Non-Compliance</w:t>
      </w:r>
      <w:r w:rsidR="003E59FA">
        <w:rPr>
          <w:rStyle w:val="Heading3Char"/>
        </w:rPr>
        <w:t xml:space="preserve"> by Service Providers</w:t>
      </w:r>
      <w:r>
        <w:rPr>
          <w:rStyle w:val="Heading3Char"/>
        </w:rPr>
        <w:t xml:space="preserve"> and System Operator</w:t>
      </w:r>
    </w:p>
    <w:p w14:paraId="395C3B28" w14:textId="7FA329E2" w:rsidR="00DA65F0" w:rsidRDefault="00DA65F0" w:rsidP="00DA65F0">
      <w:pPr>
        <w:pStyle w:val="Heading4"/>
      </w:pPr>
      <w:r w:rsidRPr="00187DB6">
        <w:t>In case the Market Operator considers,</w:t>
      </w:r>
      <w:r>
        <w:t xml:space="preserve"> on the basis of its own information or upon receipt of written information from any person, that a Service Provider or the System Operator may have breached or may be breaching any provision of this Code, including an Event of </w:t>
      </w:r>
      <w:r w:rsidRPr="00187DB6">
        <w:t xml:space="preserve">Default </w:t>
      </w:r>
      <w:r>
        <w:t>under</w:t>
      </w:r>
      <w:r w:rsidRPr="00187DB6">
        <w:t xml:space="preserve"> </w:t>
      </w:r>
      <w:r>
        <w:t>Sub-Section</w:t>
      </w:r>
      <w:r w:rsidRPr="00187DB6">
        <w:t xml:space="preserve"> </w:t>
      </w:r>
      <w:r w:rsidRPr="00187DB6">
        <w:fldChar w:fldCharType="begin"/>
      </w:r>
      <w:r w:rsidRPr="00187DB6">
        <w:instrText xml:space="preserve"> REF _Ref60792923 \w \h </w:instrText>
      </w:r>
      <w:r>
        <w:instrText xml:space="preserve"> \* MERGEFORMAT </w:instrText>
      </w:r>
      <w:r w:rsidRPr="00187DB6">
        <w:fldChar w:fldCharType="separate"/>
      </w:r>
      <w:r>
        <w:t>17.2.1</w:t>
      </w:r>
      <w:r w:rsidRPr="00187DB6">
        <w:fldChar w:fldCharType="end"/>
      </w:r>
      <w:r w:rsidRPr="00187DB6">
        <w:t xml:space="preserve">, </w:t>
      </w:r>
      <w:r w:rsidR="00902DA5">
        <w:t xml:space="preserve">the process </w:t>
      </w:r>
      <w:r w:rsidR="00060EAC">
        <w:t>provided</w:t>
      </w:r>
      <w:r w:rsidR="00902DA5">
        <w:t xml:space="preserve"> in Sub-Section</w:t>
      </w:r>
      <w:r w:rsidR="00060EAC">
        <w:t xml:space="preserve"> </w:t>
      </w:r>
      <w:r w:rsidR="00060EAC">
        <w:fldChar w:fldCharType="begin"/>
      </w:r>
      <w:r w:rsidR="00060EAC">
        <w:instrText xml:space="preserve"> REF _Ref63161299 \w \h </w:instrText>
      </w:r>
      <w:r w:rsidR="00060EAC">
        <w:fldChar w:fldCharType="separate"/>
      </w:r>
      <w:r w:rsidR="00060EAC">
        <w:t>17.1.2</w:t>
      </w:r>
      <w:r w:rsidR="00060EAC">
        <w:fldChar w:fldCharType="end"/>
      </w:r>
      <w:r w:rsidR="00060EAC">
        <w:t xml:space="preserve"> shall, </w:t>
      </w:r>
      <w:r w:rsidR="00060EAC" w:rsidRPr="00B03C4A">
        <w:rPr>
          <w:i/>
          <w:iCs w:val="0"/>
        </w:rPr>
        <w:t>mutatis mutandis</w:t>
      </w:r>
      <w:r w:rsidR="00060EAC">
        <w:t>, apply</w:t>
      </w:r>
      <w:r>
        <w:t>.</w:t>
      </w:r>
    </w:p>
    <w:p w14:paraId="44D7BE0F" w14:textId="7298BFC8" w:rsidR="00F85C0F" w:rsidRPr="00B03C4A" w:rsidRDefault="00902DA5" w:rsidP="00B03C4A">
      <w:pPr>
        <w:pStyle w:val="Heading4"/>
      </w:pPr>
      <w:r>
        <w:t xml:space="preserve">If the Service Provider or the System Operator, as the case may, doesn’t comply with the order made pursuant to Clause </w:t>
      </w:r>
      <w:r>
        <w:fldChar w:fldCharType="begin"/>
      </w:r>
      <w:r>
        <w:instrText xml:space="preserve"> REF _Ref60779449 \w \h </w:instrText>
      </w:r>
      <w:r>
        <w:fldChar w:fldCharType="separate"/>
      </w:r>
      <w:r>
        <w:t>17.1.2.7</w:t>
      </w:r>
      <w:r>
        <w:fldChar w:fldCharType="end"/>
      </w:r>
      <w:r>
        <w:t>, the Market Operator shall inform the Authority</w:t>
      </w:r>
      <w:r w:rsidR="00F85C0F">
        <w:t>.</w:t>
      </w:r>
    </w:p>
    <w:p w14:paraId="679C172E" w14:textId="77777777" w:rsidR="003E59FA" w:rsidRPr="003E59FA" w:rsidRDefault="003E59FA" w:rsidP="003E59FA">
      <w:pPr>
        <w:pStyle w:val="BodyText"/>
      </w:pPr>
    </w:p>
    <w:p w14:paraId="3757624C" w14:textId="77777777" w:rsidR="003A50D5" w:rsidRPr="003A50D5" w:rsidRDefault="003A50D5" w:rsidP="00A22D29">
      <w:pPr>
        <w:pStyle w:val="BodyText"/>
      </w:pPr>
    </w:p>
    <w:p w14:paraId="7D740248" w14:textId="77777777" w:rsidR="00293F8F" w:rsidRDefault="00293F8F">
      <w:pPr>
        <w:spacing w:line="240" w:lineRule="auto"/>
        <w:rPr>
          <w:rFonts w:eastAsiaTheme="majorEastAsia" w:cstheme="majorBidi"/>
          <w:b/>
          <w:bCs/>
          <w:smallCaps/>
          <w:color w:val="00153F" w:themeColor="accent1" w:themeShade="80"/>
          <w:sz w:val="34"/>
          <w:szCs w:val="32"/>
        </w:rPr>
      </w:pPr>
      <w:r>
        <w:br w:type="page"/>
      </w:r>
    </w:p>
    <w:p w14:paraId="6D5B71FD" w14:textId="47EA8537" w:rsidR="00293F8F" w:rsidRPr="005D5790" w:rsidRDefault="00293F8F" w:rsidP="00A40A5D">
      <w:pPr>
        <w:pStyle w:val="Heading1"/>
      </w:pPr>
      <w:bookmarkStart w:id="969" w:name="_Toc64846737"/>
      <w:bookmarkStart w:id="970" w:name="_Toc69477037"/>
      <w:r w:rsidRPr="005D5790">
        <w:lastRenderedPageBreak/>
        <w:t>DISCLOSURE, ACCESS AND CONFIDENTIALITY</w:t>
      </w:r>
      <w:bookmarkEnd w:id="969"/>
      <w:bookmarkEnd w:id="970"/>
    </w:p>
    <w:p w14:paraId="6830E13B" w14:textId="56CB2F73" w:rsidR="00293F8F" w:rsidRDefault="008858F7" w:rsidP="00C173D0">
      <w:pPr>
        <w:pStyle w:val="Heading2"/>
      </w:pPr>
      <w:bookmarkStart w:id="971" w:name="_Toc64846738"/>
      <w:bookmarkStart w:id="972" w:name="_Toc69477038"/>
      <w:r>
        <w:t xml:space="preserve">Maintenance of </w:t>
      </w:r>
      <w:r w:rsidR="00293F8F" w:rsidRPr="005D5790">
        <w:t>Record</w:t>
      </w:r>
      <w:r>
        <w:t>s</w:t>
      </w:r>
      <w:r w:rsidR="00293F8F" w:rsidRPr="005D5790">
        <w:t xml:space="preserve"> </w:t>
      </w:r>
      <w:bookmarkEnd w:id="971"/>
      <w:bookmarkEnd w:id="972"/>
    </w:p>
    <w:p w14:paraId="419C09EB" w14:textId="05E1A3F7" w:rsidR="002A355F" w:rsidRDefault="002A355F" w:rsidP="005B295A">
      <w:pPr>
        <w:pStyle w:val="Heading4"/>
      </w:pPr>
      <w:r>
        <w:t xml:space="preserve">The Market Operator shall </w:t>
      </w:r>
      <w:r w:rsidR="009853D8">
        <w:t xml:space="preserve">make </w:t>
      </w:r>
      <w:r>
        <w:t xml:space="preserve">and publish, and may from </w:t>
      </w:r>
      <w:r w:rsidR="00C317F5">
        <w:t>time-to-time</w:t>
      </w:r>
      <w:r>
        <w:t xml:space="preserve"> revise, a </w:t>
      </w:r>
      <w:r w:rsidR="009853D8">
        <w:t xml:space="preserve">record keeping </w:t>
      </w:r>
      <w:r>
        <w:t xml:space="preserve">policy </w:t>
      </w:r>
      <w:r w:rsidR="008858F7">
        <w:t>for</w:t>
      </w:r>
      <w:r>
        <w:t xml:space="preserve"> </w:t>
      </w:r>
      <w:bookmarkStart w:id="973" w:name="_Hlk66281060"/>
      <w:commentRangeStart w:id="974"/>
      <w:r>
        <w:t>Records</w:t>
      </w:r>
      <w:bookmarkEnd w:id="973"/>
      <w:commentRangeEnd w:id="974"/>
      <w:r w:rsidR="008858F7">
        <w:rPr>
          <w:rStyle w:val="CommentReference"/>
          <w:rFonts w:eastAsiaTheme="minorHAnsi" w:cstheme="minorBidi"/>
          <w:bCs w:val="0"/>
          <w:iCs w:val="0"/>
          <w:color w:val="1C1C1C"/>
        </w:rPr>
        <w:commentReference w:id="974"/>
      </w:r>
      <w:r w:rsidR="00C317F5">
        <w:t>,</w:t>
      </w:r>
      <w:r>
        <w:t xml:space="preserve"> or classes of Records prepared by the Market Operator</w:t>
      </w:r>
      <w:r w:rsidR="008858F7">
        <w:t xml:space="preserve">, the System Operator, the Service Providers </w:t>
      </w:r>
      <w:r>
        <w:t xml:space="preserve"> and Market Participants in connection with </w:t>
      </w:r>
      <w:r w:rsidR="00F05124">
        <w:t>this Code</w:t>
      </w:r>
      <w:r>
        <w:t>.</w:t>
      </w:r>
    </w:p>
    <w:p w14:paraId="1A3542E2" w14:textId="5F5D9ED6" w:rsidR="002A355F" w:rsidRDefault="002A355F" w:rsidP="005B295A">
      <w:pPr>
        <w:pStyle w:val="Heading4"/>
      </w:pPr>
      <w:r>
        <w:t>The Market Operator</w:t>
      </w:r>
      <w:r w:rsidR="00EE582E">
        <w:t>, the System Operator</w:t>
      </w:r>
      <w:r>
        <w:t xml:space="preserve"> and each Market Participant</w:t>
      </w:r>
      <w:r w:rsidR="00EE582E">
        <w:t xml:space="preserve"> and Service Provider</w:t>
      </w:r>
      <w:r>
        <w:t xml:space="preserve"> shall retain Records or classes of Records prepared for or in connection with </w:t>
      </w:r>
      <w:r w:rsidR="00F05124">
        <w:t>this Code</w:t>
      </w:r>
      <w:r>
        <w:t xml:space="preserve"> for at least five [5] years</w:t>
      </w:r>
      <w:r w:rsidR="00EE582E">
        <w:t xml:space="preserve"> or any other </w:t>
      </w:r>
      <w:r w:rsidR="008858F7">
        <w:t xml:space="preserve">longer </w:t>
      </w:r>
      <w:r w:rsidR="00EE582E">
        <w:t xml:space="preserve">period as per </w:t>
      </w:r>
      <w:r w:rsidR="00FD018F">
        <w:t>A</w:t>
      </w:r>
      <w:r w:rsidR="00EE582E">
        <w:t xml:space="preserve">pplicable </w:t>
      </w:r>
      <w:r w:rsidR="00FD018F">
        <w:t>L</w:t>
      </w:r>
      <w:r w:rsidR="00EE582E">
        <w:t>aw</w:t>
      </w:r>
      <w:r>
        <w:t>.</w:t>
      </w:r>
    </w:p>
    <w:p w14:paraId="5838ABAB" w14:textId="422DE347" w:rsidR="002A355F" w:rsidRDefault="002A355F" w:rsidP="005B295A">
      <w:pPr>
        <w:pStyle w:val="Heading4"/>
      </w:pPr>
      <w:r>
        <w:t>Where a Record is:</w:t>
      </w:r>
    </w:p>
    <w:p w14:paraId="111EA3AE" w14:textId="6C72D38D" w:rsidR="002A355F" w:rsidRDefault="002A355F" w:rsidP="00B03234">
      <w:pPr>
        <w:pStyle w:val="Heading5"/>
      </w:pPr>
      <w:r>
        <w:t xml:space="preserve">prepared in one or more draft forms; </w:t>
      </w:r>
    </w:p>
    <w:p w14:paraId="5F79F48B" w14:textId="0CE472DC" w:rsidR="002A355F" w:rsidRDefault="002A355F" w:rsidP="00B03234">
      <w:pPr>
        <w:pStyle w:val="Heading5"/>
      </w:pPr>
      <w:r>
        <w:t xml:space="preserve">not circulated in any such draft form by the person preparing it; and </w:t>
      </w:r>
    </w:p>
    <w:p w14:paraId="64A76A63" w14:textId="2522E45D" w:rsidR="002A355F" w:rsidRDefault="002A355F" w:rsidP="00B03234">
      <w:pPr>
        <w:pStyle w:val="Heading5"/>
      </w:pPr>
      <w:r>
        <w:t xml:space="preserve">subsequently prepared in final form, </w:t>
      </w:r>
    </w:p>
    <w:p w14:paraId="05A93568" w14:textId="464B9702" w:rsidR="002A355F" w:rsidRDefault="002A355F" w:rsidP="00A22D29">
      <w:pPr>
        <w:pStyle w:val="BodyText"/>
      </w:pPr>
      <w:r>
        <w:t>only the final form of the Record is required to be retained</w:t>
      </w:r>
      <w:r w:rsidR="00DC2DA0">
        <w:t>.</w:t>
      </w:r>
    </w:p>
    <w:p w14:paraId="363D8B0C" w14:textId="6C987BC0" w:rsidR="00293F8F" w:rsidRDefault="00293F8F" w:rsidP="00C173D0">
      <w:pPr>
        <w:pStyle w:val="Heading2"/>
      </w:pPr>
      <w:bookmarkStart w:id="975" w:name="_Toc64846739"/>
      <w:bookmarkStart w:id="976" w:name="_Toc69477039"/>
      <w:r w:rsidRPr="005D5790">
        <w:t>Information Disclosure</w:t>
      </w:r>
      <w:bookmarkEnd w:id="975"/>
      <w:bookmarkEnd w:id="976"/>
    </w:p>
    <w:p w14:paraId="61AC208E" w14:textId="76FD70DB" w:rsidR="00DC2DA0" w:rsidRDefault="00DC2DA0" w:rsidP="005B295A">
      <w:pPr>
        <w:pStyle w:val="Heading4"/>
      </w:pPr>
      <w:r>
        <w:t xml:space="preserve">Where a person is required by </w:t>
      </w:r>
      <w:r w:rsidR="00F05124">
        <w:t>this Code</w:t>
      </w:r>
      <w:r>
        <w:t xml:space="preserve"> to disclose or provide a Record to another person, such Record shall be disclosed or provided within the time specified in, and in the form and manner required by, the applicable provisions of this Code. Where no time is specified in relation to the disclosure or provision of a specific Record, the Record shall be disclosed or provided within a reasonable time.</w:t>
      </w:r>
    </w:p>
    <w:p w14:paraId="2369E0E6" w14:textId="25A36344" w:rsidR="00DC2DA0" w:rsidRDefault="00DC2DA0" w:rsidP="005B295A">
      <w:pPr>
        <w:pStyle w:val="Heading4"/>
      </w:pPr>
      <w:r>
        <w:t>A Record disclosed or provided shall be, to the best of the disclosing person’s knowledge, true, correct and complete at the time at which such disclosure or provision is made.  No person shall knowingly or recklessly disclose or provide a Record that, at the time and in light of the circumstances in which such disclosure or provision is made, is misleading or deceptive or does not state a fact that is required to be stated or that is necessary to make the statement not misleading or deceptive.</w:t>
      </w:r>
    </w:p>
    <w:p w14:paraId="2FE58DF4" w14:textId="5CF1AB62" w:rsidR="00DC2DA0" w:rsidRDefault="00DC2DA0" w:rsidP="005B295A">
      <w:pPr>
        <w:pStyle w:val="Heading4"/>
      </w:pPr>
      <w:r>
        <w:t>Where a person discovers that a Record disclosed or provided by it to any other person was, at the time at which it was disclosed or provided, or becomes untrue, incorrect, incomplete, misleading or deceptive, the disclosing or providing person shall immediately rectify the situation and disclose or provide the true, correct, complete, not misleading or not deceptive Record to the person to whom the original or currently untrue, incorrect, incomplete, misleading or deceptive Record had been disclosed or provided.</w:t>
      </w:r>
    </w:p>
    <w:p w14:paraId="14839E8A" w14:textId="4753F39F" w:rsidR="00DC2DA0" w:rsidRDefault="00DC2DA0" w:rsidP="005B295A">
      <w:pPr>
        <w:pStyle w:val="Heading4"/>
      </w:pPr>
      <w:r>
        <w:t xml:space="preserve">The System Operator and the Market Operator are entitled to use any Record obtained pursuant to </w:t>
      </w:r>
      <w:r w:rsidR="00F05124">
        <w:t>this Code</w:t>
      </w:r>
      <w:r>
        <w:t xml:space="preserve"> and the Grid Code in  perform</w:t>
      </w:r>
      <w:r w:rsidR="008858F7">
        <w:t>ing</w:t>
      </w:r>
      <w:r>
        <w:t xml:space="preserve"> </w:t>
      </w:r>
      <w:r w:rsidR="008858F7">
        <w:t>their</w:t>
      </w:r>
      <w:r>
        <w:t xml:space="preserve"> functions </w:t>
      </w:r>
      <w:r w:rsidR="008858F7">
        <w:t xml:space="preserve">and </w:t>
      </w:r>
      <w:r>
        <w:t xml:space="preserve">duties under this </w:t>
      </w:r>
      <w:r w:rsidR="00F64A42">
        <w:t>Code</w:t>
      </w:r>
      <w:r>
        <w:t xml:space="preserve">, the Grid Code, their Licences or </w:t>
      </w:r>
      <w:r w:rsidR="00F5425D">
        <w:t>A</w:t>
      </w:r>
      <w:r>
        <w:t xml:space="preserve">pplicable </w:t>
      </w:r>
      <w:r w:rsidR="00F5425D">
        <w:t>L</w:t>
      </w:r>
      <w:r>
        <w:t>aw.</w:t>
      </w:r>
    </w:p>
    <w:p w14:paraId="720C1370" w14:textId="7FE895F1" w:rsidR="00293F8F" w:rsidRPr="005D5790" w:rsidRDefault="00293F8F" w:rsidP="00C173D0">
      <w:pPr>
        <w:pStyle w:val="Heading2"/>
      </w:pPr>
      <w:bookmarkStart w:id="977" w:name="_Toc64846740"/>
      <w:bookmarkStart w:id="978" w:name="_Toc69477040"/>
      <w:r w:rsidRPr="005D5790">
        <w:lastRenderedPageBreak/>
        <w:t>Access</w:t>
      </w:r>
      <w:r>
        <w:t xml:space="preserve"> to the information</w:t>
      </w:r>
      <w:bookmarkEnd w:id="977"/>
      <w:bookmarkEnd w:id="978"/>
    </w:p>
    <w:p w14:paraId="5452A5D9" w14:textId="7AB5F9FE" w:rsidR="00293F8F" w:rsidRDefault="00293F8F" w:rsidP="00C173D0">
      <w:pPr>
        <w:pStyle w:val="Heading3"/>
      </w:pPr>
      <w:r w:rsidRPr="005D5790">
        <w:t>Access to Information and Confidentiality</w:t>
      </w:r>
    </w:p>
    <w:p w14:paraId="6DA8F0AA" w14:textId="77777777" w:rsidR="00AE1AD1" w:rsidRDefault="003F50A3" w:rsidP="005B295A">
      <w:pPr>
        <w:pStyle w:val="Heading4"/>
      </w:pPr>
      <w:r>
        <w:t xml:space="preserve">Subject to the Applicable Law, </w:t>
      </w:r>
      <w:r w:rsidR="000C787A">
        <w:t xml:space="preserve">the Market Operator shall not disclose the Confidential Information to any person. However, upon application by an interested person, the Market Operator may disclose the Non-Confidential Information which is not available </w:t>
      </w:r>
      <w:r w:rsidR="00AE1AD1">
        <w:t>on MO Website</w:t>
      </w:r>
      <w:r w:rsidR="000C787A">
        <w:t xml:space="preserve"> on such terms and conditions as may be deemed appropriate. </w:t>
      </w:r>
    </w:p>
    <w:p w14:paraId="11CA544B" w14:textId="395A13CF" w:rsidR="00DC2DA0" w:rsidRDefault="0082336B" w:rsidP="005B295A">
      <w:pPr>
        <w:pStyle w:val="Heading4"/>
      </w:pPr>
      <w:r>
        <w:t>A</w:t>
      </w:r>
      <w:r w:rsidR="00DC2DA0">
        <w:t xml:space="preserve">ll information, other than Confidential Information, required by </w:t>
      </w:r>
      <w:r w:rsidR="00F05124">
        <w:t>this Code</w:t>
      </w:r>
      <w:r w:rsidR="003A3188">
        <w:t xml:space="preserve"> </w:t>
      </w:r>
      <w:r w:rsidR="00DC2DA0">
        <w:t xml:space="preserve">to be made available to </w:t>
      </w:r>
      <w:r w:rsidR="00523A76">
        <w:t>Market Participant</w:t>
      </w:r>
      <w:r w:rsidR="00DC2DA0">
        <w:t xml:space="preserve">s or other persons shall be </w:t>
      </w:r>
      <w:r w:rsidR="002E3415">
        <w:t xml:space="preserve">either </w:t>
      </w:r>
      <w:r w:rsidR="00DC2DA0">
        <w:t xml:space="preserve">published by the Market Operator on the </w:t>
      </w:r>
      <w:r w:rsidR="00C1591E">
        <w:t xml:space="preserve">MO </w:t>
      </w:r>
      <w:r w:rsidR="00DC2DA0">
        <w:t xml:space="preserve">Website or </w:t>
      </w:r>
      <w:r w:rsidR="002E3415">
        <w:t>may be provided</w:t>
      </w:r>
      <w:r w:rsidR="00DC2DA0">
        <w:t xml:space="preserve"> in </w:t>
      </w:r>
      <w:r w:rsidR="002E3415">
        <w:t xml:space="preserve">such </w:t>
      </w:r>
      <w:r w:rsidR="00DC2DA0">
        <w:t xml:space="preserve">manner and within the time prescribed </w:t>
      </w:r>
      <w:r w:rsidR="00AE1AD1">
        <w:t xml:space="preserve">by </w:t>
      </w:r>
      <w:r w:rsidR="00F05124">
        <w:t>this Code</w:t>
      </w:r>
      <w:r w:rsidR="00DC2DA0">
        <w:t xml:space="preserve">. Where no time is specified in respect of the provision of a particular piece of information, such information shall be </w:t>
      </w:r>
      <w:r w:rsidR="00AE1AD1">
        <w:t xml:space="preserve">published or </w:t>
      </w:r>
      <w:r w:rsidR="00DC2DA0">
        <w:t>made available within a reasonable time.</w:t>
      </w:r>
    </w:p>
    <w:p w14:paraId="3999D8DD" w14:textId="6C9D59C1" w:rsidR="00DC2DA0" w:rsidRDefault="00DC2DA0" w:rsidP="005B295A">
      <w:pPr>
        <w:pStyle w:val="Heading4"/>
      </w:pPr>
      <w:r>
        <w:t xml:space="preserve">The Market Operator shall </w:t>
      </w:r>
      <w:r w:rsidR="002E3415">
        <w:t>determine and classify which information may be published on the MO Website related to the CTBCM for</w:t>
      </w:r>
      <w:r>
        <w:t xml:space="preserve"> </w:t>
      </w:r>
      <w:r w:rsidR="0082336B">
        <w:t xml:space="preserve">Market </w:t>
      </w:r>
      <w:r>
        <w:t xml:space="preserve">Participants, the </w:t>
      </w:r>
      <w:r w:rsidR="0082336B">
        <w:t>Service Providers</w:t>
      </w:r>
      <w:r>
        <w:t xml:space="preserve">, </w:t>
      </w:r>
      <w:r w:rsidR="00E42645">
        <w:t>other sta</w:t>
      </w:r>
      <w:r w:rsidR="002E3415">
        <w:t>k</w:t>
      </w:r>
      <w:r w:rsidR="00E42645">
        <w:t>eholders</w:t>
      </w:r>
      <w:r>
        <w:t xml:space="preserve"> and the public in general .</w:t>
      </w:r>
    </w:p>
    <w:p w14:paraId="44DCE187" w14:textId="7A600DA5" w:rsidR="00DC2DA0" w:rsidRDefault="00DC2DA0" w:rsidP="005B295A">
      <w:pPr>
        <w:pStyle w:val="Heading4"/>
      </w:pPr>
      <w:r>
        <w:t>The following information</w:t>
      </w:r>
      <w:r w:rsidR="00236044">
        <w:t xml:space="preserve"> and documents</w:t>
      </w:r>
      <w:r>
        <w:t xml:space="preserve"> </w:t>
      </w:r>
      <w:r w:rsidR="002E3415">
        <w:t xml:space="preserve">shall be published on </w:t>
      </w:r>
      <w:r w:rsidR="00921093">
        <w:t>the</w:t>
      </w:r>
      <w:r>
        <w:t xml:space="preserve"> </w:t>
      </w:r>
      <w:r w:rsidR="00236044">
        <w:t>MO Website</w:t>
      </w:r>
      <w:r>
        <w:t>:</w:t>
      </w:r>
    </w:p>
    <w:p w14:paraId="68C4DA0C" w14:textId="51F864E8" w:rsidR="00DC2DA0" w:rsidRDefault="00DC2DA0" w:rsidP="00B03234">
      <w:pPr>
        <w:pStyle w:val="Heading5"/>
      </w:pPr>
      <w:r>
        <w:t xml:space="preserve">the </w:t>
      </w:r>
      <w:r w:rsidR="00523A76">
        <w:t>Market Participant</w:t>
      </w:r>
      <w:r>
        <w:t xml:space="preserve"> </w:t>
      </w:r>
      <w:r w:rsidR="00343D05">
        <w:t>Admission Application form</w:t>
      </w:r>
      <w:r>
        <w:t>;</w:t>
      </w:r>
    </w:p>
    <w:p w14:paraId="62EDEEAD" w14:textId="4143FCC3" w:rsidR="00DC2DA0" w:rsidRDefault="00236044" w:rsidP="00B03234">
      <w:pPr>
        <w:pStyle w:val="Heading5"/>
      </w:pPr>
      <w:r>
        <w:t>t</w:t>
      </w:r>
      <w:r w:rsidR="00DC2DA0">
        <w:t xml:space="preserve">he </w:t>
      </w:r>
      <w:r>
        <w:t xml:space="preserve">standard </w:t>
      </w:r>
      <w:r w:rsidR="00DC2DA0">
        <w:t>Market Participation Agreement;</w:t>
      </w:r>
    </w:p>
    <w:p w14:paraId="054FDD24" w14:textId="07AB821A" w:rsidR="00EE582E" w:rsidRPr="00EE582E" w:rsidRDefault="00EE582E" w:rsidP="0046412E">
      <w:pPr>
        <w:pStyle w:val="Heading5"/>
      </w:pPr>
      <w:r>
        <w:t xml:space="preserve">The </w:t>
      </w:r>
      <w:r w:rsidR="00236044">
        <w:t xml:space="preserve">standard </w:t>
      </w:r>
      <w:r>
        <w:t>Service Provider Agreement</w:t>
      </w:r>
    </w:p>
    <w:p w14:paraId="5CEA4766" w14:textId="291E46B1" w:rsidR="00DC2DA0" w:rsidRDefault="00DC2DA0" w:rsidP="00B03234">
      <w:pPr>
        <w:pStyle w:val="Heading5"/>
      </w:pPr>
      <w:r>
        <w:t xml:space="preserve">The </w:t>
      </w:r>
      <w:r w:rsidR="00F64A42">
        <w:t>Commercial Code</w:t>
      </w:r>
      <w:r>
        <w:t>;</w:t>
      </w:r>
    </w:p>
    <w:p w14:paraId="22C20B1E" w14:textId="14A260AF" w:rsidR="00DC2DA0" w:rsidRDefault="00DC2DA0" w:rsidP="00B03234">
      <w:pPr>
        <w:pStyle w:val="Heading5"/>
      </w:pPr>
      <w:r>
        <w:t>The Grid Code;</w:t>
      </w:r>
    </w:p>
    <w:p w14:paraId="0931496E" w14:textId="098AAB01" w:rsidR="00DC2DA0" w:rsidRDefault="00DC2DA0" w:rsidP="00B03234">
      <w:pPr>
        <w:pStyle w:val="Heading5"/>
      </w:pPr>
      <w:r>
        <w:t xml:space="preserve">The </w:t>
      </w:r>
      <w:r w:rsidR="00F64A42">
        <w:t>Commercial Code</w:t>
      </w:r>
      <w:r>
        <w:t xml:space="preserve"> amendment proposals under consideration;</w:t>
      </w:r>
    </w:p>
    <w:p w14:paraId="42DAB809" w14:textId="4F997569" w:rsidR="00DC2DA0" w:rsidRDefault="00DC2DA0" w:rsidP="00B03234">
      <w:pPr>
        <w:pStyle w:val="Heading5"/>
      </w:pPr>
      <w:r>
        <w:t xml:space="preserve">The </w:t>
      </w:r>
      <w:r w:rsidR="0082336B">
        <w:t>Commercial Code Operating</w:t>
      </w:r>
      <w:r>
        <w:t xml:space="preserve"> Procedures;</w:t>
      </w:r>
    </w:p>
    <w:p w14:paraId="27206E42" w14:textId="1DFC6FE5" w:rsidR="0082336B" w:rsidRDefault="0082336B" w:rsidP="00B03234">
      <w:pPr>
        <w:pStyle w:val="Heading5"/>
      </w:pPr>
      <w:r>
        <w:t xml:space="preserve">The </w:t>
      </w:r>
      <w:r w:rsidR="00523A76">
        <w:t>Market Participant</w:t>
      </w:r>
      <w:r w:rsidR="00DC2DA0">
        <w:t>s Register</w:t>
      </w:r>
      <w:r>
        <w:t>;</w:t>
      </w:r>
    </w:p>
    <w:p w14:paraId="4786C390" w14:textId="27CEE968" w:rsidR="00DC2DA0" w:rsidRDefault="00DC2DA0" w:rsidP="00B03234">
      <w:pPr>
        <w:pStyle w:val="Heading5"/>
      </w:pPr>
      <w:r>
        <w:t>Load forecasts and load statistics</w:t>
      </w:r>
      <w:r w:rsidR="00236044">
        <w:t xml:space="preserve"> of the Grid System</w:t>
      </w:r>
      <w:r>
        <w:t xml:space="preserve">; </w:t>
      </w:r>
    </w:p>
    <w:p w14:paraId="0DC8095E" w14:textId="556C8607" w:rsidR="006A2849" w:rsidRDefault="00DC2DA0" w:rsidP="00B03234">
      <w:pPr>
        <w:pStyle w:val="Heading5"/>
      </w:pPr>
      <w:r>
        <w:t xml:space="preserve">The </w:t>
      </w:r>
      <w:r w:rsidR="008A0F2D">
        <w:t>System Marginal Price</w:t>
      </w:r>
      <w:r w:rsidR="006A2849">
        <w:t xml:space="preserve">; </w:t>
      </w:r>
    </w:p>
    <w:p w14:paraId="307BE117" w14:textId="77777777" w:rsidR="006A2849" w:rsidRPr="00B03C4A" w:rsidRDefault="006A2849" w:rsidP="00B03234">
      <w:pPr>
        <w:pStyle w:val="Heading5"/>
        <w:rPr>
          <w:highlight w:val="yellow"/>
        </w:rPr>
      </w:pPr>
      <w:commentRangeStart w:id="979"/>
      <w:r w:rsidRPr="00B03C4A">
        <w:rPr>
          <w:highlight w:val="yellow"/>
        </w:rPr>
        <w:t>The results of the Balancing Mechanism for Capacity; and</w:t>
      </w:r>
    </w:p>
    <w:p w14:paraId="6633EBFA" w14:textId="77777777" w:rsidR="006A2849" w:rsidRDefault="006A2849" w:rsidP="00B03234">
      <w:pPr>
        <w:pStyle w:val="Heading5"/>
      </w:pPr>
      <w:r w:rsidRPr="00B03C4A">
        <w:rPr>
          <w:highlight w:val="yellow"/>
        </w:rPr>
        <w:t>The results of the verification compliance with the Capacity Obligations</w:t>
      </w:r>
      <w:r>
        <w:t xml:space="preserve">; </w:t>
      </w:r>
      <w:commentRangeEnd w:id="979"/>
      <w:r w:rsidR="00456831">
        <w:rPr>
          <w:rStyle w:val="CommentReference"/>
          <w:rFonts w:eastAsiaTheme="minorHAnsi" w:cstheme="minorBidi"/>
          <w:color w:val="1C1C1C"/>
        </w:rPr>
        <w:commentReference w:id="979"/>
      </w:r>
      <w:r>
        <w:t>and</w:t>
      </w:r>
    </w:p>
    <w:p w14:paraId="2C0A3278" w14:textId="77777777" w:rsidR="00236044" w:rsidRDefault="006A2849" w:rsidP="00B03234">
      <w:pPr>
        <w:pStyle w:val="Heading5"/>
      </w:pPr>
      <w:r>
        <w:t>The Capacity Certificates issued for each Generator</w:t>
      </w:r>
    </w:p>
    <w:p w14:paraId="18094B86" w14:textId="6AAA4369" w:rsidR="00DC2DA0" w:rsidRDefault="00236044" w:rsidP="00B03234">
      <w:pPr>
        <w:pStyle w:val="Heading5"/>
      </w:pPr>
      <w:r>
        <w:t>Any other information or documents as deemed appropriate</w:t>
      </w:r>
      <w:r w:rsidR="006A2849">
        <w:t>.</w:t>
      </w:r>
    </w:p>
    <w:p w14:paraId="37A30FD9" w14:textId="3A6DDC10" w:rsidR="00DC2DA0" w:rsidRDefault="00DC2DA0" w:rsidP="005B295A">
      <w:pPr>
        <w:pStyle w:val="Heading4"/>
      </w:pPr>
      <w:r>
        <w:t xml:space="preserve">The </w:t>
      </w:r>
      <w:r w:rsidR="00236044">
        <w:t xml:space="preserve">Operator shall develop a secured portal where information </w:t>
      </w:r>
      <w:r w:rsidR="00646727">
        <w:t>may</w:t>
      </w:r>
      <w:r w:rsidR="00236044">
        <w:t xml:space="preserve"> be accessed by the Market Participants </w:t>
      </w:r>
      <w:r w:rsidR="00646727">
        <w:t>in a</w:t>
      </w:r>
      <w:r w:rsidR="00236044">
        <w:t xml:space="preserve"> secured </w:t>
      </w:r>
      <w:r w:rsidR="00646727">
        <w:t xml:space="preserve">manner. The portal may, </w:t>
      </w:r>
      <w:r w:rsidR="00646727" w:rsidRPr="00B03C4A">
        <w:rPr>
          <w:i/>
          <w:iCs w:val="0"/>
        </w:rPr>
        <w:t>inter alia</w:t>
      </w:r>
      <w:r w:rsidR="00646727">
        <w:t>, include the following:</w:t>
      </w:r>
    </w:p>
    <w:p w14:paraId="05A3CC35" w14:textId="22CBB1C4" w:rsidR="00DC2DA0" w:rsidRDefault="00DC2DA0" w:rsidP="00B03234">
      <w:pPr>
        <w:pStyle w:val="Heading5"/>
      </w:pPr>
      <w:r>
        <w:t xml:space="preserve">The reports </w:t>
      </w:r>
      <w:r w:rsidR="00646727">
        <w:t xml:space="preserve">issued </w:t>
      </w:r>
      <w:r>
        <w:t xml:space="preserve">by the </w:t>
      </w:r>
      <w:r w:rsidR="006A2849">
        <w:t xml:space="preserve">Market Operator or the </w:t>
      </w:r>
      <w:r>
        <w:t xml:space="preserve">System Operator </w:t>
      </w:r>
      <w:r w:rsidR="001017C1">
        <w:t xml:space="preserve">where </w:t>
      </w:r>
      <w:r w:rsidR="00F05124">
        <w:t>this Code</w:t>
      </w:r>
      <w:r>
        <w:t xml:space="preserve"> or the Grid Code </w:t>
      </w:r>
      <w:r w:rsidR="000F5FC4">
        <w:t xml:space="preserve">requires </w:t>
      </w:r>
      <w:r>
        <w:t xml:space="preserve">that such report </w:t>
      </w:r>
      <w:r w:rsidR="00646727">
        <w:t xml:space="preserve">shall </w:t>
      </w:r>
      <w:r>
        <w:t xml:space="preserve">be </w:t>
      </w:r>
      <w:r w:rsidR="000F5FC4">
        <w:t xml:space="preserve">provided </w:t>
      </w:r>
      <w:r>
        <w:t>to</w:t>
      </w:r>
      <w:r w:rsidR="000F5FC4">
        <w:t xml:space="preserve"> the</w:t>
      </w:r>
      <w:r>
        <w:t xml:space="preserve"> </w:t>
      </w:r>
      <w:r w:rsidR="006A2849">
        <w:t xml:space="preserve">Market </w:t>
      </w:r>
      <w:r>
        <w:t>Participants;</w:t>
      </w:r>
    </w:p>
    <w:p w14:paraId="6DBE4D11" w14:textId="7B6F80DE" w:rsidR="00DC2DA0" w:rsidRDefault="000F5FC4" w:rsidP="00B03234">
      <w:pPr>
        <w:pStyle w:val="Heading5"/>
      </w:pPr>
      <w:r>
        <w:t xml:space="preserve">Compensations for </w:t>
      </w:r>
      <w:r w:rsidR="00DC2DA0">
        <w:t>Ancillary Services;</w:t>
      </w:r>
    </w:p>
    <w:p w14:paraId="389F76D8" w14:textId="7FAFCE96" w:rsidR="00DC2DA0" w:rsidRDefault="00DC2DA0" w:rsidP="00B03234">
      <w:pPr>
        <w:pStyle w:val="Heading5"/>
      </w:pPr>
      <w:r>
        <w:t xml:space="preserve">Expected and actual Must Run Generation, and its </w:t>
      </w:r>
      <w:r w:rsidR="000F5FC4">
        <w:t>compensations</w:t>
      </w:r>
      <w:r>
        <w:t xml:space="preserve">; </w:t>
      </w:r>
    </w:p>
    <w:p w14:paraId="7AE3410C" w14:textId="2D3E3AE5" w:rsidR="00DC2DA0" w:rsidRDefault="00DC2DA0" w:rsidP="005B295A">
      <w:pPr>
        <w:pStyle w:val="Heading4"/>
      </w:pPr>
      <w:r>
        <w:t xml:space="preserve">No </w:t>
      </w:r>
      <w:r w:rsidR="00523A76">
        <w:t>Market Participant</w:t>
      </w:r>
      <w:r w:rsidR="00E42645">
        <w:t>,</w:t>
      </w:r>
      <w:r w:rsidR="00EE582E">
        <w:t xml:space="preserve">  Service Provider</w:t>
      </w:r>
      <w:r w:rsidR="00E42645">
        <w:t>,</w:t>
      </w:r>
      <w:r>
        <w:t xml:space="preserve"> the System Operator or the Market Operator:</w:t>
      </w:r>
    </w:p>
    <w:p w14:paraId="7B435481" w14:textId="1B94848B" w:rsidR="00DC2DA0" w:rsidRDefault="00DC2DA0" w:rsidP="00B03234">
      <w:pPr>
        <w:pStyle w:val="Heading5"/>
      </w:pPr>
      <w:r>
        <w:lastRenderedPageBreak/>
        <w:t xml:space="preserve">shall disclose Confidential Information to any person, except as expressly permitted by </w:t>
      </w:r>
      <w:r w:rsidR="00F05124">
        <w:t>this Code</w:t>
      </w:r>
      <w:r>
        <w:t>;</w:t>
      </w:r>
    </w:p>
    <w:p w14:paraId="610DCF79" w14:textId="7B1A9148" w:rsidR="00DC2DA0" w:rsidRDefault="00DC2DA0" w:rsidP="00B03234">
      <w:pPr>
        <w:pStyle w:val="Heading5"/>
      </w:pPr>
      <w:r>
        <w:t xml:space="preserve">shall permit access to Confidential Information by any person not authorized to have such access pursuant to </w:t>
      </w:r>
      <w:r w:rsidR="00F05124">
        <w:t>this Code</w:t>
      </w:r>
      <w:r>
        <w:t>; and</w:t>
      </w:r>
    </w:p>
    <w:p w14:paraId="69DD4379" w14:textId="47663F0E" w:rsidR="00DC2DA0" w:rsidRDefault="00DC2DA0" w:rsidP="00B03234">
      <w:pPr>
        <w:pStyle w:val="Heading5"/>
      </w:pPr>
      <w:r>
        <w:t xml:space="preserve">shall use or reproduce Confidential Information for a purpose other than the purpose for which it was </w:t>
      </w:r>
      <w:r w:rsidR="00401840">
        <w:t>disclosed,</w:t>
      </w:r>
      <w:r>
        <w:t xml:space="preserve"> or another purpose contemplated by </w:t>
      </w:r>
      <w:r w:rsidR="00F05124">
        <w:t>this Code</w:t>
      </w:r>
      <w:r w:rsidR="006A2849">
        <w:t xml:space="preserve">. </w:t>
      </w:r>
    </w:p>
    <w:p w14:paraId="5EB7F2CA" w14:textId="388DCA16" w:rsidR="00DC2DA0" w:rsidRDefault="00DC2DA0" w:rsidP="00B03C4A">
      <w:pPr>
        <w:pStyle w:val="Heading4"/>
      </w:pPr>
      <w:r>
        <w:t xml:space="preserve">The Market Operator shall </w:t>
      </w:r>
      <w:r w:rsidR="00401840">
        <w:t xml:space="preserve">establish and </w:t>
      </w:r>
      <w:r>
        <w:t>maintain internal</w:t>
      </w:r>
      <w:r w:rsidR="00401840">
        <w:t xml:space="preserve"> controls and</w:t>
      </w:r>
      <w:r>
        <w:t xml:space="preserve"> measures, including measures relating to the protection of Confidential Information that enable the Market Operator to </w:t>
      </w:r>
      <w:r w:rsidR="0014385A">
        <w:t xml:space="preserve">monitor and </w:t>
      </w:r>
      <w:r>
        <w:t xml:space="preserve">comply </w:t>
      </w:r>
      <w:r w:rsidR="00401840">
        <w:t>with its obligations</w:t>
      </w:r>
      <w:r w:rsidR="006A2849">
        <w:t>.</w:t>
      </w:r>
    </w:p>
    <w:p w14:paraId="0A8AA821" w14:textId="3DA9632E" w:rsidR="006A2849" w:rsidRDefault="006A2849" w:rsidP="006A2849">
      <w:pPr>
        <w:pStyle w:val="Heading3"/>
      </w:pPr>
      <w:r>
        <w:t>Exceptions</w:t>
      </w:r>
    </w:p>
    <w:p w14:paraId="0460B689" w14:textId="217F223C" w:rsidR="006A2849" w:rsidRDefault="006A2849" w:rsidP="005B295A">
      <w:pPr>
        <w:pStyle w:val="Heading4"/>
      </w:pPr>
      <w:bookmarkStart w:id="980" w:name="_Ref61200342"/>
      <w:r>
        <w:t xml:space="preserve">Unless prohibited by </w:t>
      </w:r>
      <w:r w:rsidR="00E42645">
        <w:t xml:space="preserve">the </w:t>
      </w:r>
      <w:r>
        <w:t>Applicable Law</w:t>
      </w:r>
      <w:r w:rsidR="00E42645">
        <w:t>,</w:t>
      </w:r>
      <w:r>
        <w:t xml:space="preserve"> nothing in </w:t>
      </w:r>
      <w:r w:rsidR="001553A6">
        <w:t>th</w:t>
      </w:r>
      <w:r w:rsidR="0014385A">
        <w:t>is</w:t>
      </w:r>
      <w:r w:rsidR="001553A6">
        <w:t xml:space="preserve"> </w:t>
      </w:r>
      <w:r w:rsidR="00F64A42">
        <w:t>Code</w:t>
      </w:r>
      <w:r w:rsidR="001553A6">
        <w:t xml:space="preserve"> </w:t>
      </w:r>
      <w:r>
        <w:t>shall prevent:</w:t>
      </w:r>
      <w:bookmarkEnd w:id="980"/>
    </w:p>
    <w:p w14:paraId="0D475042" w14:textId="34CD7292" w:rsidR="006A2849" w:rsidRDefault="006A2849" w:rsidP="00B03234">
      <w:pPr>
        <w:pStyle w:val="Heading5"/>
      </w:pPr>
      <w:r>
        <w:t>the disclosure, use or reproduction of information</w:t>
      </w:r>
      <w:r w:rsidR="0014385A">
        <w:t>,</w:t>
      </w:r>
      <w:r>
        <w:t xml:space="preserve"> if the information is, at the time of disclosure, generally and publicly available other than as a result of a breach of confidence by </w:t>
      </w:r>
      <w:r w:rsidR="0014385A">
        <w:t xml:space="preserve">a </w:t>
      </w:r>
      <w:r w:rsidR="001553A6">
        <w:t xml:space="preserve">Market </w:t>
      </w:r>
      <w:r>
        <w:t>Participant or the Market Operator;</w:t>
      </w:r>
    </w:p>
    <w:p w14:paraId="03DEA715" w14:textId="2E0682E7" w:rsidR="006A2849" w:rsidRDefault="006A2849" w:rsidP="00B03234">
      <w:pPr>
        <w:pStyle w:val="Heading5"/>
      </w:pPr>
      <w:bookmarkStart w:id="981" w:name="_Ref61200411"/>
      <w:r>
        <w:t xml:space="preserve">the disclosure of Confidential Information by a </w:t>
      </w:r>
      <w:r w:rsidR="001553A6">
        <w:t xml:space="preserve">Market </w:t>
      </w:r>
      <w:r>
        <w:t>Participant or the Market Operator to:</w:t>
      </w:r>
      <w:bookmarkEnd w:id="981"/>
    </w:p>
    <w:p w14:paraId="0FBC7F76" w14:textId="5E9DD720" w:rsidR="006A2849" w:rsidRDefault="006A2849" w:rsidP="00CF7164">
      <w:pPr>
        <w:pStyle w:val="Heading6"/>
      </w:pPr>
      <w:r>
        <w:t>its director or employee, where such director or employee requires the Confidential Information for the due performance of that person’s duties and responsibilities; or</w:t>
      </w:r>
    </w:p>
    <w:p w14:paraId="4D729980" w14:textId="7CF2C48F" w:rsidR="006A2849" w:rsidRDefault="001553A6" w:rsidP="00CF7164">
      <w:pPr>
        <w:pStyle w:val="Heading6"/>
      </w:pPr>
      <w:r>
        <w:t>i</w:t>
      </w:r>
      <w:r w:rsidR="006A2849">
        <w:t xml:space="preserve">ts legal or other professional advisor, auditor or other consultant, where such legal or other professional advisor, auditor or other consultant requires the information for purposes of </w:t>
      </w:r>
      <w:r w:rsidR="00F05124">
        <w:t>this Code</w:t>
      </w:r>
      <w:r w:rsidR="006A2849">
        <w:t xml:space="preserve">, or for the purpose of advising the </w:t>
      </w:r>
      <w:r>
        <w:t xml:space="preserve">Market </w:t>
      </w:r>
      <w:r w:rsidR="006A2849">
        <w:t xml:space="preserve">Participant </w:t>
      </w:r>
      <w:r>
        <w:t>or</w:t>
      </w:r>
      <w:r w:rsidR="006A2849">
        <w:t xml:space="preserve"> the Market Operator in relation thereto; </w:t>
      </w:r>
    </w:p>
    <w:p w14:paraId="40778FDA" w14:textId="6C983811" w:rsidR="006A2849" w:rsidRDefault="006A2849" w:rsidP="00B03234">
      <w:pPr>
        <w:pStyle w:val="Heading5"/>
      </w:pPr>
      <w:r>
        <w:t>the disclosure, use or reproduction of Confidential Information:</w:t>
      </w:r>
    </w:p>
    <w:p w14:paraId="45D67B8E" w14:textId="09CCC41E" w:rsidR="006A2849" w:rsidRDefault="006A2849" w:rsidP="00CF7164">
      <w:pPr>
        <w:pStyle w:val="Heading6"/>
      </w:pPr>
      <w:r>
        <w:t xml:space="preserve">by the </w:t>
      </w:r>
      <w:r w:rsidR="001553A6">
        <w:t xml:space="preserve">Market </w:t>
      </w:r>
      <w:r>
        <w:t>Participant that provided the Confidential Information;</w:t>
      </w:r>
    </w:p>
    <w:p w14:paraId="504EDCDD" w14:textId="0F8C627B" w:rsidR="006A2849" w:rsidRDefault="006A2849" w:rsidP="00CF7164">
      <w:pPr>
        <w:pStyle w:val="Heading6"/>
      </w:pPr>
      <w:r>
        <w:t xml:space="preserve">with the consent of the </w:t>
      </w:r>
      <w:r w:rsidR="001553A6">
        <w:t xml:space="preserve">Market </w:t>
      </w:r>
      <w:r>
        <w:t>Participant that provided the Confidential Information; or</w:t>
      </w:r>
    </w:p>
    <w:p w14:paraId="7C7BE1CC" w14:textId="4C54D605" w:rsidR="006A2849" w:rsidRDefault="006A2849" w:rsidP="00CF7164">
      <w:pPr>
        <w:pStyle w:val="Heading6"/>
      </w:pPr>
      <w:r>
        <w:t xml:space="preserve">in the case of Settlement Data or Metering Data, by or with the consent of the </w:t>
      </w:r>
      <w:r w:rsidR="001553A6">
        <w:t xml:space="preserve">Market </w:t>
      </w:r>
      <w:r>
        <w:t>Participant to whom such data relates</w:t>
      </w:r>
      <w:r w:rsidR="00DC6182">
        <w:t>.</w:t>
      </w:r>
    </w:p>
    <w:p w14:paraId="03DF7778" w14:textId="5A74D3D7" w:rsidR="006A2849" w:rsidRDefault="006A2849" w:rsidP="00B03234">
      <w:pPr>
        <w:pStyle w:val="Heading5"/>
      </w:pPr>
      <w:r>
        <w:t>the disclosure, use or reproduction of Confidential Information to the extent required by Applicable Law or by a lawful requirement of</w:t>
      </w:r>
      <w:r w:rsidR="001553A6">
        <w:t xml:space="preserve"> </w:t>
      </w:r>
      <w:r>
        <w:t xml:space="preserve">any government or governmental body, regulatory body, authority or agency having jurisdiction over a </w:t>
      </w:r>
      <w:r w:rsidR="001553A6">
        <w:t xml:space="preserve">Market </w:t>
      </w:r>
      <w:r>
        <w:t xml:space="preserve">Participant or the Market </w:t>
      </w:r>
      <w:r w:rsidR="001553A6">
        <w:t>Operator.</w:t>
      </w:r>
    </w:p>
    <w:p w14:paraId="4F0EC246" w14:textId="48B10E06" w:rsidR="006A2849" w:rsidRDefault="00DC6182" w:rsidP="00B03234">
      <w:pPr>
        <w:pStyle w:val="Heading5"/>
      </w:pPr>
      <w:r>
        <w:t>t</w:t>
      </w:r>
      <w:r w:rsidR="006A2849">
        <w:t>he</w:t>
      </w:r>
      <w:r>
        <w:t xml:space="preserve"> </w:t>
      </w:r>
      <w:r w:rsidR="006A2849">
        <w:t xml:space="preserve">disclosure, use or reproduction of Confidential Information if required in connection with legal proceedings, mediation, arbitration, expert determination or other dispute resolution mechanism relating to </w:t>
      </w:r>
      <w:r w:rsidR="00F05124">
        <w:t>this Code</w:t>
      </w:r>
      <w:r w:rsidR="0014385A">
        <w:t>,</w:t>
      </w:r>
      <w:r w:rsidR="006A2849">
        <w:t xml:space="preserve"> or for the purpose of advising a person in relation thereto;</w:t>
      </w:r>
      <w:r w:rsidR="001F3266">
        <w:t xml:space="preserve"> and</w:t>
      </w:r>
    </w:p>
    <w:p w14:paraId="043FDCBD" w14:textId="1E9EC1A2" w:rsidR="006A2849" w:rsidRDefault="006A2849" w:rsidP="00B03234">
      <w:pPr>
        <w:pStyle w:val="Heading5"/>
      </w:pPr>
      <w:r>
        <w:t>the disclosure of Confidential Information</w:t>
      </w:r>
      <w:r w:rsidR="0014385A">
        <w:t>,</w:t>
      </w:r>
      <w:r>
        <w:t xml:space="preserve"> if required to protect the health or safety of personnel, equipment or </w:t>
      </w:r>
      <w:commentRangeStart w:id="982"/>
      <w:r w:rsidRPr="00B03C4A">
        <w:rPr>
          <w:highlight w:val="yellow"/>
        </w:rPr>
        <w:t>the environment</w:t>
      </w:r>
      <w:commentRangeEnd w:id="982"/>
      <w:r w:rsidR="001017C1">
        <w:rPr>
          <w:rStyle w:val="CommentReference"/>
          <w:rFonts w:eastAsiaTheme="minorHAnsi" w:cstheme="minorBidi"/>
          <w:color w:val="1C1C1C"/>
        </w:rPr>
        <w:commentReference w:id="982"/>
      </w:r>
      <w:r>
        <w:t>;</w:t>
      </w:r>
    </w:p>
    <w:p w14:paraId="14EF1A2F" w14:textId="2EEC9F77" w:rsidR="001F3266" w:rsidRPr="005D5790" w:rsidRDefault="001F3266" w:rsidP="004232C3">
      <w:pPr>
        <w:pStyle w:val="Heading3"/>
      </w:pPr>
      <w:r w:rsidRPr="005D5790">
        <w:t xml:space="preserve">Cost of Access and Electronic Data </w:t>
      </w:r>
      <w:r w:rsidR="00354129">
        <w:t xml:space="preserve"> Receiving and </w:t>
      </w:r>
      <w:r w:rsidRPr="005D5790">
        <w:t>Sharing</w:t>
      </w:r>
    </w:p>
    <w:p w14:paraId="733EEB51" w14:textId="46AE51ED" w:rsidR="002A355F" w:rsidRDefault="002A355F" w:rsidP="005B295A">
      <w:pPr>
        <w:pStyle w:val="Heading4"/>
      </w:pPr>
      <w:r>
        <w:t xml:space="preserve">Nothing in this </w:t>
      </w:r>
      <w:r w:rsidR="001F3266">
        <w:t>Code</w:t>
      </w:r>
      <w:r>
        <w:t xml:space="preserve"> shall prevent information which is made available by means of electronic communications from being provided on a read-only basis.</w:t>
      </w:r>
    </w:p>
    <w:p w14:paraId="2889C5B2" w14:textId="13D629E6" w:rsidR="00354129" w:rsidRPr="00354129" w:rsidRDefault="00354129">
      <w:pPr>
        <w:pStyle w:val="Heading4"/>
      </w:pPr>
      <w:r>
        <w:t xml:space="preserve">Nothing in this Code shall prevent the Market Operator from issuing or receiving any information or documents through electronic means. </w:t>
      </w:r>
    </w:p>
    <w:p w14:paraId="4FD66628" w14:textId="4B73E4DB" w:rsidR="002A355F" w:rsidRDefault="002A355F" w:rsidP="005B295A">
      <w:pPr>
        <w:pStyle w:val="Heading4"/>
      </w:pPr>
      <w:r>
        <w:t xml:space="preserve">Each </w:t>
      </w:r>
      <w:r w:rsidR="00523A76">
        <w:t>Market Participant</w:t>
      </w:r>
      <w:r>
        <w:t xml:space="preserve"> and any other person accessing, retrieving or storing information </w:t>
      </w:r>
      <w:r w:rsidR="00A3059C">
        <w:t>p</w:t>
      </w:r>
      <w:r>
        <w:t>ublished or otherwise made available by the Market Operator shall be responsible for its own costs of accessing, retrieving or storing such information.</w:t>
      </w:r>
    </w:p>
    <w:p w14:paraId="3702726F" w14:textId="24BEA126" w:rsidR="0014385A" w:rsidRPr="0014385A" w:rsidRDefault="0014385A">
      <w:pPr>
        <w:pStyle w:val="Heading4"/>
      </w:pPr>
      <w:r>
        <w:t>The Market Operator may charge a fee</w:t>
      </w:r>
      <w:r w:rsidR="007E469A">
        <w:t>,</w:t>
      </w:r>
      <w:r>
        <w:t xml:space="preserve"> as determined from time to time</w:t>
      </w:r>
      <w:r w:rsidR="007E469A">
        <w:t>,</w:t>
      </w:r>
      <w:r>
        <w:t xml:space="preserve"> for provision of any information or documents pursuant to this Code.</w:t>
      </w:r>
    </w:p>
    <w:p w14:paraId="1B0614BB" w14:textId="77777777" w:rsidR="00293F8F" w:rsidRDefault="00293F8F">
      <w:pPr>
        <w:spacing w:line="240" w:lineRule="auto"/>
        <w:rPr>
          <w:rFonts w:eastAsiaTheme="majorEastAsia" w:cstheme="majorBidi"/>
          <w:b/>
          <w:bCs/>
          <w:smallCaps/>
          <w:color w:val="00153F" w:themeColor="accent1" w:themeShade="80"/>
          <w:sz w:val="34"/>
          <w:szCs w:val="32"/>
        </w:rPr>
      </w:pPr>
      <w:r>
        <w:br w:type="page"/>
      </w:r>
    </w:p>
    <w:p w14:paraId="16364F98" w14:textId="1D6DD9DC" w:rsidR="00293F8F" w:rsidRDefault="00BD3499" w:rsidP="00A40A5D">
      <w:pPr>
        <w:pStyle w:val="Heading1"/>
      </w:pPr>
      <w:bookmarkStart w:id="983" w:name="_Ref53084935"/>
      <w:bookmarkStart w:id="984" w:name="_Toc64846741"/>
      <w:bookmarkStart w:id="985" w:name="_Toc69477041"/>
      <w:r>
        <w:t>MISCELLANEOUS</w:t>
      </w:r>
      <w:r w:rsidR="00BE350A">
        <w:t xml:space="preserve">, </w:t>
      </w:r>
      <w:r w:rsidR="00AE719C">
        <w:t xml:space="preserve">COMPLEMENTARY AND </w:t>
      </w:r>
      <w:r w:rsidR="00293F8F">
        <w:t>TRANSITORY PROVISIONS</w:t>
      </w:r>
      <w:bookmarkEnd w:id="983"/>
      <w:bookmarkEnd w:id="984"/>
      <w:bookmarkEnd w:id="985"/>
    </w:p>
    <w:p w14:paraId="72BC5907" w14:textId="0E69F883" w:rsidR="00AE719C" w:rsidRDefault="00AE719C" w:rsidP="000172BF">
      <w:pPr>
        <w:pStyle w:val="Heading2"/>
        <w:rPr>
          <w:lang w:val="en-US"/>
        </w:rPr>
      </w:pPr>
      <w:bookmarkStart w:id="986" w:name="_Toc64116018"/>
      <w:bookmarkStart w:id="987" w:name="_Toc64116371"/>
      <w:bookmarkStart w:id="988" w:name="_Toc64846742"/>
      <w:bookmarkStart w:id="989" w:name="_Toc69477042"/>
      <w:bookmarkEnd w:id="986"/>
      <w:bookmarkEnd w:id="987"/>
      <w:r>
        <w:rPr>
          <w:lang w:val="en-US"/>
        </w:rPr>
        <w:t>Supplementary Provisions</w:t>
      </w:r>
      <w:bookmarkEnd w:id="988"/>
      <w:bookmarkEnd w:id="989"/>
    </w:p>
    <w:p w14:paraId="126F7323" w14:textId="3A349606" w:rsidR="00124A03" w:rsidRDefault="00124A03" w:rsidP="00124A03">
      <w:pPr>
        <w:pStyle w:val="Heading3"/>
        <w:rPr>
          <w:lang w:val="en-US"/>
        </w:rPr>
      </w:pPr>
      <w:r>
        <w:rPr>
          <w:lang w:val="en-US"/>
        </w:rPr>
        <w:t>Market Participants Holding Multiple Licenses or Authorizations</w:t>
      </w:r>
    </w:p>
    <w:p w14:paraId="03F33405" w14:textId="7C5BA1BD" w:rsidR="004D2EB1" w:rsidRDefault="007E469A" w:rsidP="005B295A">
      <w:pPr>
        <w:pStyle w:val="Heading4"/>
      </w:pPr>
      <w:r>
        <w:t>Wherever</w:t>
      </w:r>
      <w:r w:rsidRPr="00254C6E">
        <w:t xml:space="preserve"> </w:t>
      </w:r>
      <w:r w:rsidR="004A4556" w:rsidRPr="00254C6E">
        <w:t xml:space="preserve">a Section, </w:t>
      </w:r>
      <w:r w:rsidR="008C02F7">
        <w:t>Sub-Section</w:t>
      </w:r>
      <w:r w:rsidR="004A4556" w:rsidRPr="00254C6E">
        <w:t xml:space="preserve">, Clause or provision of </w:t>
      </w:r>
      <w:r w:rsidR="00F05124">
        <w:t>this Code</w:t>
      </w:r>
      <w:r w:rsidR="004A4556" w:rsidRPr="00254C6E">
        <w:t xml:space="preserve"> </w:t>
      </w:r>
      <w:r>
        <w:t>is applicable</w:t>
      </w:r>
      <w:r w:rsidRPr="00254C6E">
        <w:t xml:space="preserve"> </w:t>
      </w:r>
      <w:r w:rsidR="004A4556" w:rsidRPr="00254C6E">
        <w:t>to</w:t>
      </w:r>
      <w:r w:rsidR="004D2EB1">
        <w:t xml:space="preserve"> a specific Category of Market Participant and/or it is used in any kind of </w:t>
      </w:r>
      <w:r w:rsidR="004D2EB1" w:rsidRPr="00EE582E">
        <w:t xml:space="preserve">calculation, </w:t>
      </w:r>
      <w:bookmarkStart w:id="990" w:name="_Hlk67429460"/>
      <w:r w:rsidR="004D2EB1" w:rsidRPr="00EE582E">
        <w:t xml:space="preserve">it shall be interpreted </w:t>
      </w:r>
      <w:r w:rsidR="00EE582E" w:rsidRPr="00EE582E">
        <w:t xml:space="preserve">as applicable to all Market Participants belonging to such Category, and the provisions </w:t>
      </w:r>
      <w:r w:rsidR="004D2EB1" w:rsidRPr="00EE582E">
        <w:t>shall be construed accordingly.</w:t>
      </w:r>
      <w:r w:rsidR="004D2EB1">
        <w:t xml:space="preserve"> </w:t>
      </w:r>
      <w:bookmarkEnd w:id="990"/>
    </w:p>
    <w:p w14:paraId="05ADAB47" w14:textId="0361EC17" w:rsidR="00DF5FDF" w:rsidRDefault="00DF5FDF" w:rsidP="005B295A">
      <w:pPr>
        <w:pStyle w:val="Heading4"/>
      </w:pPr>
      <w:bookmarkStart w:id="991" w:name="_Ref64562478"/>
      <w:r>
        <w:t>Where a Market Participant</w:t>
      </w:r>
      <w:r w:rsidR="007E469A">
        <w:t xml:space="preserve">, in addition to any other License, </w:t>
      </w:r>
      <w:r>
        <w:t xml:space="preserve">is also </w:t>
      </w:r>
      <w:r w:rsidR="00520202">
        <w:t>License</w:t>
      </w:r>
      <w:r>
        <w:t xml:space="preserve">d as </w:t>
      </w:r>
      <w:r w:rsidR="007E469A">
        <w:t xml:space="preserve">a </w:t>
      </w:r>
      <w:r>
        <w:t xml:space="preserve">Transmission or Distribution Network Service Provider, </w:t>
      </w:r>
      <w:r w:rsidR="007E469A">
        <w:t xml:space="preserve">the </w:t>
      </w:r>
      <w:r>
        <w:t>Metering Points shall be established at:</w:t>
      </w:r>
      <w:bookmarkEnd w:id="991"/>
      <w:r>
        <w:t xml:space="preserve"> </w:t>
      </w:r>
    </w:p>
    <w:p w14:paraId="1DA28E18" w14:textId="4E0C3761" w:rsidR="00DF5FDF" w:rsidRDefault="00DF5FDF" w:rsidP="00B03234">
      <w:pPr>
        <w:pStyle w:val="Heading5"/>
      </w:pPr>
      <w:r>
        <w:t>The interface between a Generat</w:t>
      </w:r>
      <w:r w:rsidR="00A57896">
        <w:t>i</w:t>
      </w:r>
      <w:r>
        <w:t>o</w:t>
      </w:r>
      <w:r w:rsidR="00A3059C">
        <w:t>n</w:t>
      </w:r>
      <w:r>
        <w:t xml:space="preserve"> Plant and/or Generation Unit, as </w:t>
      </w:r>
      <w:r w:rsidR="007E469A">
        <w:t>applicable</w:t>
      </w:r>
      <w:r>
        <w:t xml:space="preserve">, and the Transmission or Distribution </w:t>
      </w:r>
      <w:r w:rsidR="0017695C">
        <w:t>Network; and</w:t>
      </w:r>
    </w:p>
    <w:p w14:paraId="6747FBB9" w14:textId="45B5584F" w:rsidR="00DF5FDF" w:rsidRDefault="00DF5FDF" w:rsidP="00B03234">
      <w:pPr>
        <w:pStyle w:val="Heading5"/>
      </w:pPr>
      <w:bookmarkStart w:id="992" w:name="_Ref64562940"/>
      <w:r>
        <w:t xml:space="preserve">Any other point within the Transmission or Distribution Network </w:t>
      </w:r>
      <w:r w:rsidR="0017695C">
        <w:t xml:space="preserve">that the Market Operator or the System Operator considers necessary, for the appropriate implementation of </w:t>
      </w:r>
      <w:r w:rsidR="00F05124">
        <w:t>this Code</w:t>
      </w:r>
      <w:r w:rsidR="007E469A">
        <w:t>;</w:t>
      </w:r>
      <w:bookmarkEnd w:id="992"/>
      <w:r w:rsidR="0017695C">
        <w:t xml:space="preserve"> </w:t>
      </w:r>
    </w:p>
    <w:p w14:paraId="4AB66053" w14:textId="197EB093" w:rsidR="0017695C" w:rsidRPr="0017695C" w:rsidRDefault="0017695C" w:rsidP="00BD3499">
      <w:pPr>
        <w:pStyle w:val="Heading5"/>
      </w:pPr>
      <w:r>
        <w:t>Commercial Metering System shall be installed at such locations</w:t>
      </w:r>
      <w:r w:rsidR="00BD3499">
        <w:t xml:space="preserve"> as mentioned in Clause (a) and (b)</w:t>
      </w:r>
      <w:r>
        <w:t xml:space="preserve">, </w:t>
      </w:r>
      <w:r w:rsidR="005A3B71">
        <w:t>regardless</w:t>
      </w:r>
      <w:r>
        <w:t xml:space="preserve"> there </w:t>
      </w:r>
      <w:r w:rsidR="005A3B71">
        <w:t>are</w:t>
      </w:r>
      <w:r>
        <w:t xml:space="preserve"> </w:t>
      </w:r>
      <w:r w:rsidR="00A57896">
        <w:t>any</w:t>
      </w:r>
      <w:r>
        <w:t xml:space="preserve"> commercial </w:t>
      </w:r>
      <w:r w:rsidR="007E469A">
        <w:t>transactions</w:t>
      </w:r>
      <w:r>
        <w:t xml:space="preserve"> at these points.  </w:t>
      </w:r>
    </w:p>
    <w:p w14:paraId="7CD015AE" w14:textId="2C48A3D6" w:rsidR="0017695C" w:rsidRDefault="0017695C" w:rsidP="005B295A">
      <w:pPr>
        <w:pStyle w:val="Heading4"/>
      </w:pPr>
      <w:r>
        <w:t xml:space="preserve">While processing the Application submitted by an Applicant, which also holds a Transmission or Distribution License, the Market Operator shall determine, in consultation with the System Operator, the points in the network referred to in Clause </w:t>
      </w:r>
      <w:r>
        <w:fldChar w:fldCharType="begin"/>
      </w:r>
      <w:r>
        <w:instrText xml:space="preserve"> REF _Ref64562940 \w \h  \* MERGEFORMAT </w:instrText>
      </w:r>
      <w:r>
        <w:fldChar w:fldCharType="separate"/>
      </w:r>
      <w:r w:rsidR="00251DBF">
        <w:t>19.1.1.2.b)</w:t>
      </w:r>
      <w:r>
        <w:fldChar w:fldCharType="end"/>
      </w:r>
      <w:r>
        <w:t xml:space="preserve"> at which Commercial Metering System shall be installed. The Market Operator is entitled to withhold the </w:t>
      </w:r>
      <w:r w:rsidR="004D62BC">
        <w:t>r</w:t>
      </w:r>
      <w:r>
        <w:t xml:space="preserve">egistration of such Applicant, in one or more of the Categories requested by the Applicant, until the required Commercial Metering Systems are properly installed and commissioned. </w:t>
      </w:r>
    </w:p>
    <w:p w14:paraId="2C46E604" w14:textId="3B9AE347" w:rsidR="00130F30" w:rsidRDefault="00AE719C" w:rsidP="000172BF">
      <w:pPr>
        <w:pStyle w:val="Heading2"/>
        <w:rPr>
          <w:lang w:val="en-US"/>
        </w:rPr>
      </w:pPr>
      <w:bookmarkStart w:id="993" w:name="_Toc64846743"/>
      <w:bookmarkStart w:id="994" w:name="_Toc69477043"/>
      <w:r>
        <w:rPr>
          <w:lang w:val="en-US"/>
        </w:rPr>
        <w:t>Transitory Provisions</w:t>
      </w:r>
      <w:bookmarkEnd w:id="993"/>
      <w:bookmarkEnd w:id="994"/>
    </w:p>
    <w:p w14:paraId="3DADD247" w14:textId="260EF2D0" w:rsidR="00685340" w:rsidRDefault="00685340" w:rsidP="00685340">
      <w:pPr>
        <w:pStyle w:val="Heading3"/>
      </w:pPr>
      <w:r w:rsidRPr="00685340">
        <w:t>Initial Metering Service Provider</w:t>
      </w:r>
    </w:p>
    <w:p w14:paraId="4FA3E224" w14:textId="4F807A56" w:rsidR="0058095A" w:rsidRDefault="00BA0047" w:rsidP="00722CA1">
      <w:pPr>
        <w:pStyle w:val="Heading4"/>
      </w:pPr>
      <w:bookmarkStart w:id="995" w:name="_Ref64316838"/>
      <w:r>
        <w:t xml:space="preserve">Prior to the CMOD, the National Transmission and Despatch Company shall be registered </w:t>
      </w:r>
      <w:r w:rsidR="00BC5B11">
        <w:t xml:space="preserve">with the Market Operator </w:t>
      </w:r>
      <w:r>
        <w:t xml:space="preserve">as a sole Metering Service Provider </w:t>
      </w:r>
      <w:r w:rsidR="0058095A">
        <w:t xml:space="preserve">in order to perform the functions of a Metering Service </w:t>
      </w:r>
      <w:r w:rsidR="00581C1B">
        <w:t>P</w:t>
      </w:r>
      <w:r w:rsidR="0058095A">
        <w:t xml:space="preserve">rovider as </w:t>
      </w:r>
      <w:r w:rsidR="00581C1B">
        <w:t>set out</w:t>
      </w:r>
      <w:r w:rsidR="0058095A">
        <w:t xml:space="preserve"> in this Code </w:t>
      </w:r>
      <w:r w:rsidR="00581C1B">
        <w:t>as well as</w:t>
      </w:r>
      <w:r w:rsidR="0058095A">
        <w:t xml:space="preserve"> the Grid Code</w:t>
      </w:r>
      <w:r w:rsidR="00685340">
        <w:t>.</w:t>
      </w:r>
      <w:bookmarkEnd w:id="995"/>
      <w:r>
        <w:t xml:space="preserve"> </w:t>
      </w:r>
      <w:r w:rsidR="0058095A">
        <w:t xml:space="preserve">With the progress of the Market, other Metering Service Providers may also be registered with the Market Operator. </w:t>
      </w:r>
    </w:p>
    <w:p w14:paraId="09E9C404" w14:textId="6EAA16EF" w:rsidR="001017C1" w:rsidRDefault="001017C1" w:rsidP="001017C1">
      <w:pPr>
        <w:pStyle w:val="Heading3"/>
      </w:pPr>
      <w:r w:rsidRPr="00685340">
        <w:t xml:space="preserve">Initial </w:t>
      </w:r>
      <w:r>
        <w:t>Cap on transmission loss of K-electric</w:t>
      </w:r>
    </w:p>
    <w:p w14:paraId="0E3EC2BE" w14:textId="575B1BE2" w:rsidR="001017C1" w:rsidRPr="000E633F" w:rsidRDefault="001017C1" w:rsidP="00B03C4A">
      <w:pPr>
        <w:pStyle w:val="Heading4"/>
      </w:pPr>
      <w:r>
        <w:t xml:space="preserve">Till the time, the Authority determines a separate cap on the transmission loss of K-Electric, a value of </w:t>
      </w:r>
      <w:commentRangeStart w:id="996"/>
      <w:r>
        <w:t xml:space="preserve">[1%] </w:t>
      </w:r>
      <w:commentRangeEnd w:id="996"/>
      <w:r w:rsidR="00A032EA">
        <w:rPr>
          <w:rStyle w:val="CommentReference"/>
        </w:rPr>
        <w:commentReference w:id="996"/>
      </w:r>
      <w:r>
        <w:t>shall be used.</w:t>
      </w:r>
    </w:p>
    <w:p w14:paraId="74A062D9" w14:textId="11C8A927" w:rsidR="00A41758" w:rsidRDefault="00A41758" w:rsidP="00A41758">
      <w:pPr>
        <w:pStyle w:val="Heading3"/>
      </w:pPr>
      <w:bookmarkStart w:id="997" w:name="_Ref69926474"/>
      <w:r w:rsidRPr="006553D0">
        <w:t xml:space="preserve">Manual </w:t>
      </w:r>
      <w:r w:rsidR="00BC5B11">
        <w:t xml:space="preserve">Meter </w:t>
      </w:r>
      <w:r w:rsidRPr="006553D0">
        <w:t>Reading</w:t>
      </w:r>
      <w:bookmarkEnd w:id="997"/>
    </w:p>
    <w:p w14:paraId="063E6E1D" w14:textId="7F57119E" w:rsidR="00F0197F" w:rsidRDefault="00F0197F" w:rsidP="00A41758">
      <w:pPr>
        <w:pStyle w:val="Heading4"/>
      </w:pPr>
      <w:r>
        <w:t xml:space="preserve">All Metering Points shall be </w:t>
      </w:r>
      <w:r w:rsidR="00E44B55">
        <w:t>e</w:t>
      </w:r>
      <w:r w:rsidRPr="003A31EC">
        <w:t xml:space="preserve">quipped with hardware </w:t>
      </w:r>
      <w:r>
        <w:t xml:space="preserve">or software </w:t>
      </w:r>
      <w:r w:rsidRPr="003A31EC">
        <w:t xml:space="preserve">for remote reading and collection of metering data </w:t>
      </w:r>
      <w:r>
        <w:t>through the Secure</w:t>
      </w:r>
      <w:r w:rsidR="00BC5B11">
        <w:t>d</w:t>
      </w:r>
      <w:r>
        <w:t xml:space="preserve"> Metering System, as prescribed in Clause </w:t>
      </w:r>
      <w:r>
        <w:fldChar w:fldCharType="begin"/>
      </w:r>
      <w:r>
        <w:instrText xml:space="preserve"> REF _Ref69925597 \w \h </w:instrText>
      </w:r>
      <w:r>
        <w:fldChar w:fldCharType="separate"/>
      </w:r>
      <w:r>
        <w:t>5.2.1.2.c)</w:t>
      </w:r>
      <w:r>
        <w:fldChar w:fldCharType="end"/>
      </w:r>
      <w:r>
        <w:t xml:space="preserve"> and the Metering Service Provider shall make all efforts </w:t>
      </w:r>
      <w:r w:rsidR="00BD3499">
        <w:t xml:space="preserve">to </w:t>
      </w:r>
      <w:r>
        <w:t xml:space="preserve">comply with this requirement </w:t>
      </w:r>
      <w:r w:rsidR="00BC5B11">
        <w:t>prior to</w:t>
      </w:r>
      <w:r>
        <w:t xml:space="preserve"> the CMOD.</w:t>
      </w:r>
    </w:p>
    <w:p w14:paraId="47FD15F8" w14:textId="691210DD" w:rsidR="00A41758" w:rsidRDefault="00F0197F" w:rsidP="00A41758">
      <w:pPr>
        <w:pStyle w:val="Heading4"/>
      </w:pPr>
      <w:r>
        <w:t>T</w:t>
      </w:r>
      <w:r w:rsidR="00A41758" w:rsidRPr="003A31EC">
        <w:t>he Meter</w:t>
      </w:r>
      <w:r w:rsidR="00A41758">
        <w:t xml:space="preserve">ing Service Provider </w:t>
      </w:r>
      <w:r w:rsidR="00A41758" w:rsidRPr="003A31EC">
        <w:t xml:space="preserve">shall establish a schedule for Local Meter Reading from </w:t>
      </w:r>
      <w:r>
        <w:t xml:space="preserve">the </w:t>
      </w:r>
      <w:r w:rsidR="00A41758" w:rsidRPr="003A31EC">
        <w:t>Metering Points</w:t>
      </w:r>
      <w:r>
        <w:t xml:space="preserve"> where communication equipment has failed to electronically transmit the metering information to the database of the Metering Service Provider</w:t>
      </w:r>
      <w:r w:rsidR="00A41758">
        <w:t>.</w:t>
      </w:r>
      <w:r w:rsidR="00A41758" w:rsidRPr="003A31EC">
        <w:t xml:space="preserve"> </w:t>
      </w:r>
    </w:p>
    <w:p w14:paraId="22F6C5BA" w14:textId="751DE412" w:rsidR="009117E7" w:rsidRDefault="00A41758" w:rsidP="00A41758">
      <w:pPr>
        <w:pStyle w:val="Heading4"/>
      </w:pPr>
      <w:r w:rsidRPr="003A31EC">
        <w:t xml:space="preserve">The </w:t>
      </w:r>
      <w:r>
        <w:t xml:space="preserve">Metering Service Provider </w:t>
      </w:r>
      <w:r w:rsidRPr="003A31EC">
        <w:t xml:space="preserve">shall submit to the </w:t>
      </w:r>
      <w:r>
        <w:t>Market Operator</w:t>
      </w:r>
      <w:r w:rsidR="009117E7">
        <w:t xml:space="preserve"> a specific request for each Metering Point on which Local Meter Reading </w:t>
      </w:r>
      <w:r w:rsidR="00BD3499">
        <w:t xml:space="preserve">shall </w:t>
      </w:r>
      <w:r w:rsidR="009117E7">
        <w:t xml:space="preserve">be performed, along with: </w:t>
      </w:r>
    </w:p>
    <w:p w14:paraId="5FF559B1" w14:textId="16C37510" w:rsidR="009117E7" w:rsidRDefault="00BD3499" w:rsidP="009117E7">
      <w:pPr>
        <w:pStyle w:val="Heading5"/>
      </w:pPr>
      <w:r>
        <w:t>t</w:t>
      </w:r>
      <w:r w:rsidR="00A41758" w:rsidRPr="003A31EC">
        <w:t xml:space="preserve">he schedule and time for </w:t>
      </w:r>
      <w:r w:rsidR="009117E7">
        <w:t xml:space="preserve">each </w:t>
      </w:r>
      <w:r w:rsidR="00A41758" w:rsidRPr="003A31EC">
        <w:t>Meter reading</w:t>
      </w:r>
      <w:r w:rsidR="009117E7">
        <w:t>; and</w:t>
      </w:r>
    </w:p>
    <w:p w14:paraId="53409DBD" w14:textId="636E974A" w:rsidR="00A41758" w:rsidRDefault="00BD3499" w:rsidP="009117E7">
      <w:pPr>
        <w:pStyle w:val="Heading5"/>
      </w:pPr>
      <w:r>
        <w:t>a</w:t>
      </w:r>
      <w:r w:rsidR="009117E7">
        <w:t xml:space="preserve"> plan to correct the deficiencies, which may include the replacement of the Meter or the </w:t>
      </w:r>
      <w:r>
        <w:t xml:space="preserve">Commercial </w:t>
      </w:r>
      <w:r w:rsidR="009117E7">
        <w:t xml:space="preserve">Metering System, as the case may be, and to incorporate such Metering Point into the SMS system. </w:t>
      </w:r>
    </w:p>
    <w:p w14:paraId="56D28787" w14:textId="24AEDFBB" w:rsidR="009117E7" w:rsidRPr="009117E7" w:rsidRDefault="009117E7" w:rsidP="009117E7">
      <w:pPr>
        <w:pStyle w:val="Heading4"/>
      </w:pPr>
      <w:r>
        <w:t xml:space="preserve">The Market Operator shall analyse the request and, if </w:t>
      </w:r>
      <w:r w:rsidR="00BC5B11">
        <w:t>deemed</w:t>
      </w:r>
      <w:r w:rsidR="00BD3499">
        <w:t xml:space="preserve"> appropriate</w:t>
      </w:r>
      <w:r>
        <w:t>, authorize the Metering Service Provider to perform Local Meter Reading at such Metering Point, notifying such authorization for a pre-specified period.</w:t>
      </w:r>
    </w:p>
    <w:p w14:paraId="70F042E9" w14:textId="06AB3926" w:rsidR="00A41758" w:rsidRDefault="00BC5B11" w:rsidP="00A41758">
      <w:pPr>
        <w:pStyle w:val="Heading4"/>
      </w:pPr>
      <w:r>
        <w:t>While</w:t>
      </w:r>
      <w:r w:rsidR="00A41758" w:rsidRPr="003A31EC">
        <w:t xml:space="preserve"> perform</w:t>
      </w:r>
      <w:r>
        <w:t>ing</w:t>
      </w:r>
      <w:r w:rsidR="00A41758" w:rsidRPr="003A31EC">
        <w:t xml:space="preserve"> Local Meter Reading, the </w:t>
      </w:r>
      <w:r w:rsidR="00A41758">
        <w:t>Metering Service Provider</w:t>
      </w:r>
      <w:r w:rsidR="00A41758" w:rsidRPr="003A31EC">
        <w:t xml:space="preserve"> shall perform an inspection of the </w:t>
      </w:r>
      <w:r>
        <w:t xml:space="preserve">metering </w:t>
      </w:r>
      <w:r w:rsidR="00A41758" w:rsidRPr="003A31EC">
        <w:t>facilities</w:t>
      </w:r>
      <w:r>
        <w:t xml:space="preserve"> and if  </w:t>
      </w:r>
      <w:r w:rsidR="00A41758">
        <w:t>the Metering Service Provider detects any anomaly, including maintenance defects, inappropriate equipment, or evidence</w:t>
      </w:r>
      <w:r w:rsidR="00340C73">
        <w:t xml:space="preserve"> of tempering</w:t>
      </w:r>
      <w:r w:rsidR="00A41758">
        <w:t xml:space="preserve"> or </w:t>
      </w:r>
      <w:r w:rsidR="00A41758" w:rsidRPr="00836CAC">
        <w:t>suspicion</w:t>
      </w:r>
      <w:r w:rsidR="00340C73">
        <w:t xml:space="preserve"> thereof</w:t>
      </w:r>
      <w:r w:rsidR="00A41758">
        <w:t>, it shall prepare a Metering Incident Report, informing this situation to the Market Operator.</w:t>
      </w:r>
    </w:p>
    <w:p w14:paraId="4C43CA06" w14:textId="77777777" w:rsidR="00A41758" w:rsidRPr="003A31EC" w:rsidRDefault="00A41758" w:rsidP="00A41758">
      <w:pPr>
        <w:pStyle w:val="Heading4"/>
      </w:pPr>
      <w:r w:rsidRPr="003A31EC">
        <w:t xml:space="preserve">The information collected by the </w:t>
      </w:r>
      <w:r>
        <w:t xml:space="preserve">Metering Service Provider </w:t>
      </w:r>
      <w:r w:rsidRPr="003A31EC">
        <w:t xml:space="preserve">for each Meter associated with a </w:t>
      </w:r>
      <w:r>
        <w:t xml:space="preserve">Metering Point </w:t>
      </w:r>
      <w:r w:rsidRPr="003A31EC">
        <w:t>shall be determined by the M</w:t>
      </w:r>
      <w:r>
        <w:t xml:space="preserve">etering Service Provider, </w:t>
      </w:r>
      <w:r w:rsidRPr="003A31EC">
        <w:t xml:space="preserve">but it shall include at least: </w:t>
      </w:r>
    </w:p>
    <w:p w14:paraId="5FAA18E0" w14:textId="594042B4" w:rsidR="00A41758" w:rsidRPr="003A31EC" w:rsidRDefault="00A032EA" w:rsidP="00A41758">
      <w:pPr>
        <w:pStyle w:val="Heading5"/>
      </w:pPr>
      <w:r>
        <w:t>h</w:t>
      </w:r>
      <w:r w:rsidR="00A41758">
        <w:t>alf-</w:t>
      </w:r>
      <w:r w:rsidR="00A41758" w:rsidRPr="003A31EC">
        <w:t>Hourly readings of active and</w:t>
      </w:r>
      <w:r w:rsidR="00BD3499">
        <w:t xml:space="preserve">, </w:t>
      </w:r>
      <w:r w:rsidR="00BD3499" w:rsidRPr="003A31EC">
        <w:t xml:space="preserve">if </w:t>
      </w:r>
      <w:r w:rsidR="00BD3499">
        <w:t>applicable,</w:t>
      </w:r>
      <w:r w:rsidR="00A41758" w:rsidRPr="003A31EC">
        <w:t xml:space="preserve"> reactive </w:t>
      </w:r>
      <w:r w:rsidR="00A41758">
        <w:t>Energy</w:t>
      </w:r>
      <w:r w:rsidR="00A41758" w:rsidRPr="003A31EC">
        <w:t xml:space="preserve">,  with their associated time stamps in all cases the Meter installed at the </w:t>
      </w:r>
      <w:r w:rsidR="00A41758">
        <w:t>Metering</w:t>
      </w:r>
      <w:r w:rsidR="00A41758" w:rsidRPr="003A31EC">
        <w:t xml:space="preserve"> Point provides for such capability; </w:t>
      </w:r>
    </w:p>
    <w:p w14:paraId="1B893B45" w14:textId="10811537" w:rsidR="00A41758" w:rsidRDefault="00A032EA" w:rsidP="00A41758">
      <w:pPr>
        <w:pStyle w:val="Heading5"/>
      </w:pPr>
      <w:r>
        <w:t>a</w:t>
      </w:r>
      <w:r w:rsidR="00A41758" w:rsidRPr="003A31EC">
        <w:t xml:space="preserve">ccumulated readings of active </w:t>
      </w:r>
      <w:r w:rsidR="00BD3499" w:rsidRPr="003A31EC">
        <w:t>and</w:t>
      </w:r>
      <w:r w:rsidR="00BD3499">
        <w:t xml:space="preserve">, </w:t>
      </w:r>
      <w:r w:rsidR="00BD3499" w:rsidRPr="003A31EC">
        <w:t xml:space="preserve">if </w:t>
      </w:r>
      <w:r w:rsidR="00BD3499">
        <w:t xml:space="preserve">applicable, </w:t>
      </w:r>
      <w:r w:rsidR="00A41758" w:rsidRPr="003A31EC">
        <w:t xml:space="preserve">reactive </w:t>
      </w:r>
      <w:r w:rsidR="00A41758">
        <w:t>E</w:t>
      </w:r>
      <w:r w:rsidR="00A41758" w:rsidRPr="003A31EC">
        <w:t xml:space="preserve">nergy, for the previous month; </w:t>
      </w:r>
    </w:p>
    <w:p w14:paraId="7AB37D23" w14:textId="77777777" w:rsidR="00A41758" w:rsidRPr="007C40F5" w:rsidRDefault="00A41758" w:rsidP="00A41758">
      <w:pPr>
        <w:pStyle w:val="Heading5"/>
      </w:pPr>
      <w:r w:rsidRPr="00CD21F5">
        <w:t>time and date stamps</w:t>
      </w:r>
      <w:r>
        <w:t>;</w:t>
      </w:r>
    </w:p>
    <w:p w14:paraId="52D494F6" w14:textId="4317A39D" w:rsidR="00A41758" w:rsidRPr="003A31EC" w:rsidRDefault="00A032EA" w:rsidP="00A41758">
      <w:pPr>
        <w:pStyle w:val="Heading5"/>
      </w:pPr>
      <w:r>
        <w:t>a</w:t>
      </w:r>
      <w:r w:rsidR="00A41758" w:rsidRPr="003A31EC">
        <w:t xml:space="preserve">larms and event logs produced by the Meter; </w:t>
      </w:r>
    </w:p>
    <w:p w14:paraId="406374EA" w14:textId="1DBEA4B4" w:rsidR="00A41758" w:rsidRPr="003A31EC" w:rsidRDefault="00A032EA" w:rsidP="00A41758">
      <w:pPr>
        <w:pStyle w:val="Heading5"/>
      </w:pPr>
      <w:r>
        <w:t>a</w:t>
      </w:r>
      <w:r w:rsidR="00BD3499">
        <w:t>ccuracy q</w:t>
      </w:r>
      <w:r w:rsidR="00A41758" w:rsidRPr="003A31EC">
        <w:t xml:space="preserve">ualificators of the meter readings if the Meter produces such kind of information.  </w:t>
      </w:r>
    </w:p>
    <w:p w14:paraId="4288FCCA" w14:textId="2A4924AE" w:rsidR="00A41758" w:rsidRPr="003A31EC" w:rsidRDefault="00A41758" w:rsidP="00A41758">
      <w:pPr>
        <w:pStyle w:val="Heading4"/>
      </w:pPr>
      <w:r w:rsidRPr="003A31EC">
        <w:t xml:space="preserve">In case of successful reading of a Local Meter Reading, </w:t>
      </w:r>
      <w:r>
        <w:t xml:space="preserve">the Metering Service Provider shall </w:t>
      </w:r>
      <w:r w:rsidRPr="003A31EC">
        <w:t>analy</w:t>
      </w:r>
      <w:r>
        <w:t>s</w:t>
      </w:r>
      <w:r w:rsidRPr="003A31EC">
        <w:t xml:space="preserve">e the completeness and reliability of the data </w:t>
      </w:r>
      <w:r w:rsidR="00BD3499">
        <w:t>obtained</w:t>
      </w:r>
      <w:r w:rsidR="00340C73">
        <w:t>,</w:t>
      </w:r>
      <w:r w:rsidRPr="003A31EC">
        <w:t xml:space="preserve"> </w:t>
      </w:r>
      <w:r w:rsidR="00340C73">
        <w:t>i</w:t>
      </w:r>
      <w:r w:rsidRPr="003A31EC">
        <w:t xml:space="preserve">n particular: </w:t>
      </w:r>
    </w:p>
    <w:p w14:paraId="1C56ABAD" w14:textId="7503AD85" w:rsidR="00A41758" w:rsidRPr="003A31EC" w:rsidRDefault="00A032EA" w:rsidP="00A41758">
      <w:pPr>
        <w:pStyle w:val="Heading5"/>
      </w:pPr>
      <w:r>
        <w:t>a</w:t>
      </w:r>
      <w:r w:rsidR="00A41758" w:rsidRPr="003A31EC">
        <w:t>bsence of alarm signals from the Meter;</w:t>
      </w:r>
    </w:p>
    <w:p w14:paraId="4404BA9A" w14:textId="2924B8FC" w:rsidR="00A41758" w:rsidRPr="003A31EC" w:rsidRDefault="00A032EA" w:rsidP="00A41758">
      <w:pPr>
        <w:pStyle w:val="Heading5"/>
      </w:pPr>
      <w:r>
        <w:t>a</w:t>
      </w:r>
      <w:r w:rsidR="00A41758" w:rsidRPr="003A31EC">
        <w:t>dequacy of time and date stamps;</w:t>
      </w:r>
    </w:p>
    <w:p w14:paraId="04778CFA" w14:textId="2EE40662" w:rsidR="00A41758" w:rsidRPr="003A31EC" w:rsidRDefault="00A032EA" w:rsidP="00A41758">
      <w:pPr>
        <w:pStyle w:val="Heading5"/>
      </w:pPr>
      <w:r>
        <w:t>c</w:t>
      </w:r>
      <w:r w:rsidR="00A41758" w:rsidRPr="003A31EC">
        <w:t>ompleteness of readings for the Meters and validation</w:t>
      </w:r>
      <w:r w:rsidR="00A41758">
        <w:t>;</w:t>
      </w:r>
      <w:r w:rsidR="00A41758" w:rsidRPr="003A31EC">
        <w:t xml:space="preserve"> </w:t>
      </w:r>
    </w:p>
    <w:p w14:paraId="7967FCED" w14:textId="032FB6D8" w:rsidR="00A41758" w:rsidRPr="003A31EC" w:rsidRDefault="00A032EA" w:rsidP="00A41758">
      <w:pPr>
        <w:pStyle w:val="Heading5"/>
      </w:pPr>
      <w:r>
        <w:t>t</w:t>
      </w:r>
      <w:r w:rsidR="00A41758" w:rsidRPr="003A31EC">
        <w:t xml:space="preserve">he contents of the event log of the Meter; </w:t>
      </w:r>
      <w:r>
        <w:t>and</w:t>
      </w:r>
    </w:p>
    <w:p w14:paraId="255F1373" w14:textId="5E826175" w:rsidR="00A41758" w:rsidRDefault="00A032EA" w:rsidP="00A41758">
      <w:pPr>
        <w:pStyle w:val="Heading5"/>
      </w:pPr>
      <w:r>
        <w:t>t</w:t>
      </w:r>
      <w:r w:rsidR="00A41758" w:rsidRPr="003A31EC">
        <w:t>he adequacy of the parameter</w:t>
      </w:r>
      <w:r w:rsidR="00A41758">
        <w:t xml:space="preserve">s programmed in the Meter and </w:t>
      </w:r>
      <w:r w:rsidR="00340C73">
        <w:t>m</w:t>
      </w:r>
      <w:r w:rsidR="00A41758">
        <w:t xml:space="preserve">etering </w:t>
      </w:r>
      <w:r w:rsidR="00340C73">
        <w:t>e</w:t>
      </w:r>
      <w:r w:rsidR="00A41758">
        <w:t xml:space="preserve">quipment. </w:t>
      </w:r>
    </w:p>
    <w:p w14:paraId="4B79E64A" w14:textId="2121C5B2" w:rsidR="00A41758" w:rsidRPr="003A31EC" w:rsidRDefault="00340C73" w:rsidP="00A41758">
      <w:pPr>
        <w:pStyle w:val="Heading4"/>
      </w:pPr>
      <w:r>
        <w:t>After</w:t>
      </w:r>
      <w:r w:rsidR="00A41758" w:rsidRPr="003A31EC">
        <w:t xml:space="preserve"> the analysis of the completeness and reliability of the </w:t>
      </w:r>
      <w:r>
        <w:t>metering</w:t>
      </w:r>
      <w:r w:rsidRPr="003A31EC">
        <w:t xml:space="preserve"> </w:t>
      </w:r>
      <w:r w:rsidR="00A41758" w:rsidRPr="003A31EC">
        <w:t xml:space="preserve">data, the </w:t>
      </w:r>
      <w:r w:rsidR="00A41758">
        <w:t>Metering Service Provider</w:t>
      </w:r>
      <w:r w:rsidR="00A41758" w:rsidRPr="003A31EC">
        <w:t xml:space="preserve"> shall decide about the correctness of the </w:t>
      </w:r>
      <w:r>
        <w:t>values obtained and shall</w:t>
      </w:r>
      <w:r w:rsidR="00A41758" w:rsidRPr="003A31EC">
        <w:t xml:space="preserve"> mark the obtained data as “complete and accurate”, “incomplete but accurate” or “</w:t>
      </w:r>
      <w:r w:rsidR="00A41758">
        <w:t>inaccurate</w:t>
      </w:r>
      <w:r w:rsidR="00A41758" w:rsidRPr="003A31EC">
        <w:t>”</w:t>
      </w:r>
      <w:r w:rsidR="00A41758">
        <w:t xml:space="preserve">, as </w:t>
      </w:r>
      <w:r>
        <w:t>the case may be</w:t>
      </w:r>
      <w:r w:rsidR="00A41758" w:rsidRPr="003A31EC">
        <w:t xml:space="preserve">. </w:t>
      </w:r>
    </w:p>
    <w:p w14:paraId="33AC3F97" w14:textId="7FE382FF" w:rsidR="000172BF" w:rsidRDefault="00130F30" w:rsidP="00130F30">
      <w:pPr>
        <w:pStyle w:val="Heading3"/>
        <w:rPr>
          <w:lang w:val="en-US"/>
        </w:rPr>
      </w:pPr>
      <w:bookmarkStart w:id="998" w:name="_Ref76912865"/>
      <w:r>
        <w:rPr>
          <w:lang w:val="en-US"/>
        </w:rPr>
        <w:t>I</w:t>
      </w:r>
      <w:r w:rsidR="000172BF">
        <w:rPr>
          <w:lang w:val="en-US"/>
        </w:rPr>
        <w:t>nitial Capacity Obligations</w:t>
      </w:r>
      <w:bookmarkEnd w:id="998"/>
    </w:p>
    <w:p w14:paraId="64481638" w14:textId="6C5E137E" w:rsidR="00130F30" w:rsidRDefault="00340C73" w:rsidP="005B295A">
      <w:pPr>
        <w:pStyle w:val="Heading4"/>
        <w:rPr>
          <w:lang w:val="en-US"/>
        </w:rPr>
      </w:pPr>
      <w:bookmarkStart w:id="999" w:name="_Ref64107260"/>
      <w:r>
        <w:rPr>
          <w:lang w:val="en-US"/>
        </w:rPr>
        <w:t>With effect from the CMOD, t</w:t>
      </w:r>
      <w:r w:rsidR="00DC5B8C">
        <w:rPr>
          <w:lang w:val="en-US"/>
        </w:rPr>
        <w:t xml:space="preserve">he </w:t>
      </w:r>
      <w:bookmarkEnd w:id="999"/>
      <w:r w:rsidR="00130F30">
        <w:rPr>
          <w:lang w:val="en-US"/>
        </w:rPr>
        <w:t xml:space="preserve">following values </w:t>
      </w:r>
      <w:r>
        <w:rPr>
          <w:lang w:val="en-US"/>
        </w:rPr>
        <w:t xml:space="preserve">shall be applicable </w:t>
      </w:r>
      <w:r w:rsidR="00130F30">
        <w:rPr>
          <w:lang w:val="en-US"/>
        </w:rPr>
        <w:t xml:space="preserve">for the Capacity Obligations: </w:t>
      </w:r>
    </w:p>
    <w:p w14:paraId="7D208BD5" w14:textId="67E8B260" w:rsidR="00130F30" w:rsidRPr="00DE0B19" w:rsidRDefault="00C826B8" w:rsidP="00B03234">
      <w:pPr>
        <w:pStyle w:val="Heading5"/>
        <w:rPr>
          <w:lang w:val="en-US"/>
        </w:rPr>
      </w:pPr>
      <w:r>
        <w:rPr>
          <w:lang w:val="en-US"/>
        </w:rPr>
        <w:t xml:space="preserve">For </w:t>
      </w:r>
      <w:r w:rsidR="00403C8A">
        <w:rPr>
          <w:lang w:val="en-US"/>
        </w:rPr>
        <w:t>Default Supplier</w:t>
      </w:r>
      <w:r>
        <w:rPr>
          <w:lang w:val="en-US"/>
        </w:rPr>
        <w:t xml:space="preserve">s, the values </w:t>
      </w:r>
      <w:r w:rsidR="00542CA2">
        <w:rPr>
          <w:lang w:val="en-US"/>
        </w:rPr>
        <w:t xml:space="preserve">provided </w:t>
      </w:r>
      <w:r>
        <w:rPr>
          <w:lang w:val="en-US"/>
        </w:rPr>
        <w:t xml:space="preserve">in </w:t>
      </w:r>
      <w:r w:rsidR="00DE0B19" w:rsidRPr="00DE0B19">
        <w:rPr>
          <w:lang w:val="en-US"/>
        </w:rPr>
        <w:fldChar w:fldCharType="begin"/>
      </w:r>
      <w:r w:rsidR="00DE0B19" w:rsidRPr="00DE0B19">
        <w:rPr>
          <w:lang w:val="en-US"/>
        </w:rPr>
        <w:instrText xml:space="preserve"> REF _Ref64110257 \h </w:instrText>
      </w:r>
      <w:r w:rsidR="00DE0B19">
        <w:rPr>
          <w:lang w:val="en-US"/>
        </w:rPr>
        <w:instrText xml:space="preserve"> \* MERGEFORMAT </w:instrText>
      </w:r>
      <w:r w:rsidR="00DE0B19" w:rsidRPr="00DE0B19">
        <w:rPr>
          <w:lang w:val="en-US"/>
        </w:rPr>
      </w:r>
      <w:r w:rsidR="00DE0B19" w:rsidRPr="00DE0B19">
        <w:rPr>
          <w:lang w:val="en-US"/>
        </w:rPr>
        <w:fldChar w:fldCharType="separate"/>
      </w:r>
      <w:r w:rsidR="00251DBF" w:rsidRPr="0005549E">
        <w:t xml:space="preserve">Table </w:t>
      </w:r>
      <w:r w:rsidR="00251DBF">
        <w:rPr>
          <w:noProof/>
        </w:rPr>
        <w:t>3</w:t>
      </w:r>
      <w:r w:rsidR="00DE0B19" w:rsidRPr="00DE0B19">
        <w:rPr>
          <w:lang w:val="en-US"/>
        </w:rPr>
        <w:fldChar w:fldCharType="end"/>
      </w:r>
      <w:r w:rsidR="00542CA2">
        <w:rPr>
          <w:lang w:val="en-US"/>
        </w:rPr>
        <w:t xml:space="preserve"> below</w:t>
      </w:r>
      <w:r w:rsidR="00A032EA">
        <w:rPr>
          <w:lang w:val="en-US"/>
        </w:rPr>
        <w:t>.</w:t>
      </w:r>
    </w:p>
    <w:p w14:paraId="7FA5B14B" w14:textId="6DB51B54" w:rsidR="00DE0B19" w:rsidRDefault="00DE0B19" w:rsidP="00B03234">
      <w:pPr>
        <w:pStyle w:val="Heading5"/>
        <w:rPr>
          <w:lang w:val="en-US"/>
        </w:rPr>
      </w:pPr>
      <w:r>
        <w:rPr>
          <w:lang w:val="en-US"/>
        </w:rPr>
        <w:t xml:space="preserve">For Competitive </w:t>
      </w:r>
      <w:r w:rsidR="00BF564D">
        <w:rPr>
          <w:lang w:val="en-US"/>
        </w:rPr>
        <w:t>Electric Power Supplier</w:t>
      </w:r>
      <w:r>
        <w:rPr>
          <w:lang w:val="en-US"/>
        </w:rPr>
        <w:t xml:space="preserve">s, the values </w:t>
      </w:r>
      <w:r w:rsidR="00542CA2">
        <w:rPr>
          <w:lang w:val="en-US"/>
        </w:rPr>
        <w:t>provided</w:t>
      </w:r>
      <w:r w:rsidR="00542CA2" w:rsidRPr="00376ADB">
        <w:rPr>
          <w:lang w:val="en-US"/>
        </w:rPr>
        <w:t xml:space="preserve"> </w:t>
      </w:r>
      <w:r w:rsidRPr="00376ADB">
        <w:rPr>
          <w:lang w:val="en-US"/>
        </w:rPr>
        <w:t>in</w:t>
      </w:r>
      <w:r w:rsidR="0002651C">
        <w:rPr>
          <w:lang w:val="en-US"/>
        </w:rPr>
        <w:t xml:space="preserve"> </w:t>
      </w:r>
      <w:r w:rsidR="0002651C">
        <w:rPr>
          <w:lang w:val="en-US"/>
        </w:rPr>
        <w:fldChar w:fldCharType="begin"/>
      </w:r>
      <w:r w:rsidR="0002651C">
        <w:rPr>
          <w:lang w:val="en-US"/>
        </w:rPr>
        <w:instrText xml:space="preserve"> REF _Ref66640990 \h </w:instrText>
      </w:r>
      <w:r w:rsidR="0002651C">
        <w:rPr>
          <w:lang w:val="en-US"/>
        </w:rPr>
      </w:r>
      <w:r w:rsidR="0002651C">
        <w:rPr>
          <w:lang w:val="en-US"/>
        </w:rPr>
        <w:fldChar w:fldCharType="separate"/>
      </w:r>
      <w:r w:rsidR="00251DBF" w:rsidRPr="0005549E">
        <w:t xml:space="preserve">Table </w:t>
      </w:r>
      <w:r w:rsidR="00251DBF">
        <w:rPr>
          <w:noProof/>
        </w:rPr>
        <w:t>4</w:t>
      </w:r>
      <w:r w:rsidR="0002651C">
        <w:rPr>
          <w:lang w:val="en-US"/>
        </w:rPr>
        <w:fldChar w:fldCharType="end"/>
      </w:r>
      <w:r w:rsidR="00542CA2">
        <w:rPr>
          <w:lang w:val="en-US"/>
        </w:rPr>
        <w:t xml:space="preserve"> below</w:t>
      </w:r>
      <w:r w:rsidR="00A032EA">
        <w:rPr>
          <w:lang w:val="en-US"/>
        </w:rPr>
        <w:t>.</w:t>
      </w:r>
      <w:r w:rsidRPr="00376ADB">
        <w:rPr>
          <w:lang w:val="en-US"/>
        </w:rPr>
        <w:t xml:space="preserve"> </w:t>
      </w:r>
    </w:p>
    <w:p w14:paraId="6D546DA9" w14:textId="57E660C6" w:rsidR="00DE0B19" w:rsidRDefault="00DE0B19" w:rsidP="00B03234">
      <w:pPr>
        <w:pStyle w:val="Heading5"/>
      </w:pPr>
      <w:r>
        <w:rPr>
          <w:lang w:val="en-US"/>
        </w:rPr>
        <w:t xml:space="preserve">For </w:t>
      </w:r>
      <w:r w:rsidRPr="00CF3202">
        <w:t>BPCs which are registered as Market Participants</w:t>
      </w:r>
      <w:r>
        <w:t xml:space="preserve">, the values </w:t>
      </w:r>
      <w:r w:rsidR="00542CA2">
        <w:t xml:space="preserve">provided </w:t>
      </w:r>
      <w:r>
        <w:t xml:space="preserve">in </w:t>
      </w:r>
      <w:r w:rsidRPr="00DE0B19">
        <w:fldChar w:fldCharType="begin"/>
      </w:r>
      <w:r w:rsidRPr="00DE0B19">
        <w:instrText xml:space="preserve"> REF _Ref64110270 \h </w:instrText>
      </w:r>
      <w:r>
        <w:instrText xml:space="preserve"> \* MERGEFORMAT </w:instrText>
      </w:r>
      <w:r w:rsidRPr="00DE0B19">
        <w:fldChar w:fldCharType="separate"/>
      </w:r>
      <w:r w:rsidR="00251DBF" w:rsidRPr="0005549E">
        <w:t xml:space="preserve">Table </w:t>
      </w:r>
      <w:r w:rsidR="00251DBF">
        <w:rPr>
          <w:noProof/>
        </w:rPr>
        <w:t>5</w:t>
      </w:r>
      <w:r w:rsidRPr="00DE0B19">
        <w:fldChar w:fldCharType="end"/>
      </w:r>
      <w:r w:rsidR="00542CA2">
        <w:t xml:space="preserve"> below.</w:t>
      </w:r>
    </w:p>
    <w:p w14:paraId="6CD68C60" w14:textId="3C1B5E20" w:rsidR="0005549E" w:rsidRPr="0005549E" w:rsidRDefault="00DE0B19" w:rsidP="00A22D29">
      <w:pPr>
        <w:pStyle w:val="Caption"/>
      </w:pPr>
      <w:bookmarkStart w:id="1000" w:name="_Ref64110257"/>
      <w:r w:rsidRPr="0005549E">
        <w:t xml:space="preserve">Table </w:t>
      </w:r>
      <w:fldSimple w:instr=" SEQ Table \* ARABIC ">
        <w:r w:rsidR="00334EEA">
          <w:rPr>
            <w:noProof/>
          </w:rPr>
          <w:t>4</w:t>
        </w:r>
      </w:fldSimple>
      <w:bookmarkEnd w:id="1000"/>
      <w:r>
        <w:t xml:space="preserve">: Capacity Obligations for </w:t>
      </w:r>
      <w:r w:rsidR="00403C8A">
        <w:t>Default Supplier</w:t>
      </w:r>
      <w:r>
        <w:t>s</w:t>
      </w:r>
    </w:p>
    <w:tbl>
      <w:tblPr>
        <w:tblStyle w:val="TableGrid"/>
        <w:tblW w:w="0" w:type="auto"/>
        <w:tblInd w:w="1517" w:type="dxa"/>
        <w:tblLook w:val="04A0" w:firstRow="1" w:lastRow="0" w:firstColumn="1" w:lastColumn="0" w:noHBand="0" w:noVBand="1"/>
      </w:tblPr>
      <w:tblGrid>
        <w:gridCol w:w="2589"/>
        <w:gridCol w:w="1843"/>
        <w:gridCol w:w="3396"/>
      </w:tblGrid>
      <w:tr w:rsidR="00967B19" w:rsidRPr="00967B19" w14:paraId="3465C0B6" w14:textId="77777777" w:rsidTr="00967B19">
        <w:tc>
          <w:tcPr>
            <w:tcW w:w="4432" w:type="dxa"/>
            <w:gridSpan w:val="2"/>
            <w:vMerge w:val="restart"/>
            <w:tcBorders>
              <w:bottom w:val="nil"/>
              <w:right w:val="single" w:sz="4" w:space="0" w:color="FFFFFF" w:themeColor="background1"/>
            </w:tcBorders>
            <w:shd w:val="clear" w:color="auto" w:fill="000000" w:themeFill="text1"/>
            <w:vAlign w:val="center"/>
          </w:tcPr>
          <w:p w14:paraId="15F019C3" w14:textId="24F78A19" w:rsidR="00224967" w:rsidRPr="00967B19" w:rsidRDefault="00224967" w:rsidP="00967B19">
            <w:pPr>
              <w:pStyle w:val="BodyText"/>
              <w:spacing w:before="120" w:after="120"/>
              <w:ind w:left="181" w:right="142"/>
              <w:jc w:val="center"/>
              <w:rPr>
                <w:b/>
                <w:bCs/>
                <w:color w:val="FFFFFF" w:themeColor="background1"/>
                <w:lang w:val="en-US"/>
              </w:rPr>
            </w:pPr>
            <w:r w:rsidRPr="00967B19">
              <w:rPr>
                <w:b/>
                <w:bCs/>
                <w:color w:val="FFFFFF" w:themeColor="background1"/>
                <w:lang w:val="en-US"/>
              </w:rPr>
              <w:t>Period</w:t>
            </w:r>
          </w:p>
        </w:tc>
        <w:tc>
          <w:tcPr>
            <w:tcW w:w="3396" w:type="dxa"/>
            <w:tcBorders>
              <w:top w:val="single" w:sz="4" w:space="0" w:color="FFFFFF" w:themeColor="background1"/>
              <w:left w:val="single" w:sz="4" w:space="0" w:color="FFFFFF" w:themeColor="background1"/>
              <w:bottom w:val="single" w:sz="4" w:space="0" w:color="FFFFFF" w:themeColor="background1"/>
            </w:tcBorders>
            <w:shd w:val="clear" w:color="auto" w:fill="000000" w:themeFill="text1"/>
            <w:vAlign w:val="center"/>
          </w:tcPr>
          <w:p w14:paraId="371906A3" w14:textId="61B99D05" w:rsidR="00224967" w:rsidRPr="00967B19" w:rsidRDefault="00224967" w:rsidP="00967B19">
            <w:pPr>
              <w:pStyle w:val="BodyText"/>
              <w:spacing w:before="120" w:after="120"/>
              <w:ind w:left="181" w:right="142"/>
              <w:rPr>
                <w:b/>
                <w:bCs/>
                <w:color w:val="FFFFFF" w:themeColor="background1"/>
                <w:lang w:val="en-US"/>
              </w:rPr>
            </w:pPr>
            <w:r w:rsidRPr="00967B19">
              <w:rPr>
                <w:b/>
                <w:bCs/>
                <w:color w:val="FFFFFF" w:themeColor="background1"/>
                <w:lang w:val="en-US"/>
              </w:rPr>
              <w:t>Capacity Obligations</w:t>
            </w:r>
          </w:p>
        </w:tc>
      </w:tr>
      <w:tr w:rsidR="00967B19" w:rsidRPr="00967B19" w14:paraId="235320B7" w14:textId="77777777" w:rsidTr="00967B19">
        <w:tc>
          <w:tcPr>
            <w:tcW w:w="4432" w:type="dxa"/>
            <w:gridSpan w:val="2"/>
            <w:vMerge/>
            <w:tcBorders>
              <w:top w:val="nil"/>
              <w:right w:val="single" w:sz="4" w:space="0" w:color="FFFFFF" w:themeColor="background1"/>
            </w:tcBorders>
            <w:shd w:val="clear" w:color="auto" w:fill="000000" w:themeFill="text1"/>
            <w:vAlign w:val="center"/>
          </w:tcPr>
          <w:p w14:paraId="064A2502" w14:textId="77777777" w:rsidR="00224967" w:rsidRPr="00967B19" w:rsidRDefault="00224967" w:rsidP="00967B19">
            <w:pPr>
              <w:pStyle w:val="BodyText"/>
              <w:spacing w:before="120" w:after="120"/>
              <w:ind w:left="181" w:right="142"/>
              <w:rPr>
                <w:b/>
                <w:bCs/>
                <w:color w:val="FFFFFF" w:themeColor="background1"/>
                <w:lang w:val="en-US"/>
              </w:rPr>
            </w:pPr>
          </w:p>
        </w:tc>
        <w:tc>
          <w:tcPr>
            <w:tcW w:w="3396" w:type="dxa"/>
            <w:tcBorders>
              <w:top w:val="single" w:sz="4" w:space="0" w:color="FFFFFF" w:themeColor="background1"/>
              <w:left w:val="single" w:sz="4" w:space="0" w:color="FFFFFF" w:themeColor="background1"/>
            </w:tcBorders>
            <w:shd w:val="clear" w:color="auto" w:fill="000000" w:themeFill="text1"/>
            <w:vAlign w:val="center"/>
          </w:tcPr>
          <w:p w14:paraId="657A63CA" w14:textId="353DB78E" w:rsidR="00224967" w:rsidRPr="00967B19" w:rsidRDefault="00224967" w:rsidP="00967B19">
            <w:pPr>
              <w:pStyle w:val="BodyText"/>
              <w:spacing w:before="120" w:after="120"/>
              <w:ind w:left="181" w:right="142"/>
              <w:rPr>
                <w:b/>
                <w:bCs/>
                <w:color w:val="FFFFFF" w:themeColor="background1"/>
                <w:lang w:val="en-US"/>
              </w:rPr>
            </w:pPr>
            <w:r w:rsidRPr="00967B19">
              <w:rPr>
                <w:b/>
                <w:bCs/>
                <w:color w:val="FFFFFF" w:themeColor="background1"/>
                <w:lang w:val="en-US"/>
              </w:rPr>
              <w:t xml:space="preserve">(In % of the registered or forecasted Maximum Demand at </w:t>
            </w:r>
            <w:r w:rsidR="00382D81" w:rsidRPr="00967B19">
              <w:rPr>
                <w:b/>
                <w:bCs/>
                <w:color w:val="FFFFFF" w:themeColor="background1"/>
                <w:lang w:val="en-US"/>
              </w:rPr>
              <w:t>System Peak Hours</w:t>
            </w:r>
            <w:r w:rsidRPr="00967B19">
              <w:rPr>
                <w:b/>
                <w:bCs/>
                <w:color w:val="FFFFFF" w:themeColor="background1"/>
                <w:lang w:val="en-US"/>
              </w:rPr>
              <w:t>)</w:t>
            </w:r>
          </w:p>
        </w:tc>
      </w:tr>
      <w:tr w:rsidR="00224967" w14:paraId="3C2C4433" w14:textId="77777777" w:rsidTr="00967B19">
        <w:tc>
          <w:tcPr>
            <w:tcW w:w="2589" w:type="dxa"/>
            <w:vAlign w:val="center"/>
          </w:tcPr>
          <w:p w14:paraId="6F874E6F" w14:textId="4AE94134" w:rsidR="00224967" w:rsidRPr="00DE0B19" w:rsidRDefault="00224967" w:rsidP="00967B19">
            <w:pPr>
              <w:pStyle w:val="BodyText"/>
              <w:ind w:left="181" w:right="139"/>
              <w:rPr>
                <w:lang w:val="en-US"/>
              </w:rPr>
            </w:pPr>
            <w:r w:rsidRPr="00DE0B19">
              <w:rPr>
                <w:lang w:val="en-US"/>
              </w:rPr>
              <w:t>Ex-post compliance with the Capacity Obligations</w:t>
            </w:r>
          </w:p>
        </w:tc>
        <w:tc>
          <w:tcPr>
            <w:tcW w:w="1843" w:type="dxa"/>
            <w:vAlign w:val="center"/>
          </w:tcPr>
          <w:p w14:paraId="3E9EC894" w14:textId="19EE8C41" w:rsidR="00224967" w:rsidRPr="00DE0B19" w:rsidRDefault="00224967" w:rsidP="00967B19">
            <w:pPr>
              <w:pStyle w:val="BodyText"/>
              <w:ind w:left="181" w:right="139"/>
              <w:rPr>
                <w:lang w:val="en-US"/>
              </w:rPr>
            </w:pPr>
            <w:r w:rsidRPr="00DE0B19">
              <w:rPr>
                <w:lang w:val="en-US"/>
              </w:rPr>
              <w:t xml:space="preserve">Previous year </w:t>
            </w:r>
            <w:r w:rsidRPr="00DE0B19">
              <w:rPr>
                <w:vertAlign w:val="superscript"/>
                <w:lang w:val="en-US"/>
              </w:rPr>
              <w:t>(1)</w:t>
            </w:r>
          </w:p>
        </w:tc>
        <w:tc>
          <w:tcPr>
            <w:tcW w:w="3396" w:type="dxa"/>
            <w:vAlign w:val="center"/>
          </w:tcPr>
          <w:p w14:paraId="6C81B406" w14:textId="368185AA" w:rsidR="00224967" w:rsidRPr="00DE0B19" w:rsidRDefault="00224967" w:rsidP="00967B19">
            <w:pPr>
              <w:pStyle w:val="BodyText"/>
              <w:ind w:left="181" w:right="139"/>
              <w:jc w:val="center"/>
              <w:rPr>
                <w:lang w:val="en-US"/>
              </w:rPr>
            </w:pPr>
            <w:r w:rsidRPr="00DE0B19">
              <w:rPr>
                <w:lang w:val="en-US"/>
              </w:rPr>
              <w:t>100</w:t>
            </w:r>
          </w:p>
        </w:tc>
      </w:tr>
      <w:tr w:rsidR="00224967" w14:paraId="471B3EDD" w14:textId="77777777" w:rsidTr="00967B19">
        <w:tc>
          <w:tcPr>
            <w:tcW w:w="2589" w:type="dxa"/>
            <w:vMerge w:val="restart"/>
            <w:vAlign w:val="center"/>
          </w:tcPr>
          <w:p w14:paraId="031680F8" w14:textId="077ACD34" w:rsidR="00224967" w:rsidRPr="00DE0B19" w:rsidRDefault="00224967" w:rsidP="00967B19">
            <w:pPr>
              <w:pStyle w:val="BodyText"/>
              <w:ind w:left="181" w:right="139"/>
              <w:rPr>
                <w:lang w:val="en-US"/>
              </w:rPr>
            </w:pPr>
            <w:r w:rsidRPr="00DE0B19">
              <w:rPr>
                <w:lang w:val="en-US"/>
              </w:rPr>
              <w:t>Ex-ante compliance with the Capacity Obligations</w:t>
            </w:r>
          </w:p>
        </w:tc>
        <w:tc>
          <w:tcPr>
            <w:tcW w:w="1843" w:type="dxa"/>
            <w:vAlign w:val="center"/>
          </w:tcPr>
          <w:p w14:paraId="09411D77" w14:textId="34D8FAB3" w:rsidR="00224967" w:rsidRPr="00DE0B19" w:rsidRDefault="00224967" w:rsidP="00967B19">
            <w:pPr>
              <w:pStyle w:val="BodyText"/>
              <w:ind w:left="181" w:right="139"/>
              <w:rPr>
                <w:lang w:val="en-US"/>
              </w:rPr>
            </w:pPr>
            <w:r w:rsidRPr="00DE0B19">
              <w:rPr>
                <w:lang w:val="en-US"/>
              </w:rPr>
              <w:t xml:space="preserve">Current year </w:t>
            </w:r>
            <w:r w:rsidRPr="00DE0B19">
              <w:rPr>
                <w:vertAlign w:val="superscript"/>
                <w:lang w:val="en-US"/>
              </w:rPr>
              <w:t>(2)</w:t>
            </w:r>
          </w:p>
        </w:tc>
        <w:tc>
          <w:tcPr>
            <w:tcW w:w="3396" w:type="dxa"/>
            <w:vAlign w:val="center"/>
          </w:tcPr>
          <w:p w14:paraId="221415E8" w14:textId="1BB7990E" w:rsidR="00224967" w:rsidRPr="00D2409E" w:rsidRDefault="00DC5B8C" w:rsidP="00967B19">
            <w:pPr>
              <w:pStyle w:val="BodyText"/>
              <w:ind w:left="181" w:right="139"/>
              <w:jc w:val="center"/>
              <w:rPr>
                <w:highlight w:val="yellow"/>
                <w:lang w:val="en-US"/>
              </w:rPr>
            </w:pPr>
            <w:r>
              <w:rPr>
                <w:highlight w:val="yellow"/>
                <w:lang w:val="en-US"/>
              </w:rPr>
              <w:t>100</w:t>
            </w:r>
          </w:p>
        </w:tc>
      </w:tr>
      <w:tr w:rsidR="00224967" w14:paraId="2D0B2BC7" w14:textId="77777777" w:rsidTr="00967B19">
        <w:tc>
          <w:tcPr>
            <w:tcW w:w="2589" w:type="dxa"/>
            <w:vMerge/>
            <w:vAlign w:val="center"/>
          </w:tcPr>
          <w:p w14:paraId="6B7DA41E" w14:textId="77777777" w:rsidR="00224967" w:rsidRPr="00DE0B19" w:rsidRDefault="00224967" w:rsidP="00967B19">
            <w:pPr>
              <w:pStyle w:val="BodyText"/>
              <w:ind w:left="181" w:right="139"/>
              <w:rPr>
                <w:lang w:val="en-US"/>
              </w:rPr>
            </w:pPr>
          </w:p>
        </w:tc>
        <w:tc>
          <w:tcPr>
            <w:tcW w:w="1843" w:type="dxa"/>
            <w:vAlign w:val="center"/>
          </w:tcPr>
          <w:p w14:paraId="7B478790" w14:textId="115E58B4" w:rsidR="00224967" w:rsidRPr="00DE0B19" w:rsidRDefault="00224967" w:rsidP="00967B19">
            <w:pPr>
              <w:pStyle w:val="BodyText"/>
              <w:ind w:left="181" w:right="139"/>
              <w:rPr>
                <w:lang w:val="en-US"/>
              </w:rPr>
            </w:pPr>
            <w:r w:rsidRPr="00DE0B19">
              <w:rPr>
                <w:lang w:val="en-US"/>
              </w:rPr>
              <w:t xml:space="preserve">Year 1 </w:t>
            </w:r>
            <w:r w:rsidRPr="00DE0B19">
              <w:rPr>
                <w:vertAlign w:val="superscript"/>
                <w:lang w:val="en-US"/>
              </w:rPr>
              <w:t>(3)</w:t>
            </w:r>
          </w:p>
        </w:tc>
        <w:tc>
          <w:tcPr>
            <w:tcW w:w="3396" w:type="dxa"/>
            <w:vAlign w:val="center"/>
          </w:tcPr>
          <w:p w14:paraId="02289302" w14:textId="6D777916" w:rsidR="00224967" w:rsidRPr="00D2409E" w:rsidRDefault="00DC5B8C" w:rsidP="00967B19">
            <w:pPr>
              <w:pStyle w:val="BodyText"/>
              <w:ind w:left="181" w:right="139"/>
              <w:jc w:val="center"/>
              <w:rPr>
                <w:highlight w:val="yellow"/>
                <w:lang w:val="en-US"/>
              </w:rPr>
            </w:pPr>
            <w:r>
              <w:rPr>
                <w:highlight w:val="yellow"/>
                <w:lang w:val="en-US"/>
              </w:rPr>
              <w:t>100</w:t>
            </w:r>
          </w:p>
        </w:tc>
      </w:tr>
      <w:tr w:rsidR="00224967" w14:paraId="1CF4B0BE" w14:textId="77777777" w:rsidTr="00967B19">
        <w:tc>
          <w:tcPr>
            <w:tcW w:w="2589" w:type="dxa"/>
            <w:vMerge/>
            <w:vAlign w:val="center"/>
          </w:tcPr>
          <w:p w14:paraId="0A873AA6" w14:textId="77777777" w:rsidR="00224967" w:rsidRPr="00DE0B19" w:rsidRDefault="00224967" w:rsidP="00967B19">
            <w:pPr>
              <w:pStyle w:val="BodyText"/>
              <w:ind w:left="181" w:right="139"/>
              <w:rPr>
                <w:lang w:val="en-US"/>
              </w:rPr>
            </w:pPr>
          </w:p>
        </w:tc>
        <w:tc>
          <w:tcPr>
            <w:tcW w:w="1843" w:type="dxa"/>
            <w:vAlign w:val="center"/>
          </w:tcPr>
          <w:p w14:paraId="209B3E52" w14:textId="4E0E029E" w:rsidR="00224967" w:rsidRPr="00DE0B19" w:rsidRDefault="00224967" w:rsidP="00967B19">
            <w:pPr>
              <w:pStyle w:val="BodyText"/>
              <w:ind w:left="181" w:right="139"/>
              <w:rPr>
                <w:lang w:val="en-US"/>
              </w:rPr>
            </w:pPr>
            <w:r w:rsidRPr="00DE0B19">
              <w:rPr>
                <w:lang w:val="en-US"/>
              </w:rPr>
              <w:t>Year 2</w:t>
            </w:r>
          </w:p>
        </w:tc>
        <w:tc>
          <w:tcPr>
            <w:tcW w:w="3396" w:type="dxa"/>
            <w:vAlign w:val="center"/>
          </w:tcPr>
          <w:p w14:paraId="7EB29F22" w14:textId="4865589B" w:rsidR="00224967" w:rsidRPr="00D2409E" w:rsidRDefault="00DC5B8C" w:rsidP="00967B19">
            <w:pPr>
              <w:pStyle w:val="BodyText"/>
              <w:ind w:left="181" w:right="139"/>
              <w:jc w:val="center"/>
              <w:rPr>
                <w:highlight w:val="yellow"/>
                <w:lang w:val="en-US"/>
              </w:rPr>
            </w:pPr>
            <w:r>
              <w:rPr>
                <w:highlight w:val="yellow"/>
                <w:lang w:val="en-US"/>
              </w:rPr>
              <w:t>100</w:t>
            </w:r>
          </w:p>
        </w:tc>
      </w:tr>
      <w:tr w:rsidR="00224967" w14:paraId="2F57C50A" w14:textId="77777777" w:rsidTr="00967B19">
        <w:tc>
          <w:tcPr>
            <w:tcW w:w="2589" w:type="dxa"/>
            <w:vMerge/>
            <w:vAlign w:val="center"/>
          </w:tcPr>
          <w:p w14:paraId="6A7F6863" w14:textId="77777777" w:rsidR="00224967" w:rsidRPr="00DE0B19" w:rsidRDefault="00224967" w:rsidP="00967B19">
            <w:pPr>
              <w:pStyle w:val="BodyText"/>
              <w:ind w:left="181" w:right="139"/>
              <w:rPr>
                <w:lang w:val="en-US"/>
              </w:rPr>
            </w:pPr>
          </w:p>
        </w:tc>
        <w:tc>
          <w:tcPr>
            <w:tcW w:w="1843" w:type="dxa"/>
            <w:vAlign w:val="center"/>
          </w:tcPr>
          <w:p w14:paraId="667F58E6" w14:textId="00E19E38" w:rsidR="00224967" w:rsidRPr="00DE0B19" w:rsidRDefault="00224967" w:rsidP="00967B19">
            <w:pPr>
              <w:pStyle w:val="BodyText"/>
              <w:ind w:left="181" w:right="139"/>
              <w:rPr>
                <w:lang w:val="en-US"/>
              </w:rPr>
            </w:pPr>
            <w:r w:rsidRPr="00DE0B19">
              <w:rPr>
                <w:lang w:val="en-US"/>
              </w:rPr>
              <w:t>Year 3</w:t>
            </w:r>
          </w:p>
        </w:tc>
        <w:tc>
          <w:tcPr>
            <w:tcW w:w="3396" w:type="dxa"/>
            <w:vAlign w:val="center"/>
          </w:tcPr>
          <w:p w14:paraId="3E826DCF" w14:textId="73050314" w:rsidR="00224967" w:rsidRPr="00D2409E" w:rsidRDefault="00224967" w:rsidP="00967B19">
            <w:pPr>
              <w:pStyle w:val="BodyText"/>
              <w:ind w:left="181" w:right="139"/>
              <w:jc w:val="center"/>
              <w:rPr>
                <w:highlight w:val="yellow"/>
                <w:lang w:val="en-US"/>
              </w:rPr>
            </w:pPr>
            <w:r w:rsidRPr="00D2409E">
              <w:rPr>
                <w:highlight w:val="yellow"/>
                <w:lang w:val="en-US"/>
              </w:rPr>
              <w:t>8</w:t>
            </w:r>
            <w:r w:rsidR="00DC5B8C">
              <w:rPr>
                <w:highlight w:val="yellow"/>
                <w:lang w:val="en-US"/>
              </w:rPr>
              <w:t>5</w:t>
            </w:r>
          </w:p>
        </w:tc>
      </w:tr>
      <w:tr w:rsidR="00224967" w14:paraId="690C0E2D" w14:textId="77777777" w:rsidTr="00967B19">
        <w:tc>
          <w:tcPr>
            <w:tcW w:w="2589" w:type="dxa"/>
            <w:vMerge/>
            <w:vAlign w:val="center"/>
          </w:tcPr>
          <w:p w14:paraId="5AD61F7D" w14:textId="77777777" w:rsidR="00224967" w:rsidRPr="00DE0B19" w:rsidRDefault="00224967" w:rsidP="00967B19">
            <w:pPr>
              <w:pStyle w:val="BodyText"/>
              <w:ind w:left="181" w:right="139"/>
              <w:rPr>
                <w:lang w:val="en-US"/>
              </w:rPr>
            </w:pPr>
          </w:p>
        </w:tc>
        <w:tc>
          <w:tcPr>
            <w:tcW w:w="1843" w:type="dxa"/>
            <w:vAlign w:val="center"/>
          </w:tcPr>
          <w:p w14:paraId="552ED51E" w14:textId="34D497F3" w:rsidR="00224967" w:rsidRPr="00DE0B19" w:rsidRDefault="00224967" w:rsidP="00967B19">
            <w:pPr>
              <w:pStyle w:val="BodyText"/>
              <w:ind w:left="181" w:right="139"/>
              <w:rPr>
                <w:lang w:val="en-US"/>
              </w:rPr>
            </w:pPr>
            <w:r w:rsidRPr="00DE0B19">
              <w:rPr>
                <w:lang w:val="en-US"/>
              </w:rPr>
              <w:t>Year 4</w:t>
            </w:r>
          </w:p>
        </w:tc>
        <w:tc>
          <w:tcPr>
            <w:tcW w:w="3396" w:type="dxa"/>
            <w:vAlign w:val="center"/>
          </w:tcPr>
          <w:p w14:paraId="00B2BA7E" w14:textId="1FCDCDB3" w:rsidR="00224967" w:rsidRPr="00D2409E" w:rsidRDefault="00224967" w:rsidP="00967B19">
            <w:pPr>
              <w:pStyle w:val="BodyText"/>
              <w:ind w:left="181" w:right="139"/>
              <w:jc w:val="center"/>
              <w:rPr>
                <w:highlight w:val="yellow"/>
                <w:lang w:val="en-US"/>
              </w:rPr>
            </w:pPr>
            <w:r w:rsidRPr="00D2409E">
              <w:rPr>
                <w:highlight w:val="yellow"/>
                <w:lang w:val="en-US"/>
              </w:rPr>
              <w:t>70</w:t>
            </w:r>
          </w:p>
        </w:tc>
      </w:tr>
      <w:tr w:rsidR="00224967" w14:paraId="1C7C3B0C" w14:textId="77777777" w:rsidTr="00967B19">
        <w:tc>
          <w:tcPr>
            <w:tcW w:w="2589" w:type="dxa"/>
            <w:vMerge/>
            <w:vAlign w:val="center"/>
          </w:tcPr>
          <w:p w14:paraId="31AE32E2" w14:textId="77777777" w:rsidR="00224967" w:rsidRPr="00DE0B19" w:rsidRDefault="00224967" w:rsidP="00967B19">
            <w:pPr>
              <w:pStyle w:val="BodyText"/>
              <w:ind w:left="181" w:right="139"/>
              <w:rPr>
                <w:lang w:val="en-US"/>
              </w:rPr>
            </w:pPr>
          </w:p>
        </w:tc>
        <w:tc>
          <w:tcPr>
            <w:tcW w:w="1843" w:type="dxa"/>
            <w:vAlign w:val="center"/>
          </w:tcPr>
          <w:p w14:paraId="4D59946E" w14:textId="6382F2EC" w:rsidR="00224967" w:rsidRPr="00DE0B19" w:rsidRDefault="00224967" w:rsidP="00967B19">
            <w:pPr>
              <w:pStyle w:val="BodyText"/>
              <w:ind w:left="181" w:right="139"/>
              <w:rPr>
                <w:lang w:val="en-US"/>
              </w:rPr>
            </w:pPr>
            <w:r w:rsidRPr="00DE0B19">
              <w:rPr>
                <w:lang w:val="en-US"/>
              </w:rPr>
              <w:t>Year 5</w:t>
            </w:r>
          </w:p>
        </w:tc>
        <w:tc>
          <w:tcPr>
            <w:tcW w:w="3396" w:type="dxa"/>
            <w:vAlign w:val="center"/>
          </w:tcPr>
          <w:p w14:paraId="00A00E8E" w14:textId="33DFB361" w:rsidR="00224967" w:rsidRPr="00D2409E" w:rsidRDefault="00224967" w:rsidP="00967B19">
            <w:pPr>
              <w:pStyle w:val="BodyText"/>
              <w:ind w:left="181" w:right="139"/>
              <w:jc w:val="center"/>
              <w:rPr>
                <w:highlight w:val="yellow"/>
                <w:lang w:val="en-US"/>
              </w:rPr>
            </w:pPr>
            <w:commentRangeStart w:id="1001"/>
            <w:r w:rsidRPr="00D2409E">
              <w:rPr>
                <w:highlight w:val="yellow"/>
                <w:lang w:val="en-US"/>
              </w:rPr>
              <w:t>70</w:t>
            </w:r>
            <w:commentRangeEnd w:id="1001"/>
            <w:r w:rsidR="00A032EA">
              <w:rPr>
                <w:rStyle w:val="CommentReference"/>
              </w:rPr>
              <w:commentReference w:id="1001"/>
            </w:r>
          </w:p>
        </w:tc>
      </w:tr>
    </w:tbl>
    <w:p w14:paraId="0718CE4F" w14:textId="22540F21" w:rsidR="00224967" w:rsidRDefault="00130F30" w:rsidP="00C979B7">
      <w:pPr>
        <w:pStyle w:val="BodyText"/>
        <w:numPr>
          <w:ilvl w:val="0"/>
          <w:numId w:val="35"/>
        </w:numPr>
        <w:ind w:left="1843"/>
        <w:rPr>
          <w:lang w:val="en-US"/>
        </w:rPr>
      </w:pPr>
      <w:r>
        <w:rPr>
          <w:lang w:val="en-US"/>
        </w:rPr>
        <w:t xml:space="preserve">Previous year is the year immediately before </w:t>
      </w:r>
      <w:r w:rsidR="00224967">
        <w:rPr>
          <w:lang w:val="en-US"/>
        </w:rPr>
        <w:t xml:space="preserve">the year in which compliance with the Capacity Obligations is verified. </w:t>
      </w:r>
      <w:r w:rsidR="002D2206">
        <w:rPr>
          <w:lang w:val="en-US"/>
        </w:rPr>
        <w:t>For the first year after the CMOD, the previous year</w:t>
      </w:r>
      <w:r w:rsidR="00542CA2">
        <w:rPr>
          <w:lang w:val="en-US"/>
        </w:rPr>
        <w:t>’s</w:t>
      </w:r>
      <w:r w:rsidR="002D2206">
        <w:rPr>
          <w:lang w:val="en-US"/>
        </w:rPr>
        <w:t xml:space="preserve"> calculation</w:t>
      </w:r>
      <w:r w:rsidR="00542CA2">
        <w:rPr>
          <w:lang w:val="en-US"/>
        </w:rPr>
        <w:t>s</w:t>
      </w:r>
      <w:r w:rsidR="002D2206">
        <w:rPr>
          <w:lang w:val="en-US"/>
        </w:rPr>
        <w:t xml:space="preserve"> shall not be applicable.</w:t>
      </w:r>
    </w:p>
    <w:p w14:paraId="0719F6DF" w14:textId="0DD51805" w:rsidR="00C826B8" w:rsidRDefault="00224967" w:rsidP="00C979B7">
      <w:pPr>
        <w:pStyle w:val="BodyText"/>
        <w:numPr>
          <w:ilvl w:val="0"/>
          <w:numId w:val="35"/>
        </w:numPr>
        <w:ind w:left="1843"/>
        <w:rPr>
          <w:lang w:val="en-US"/>
        </w:rPr>
      </w:pPr>
      <w:r>
        <w:rPr>
          <w:lang w:val="en-US"/>
        </w:rPr>
        <w:t>Current year is the</w:t>
      </w:r>
      <w:r w:rsidR="00C826B8">
        <w:rPr>
          <w:lang w:val="en-US"/>
        </w:rPr>
        <w:t xml:space="preserve"> year in which compliance with the Capacity Obligations is being verified. </w:t>
      </w:r>
    </w:p>
    <w:p w14:paraId="631EA4E9" w14:textId="43071FAE" w:rsidR="00130F30" w:rsidRDefault="00C826B8" w:rsidP="00C979B7">
      <w:pPr>
        <w:pStyle w:val="BodyText"/>
        <w:numPr>
          <w:ilvl w:val="0"/>
          <w:numId w:val="35"/>
        </w:numPr>
        <w:ind w:left="1843"/>
        <w:rPr>
          <w:lang w:val="en-US"/>
        </w:rPr>
      </w:pPr>
      <w:r>
        <w:rPr>
          <w:lang w:val="en-US"/>
        </w:rPr>
        <w:t xml:space="preserve">Year 1 is the year immediately after the year in which compliance with the Capacity Obligations is verified, and Year 2, 3, 4 and 5 shall be construed accordingly. </w:t>
      </w:r>
    </w:p>
    <w:p w14:paraId="5FCDE2A6" w14:textId="77777777" w:rsidR="002D2206" w:rsidRDefault="002D2206" w:rsidP="002D2206">
      <w:pPr>
        <w:pStyle w:val="BodyText"/>
        <w:ind w:left="1843"/>
        <w:rPr>
          <w:lang w:val="en-US"/>
        </w:rPr>
      </w:pPr>
    </w:p>
    <w:p w14:paraId="16B32CE1" w14:textId="1ADB8111" w:rsidR="00DE0B19" w:rsidRDefault="00DE0B19" w:rsidP="00A22D29">
      <w:pPr>
        <w:pStyle w:val="BodyText"/>
        <w:rPr>
          <w:lang w:val="en-US"/>
        </w:rPr>
      </w:pPr>
    </w:p>
    <w:p w14:paraId="0A4E2D37" w14:textId="40BECCB5" w:rsidR="00967B19" w:rsidRPr="0005549E" w:rsidRDefault="00967B19" w:rsidP="00967B19">
      <w:pPr>
        <w:pStyle w:val="Caption"/>
      </w:pPr>
      <w:bookmarkStart w:id="1002" w:name="_Ref66640990"/>
      <w:bookmarkStart w:id="1003" w:name="_Ref66640979"/>
      <w:r w:rsidRPr="0005549E">
        <w:t xml:space="preserve">Table </w:t>
      </w:r>
      <w:fldSimple w:instr=" SEQ Table \* ARABIC ">
        <w:r w:rsidR="00334EEA">
          <w:rPr>
            <w:noProof/>
          </w:rPr>
          <w:t>5</w:t>
        </w:r>
      </w:fldSimple>
      <w:bookmarkEnd w:id="1002"/>
      <w:r>
        <w:t xml:space="preserve">: Capacity Obligations for Competitive </w:t>
      </w:r>
      <w:r w:rsidR="00BF564D">
        <w:t>Electric Power Supplier</w:t>
      </w:r>
      <w:r>
        <w:t>s</w:t>
      </w:r>
      <w:bookmarkEnd w:id="1003"/>
    </w:p>
    <w:tbl>
      <w:tblPr>
        <w:tblStyle w:val="TableGrid"/>
        <w:tblW w:w="0" w:type="auto"/>
        <w:tblInd w:w="1517" w:type="dxa"/>
        <w:tblLook w:val="04A0" w:firstRow="1" w:lastRow="0" w:firstColumn="1" w:lastColumn="0" w:noHBand="0" w:noVBand="1"/>
      </w:tblPr>
      <w:tblGrid>
        <w:gridCol w:w="2589"/>
        <w:gridCol w:w="1843"/>
        <w:gridCol w:w="3396"/>
      </w:tblGrid>
      <w:tr w:rsidR="00967B19" w:rsidRPr="00967B19" w14:paraId="62359E5C" w14:textId="77777777" w:rsidTr="00B450B0">
        <w:tc>
          <w:tcPr>
            <w:tcW w:w="4432" w:type="dxa"/>
            <w:gridSpan w:val="2"/>
            <w:vMerge w:val="restart"/>
            <w:tcBorders>
              <w:bottom w:val="nil"/>
              <w:right w:val="single" w:sz="4" w:space="0" w:color="FFFFFF" w:themeColor="background1"/>
            </w:tcBorders>
            <w:shd w:val="clear" w:color="auto" w:fill="000000" w:themeFill="text1"/>
            <w:vAlign w:val="center"/>
          </w:tcPr>
          <w:p w14:paraId="17C06AA8" w14:textId="77777777" w:rsidR="00967B19" w:rsidRPr="00967B19" w:rsidRDefault="00967B19" w:rsidP="00B450B0">
            <w:pPr>
              <w:pStyle w:val="BodyText"/>
              <w:spacing w:before="120" w:after="120"/>
              <w:ind w:left="181" w:right="142"/>
              <w:jc w:val="center"/>
              <w:rPr>
                <w:b/>
                <w:bCs/>
                <w:color w:val="FFFFFF" w:themeColor="background1"/>
                <w:lang w:val="en-US"/>
              </w:rPr>
            </w:pPr>
            <w:r w:rsidRPr="00967B19">
              <w:rPr>
                <w:b/>
                <w:bCs/>
                <w:color w:val="FFFFFF" w:themeColor="background1"/>
                <w:lang w:val="en-US"/>
              </w:rPr>
              <w:t>Period</w:t>
            </w:r>
          </w:p>
        </w:tc>
        <w:tc>
          <w:tcPr>
            <w:tcW w:w="3396" w:type="dxa"/>
            <w:tcBorders>
              <w:top w:val="single" w:sz="4" w:space="0" w:color="FFFFFF" w:themeColor="background1"/>
              <w:left w:val="single" w:sz="4" w:space="0" w:color="FFFFFF" w:themeColor="background1"/>
              <w:bottom w:val="single" w:sz="4" w:space="0" w:color="FFFFFF" w:themeColor="background1"/>
            </w:tcBorders>
            <w:shd w:val="clear" w:color="auto" w:fill="000000" w:themeFill="text1"/>
            <w:vAlign w:val="center"/>
          </w:tcPr>
          <w:p w14:paraId="4BC86774" w14:textId="77777777" w:rsidR="00967B19" w:rsidRPr="00967B19" w:rsidRDefault="00967B19" w:rsidP="00B450B0">
            <w:pPr>
              <w:pStyle w:val="BodyText"/>
              <w:spacing w:before="120" w:after="120"/>
              <w:ind w:left="181" w:right="142"/>
              <w:rPr>
                <w:b/>
                <w:bCs/>
                <w:color w:val="FFFFFF" w:themeColor="background1"/>
                <w:lang w:val="en-US"/>
              </w:rPr>
            </w:pPr>
            <w:r w:rsidRPr="00967B19">
              <w:rPr>
                <w:b/>
                <w:bCs/>
                <w:color w:val="FFFFFF" w:themeColor="background1"/>
                <w:lang w:val="en-US"/>
              </w:rPr>
              <w:t>Capacity Obligations</w:t>
            </w:r>
          </w:p>
        </w:tc>
      </w:tr>
      <w:tr w:rsidR="00967B19" w:rsidRPr="00967B19" w14:paraId="15468F30" w14:textId="77777777" w:rsidTr="00B450B0">
        <w:tc>
          <w:tcPr>
            <w:tcW w:w="4432" w:type="dxa"/>
            <w:gridSpan w:val="2"/>
            <w:vMerge/>
            <w:tcBorders>
              <w:top w:val="nil"/>
              <w:right w:val="single" w:sz="4" w:space="0" w:color="FFFFFF" w:themeColor="background1"/>
            </w:tcBorders>
            <w:shd w:val="clear" w:color="auto" w:fill="000000" w:themeFill="text1"/>
            <w:vAlign w:val="center"/>
          </w:tcPr>
          <w:p w14:paraId="3E092BBA" w14:textId="77777777" w:rsidR="00967B19" w:rsidRPr="00967B19" w:rsidRDefault="00967B19" w:rsidP="00B450B0">
            <w:pPr>
              <w:pStyle w:val="BodyText"/>
              <w:spacing w:before="120" w:after="120"/>
              <w:ind w:left="181" w:right="142"/>
              <w:rPr>
                <w:b/>
                <w:bCs/>
                <w:color w:val="FFFFFF" w:themeColor="background1"/>
                <w:lang w:val="en-US"/>
              </w:rPr>
            </w:pPr>
          </w:p>
        </w:tc>
        <w:tc>
          <w:tcPr>
            <w:tcW w:w="3396" w:type="dxa"/>
            <w:tcBorders>
              <w:top w:val="single" w:sz="4" w:space="0" w:color="FFFFFF" w:themeColor="background1"/>
              <w:left w:val="single" w:sz="4" w:space="0" w:color="FFFFFF" w:themeColor="background1"/>
            </w:tcBorders>
            <w:shd w:val="clear" w:color="auto" w:fill="000000" w:themeFill="text1"/>
            <w:vAlign w:val="center"/>
          </w:tcPr>
          <w:p w14:paraId="00DF6587" w14:textId="7BB7329B" w:rsidR="00967B19" w:rsidRPr="00967B19" w:rsidRDefault="00967B19" w:rsidP="00B450B0">
            <w:pPr>
              <w:pStyle w:val="BodyText"/>
              <w:spacing w:before="120" w:after="120"/>
              <w:ind w:left="181" w:right="142"/>
              <w:rPr>
                <w:b/>
                <w:bCs/>
                <w:color w:val="FFFFFF" w:themeColor="background1"/>
                <w:lang w:val="en-US"/>
              </w:rPr>
            </w:pPr>
            <w:r w:rsidRPr="00967B19">
              <w:rPr>
                <w:b/>
                <w:bCs/>
                <w:color w:val="FFFFFF" w:themeColor="background1"/>
                <w:lang w:val="en-US"/>
              </w:rPr>
              <w:t>(In % of the registered or forecasted Maximum Demand at System Peak Hours)</w:t>
            </w:r>
          </w:p>
        </w:tc>
      </w:tr>
      <w:tr w:rsidR="00967B19" w14:paraId="0E8D94FF" w14:textId="77777777" w:rsidTr="00B450B0">
        <w:tc>
          <w:tcPr>
            <w:tcW w:w="2589" w:type="dxa"/>
            <w:vAlign w:val="center"/>
          </w:tcPr>
          <w:p w14:paraId="4EEFDF2F" w14:textId="77777777" w:rsidR="00967B19" w:rsidRPr="00DE0B19" w:rsidRDefault="00967B19" w:rsidP="00B450B0">
            <w:pPr>
              <w:pStyle w:val="BodyText"/>
              <w:ind w:left="181" w:right="139"/>
              <w:rPr>
                <w:lang w:val="en-US"/>
              </w:rPr>
            </w:pPr>
            <w:r w:rsidRPr="00DE0B19">
              <w:rPr>
                <w:lang w:val="en-US"/>
              </w:rPr>
              <w:t>Ex-post compliance with the Capacity Obligations</w:t>
            </w:r>
          </w:p>
        </w:tc>
        <w:tc>
          <w:tcPr>
            <w:tcW w:w="1843" w:type="dxa"/>
            <w:vAlign w:val="center"/>
          </w:tcPr>
          <w:p w14:paraId="6351DCA2" w14:textId="77777777" w:rsidR="00967B19" w:rsidRPr="00DE0B19" w:rsidRDefault="00967B19" w:rsidP="00B450B0">
            <w:pPr>
              <w:pStyle w:val="BodyText"/>
              <w:ind w:left="181" w:right="139"/>
              <w:rPr>
                <w:lang w:val="en-US"/>
              </w:rPr>
            </w:pPr>
            <w:r w:rsidRPr="00DE0B19">
              <w:rPr>
                <w:lang w:val="en-US"/>
              </w:rPr>
              <w:t xml:space="preserve">Previous year </w:t>
            </w:r>
            <w:r w:rsidRPr="00DE0B19">
              <w:rPr>
                <w:vertAlign w:val="superscript"/>
                <w:lang w:val="en-US"/>
              </w:rPr>
              <w:t>(1)</w:t>
            </w:r>
          </w:p>
        </w:tc>
        <w:tc>
          <w:tcPr>
            <w:tcW w:w="3396" w:type="dxa"/>
            <w:vAlign w:val="center"/>
          </w:tcPr>
          <w:p w14:paraId="568A312E" w14:textId="77777777" w:rsidR="00967B19" w:rsidRPr="00DE0B19" w:rsidRDefault="00967B19" w:rsidP="00B450B0">
            <w:pPr>
              <w:pStyle w:val="BodyText"/>
              <w:ind w:left="181" w:right="139"/>
              <w:jc w:val="center"/>
              <w:rPr>
                <w:lang w:val="en-US"/>
              </w:rPr>
            </w:pPr>
            <w:r w:rsidRPr="00DE0B19">
              <w:rPr>
                <w:lang w:val="en-US"/>
              </w:rPr>
              <w:t>100</w:t>
            </w:r>
          </w:p>
        </w:tc>
      </w:tr>
      <w:tr w:rsidR="00967B19" w14:paraId="2852F84E" w14:textId="77777777" w:rsidTr="00B450B0">
        <w:tc>
          <w:tcPr>
            <w:tcW w:w="2589" w:type="dxa"/>
            <w:vMerge w:val="restart"/>
            <w:vAlign w:val="center"/>
          </w:tcPr>
          <w:p w14:paraId="6899A199" w14:textId="77777777" w:rsidR="00967B19" w:rsidRPr="00DE0B19" w:rsidRDefault="00967B19" w:rsidP="00B450B0">
            <w:pPr>
              <w:pStyle w:val="BodyText"/>
              <w:ind w:left="181" w:right="139"/>
              <w:rPr>
                <w:lang w:val="en-US"/>
              </w:rPr>
            </w:pPr>
            <w:r w:rsidRPr="00DE0B19">
              <w:rPr>
                <w:lang w:val="en-US"/>
              </w:rPr>
              <w:t>Ex-ante compliance with the Capacity Obligations</w:t>
            </w:r>
          </w:p>
        </w:tc>
        <w:tc>
          <w:tcPr>
            <w:tcW w:w="1843" w:type="dxa"/>
            <w:vAlign w:val="center"/>
          </w:tcPr>
          <w:p w14:paraId="68D955CD" w14:textId="77777777" w:rsidR="00967B19" w:rsidRPr="00DE0B19" w:rsidRDefault="00967B19" w:rsidP="00B450B0">
            <w:pPr>
              <w:pStyle w:val="BodyText"/>
              <w:ind w:left="181" w:right="139"/>
              <w:rPr>
                <w:lang w:val="en-US"/>
              </w:rPr>
            </w:pPr>
            <w:r w:rsidRPr="00DE0B19">
              <w:rPr>
                <w:lang w:val="en-US"/>
              </w:rPr>
              <w:t xml:space="preserve">Current year </w:t>
            </w:r>
            <w:r w:rsidRPr="00DE0B19">
              <w:rPr>
                <w:vertAlign w:val="superscript"/>
                <w:lang w:val="en-US"/>
              </w:rPr>
              <w:t>(2)</w:t>
            </w:r>
          </w:p>
        </w:tc>
        <w:tc>
          <w:tcPr>
            <w:tcW w:w="3396" w:type="dxa"/>
            <w:vAlign w:val="center"/>
          </w:tcPr>
          <w:p w14:paraId="74BD96E6" w14:textId="3E1D59A6" w:rsidR="00967B19" w:rsidRPr="00B03C4A" w:rsidRDefault="002D2206" w:rsidP="00B450B0">
            <w:pPr>
              <w:pStyle w:val="BodyText"/>
              <w:ind w:left="181" w:right="139"/>
              <w:jc w:val="center"/>
              <w:rPr>
                <w:highlight w:val="yellow"/>
                <w:lang w:val="en-US"/>
              </w:rPr>
            </w:pPr>
            <w:r w:rsidRPr="00B03C4A">
              <w:rPr>
                <w:highlight w:val="yellow"/>
                <w:lang w:val="en-US"/>
              </w:rPr>
              <w:t>100</w:t>
            </w:r>
          </w:p>
        </w:tc>
      </w:tr>
      <w:tr w:rsidR="00967B19" w14:paraId="1AD8EAD5" w14:textId="77777777" w:rsidTr="00B450B0">
        <w:tc>
          <w:tcPr>
            <w:tcW w:w="2589" w:type="dxa"/>
            <w:vMerge/>
            <w:vAlign w:val="center"/>
          </w:tcPr>
          <w:p w14:paraId="120CA0D4" w14:textId="77777777" w:rsidR="00967B19" w:rsidRPr="00DE0B19" w:rsidRDefault="00967B19" w:rsidP="00B450B0">
            <w:pPr>
              <w:pStyle w:val="BodyText"/>
              <w:ind w:left="181" w:right="139"/>
              <w:rPr>
                <w:lang w:val="en-US"/>
              </w:rPr>
            </w:pPr>
          </w:p>
        </w:tc>
        <w:tc>
          <w:tcPr>
            <w:tcW w:w="1843" w:type="dxa"/>
            <w:vAlign w:val="center"/>
          </w:tcPr>
          <w:p w14:paraId="0982AC5A" w14:textId="77777777" w:rsidR="00967B19" w:rsidRPr="00DE0B19" w:rsidRDefault="00967B19" w:rsidP="00B450B0">
            <w:pPr>
              <w:pStyle w:val="BodyText"/>
              <w:ind w:left="181" w:right="139"/>
              <w:rPr>
                <w:lang w:val="en-US"/>
              </w:rPr>
            </w:pPr>
            <w:r w:rsidRPr="00DE0B19">
              <w:rPr>
                <w:lang w:val="en-US"/>
              </w:rPr>
              <w:t xml:space="preserve">Year 1 </w:t>
            </w:r>
            <w:r w:rsidRPr="00DE0B19">
              <w:rPr>
                <w:vertAlign w:val="superscript"/>
                <w:lang w:val="en-US"/>
              </w:rPr>
              <w:t>(3)</w:t>
            </w:r>
          </w:p>
        </w:tc>
        <w:tc>
          <w:tcPr>
            <w:tcW w:w="3396" w:type="dxa"/>
            <w:vAlign w:val="center"/>
          </w:tcPr>
          <w:p w14:paraId="751AA92C" w14:textId="0704FA2B" w:rsidR="00967B19" w:rsidRPr="00B03C4A" w:rsidRDefault="002D2206" w:rsidP="00B450B0">
            <w:pPr>
              <w:pStyle w:val="BodyText"/>
              <w:ind w:left="181" w:right="139"/>
              <w:jc w:val="center"/>
              <w:rPr>
                <w:highlight w:val="yellow"/>
                <w:lang w:val="en-US"/>
              </w:rPr>
            </w:pPr>
            <w:r w:rsidRPr="00B03C4A">
              <w:rPr>
                <w:highlight w:val="yellow"/>
                <w:lang w:val="en-US"/>
              </w:rPr>
              <w:t>100</w:t>
            </w:r>
          </w:p>
        </w:tc>
      </w:tr>
      <w:tr w:rsidR="00967B19" w14:paraId="4603D5E3" w14:textId="77777777" w:rsidTr="00B450B0">
        <w:tc>
          <w:tcPr>
            <w:tcW w:w="2589" w:type="dxa"/>
            <w:vMerge/>
            <w:vAlign w:val="center"/>
          </w:tcPr>
          <w:p w14:paraId="0EB5ABF3" w14:textId="77777777" w:rsidR="00967B19" w:rsidRPr="00DE0B19" w:rsidRDefault="00967B19" w:rsidP="00B450B0">
            <w:pPr>
              <w:pStyle w:val="BodyText"/>
              <w:ind w:left="181" w:right="139"/>
              <w:rPr>
                <w:lang w:val="en-US"/>
              </w:rPr>
            </w:pPr>
          </w:p>
        </w:tc>
        <w:tc>
          <w:tcPr>
            <w:tcW w:w="1843" w:type="dxa"/>
            <w:vAlign w:val="center"/>
          </w:tcPr>
          <w:p w14:paraId="6A923017" w14:textId="77777777" w:rsidR="00967B19" w:rsidRPr="00DE0B19" w:rsidRDefault="00967B19" w:rsidP="00B450B0">
            <w:pPr>
              <w:pStyle w:val="BodyText"/>
              <w:ind w:left="181" w:right="139"/>
              <w:rPr>
                <w:lang w:val="en-US"/>
              </w:rPr>
            </w:pPr>
            <w:r w:rsidRPr="00DE0B19">
              <w:rPr>
                <w:lang w:val="en-US"/>
              </w:rPr>
              <w:t>Year 2</w:t>
            </w:r>
          </w:p>
        </w:tc>
        <w:tc>
          <w:tcPr>
            <w:tcW w:w="3396" w:type="dxa"/>
            <w:vAlign w:val="center"/>
          </w:tcPr>
          <w:p w14:paraId="054BBFA5" w14:textId="74EE8D81" w:rsidR="00967B19" w:rsidRPr="00B03C4A" w:rsidRDefault="002D2206" w:rsidP="00B450B0">
            <w:pPr>
              <w:pStyle w:val="BodyText"/>
              <w:ind w:left="181" w:right="139"/>
              <w:jc w:val="center"/>
              <w:rPr>
                <w:highlight w:val="yellow"/>
                <w:lang w:val="en-US"/>
              </w:rPr>
            </w:pPr>
            <w:r w:rsidRPr="00B03C4A">
              <w:rPr>
                <w:highlight w:val="yellow"/>
                <w:lang w:val="en-US"/>
              </w:rPr>
              <w:t>60</w:t>
            </w:r>
          </w:p>
        </w:tc>
      </w:tr>
      <w:tr w:rsidR="00967B19" w14:paraId="0109ECFE" w14:textId="77777777" w:rsidTr="00B450B0">
        <w:tc>
          <w:tcPr>
            <w:tcW w:w="2589" w:type="dxa"/>
            <w:vMerge/>
            <w:vAlign w:val="center"/>
          </w:tcPr>
          <w:p w14:paraId="1C31411B" w14:textId="77777777" w:rsidR="00967B19" w:rsidRPr="00DE0B19" w:rsidRDefault="00967B19" w:rsidP="00B450B0">
            <w:pPr>
              <w:pStyle w:val="BodyText"/>
              <w:ind w:left="181" w:right="139"/>
              <w:rPr>
                <w:lang w:val="en-US"/>
              </w:rPr>
            </w:pPr>
          </w:p>
        </w:tc>
        <w:tc>
          <w:tcPr>
            <w:tcW w:w="1843" w:type="dxa"/>
            <w:vAlign w:val="center"/>
          </w:tcPr>
          <w:p w14:paraId="289B61E8" w14:textId="77777777" w:rsidR="00967B19" w:rsidRPr="00DE0B19" w:rsidRDefault="00967B19" w:rsidP="00B450B0">
            <w:pPr>
              <w:pStyle w:val="BodyText"/>
              <w:ind w:left="181" w:right="139"/>
              <w:rPr>
                <w:lang w:val="en-US"/>
              </w:rPr>
            </w:pPr>
            <w:r w:rsidRPr="00DE0B19">
              <w:rPr>
                <w:lang w:val="en-US"/>
              </w:rPr>
              <w:t>Year 3</w:t>
            </w:r>
          </w:p>
        </w:tc>
        <w:tc>
          <w:tcPr>
            <w:tcW w:w="3396" w:type="dxa"/>
            <w:vAlign w:val="center"/>
          </w:tcPr>
          <w:p w14:paraId="6C07C47D" w14:textId="7EB78FDC" w:rsidR="00967B19" w:rsidRPr="00B03C4A" w:rsidRDefault="002D2206" w:rsidP="00B450B0">
            <w:pPr>
              <w:pStyle w:val="BodyText"/>
              <w:ind w:left="181" w:right="139"/>
              <w:jc w:val="center"/>
              <w:rPr>
                <w:highlight w:val="yellow"/>
                <w:lang w:val="en-US"/>
              </w:rPr>
            </w:pPr>
            <w:r w:rsidRPr="00B03C4A">
              <w:rPr>
                <w:highlight w:val="yellow"/>
                <w:lang w:val="en-US"/>
              </w:rPr>
              <w:t>0</w:t>
            </w:r>
          </w:p>
        </w:tc>
      </w:tr>
      <w:tr w:rsidR="00967B19" w14:paraId="0CB6530C" w14:textId="77777777" w:rsidTr="00B450B0">
        <w:tc>
          <w:tcPr>
            <w:tcW w:w="2589" w:type="dxa"/>
            <w:vMerge/>
            <w:vAlign w:val="center"/>
          </w:tcPr>
          <w:p w14:paraId="74D5903B" w14:textId="77777777" w:rsidR="00967B19" w:rsidRPr="00DE0B19" w:rsidRDefault="00967B19" w:rsidP="00B450B0">
            <w:pPr>
              <w:pStyle w:val="BodyText"/>
              <w:ind w:left="181" w:right="139"/>
              <w:rPr>
                <w:lang w:val="en-US"/>
              </w:rPr>
            </w:pPr>
          </w:p>
        </w:tc>
        <w:tc>
          <w:tcPr>
            <w:tcW w:w="1843" w:type="dxa"/>
            <w:vAlign w:val="center"/>
          </w:tcPr>
          <w:p w14:paraId="400B1DF9" w14:textId="77777777" w:rsidR="00967B19" w:rsidRPr="00DE0B19" w:rsidRDefault="00967B19" w:rsidP="00B450B0">
            <w:pPr>
              <w:pStyle w:val="BodyText"/>
              <w:ind w:left="181" w:right="139"/>
              <w:rPr>
                <w:lang w:val="en-US"/>
              </w:rPr>
            </w:pPr>
            <w:r w:rsidRPr="00DE0B19">
              <w:rPr>
                <w:lang w:val="en-US"/>
              </w:rPr>
              <w:t>Year 4</w:t>
            </w:r>
          </w:p>
        </w:tc>
        <w:tc>
          <w:tcPr>
            <w:tcW w:w="3396" w:type="dxa"/>
            <w:vAlign w:val="center"/>
          </w:tcPr>
          <w:p w14:paraId="0589A61D" w14:textId="6316F0D1" w:rsidR="00967B19" w:rsidRPr="00B03C4A" w:rsidRDefault="002D2206" w:rsidP="00B450B0">
            <w:pPr>
              <w:pStyle w:val="BodyText"/>
              <w:ind w:left="181" w:right="139"/>
              <w:jc w:val="center"/>
              <w:rPr>
                <w:highlight w:val="yellow"/>
                <w:lang w:val="en-US"/>
              </w:rPr>
            </w:pPr>
            <w:r w:rsidRPr="00B03C4A">
              <w:rPr>
                <w:highlight w:val="yellow"/>
                <w:lang w:val="en-US"/>
              </w:rPr>
              <w:t>0</w:t>
            </w:r>
          </w:p>
        </w:tc>
      </w:tr>
      <w:tr w:rsidR="00967B19" w14:paraId="00DCC2D6" w14:textId="77777777" w:rsidTr="00B450B0">
        <w:tc>
          <w:tcPr>
            <w:tcW w:w="2589" w:type="dxa"/>
            <w:vMerge/>
            <w:vAlign w:val="center"/>
          </w:tcPr>
          <w:p w14:paraId="499CA2CA" w14:textId="77777777" w:rsidR="00967B19" w:rsidRPr="00DE0B19" w:rsidRDefault="00967B19" w:rsidP="00B450B0">
            <w:pPr>
              <w:pStyle w:val="BodyText"/>
              <w:ind w:left="181" w:right="139"/>
              <w:rPr>
                <w:lang w:val="en-US"/>
              </w:rPr>
            </w:pPr>
          </w:p>
        </w:tc>
        <w:tc>
          <w:tcPr>
            <w:tcW w:w="1843" w:type="dxa"/>
            <w:vAlign w:val="center"/>
          </w:tcPr>
          <w:p w14:paraId="191DF866" w14:textId="77777777" w:rsidR="00967B19" w:rsidRPr="00DE0B19" w:rsidRDefault="00967B19" w:rsidP="00B450B0">
            <w:pPr>
              <w:pStyle w:val="BodyText"/>
              <w:ind w:left="181" w:right="139"/>
              <w:rPr>
                <w:lang w:val="en-US"/>
              </w:rPr>
            </w:pPr>
            <w:r w:rsidRPr="00DE0B19">
              <w:rPr>
                <w:lang w:val="en-US"/>
              </w:rPr>
              <w:t>Year 5</w:t>
            </w:r>
          </w:p>
        </w:tc>
        <w:tc>
          <w:tcPr>
            <w:tcW w:w="3396" w:type="dxa"/>
            <w:vAlign w:val="center"/>
          </w:tcPr>
          <w:p w14:paraId="2DCF32CE" w14:textId="0221728C" w:rsidR="00967B19" w:rsidRPr="00B03C4A" w:rsidRDefault="002D2206" w:rsidP="00B450B0">
            <w:pPr>
              <w:pStyle w:val="BodyText"/>
              <w:ind w:left="181" w:right="139"/>
              <w:jc w:val="center"/>
              <w:rPr>
                <w:highlight w:val="yellow"/>
                <w:lang w:val="en-US"/>
              </w:rPr>
            </w:pPr>
            <w:r w:rsidRPr="00B03C4A">
              <w:rPr>
                <w:highlight w:val="yellow"/>
                <w:lang w:val="en-US"/>
              </w:rPr>
              <w:t>0</w:t>
            </w:r>
          </w:p>
        </w:tc>
      </w:tr>
    </w:tbl>
    <w:p w14:paraId="302B2F7C" w14:textId="64FDF453" w:rsidR="00967B19" w:rsidRDefault="00967B19" w:rsidP="00C979B7">
      <w:pPr>
        <w:pStyle w:val="BodyText"/>
        <w:numPr>
          <w:ilvl w:val="0"/>
          <w:numId w:val="36"/>
        </w:numPr>
        <w:ind w:left="1843"/>
        <w:rPr>
          <w:lang w:val="en-US"/>
        </w:rPr>
      </w:pPr>
      <w:r>
        <w:rPr>
          <w:lang w:val="en-US"/>
        </w:rPr>
        <w:t xml:space="preserve">Previous year is the year immediately before the year in which compliance with the Capacity Obligations is verified. </w:t>
      </w:r>
      <w:r w:rsidR="002D2206">
        <w:rPr>
          <w:lang w:val="en-US"/>
        </w:rPr>
        <w:t>For the first year after the CMOD, the previous year</w:t>
      </w:r>
      <w:r w:rsidR="00542CA2">
        <w:rPr>
          <w:lang w:val="en-US"/>
        </w:rPr>
        <w:t>’s</w:t>
      </w:r>
      <w:r w:rsidR="002D2206">
        <w:rPr>
          <w:lang w:val="en-US"/>
        </w:rPr>
        <w:t xml:space="preserve"> calculation shall not be applicable.</w:t>
      </w:r>
    </w:p>
    <w:p w14:paraId="03C9742E" w14:textId="7D92F089" w:rsidR="00967B19" w:rsidRDefault="00967B19" w:rsidP="00C979B7">
      <w:pPr>
        <w:pStyle w:val="BodyText"/>
        <w:numPr>
          <w:ilvl w:val="0"/>
          <w:numId w:val="36"/>
        </w:numPr>
        <w:ind w:left="1843"/>
        <w:rPr>
          <w:lang w:val="en-US"/>
        </w:rPr>
      </w:pPr>
      <w:r>
        <w:rPr>
          <w:lang w:val="en-US"/>
        </w:rPr>
        <w:t xml:space="preserve">Current year is the year in which compliance with the Capacity Obligations is being verified. </w:t>
      </w:r>
    </w:p>
    <w:p w14:paraId="22E209C7" w14:textId="0922B68D" w:rsidR="00DE0B19" w:rsidRPr="00C826B8" w:rsidRDefault="00967B19" w:rsidP="00C979B7">
      <w:pPr>
        <w:pStyle w:val="BodyText"/>
        <w:numPr>
          <w:ilvl w:val="0"/>
          <w:numId w:val="36"/>
        </w:numPr>
        <w:ind w:left="1843"/>
        <w:rPr>
          <w:lang w:val="en-US"/>
        </w:rPr>
      </w:pPr>
      <w:r>
        <w:rPr>
          <w:lang w:val="en-US"/>
        </w:rPr>
        <w:t>Year 1 is the year immediately after the year in which compliance with the Capacity Obligations is verified, and Year 2, 3, 4 and 5 shall be construed accordingly.</w:t>
      </w:r>
    </w:p>
    <w:p w14:paraId="34685A67" w14:textId="77777777" w:rsidR="00DE0B19" w:rsidRPr="00C826B8" w:rsidRDefault="00DE0B19" w:rsidP="00A22D29">
      <w:pPr>
        <w:pStyle w:val="BodyText"/>
        <w:rPr>
          <w:lang w:val="en-US"/>
        </w:rPr>
      </w:pPr>
    </w:p>
    <w:p w14:paraId="2260E8E7" w14:textId="13C1FF97" w:rsidR="00DE0B19" w:rsidRPr="0005549E" w:rsidRDefault="00DE0B19" w:rsidP="00A22D29">
      <w:pPr>
        <w:pStyle w:val="Caption"/>
      </w:pPr>
      <w:bookmarkStart w:id="1004" w:name="_Ref64110270"/>
      <w:r w:rsidRPr="0005549E">
        <w:t xml:space="preserve">Table </w:t>
      </w:r>
      <w:fldSimple w:instr=" SEQ Table \* ARABIC ">
        <w:r w:rsidR="00334EEA">
          <w:rPr>
            <w:noProof/>
          </w:rPr>
          <w:t>6</w:t>
        </w:r>
      </w:fldSimple>
      <w:bookmarkEnd w:id="1004"/>
      <w:r>
        <w:t xml:space="preserve">: Capacity Obligations for </w:t>
      </w:r>
      <w:r w:rsidR="00D2409E">
        <w:t>BPC</w:t>
      </w:r>
      <w:r w:rsidR="00E062D7">
        <w:t xml:space="preserve"> </w:t>
      </w:r>
    </w:p>
    <w:tbl>
      <w:tblPr>
        <w:tblStyle w:val="TableGrid"/>
        <w:tblW w:w="0" w:type="auto"/>
        <w:tblInd w:w="1517" w:type="dxa"/>
        <w:tblLook w:val="04A0" w:firstRow="1" w:lastRow="0" w:firstColumn="1" w:lastColumn="0" w:noHBand="0" w:noVBand="1"/>
      </w:tblPr>
      <w:tblGrid>
        <w:gridCol w:w="2589"/>
        <w:gridCol w:w="1843"/>
        <w:gridCol w:w="3396"/>
      </w:tblGrid>
      <w:tr w:rsidR="00967B19" w:rsidRPr="00967B19" w14:paraId="2F699F6A" w14:textId="77777777" w:rsidTr="00B450B0">
        <w:tc>
          <w:tcPr>
            <w:tcW w:w="4432" w:type="dxa"/>
            <w:gridSpan w:val="2"/>
            <w:vMerge w:val="restart"/>
            <w:tcBorders>
              <w:bottom w:val="nil"/>
              <w:right w:val="single" w:sz="4" w:space="0" w:color="FFFFFF" w:themeColor="background1"/>
            </w:tcBorders>
            <w:shd w:val="clear" w:color="auto" w:fill="000000" w:themeFill="text1"/>
            <w:vAlign w:val="center"/>
          </w:tcPr>
          <w:p w14:paraId="0AD82AAF" w14:textId="77777777" w:rsidR="00967B19" w:rsidRPr="00967B19" w:rsidRDefault="00967B19" w:rsidP="00B450B0">
            <w:pPr>
              <w:pStyle w:val="BodyText"/>
              <w:spacing w:before="120" w:after="120"/>
              <w:ind w:left="181" w:right="142"/>
              <w:jc w:val="center"/>
              <w:rPr>
                <w:b/>
                <w:bCs/>
                <w:color w:val="FFFFFF" w:themeColor="background1"/>
                <w:lang w:val="en-US"/>
              </w:rPr>
            </w:pPr>
            <w:r w:rsidRPr="00967B19">
              <w:rPr>
                <w:b/>
                <w:bCs/>
                <w:color w:val="FFFFFF" w:themeColor="background1"/>
                <w:lang w:val="en-US"/>
              </w:rPr>
              <w:t>Period</w:t>
            </w:r>
          </w:p>
        </w:tc>
        <w:tc>
          <w:tcPr>
            <w:tcW w:w="3396" w:type="dxa"/>
            <w:tcBorders>
              <w:top w:val="single" w:sz="4" w:space="0" w:color="FFFFFF" w:themeColor="background1"/>
              <w:left w:val="single" w:sz="4" w:space="0" w:color="FFFFFF" w:themeColor="background1"/>
              <w:bottom w:val="single" w:sz="4" w:space="0" w:color="FFFFFF" w:themeColor="background1"/>
            </w:tcBorders>
            <w:shd w:val="clear" w:color="auto" w:fill="000000" w:themeFill="text1"/>
            <w:vAlign w:val="center"/>
          </w:tcPr>
          <w:p w14:paraId="21EA2A68" w14:textId="77777777" w:rsidR="00967B19" w:rsidRPr="00967B19" w:rsidRDefault="00967B19" w:rsidP="00B450B0">
            <w:pPr>
              <w:pStyle w:val="BodyText"/>
              <w:spacing w:before="120" w:after="120"/>
              <w:ind w:left="181" w:right="142"/>
              <w:rPr>
                <w:b/>
                <w:bCs/>
                <w:color w:val="FFFFFF" w:themeColor="background1"/>
                <w:lang w:val="en-US"/>
              </w:rPr>
            </w:pPr>
            <w:r w:rsidRPr="00967B19">
              <w:rPr>
                <w:b/>
                <w:bCs/>
                <w:color w:val="FFFFFF" w:themeColor="background1"/>
                <w:lang w:val="en-US"/>
              </w:rPr>
              <w:t>Capacity Obligations</w:t>
            </w:r>
          </w:p>
        </w:tc>
      </w:tr>
      <w:tr w:rsidR="00967B19" w:rsidRPr="00967B19" w14:paraId="0E9ECA70" w14:textId="77777777" w:rsidTr="00B450B0">
        <w:tc>
          <w:tcPr>
            <w:tcW w:w="4432" w:type="dxa"/>
            <w:gridSpan w:val="2"/>
            <w:vMerge/>
            <w:tcBorders>
              <w:top w:val="nil"/>
              <w:right w:val="single" w:sz="4" w:space="0" w:color="FFFFFF" w:themeColor="background1"/>
            </w:tcBorders>
            <w:shd w:val="clear" w:color="auto" w:fill="000000" w:themeFill="text1"/>
            <w:vAlign w:val="center"/>
          </w:tcPr>
          <w:p w14:paraId="021571DD" w14:textId="77777777" w:rsidR="00967B19" w:rsidRPr="00967B19" w:rsidRDefault="00967B19" w:rsidP="00B450B0">
            <w:pPr>
              <w:pStyle w:val="BodyText"/>
              <w:spacing w:before="120" w:after="120"/>
              <w:ind w:left="181" w:right="142"/>
              <w:rPr>
                <w:b/>
                <w:bCs/>
                <w:color w:val="FFFFFF" w:themeColor="background1"/>
                <w:lang w:val="en-US"/>
              </w:rPr>
            </w:pPr>
          </w:p>
        </w:tc>
        <w:tc>
          <w:tcPr>
            <w:tcW w:w="3396" w:type="dxa"/>
            <w:tcBorders>
              <w:top w:val="single" w:sz="4" w:space="0" w:color="FFFFFF" w:themeColor="background1"/>
              <w:left w:val="single" w:sz="4" w:space="0" w:color="FFFFFF" w:themeColor="background1"/>
            </w:tcBorders>
            <w:shd w:val="clear" w:color="auto" w:fill="000000" w:themeFill="text1"/>
            <w:vAlign w:val="center"/>
          </w:tcPr>
          <w:p w14:paraId="0BBDE249" w14:textId="1BE5464C" w:rsidR="00967B19" w:rsidRPr="00967B19" w:rsidRDefault="00967B19" w:rsidP="00B450B0">
            <w:pPr>
              <w:pStyle w:val="BodyText"/>
              <w:spacing w:before="120" w:after="120"/>
              <w:ind w:left="181" w:right="142"/>
              <w:rPr>
                <w:b/>
                <w:bCs/>
                <w:color w:val="FFFFFF" w:themeColor="background1"/>
                <w:lang w:val="en-US"/>
              </w:rPr>
            </w:pPr>
            <w:r w:rsidRPr="00967B19">
              <w:rPr>
                <w:b/>
                <w:bCs/>
                <w:color w:val="FFFFFF" w:themeColor="background1"/>
                <w:lang w:val="en-US"/>
              </w:rPr>
              <w:t>(In % of the of the registered or forecasted Maximum Demand at System Peak Hours)</w:t>
            </w:r>
          </w:p>
        </w:tc>
      </w:tr>
      <w:tr w:rsidR="002D2206" w14:paraId="13F26D67" w14:textId="77777777" w:rsidTr="00B450B0">
        <w:tc>
          <w:tcPr>
            <w:tcW w:w="2589" w:type="dxa"/>
            <w:vAlign w:val="center"/>
          </w:tcPr>
          <w:p w14:paraId="7CC8F2D5" w14:textId="77777777" w:rsidR="002D2206" w:rsidRPr="00DE0B19" w:rsidRDefault="002D2206" w:rsidP="002D2206">
            <w:pPr>
              <w:pStyle w:val="BodyText"/>
              <w:ind w:left="181" w:right="139"/>
              <w:rPr>
                <w:lang w:val="en-US"/>
              </w:rPr>
            </w:pPr>
            <w:r w:rsidRPr="00DE0B19">
              <w:rPr>
                <w:lang w:val="en-US"/>
              </w:rPr>
              <w:t>Ex-post compliance with the Capacity Obligations</w:t>
            </w:r>
          </w:p>
        </w:tc>
        <w:tc>
          <w:tcPr>
            <w:tcW w:w="1843" w:type="dxa"/>
            <w:vAlign w:val="center"/>
          </w:tcPr>
          <w:p w14:paraId="4418C343" w14:textId="77777777" w:rsidR="002D2206" w:rsidRPr="00DE0B19" w:rsidRDefault="002D2206" w:rsidP="002D2206">
            <w:pPr>
              <w:pStyle w:val="BodyText"/>
              <w:ind w:left="181" w:right="139"/>
              <w:rPr>
                <w:lang w:val="en-US"/>
              </w:rPr>
            </w:pPr>
            <w:r w:rsidRPr="00DE0B19">
              <w:rPr>
                <w:lang w:val="en-US"/>
              </w:rPr>
              <w:t xml:space="preserve">Previous year </w:t>
            </w:r>
            <w:r w:rsidRPr="00DE0B19">
              <w:rPr>
                <w:vertAlign w:val="superscript"/>
                <w:lang w:val="en-US"/>
              </w:rPr>
              <w:t>(1)</w:t>
            </w:r>
          </w:p>
        </w:tc>
        <w:tc>
          <w:tcPr>
            <w:tcW w:w="3396" w:type="dxa"/>
            <w:vAlign w:val="center"/>
          </w:tcPr>
          <w:p w14:paraId="0507B68A" w14:textId="45C681DD" w:rsidR="002D2206" w:rsidRPr="00DE0B19" w:rsidRDefault="002D2206" w:rsidP="002D2206">
            <w:pPr>
              <w:pStyle w:val="BodyText"/>
              <w:ind w:left="181" w:right="139"/>
              <w:jc w:val="center"/>
              <w:rPr>
                <w:lang w:val="en-US"/>
              </w:rPr>
            </w:pPr>
            <w:r w:rsidRPr="00DE0B19">
              <w:rPr>
                <w:lang w:val="en-US"/>
              </w:rPr>
              <w:t>100</w:t>
            </w:r>
          </w:p>
        </w:tc>
      </w:tr>
      <w:tr w:rsidR="002D2206" w14:paraId="1179D265" w14:textId="77777777" w:rsidTr="00B450B0">
        <w:tc>
          <w:tcPr>
            <w:tcW w:w="2589" w:type="dxa"/>
            <w:vMerge w:val="restart"/>
            <w:vAlign w:val="center"/>
          </w:tcPr>
          <w:p w14:paraId="565BD4C5" w14:textId="77777777" w:rsidR="002D2206" w:rsidRPr="00DE0B19" w:rsidRDefault="002D2206" w:rsidP="002D2206">
            <w:pPr>
              <w:pStyle w:val="BodyText"/>
              <w:ind w:left="181" w:right="139"/>
              <w:rPr>
                <w:lang w:val="en-US"/>
              </w:rPr>
            </w:pPr>
            <w:r w:rsidRPr="00DE0B19">
              <w:rPr>
                <w:lang w:val="en-US"/>
              </w:rPr>
              <w:t>Ex-ante compliance with the Capacity Obligations</w:t>
            </w:r>
          </w:p>
        </w:tc>
        <w:tc>
          <w:tcPr>
            <w:tcW w:w="1843" w:type="dxa"/>
            <w:vAlign w:val="center"/>
          </w:tcPr>
          <w:p w14:paraId="1BFE66EE" w14:textId="77777777" w:rsidR="002D2206" w:rsidRPr="00DE0B19" w:rsidRDefault="002D2206" w:rsidP="002D2206">
            <w:pPr>
              <w:pStyle w:val="BodyText"/>
              <w:ind w:left="181" w:right="139"/>
              <w:rPr>
                <w:lang w:val="en-US"/>
              </w:rPr>
            </w:pPr>
            <w:r w:rsidRPr="00DE0B19">
              <w:rPr>
                <w:lang w:val="en-US"/>
              </w:rPr>
              <w:t xml:space="preserve">Current year </w:t>
            </w:r>
            <w:r w:rsidRPr="00DE0B19">
              <w:rPr>
                <w:vertAlign w:val="superscript"/>
                <w:lang w:val="en-US"/>
              </w:rPr>
              <w:t>(2)</w:t>
            </w:r>
          </w:p>
        </w:tc>
        <w:tc>
          <w:tcPr>
            <w:tcW w:w="3396" w:type="dxa"/>
            <w:vAlign w:val="center"/>
          </w:tcPr>
          <w:p w14:paraId="09BF7861" w14:textId="6B70D439" w:rsidR="002D2206" w:rsidRPr="00B03C4A" w:rsidRDefault="002D2206" w:rsidP="002D2206">
            <w:pPr>
              <w:pStyle w:val="BodyText"/>
              <w:ind w:left="181" w:right="139"/>
              <w:jc w:val="center"/>
              <w:rPr>
                <w:highlight w:val="yellow"/>
                <w:lang w:val="en-US"/>
              </w:rPr>
            </w:pPr>
            <w:r w:rsidRPr="00B03C4A">
              <w:rPr>
                <w:highlight w:val="yellow"/>
                <w:lang w:val="en-US"/>
              </w:rPr>
              <w:t>100</w:t>
            </w:r>
          </w:p>
        </w:tc>
      </w:tr>
      <w:tr w:rsidR="002D2206" w14:paraId="364684BD" w14:textId="77777777" w:rsidTr="00B450B0">
        <w:tc>
          <w:tcPr>
            <w:tcW w:w="2589" w:type="dxa"/>
            <w:vMerge/>
            <w:vAlign w:val="center"/>
          </w:tcPr>
          <w:p w14:paraId="0989262A" w14:textId="77777777" w:rsidR="002D2206" w:rsidRPr="00DE0B19" w:rsidRDefault="002D2206" w:rsidP="002D2206">
            <w:pPr>
              <w:pStyle w:val="BodyText"/>
              <w:ind w:left="181" w:right="139"/>
              <w:rPr>
                <w:lang w:val="en-US"/>
              </w:rPr>
            </w:pPr>
          </w:p>
        </w:tc>
        <w:tc>
          <w:tcPr>
            <w:tcW w:w="1843" w:type="dxa"/>
            <w:vAlign w:val="center"/>
          </w:tcPr>
          <w:p w14:paraId="6D89D8F2" w14:textId="77777777" w:rsidR="002D2206" w:rsidRPr="00DE0B19" w:rsidRDefault="002D2206" w:rsidP="002D2206">
            <w:pPr>
              <w:pStyle w:val="BodyText"/>
              <w:ind w:left="181" w:right="139"/>
              <w:rPr>
                <w:lang w:val="en-US"/>
              </w:rPr>
            </w:pPr>
            <w:r w:rsidRPr="00DE0B19">
              <w:rPr>
                <w:lang w:val="en-US"/>
              </w:rPr>
              <w:t xml:space="preserve">Year 1 </w:t>
            </w:r>
            <w:r w:rsidRPr="00DE0B19">
              <w:rPr>
                <w:vertAlign w:val="superscript"/>
                <w:lang w:val="en-US"/>
              </w:rPr>
              <w:t>(3)</w:t>
            </w:r>
          </w:p>
        </w:tc>
        <w:tc>
          <w:tcPr>
            <w:tcW w:w="3396" w:type="dxa"/>
            <w:vAlign w:val="center"/>
          </w:tcPr>
          <w:p w14:paraId="5C54A4E3" w14:textId="628A7FD9" w:rsidR="002D2206" w:rsidRPr="00B03C4A" w:rsidRDefault="002D2206" w:rsidP="002D2206">
            <w:pPr>
              <w:pStyle w:val="BodyText"/>
              <w:ind w:left="181" w:right="139"/>
              <w:jc w:val="center"/>
              <w:rPr>
                <w:highlight w:val="yellow"/>
                <w:lang w:val="en-US"/>
              </w:rPr>
            </w:pPr>
            <w:r w:rsidRPr="00B03C4A">
              <w:rPr>
                <w:highlight w:val="yellow"/>
                <w:lang w:val="en-US"/>
              </w:rPr>
              <w:t>80</w:t>
            </w:r>
          </w:p>
        </w:tc>
      </w:tr>
      <w:tr w:rsidR="002D2206" w14:paraId="6723F726" w14:textId="77777777" w:rsidTr="00B450B0">
        <w:tc>
          <w:tcPr>
            <w:tcW w:w="2589" w:type="dxa"/>
            <w:vMerge/>
            <w:vAlign w:val="center"/>
          </w:tcPr>
          <w:p w14:paraId="4A5F0C31" w14:textId="77777777" w:rsidR="002D2206" w:rsidRPr="00DE0B19" w:rsidRDefault="002D2206" w:rsidP="002D2206">
            <w:pPr>
              <w:pStyle w:val="BodyText"/>
              <w:ind w:left="181" w:right="139"/>
              <w:rPr>
                <w:lang w:val="en-US"/>
              </w:rPr>
            </w:pPr>
          </w:p>
        </w:tc>
        <w:tc>
          <w:tcPr>
            <w:tcW w:w="1843" w:type="dxa"/>
            <w:vAlign w:val="center"/>
          </w:tcPr>
          <w:p w14:paraId="3B63A338" w14:textId="77777777" w:rsidR="002D2206" w:rsidRPr="00DE0B19" w:rsidRDefault="002D2206" w:rsidP="002D2206">
            <w:pPr>
              <w:pStyle w:val="BodyText"/>
              <w:ind w:left="181" w:right="139"/>
              <w:rPr>
                <w:lang w:val="en-US"/>
              </w:rPr>
            </w:pPr>
            <w:r w:rsidRPr="00DE0B19">
              <w:rPr>
                <w:lang w:val="en-US"/>
              </w:rPr>
              <w:t>Year 2</w:t>
            </w:r>
          </w:p>
        </w:tc>
        <w:tc>
          <w:tcPr>
            <w:tcW w:w="3396" w:type="dxa"/>
            <w:vAlign w:val="center"/>
          </w:tcPr>
          <w:p w14:paraId="78797900" w14:textId="76578C75" w:rsidR="002D2206" w:rsidRPr="00B03C4A" w:rsidRDefault="002D2206" w:rsidP="002D2206">
            <w:pPr>
              <w:pStyle w:val="BodyText"/>
              <w:ind w:left="181" w:right="139"/>
              <w:jc w:val="center"/>
              <w:rPr>
                <w:highlight w:val="yellow"/>
                <w:lang w:val="en-US"/>
              </w:rPr>
            </w:pPr>
            <w:r w:rsidRPr="00B03C4A">
              <w:rPr>
                <w:highlight w:val="yellow"/>
                <w:lang w:val="en-US"/>
              </w:rPr>
              <w:t>60</w:t>
            </w:r>
          </w:p>
        </w:tc>
      </w:tr>
      <w:tr w:rsidR="002D2206" w14:paraId="1C7999F3" w14:textId="77777777" w:rsidTr="00B450B0">
        <w:tc>
          <w:tcPr>
            <w:tcW w:w="2589" w:type="dxa"/>
            <w:vMerge/>
            <w:vAlign w:val="center"/>
          </w:tcPr>
          <w:p w14:paraId="69CD5A46" w14:textId="77777777" w:rsidR="002D2206" w:rsidRPr="00DE0B19" w:rsidRDefault="002D2206" w:rsidP="002D2206">
            <w:pPr>
              <w:pStyle w:val="BodyText"/>
              <w:ind w:left="181" w:right="139"/>
              <w:rPr>
                <w:lang w:val="en-US"/>
              </w:rPr>
            </w:pPr>
          </w:p>
        </w:tc>
        <w:tc>
          <w:tcPr>
            <w:tcW w:w="1843" w:type="dxa"/>
            <w:vAlign w:val="center"/>
          </w:tcPr>
          <w:p w14:paraId="060D17BC" w14:textId="77777777" w:rsidR="002D2206" w:rsidRPr="00DE0B19" w:rsidRDefault="002D2206" w:rsidP="002D2206">
            <w:pPr>
              <w:pStyle w:val="BodyText"/>
              <w:ind w:left="181" w:right="139"/>
              <w:rPr>
                <w:lang w:val="en-US"/>
              </w:rPr>
            </w:pPr>
            <w:r w:rsidRPr="00DE0B19">
              <w:rPr>
                <w:lang w:val="en-US"/>
              </w:rPr>
              <w:t>Year 3</w:t>
            </w:r>
          </w:p>
        </w:tc>
        <w:tc>
          <w:tcPr>
            <w:tcW w:w="3396" w:type="dxa"/>
            <w:vAlign w:val="center"/>
          </w:tcPr>
          <w:p w14:paraId="3F5434C7" w14:textId="17B46289" w:rsidR="002D2206" w:rsidRPr="00B03C4A" w:rsidRDefault="002D2206" w:rsidP="002D2206">
            <w:pPr>
              <w:pStyle w:val="BodyText"/>
              <w:ind w:left="181" w:right="139"/>
              <w:jc w:val="center"/>
              <w:rPr>
                <w:highlight w:val="yellow"/>
                <w:lang w:val="en-US"/>
              </w:rPr>
            </w:pPr>
            <w:r w:rsidRPr="00B03C4A">
              <w:rPr>
                <w:highlight w:val="yellow"/>
                <w:lang w:val="en-US"/>
              </w:rPr>
              <w:t>50</w:t>
            </w:r>
          </w:p>
        </w:tc>
      </w:tr>
      <w:tr w:rsidR="002D2206" w14:paraId="721EEB72" w14:textId="77777777" w:rsidTr="00B03C4A">
        <w:tc>
          <w:tcPr>
            <w:tcW w:w="2589" w:type="dxa"/>
            <w:vMerge/>
            <w:vAlign w:val="center"/>
          </w:tcPr>
          <w:p w14:paraId="0013C916" w14:textId="77777777" w:rsidR="002D2206" w:rsidRPr="00DE0B19" w:rsidRDefault="002D2206" w:rsidP="002D2206">
            <w:pPr>
              <w:pStyle w:val="BodyText"/>
              <w:ind w:left="181" w:right="139"/>
              <w:rPr>
                <w:lang w:val="en-US"/>
              </w:rPr>
            </w:pPr>
          </w:p>
        </w:tc>
        <w:tc>
          <w:tcPr>
            <w:tcW w:w="1843" w:type="dxa"/>
            <w:vAlign w:val="center"/>
          </w:tcPr>
          <w:p w14:paraId="12160140" w14:textId="77777777" w:rsidR="002D2206" w:rsidRPr="00DE0B19" w:rsidRDefault="002D2206" w:rsidP="002D2206">
            <w:pPr>
              <w:pStyle w:val="BodyText"/>
              <w:ind w:left="181" w:right="139"/>
              <w:rPr>
                <w:lang w:val="en-US"/>
              </w:rPr>
            </w:pPr>
            <w:r w:rsidRPr="00DE0B19">
              <w:rPr>
                <w:lang w:val="en-US"/>
              </w:rPr>
              <w:t>Year 4</w:t>
            </w:r>
          </w:p>
        </w:tc>
        <w:tc>
          <w:tcPr>
            <w:tcW w:w="3396" w:type="dxa"/>
          </w:tcPr>
          <w:p w14:paraId="713AA6D3" w14:textId="7E34E953" w:rsidR="002D2206" w:rsidRPr="00B03C4A" w:rsidRDefault="002D2206" w:rsidP="002D2206">
            <w:pPr>
              <w:pStyle w:val="BodyText"/>
              <w:ind w:left="181" w:right="139"/>
              <w:jc w:val="center"/>
              <w:rPr>
                <w:highlight w:val="yellow"/>
                <w:lang w:val="en-US"/>
              </w:rPr>
            </w:pPr>
            <w:r w:rsidRPr="00B03C4A">
              <w:rPr>
                <w:highlight w:val="yellow"/>
                <w:lang w:val="en-US"/>
              </w:rPr>
              <w:t>50</w:t>
            </w:r>
          </w:p>
        </w:tc>
      </w:tr>
      <w:tr w:rsidR="002D2206" w14:paraId="6237AA5D" w14:textId="77777777" w:rsidTr="00B03C4A">
        <w:tc>
          <w:tcPr>
            <w:tcW w:w="2589" w:type="dxa"/>
            <w:vMerge/>
            <w:vAlign w:val="center"/>
          </w:tcPr>
          <w:p w14:paraId="273B79B7" w14:textId="77777777" w:rsidR="002D2206" w:rsidRPr="00DE0B19" w:rsidRDefault="002D2206" w:rsidP="002D2206">
            <w:pPr>
              <w:pStyle w:val="BodyText"/>
              <w:ind w:left="181" w:right="139"/>
              <w:rPr>
                <w:lang w:val="en-US"/>
              </w:rPr>
            </w:pPr>
          </w:p>
        </w:tc>
        <w:tc>
          <w:tcPr>
            <w:tcW w:w="1843" w:type="dxa"/>
            <w:vAlign w:val="center"/>
          </w:tcPr>
          <w:p w14:paraId="2FB91A5A" w14:textId="77777777" w:rsidR="002D2206" w:rsidRPr="00DE0B19" w:rsidRDefault="002D2206" w:rsidP="002D2206">
            <w:pPr>
              <w:pStyle w:val="BodyText"/>
              <w:ind w:left="181" w:right="139"/>
              <w:rPr>
                <w:lang w:val="en-US"/>
              </w:rPr>
            </w:pPr>
            <w:r w:rsidRPr="00DE0B19">
              <w:rPr>
                <w:lang w:val="en-US"/>
              </w:rPr>
              <w:t>Year 5</w:t>
            </w:r>
          </w:p>
        </w:tc>
        <w:tc>
          <w:tcPr>
            <w:tcW w:w="3396" w:type="dxa"/>
          </w:tcPr>
          <w:p w14:paraId="6B34C35D" w14:textId="4EE800E6" w:rsidR="002D2206" w:rsidRPr="00B03C4A" w:rsidRDefault="002D2206" w:rsidP="002D2206">
            <w:pPr>
              <w:pStyle w:val="BodyText"/>
              <w:ind w:left="181" w:right="139"/>
              <w:jc w:val="center"/>
              <w:rPr>
                <w:highlight w:val="yellow"/>
                <w:lang w:val="en-US"/>
              </w:rPr>
            </w:pPr>
            <w:r w:rsidRPr="00B03C4A">
              <w:rPr>
                <w:highlight w:val="yellow"/>
                <w:lang w:val="en-US"/>
              </w:rPr>
              <w:t>50</w:t>
            </w:r>
          </w:p>
        </w:tc>
      </w:tr>
    </w:tbl>
    <w:p w14:paraId="0C8F9B10" w14:textId="35775930" w:rsidR="00967B19" w:rsidRDefault="00967B19" w:rsidP="00C979B7">
      <w:pPr>
        <w:pStyle w:val="BodyText"/>
        <w:numPr>
          <w:ilvl w:val="0"/>
          <w:numId w:val="37"/>
        </w:numPr>
        <w:ind w:left="1843"/>
        <w:rPr>
          <w:lang w:val="en-US"/>
        </w:rPr>
      </w:pPr>
      <w:r>
        <w:rPr>
          <w:lang w:val="en-US"/>
        </w:rPr>
        <w:t xml:space="preserve">Previous year is the year immediately before the year in which compliance with the Capacity Obligations is verified. </w:t>
      </w:r>
      <w:r w:rsidR="002D2206">
        <w:rPr>
          <w:lang w:val="en-US"/>
        </w:rPr>
        <w:t>For the first year after the CMOD, the previous year</w:t>
      </w:r>
      <w:r w:rsidR="00542CA2">
        <w:rPr>
          <w:lang w:val="en-US"/>
        </w:rPr>
        <w:t>’s</w:t>
      </w:r>
      <w:r w:rsidR="002D2206">
        <w:rPr>
          <w:lang w:val="en-US"/>
        </w:rPr>
        <w:t xml:space="preserve"> calculation shall not be applicable</w:t>
      </w:r>
      <w:r w:rsidR="00542CA2">
        <w:rPr>
          <w:lang w:val="en-US"/>
        </w:rPr>
        <w:t>.</w:t>
      </w:r>
    </w:p>
    <w:p w14:paraId="7C3C7027" w14:textId="3EA553EA" w:rsidR="00967B19" w:rsidRDefault="00967B19" w:rsidP="00C979B7">
      <w:pPr>
        <w:pStyle w:val="BodyText"/>
        <w:numPr>
          <w:ilvl w:val="0"/>
          <w:numId w:val="37"/>
        </w:numPr>
        <w:ind w:left="1843"/>
        <w:rPr>
          <w:lang w:val="en-US"/>
        </w:rPr>
      </w:pPr>
      <w:r>
        <w:rPr>
          <w:lang w:val="en-US"/>
        </w:rPr>
        <w:t xml:space="preserve">Current year is the year in which compliance with the Capacity Obligations is being verified. </w:t>
      </w:r>
    </w:p>
    <w:p w14:paraId="35A782FA" w14:textId="67910ACD" w:rsidR="00967B19" w:rsidRPr="00C826B8" w:rsidRDefault="00967B19" w:rsidP="00C979B7">
      <w:pPr>
        <w:pStyle w:val="BodyText"/>
        <w:numPr>
          <w:ilvl w:val="0"/>
          <w:numId w:val="37"/>
        </w:numPr>
        <w:ind w:left="1843"/>
        <w:rPr>
          <w:lang w:val="en-US"/>
        </w:rPr>
      </w:pPr>
      <w:r>
        <w:rPr>
          <w:lang w:val="en-US"/>
        </w:rPr>
        <w:t>Year 1 is the year immediately after the year in which compliance with the Capacity Obligations is verified, and Year 2, 3, 4 and 5 shall be construed accordingly.</w:t>
      </w:r>
    </w:p>
    <w:p w14:paraId="5268DE1A" w14:textId="2E0F99E3" w:rsidR="00967B19" w:rsidRPr="001F6B98" w:rsidRDefault="00967B19" w:rsidP="001F6B98">
      <w:pPr>
        <w:pStyle w:val="Heading3"/>
      </w:pPr>
      <w:r w:rsidRPr="001F6B98">
        <w:t>Allocation Factors of Legacy Contracts</w:t>
      </w:r>
    </w:p>
    <w:p w14:paraId="4F2B2AEB" w14:textId="279C87EB" w:rsidR="00DE0B19" w:rsidRDefault="00967B19" w:rsidP="005B295A">
      <w:pPr>
        <w:pStyle w:val="Heading4"/>
        <w:rPr>
          <w:lang w:val="en-US"/>
        </w:rPr>
      </w:pPr>
      <w:r>
        <w:rPr>
          <w:lang w:val="en-US"/>
        </w:rPr>
        <w:t xml:space="preserve">Legacy Contracts </w:t>
      </w:r>
      <w:r w:rsidR="00B47F57">
        <w:rPr>
          <w:lang w:val="en-US"/>
        </w:rPr>
        <w:t xml:space="preserve">shall </w:t>
      </w:r>
      <w:r>
        <w:rPr>
          <w:lang w:val="en-US"/>
        </w:rPr>
        <w:t xml:space="preserve">be commercially </w:t>
      </w:r>
      <w:r w:rsidR="00B47F57">
        <w:rPr>
          <w:lang w:val="en-US"/>
        </w:rPr>
        <w:t xml:space="preserve">allocated </w:t>
      </w:r>
      <w:r>
        <w:rPr>
          <w:lang w:val="en-US"/>
        </w:rPr>
        <w:t xml:space="preserve">to </w:t>
      </w:r>
      <w:r w:rsidR="00D019A5">
        <w:rPr>
          <w:lang w:val="en-US"/>
        </w:rPr>
        <w:t xml:space="preserve">the </w:t>
      </w:r>
      <w:r w:rsidR="00344CEB">
        <w:rPr>
          <w:lang w:val="en-US"/>
        </w:rPr>
        <w:t xml:space="preserve">EX-WAPDA </w:t>
      </w:r>
      <w:r w:rsidR="00D019A5">
        <w:rPr>
          <w:lang w:val="en-US"/>
        </w:rPr>
        <w:t>DISCOs</w:t>
      </w:r>
      <w:r w:rsidR="00B47F57">
        <w:rPr>
          <w:lang w:val="en-US"/>
        </w:rPr>
        <w:t xml:space="preserve"> as Default Suppliers</w:t>
      </w:r>
      <w:r w:rsidR="00D019A5">
        <w:rPr>
          <w:lang w:val="en-US"/>
        </w:rPr>
        <w:t xml:space="preserve">, and to </w:t>
      </w:r>
      <w:r w:rsidR="00090024">
        <w:rPr>
          <w:lang w:val="en-US"/>
        </w:rPr>
        <w:t>K-Electric</w:t>
      </w:r>
      <w:r w:rsidR="00D019A5">
        <w:rPr>
          <w:lang w:val="en-US"/>
        </w:rPr>
        <w:t xml:space="preserve"> utilizing the Allocation Factors </w:t>
      </w:r>
      <w:r w:rsidR="00B47F57">
        <w:rPr>
          <w:lang w:val="en-US"/>
        </w:rPr>
        <w:t xml:space="preserve">provided </w:t>
      </w:r>
      <w:r w:rsidR="00D019A5">
        <w:rPr>
          <w:lang w:val="en-US"/>
        </w:rPr>
        <w:t>in</w:t>
      </w:r>
      <w:r w:rsidR="0030473A">
        <w:rPr>
          <w:lang w:val="en-US"/>
        </w:rPr>
        <w:t xml:space="preserve"> </w:t>
      </w:r>
      <w:r w:rsidR="0030473A">
        <w:rPr>
          <w:lang w:val="en-US"/>
        </w:rPr>
        <w:fldChar w:fldCharType="begin"/>
      </w:r>
      <w:r w:rsidR="0030473A">
        <w:rPr>
          <w:lang w:val="en-US"/>
        </w:rPr>
        <w:instrText xml:space="preserve"> REF _Ref64225328 \h  \* MERGEFORMAT </w:instrText>
      </w:r>
      <w:r w:rsidR="0030473A">
        <w:rPr>
          <w:lang w:val="en-US"/>
        </w:rPr>
      </w:r>
      <w:r w:rsidR="0030473A">
        <w:rPr>
          <w:lang w:val="en-US"/>
        </w:rPr>
        <w:fldChar w:fldCharType="separate"/>
      </w:r>
      <w:r w:rsidR="00251DBF" w:rsidRPr="0005549E">
        <w:t xml:space="preserve">Table </w:t>
      </w:r>
      <w:r w:rsidR="00251DBF">
        <w:rPr>
          <w:noProof/>
        </w:rPr>
        <w:t>6</w:t>
      </w:r>
      <w:r w:rsidR="0030473A">
        <w:rPr>
          <w:lang w:val="en-US"/>
        </w:rPr>
        <w:fldChar w:fldCharType="end"/>
      </w:r>
      <w:r w:rsidR="00B47F57">
        <w:rPr>
          <w:lang w:val="en-US"/>
        </w:rPr>
        <w:t xml:space="preserve"> below</w:t>
      </w:r>
      <w:r w:rsidR="00D019A5">
        <w:rPr>
          <w:lang w:val="en-US"/>
        </w:rPr>
        <w:t xml:space="preserve">. </w:t>
      </w:r>
    </w:p>
    <w:p w14:paraId="519D04C7" w14:textId="3B171C83" w:rsidR="00D019A5" w:rsidRPr="00D019A5" w:rsidRDefault="00D019A5" w:rsidP="00D019A5">
      <w:pPr>
        <w:pStyle w:val="Caption"/>
        <w:ind w:left="426"/>
      </w:pPr>
      <w:bookmarkStart w:id="1005" w:name="_Ref64225328"/>
      <w:r w:rsidRPr="0005549E">
        <w:t xml:space="preserve">Table </w:t>
      </w:r>
      <w:fldSimple w:instr=" SEQ Table \* ARABIC ">
        <w:r w:rsidR="00334EEA">
          <w:rPr>
            <w:noProof/>
          </w:rPr>
          <w:t>7</w:t>
        </w:r>
      </w:fldSimple>
      <w:bookmarkEnd w:id="1005"/>
      <w:r>
        <w:t xml:space="preserve">: </w:t>
      </w:r>
      <w:r w:rsidR="00403C8A">
        <w:t>Default Supplier</w:t>
      </w:r>
      <w:r>
        <w:t>s Allocation Factors</w:t>
      </w:r>
    </w:p>
    <w:tbl>
      <w:tblPr>
        <w:tblW w:w="4066" w:type="dxa"/>
        <w:tblInd w:w="2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2"/>
        <w:gridCol w:w="2794"/>
      </w:tblGrid>
      <w:tr w:rsidR="00D019A5" w:rsidRPr="00D019A5" w14:paraId="1F99FE79" w14:textId="77777777" w:rsidTr="00D019A5">
        <w:trPr>
          <w:trHeight w:val="396"/>
        </w:trPr>
        <w:tc>
          <w:tcPr>
            <w:tcW w:w="1272" w:type="dxa"/>
            <w:tcBorders>
              <w:bottom w:val="single" w:sz="4" w:space="0" w:color="FFFFFF" w:themeColor="background1"/>
              <w:right w:val="single" w:sz="4" w:space="0" w:color="FFFFFF" w:themeColor="background1"/>
            </w:tcBorders>
            <w:shd w:val="clear" w:color="auto" w:fill="000000" w:themeFill="text1"/>
            <w:noWrap/>
            <w:vAlign w:val="bottom"/>
            <w:hideMark/>
          </w:tcPr>
          <w:p w14:paraId="76A53B78" w14:textId="3C57B1A5" w:rsidR="00D019A5" w:rsidRPr="00D019A5" w:rsidRDefault="00D019A5" w:rsidP="00D019A5">
            <w:pPr>
              <w:spacing w:line="240" w:lineRule="auto"/>
              <w:jc w:val="center"/>
              <w:rPr>
                <w:rFonts w:eastAsia="Times New Roman" w:cs="Calibri"/>
                <w:b/>
                <w:bCs/>
                <w:color w:val="FFFFFF" w:themeColor="background1"/>
                <w:lang w:val="en-US"/>
              </w:rPr>
            </w:pPr>
            <w:r w:rsidRPr="00D019A5">
              <w:rPr>
                <w:rFonts w:eastAsia="Times New Roman" w:cs="Calibri"/>
                <w:b/>
                <w:bCs/>
                <w:color w:val="FFFFFF" w:themeColor="background1"/>
                <w:lang w:val="en-US"/>
              </w:rPr>
              <w:t>Supplier</w:t>
            </w:r>
          </w:p>
        </w:tc>
        <w:tc>
          <w:tcPr>
            <w:tcW w:w="2794" w:type="dxa"/>
            <w:tcBorders>
              <w:left w:val="single" w:sz="4" w:space="0" w:color="FFFFFF" w:themeColor="background1"/>
            </w:tcBorders>
            <w:shd w:val="clear" w:color="auto" w:fill="000000" w:themeFill="text1"/>
            <w:noWrap/>
            <w:vAlign w:val="bottom"/>
            <w:hideMark/>
          </w:tcPr>
          <w:p w14:paraId="4D89193C" w14:textId="5AE3AB50" w:rsidR="00D019A5" w:rsidRPr="00D019A5" w:rsidRDefault="00D019A5" w:rsidP="00D019A5">
            <w:pPr>
              <w:spacing w:line="240" w:lineRule="auto"/>
              <w:jc w:val="center"/>
              <w:rPr>
                <w:rFonts w:eastAsia="Times New Roman" w:cs="Calibri"/>
                <w:b/>
                <w:bCs/>
                <w:color w:val="FFFFFF" w:themeColor="background1"/>
                <w:lang w:val="en-US"/>
              </w:rPr>
            </w:pPr>
            <w:r w:rsidRPr="00D019A5">
              <w:rPr>
                <w:rFonts w:eastAsia="Times New Roman" w:cs="Calibri"/>
                <w:b/>
                <w:bCs/>
                <w:color w:val="FFFFFF" w:themeColor="background1"/>
                <w:lang w:val="en-US"/>
              </w:rPr>
              <w:t>Allocation Factor</w:t>
            </w:r>
          </w:p>
        </w:tc>
      </w:tr>
      <w:tr w:rsidR="00D019A5" w:rsidRPr="00D019A5" w14:paraId="1FC659AF" w14:textId="77777777" w:rsidTr="00D019A5">
        <w:trPr>
          <w:trHeight w:val="290"/>
        </w:trPr>
        <w:tc>
          <w:tcPr>
            <w:tcW w:w="1272" w:type="dxa"/>
            <w:tcBorders>
              <w:top w:val="single" w:sz="4" w:space="0" w:color="FFFFFF" w:themeColor="background1"/>
              <w:left w:val="single" w:sz="4" w:space="0" w:color="FFFFFF" w:themeColor="background1"/>
              <w:bottom w:val="single" w:sz="4" w:space="0" w:color="FFFFFF" w:themeColor="background1"/>
            </w:tcBorders>
            <w:shd w:val="clear" w:color="auto" w:fill="000000" w:themeFill="text1"/>
            <w:noWrap/>
            <w:vAlign w:val="bottom"/>
            <w:hideMark/>
          </w:tcPr>
          <w:p w14:paraId="71C41C1B" w14:textId="77777777" w:rsidR="00D019A5" w:rsidRPr="00D019A5" w:rsidRDefault="00D019A5" w:rsidP="00D019A5">
            <w:pPr>
              <w:spacing w:before="60" w:after="60" w:line="240" w:lineRule="auto"/>
              <w:jc w:val="center"/>
              <w:rPr>
                <w:rFonts w:eastAsia="Times New Roman" w:cs="Calibri"/>
                <w:b/>
                <w:bCs/>
                <w:color w:val="FFFFFF" w:themeColor="background1"/>
                <w:lang w:val="en-US"/>
              </w:rPr>
            </w:pPr>
            <w:r w:rsidRPr="00D019A5">
              <w:rPr>
                <w:rFonts w:eastAsia="Times New Roman" w:cs="Calibri"/>
                <w:b/>
                <w:bCs/>
                <w:color w:val="FFFFFF" w:themeColor="background1"/>
                <w:lang w:val="en-US"/>
              </w:rPr>
              <w:t>LESCO</w:t>
            </w:r>
          </w:p>
        </w:tc>
        <w:tc>
          <w:tcPr>
            <w:tcW w:w="2794" w:type="dxa"/>
            <w:shd w:val="clear" w:color="auto" w:fill="auto"/>
            <w:noWrap/>
            <w:vAlign w:val="bottom"/>
            <w:hideMark/>
          </w:tcPr>
          <w:p w14:paraId="329F2E77" w14:textId="77777777" w:rsidR="00D019A5" w:rsidRPr="00B03C4A" w:rsidRDefault="00D019A5" w:rsidP="00D019A5">
            <w:pPr>
              <w:spacing w:before="60" w:after="60" w:line="240" w:lineRule="auto"/>
              <w:jc w:val="center"/>
              <w:rPr>
                <w:rFonts w:eastAsia="Times New Roman" w:cs="Calibri"/>
                <w:color w:val="000000"/>
                <w:highlight w:val="yellow"/>
                <w:lang w:val="en-US"/>
              </w:rPr>
            </w:pPr>
            <w:r w:rsidRPr="00B03C4A">
              <w:rPr>
                <w:rFonts w:eastAsia="Times New Roman" w:cs="Calibri"/>
                <w:color w:val="000000"/>
                <w:highlight w:val="yellow"/>
                <w:lang w:val="en-US"/>
              </w:rPr>
              <w:t>20.61%</w:t>
            </w:r>
          </w:p>
        </w:tc>
      </w:tr>
      <w:tr w:rsidR="00D019A5" w:rsidRPr="00D019A5" w14:paraId="41C504E4" w14:textId="77777777" w:rsidTr="00D019A5">
        <w:trPr>
          <w:trHeight w:val="290"/>
        </w:trPr>
        <w:tc>
          <w:tcPr>
            <w:tcW w:w="1272" w:type="dxa"/>
            <w:tcBorders>
              <w:top w:val="single" w:sz="4" w:space="0" w:color="FFFFFF" w:themeColor="background1"/>
              <w:left w:val="single" w:sz="4" w:space="0" w:color="FFFFFF" w:themeColor="background1"/>
              <w:bottom w:val="single" w:sz="4" w:space="0" w:color="FFFFFF" w:themeColor="background1"/>
            </w:tcBorders>
            <w:shd w:val="clear" w:color="auto" w:fill="000000" w:themeFill="text1"/>
            <w:noWrap/>
            <w:vAlign w:val="bottom"/>
            <w:hideMark/>
          </w:tcPr>
          <w:p w14:paraId="176B48DF" w14:textId="77777777" w:rsidR="00D019A5" w:rsidRPr="00D019A5" w:rsidRDefault="00D019A5" w:rsidP="00D019A5">
            <w:pPr>
              <w:spacing w:before="60" w:after="60" w:line="240" w:lineRule="auto"/>
              <w:jc w:val="center"/>
              <w:rPr>
                <w:rFonts w:eastAsia="Times New Roman" w:cs="Calibri"/>
                <w:b/>
                <w:bCs/>
                <w:color w:val="FFFFFF" w:themeColor="background1"/>
                <w:lang w:val="en-US"/>
              </w:rPr>
            </w:pPr>
            <w:r w:rsidRPr="00D019A5">
              <w:rPr>
                <w:rFonts w:eastAsia="Times New Roman" w:cs="Calibri"/>
                <w:b/>
                <w:bCs/>
                <w:color w:val="FFFFFF" w:themeColor="background1"/>
                <w:lang w:val="en-US"/>
              </w:rPr>
              <w:t>GEPCO</w:t>
            </w:r>
          </w:p>
        </w:tc>
        <w:tc>
          <w:tcPr>
            <w:tcW w:w="2794" w:type="dxa"/>
            <w:shd w:val="clear" w:color="auto" w:fill="auto"/>
            <w:noWrap/>
            <w:vAlign w:val="bottom"/>
            <w:hideMark/>
          </w:tcPr>
          <w:p w14:paraId="4FB7304E" w14:textId="77777777" w:rsidR="00D019A5" w:rsidRPr="00B03C4A" w:rsidRDefault="00D019A5" w:rsidP="00D019A5">
            <w:pPr>
              <w:spacing w:before="60" w:after="60" w:line="240" w:lineRule="auto"/>
              <w:jc w:val="center"/>
              <w:rPr>
                <w:rFonts w:eastAsia="Times New Roman" w:cs="Calibri"/>
                <w:color w:val="000000"/>
                <w:highlight w:val="yellow"/>
                <w:lang w:val="en-US"/>
              </w:rPr>
            </w:pPr>
            <w:r w:rsidRPr="00B03C4A">
              <w:rPr>
                <w:rFonts w:eastAsia="Times New Roman" w:cs="Calibri"/>
                <w:color w:val="000000"/>
                <w:highlight w:val="yellow"/>
                <w:lang w:val="en-US"/>
              </w:rPr>
              <w:t>9.17%</w:t>
            </w:r>
          </w:p>
        </w:tc>
      </w:tr>
      <w:tr w:rsidR="00D019A5" w:rsidRPr="00D019A5" w14:paraId="5125FC49" w14:textId="77777777" w:rsidTr="00D019A5">
        <w:trPr>
          <w:trHeight w:val="295"/>
        </w:trPr>
        <w:tc>
          <w:tcPr>
            <w:tcW w:w="1272" w:type="dxa"/>
            <w:tcBorders>
              <w:top w:val="single" w:sz="4" w:space="0" w:color="FFFFFF" w:themeColor="background1"/>
              <w:left w:val="single" w:sz="4" w:space="0" w:color="FFFFFF" w:themeColor="background1"/>
              <w:bottom w:val="single" w:sz="4" w:space="0" w:color="FFFFFF" w:themeColor="background1"/>
            </w:tcBorders>
            <w:shd w:val="clear" w:color="auto" w:fill="000000" w:themeFill="text1"/>
            <w:noWrap/>
            <w:vAlign w:val="bottom"/>
            <w:hideMark/>
          </w:tcPr>
          <w:p w14:paraId="3E596F87" w14:textId="77777777" w:rsidR="00D019A5" w:rsidRPr="00D019A5" w:rsidRDefault="00D019A5" w:rsidP="00D019A5">
            <w:pPr>
              <w:spacing w:before="60" w:after="60" w:line="240" w:lineRule="auto"/>
              <w:jc w:val="center"/>
              <w:rPr>
                <w:rFonts w:eastAsia="Times New Roman" w:cs="Calibri"/>
                <w:b/>
                <w:bCs/>
                <w:color w:val="FFFFFF" w:themeColor="background1"/>
                <w:lang w:val="en-US"/>
              </w:rPr>
            </w:pPr>
            <w:r w:rsidRPr="00D019A5">
              <w:rPr>
                <w:rFonts w:eastAsia="Times New Roman" w:cs="Calibri"/>
                <w:b/>
                <w:bCs/>
                <w:color w:val="FFFFFF" w:themeColor="background1"/>
                <w:lang w:val="en-US"/>
              </w:rPr>
              <w:t>FESCO</w:t>
            </w:r>
          </w:p>
        </w:tc>
        <w:tc>
          <w:tcPr>
            <w:tcW w:w="2794" w:type="dxa"/>
            <w:shd w:val="clear" w:color="auto" w:fill="auto"/>
            <w:noWrap/>
            <w:vAlign w:val="bottom"/>
            <w:hideMark/>
          </w:tcPr>
          <w:p w14:paraId="5AC4F633" w14:textId="77777777" w:rsidR="00D019A5" w:rsidRPr="00B03C4A" w:rsidRDefault="00D019A5" w:rsidP="00D019A5">
            <w:pPr>
              <w:spacing w:before="60" w:after="60" w:line="240" w:lineRule="auto"/>
              <w:jc w:val="center"/>
              <w:rPr>
                <w:rFonts w:eastAsia="Times New Roman" w:cs="Calibri"/>
                <w:color w:val="000000"/>
                <w:highlight w:val="yellow"/>
                <w:lang w:val="en-US"/>
              </w:rPr>
            </w:pPr>
            <w:r w:rsidRPr="00B03C4A">
              <w:rPr>
                <w:rFonts w:eastAsia="Times New Roman" w:cs="Calibri"/>
                <w:color w:val="000000"/>
                <w:highlight w:val="yellow"/>
                <w:lang w:val="en-US"/>
              </w:rPr>
              <w:t>12.32%</w:t>
            </w:r>
          </w:p>
        </w:tc>
      </w:tr>
      <w:tr w:rsidR="00D019A5" w:rsidRPr="00D019A5" w14:paraId="6B4D562B" w14:textId="77777777" w:rsidTr="00D019A5">
        <w:trPr>
          <w:trHeight w:val="290"/>
        </w:trPr>
        <w:tc>
          <w:tcPr>
            <w:tcW w:w="1272" w:type="dxa"/>
            <w:tcBorders>
              <w:top w:val="single" w:sz="4" w:space="0" w:color="FFFFFF" w:themeColor="background1"/>
              <w:left w:val="single" w:sz="4" w:space="0" w:color="FFFFFF" w:themeColor="background1"/>
              <w:bottom w:val="single" w:sz="4" w:space="0" w:color="FFFFFF" w:themeColor="background1"/>
            </w:tcBorders>
            <w:shd w:val="clear" w:color="auto" w:fill="000000" w:themeFill="text1"/>
            <w:noWrap/>
            <w:vAlign w:val="bottom"/>
            <w:hideMark/>
          </w:tcPr>
          <w:p w14:paraId="394C5CBA" w14:textId="77777777" w:rsidR="00D019A5" w:rsidRPr="00D019A5" w:rsidRDefault="00D019A5" w:rsidP="00D019A5">
            <w:pPr>
              <w:spacing w:before="60" w:after="60" w:line="240" w:lineRule="auto"/>
              <w:jc w:val="center"/>
              <w:rPr>
                <w:rFonts w:eastAsia="Times New Roman" w:cs="Calibri"/>
                <w:b/>
                <w:bCs/>
                <w:color w:val="FFFFFF" w:themeColor="background1"/>
                <w:lang w:val="en-US"/>
              </w:rPr>
            </w:pPr>
            <w:r w:rsidRPr="00D019A5">
              <w:rPr>
                <w:rFonts w:eastAsia="Times New Roman" w:cs="Calibri"/>
                <w:b/>
                <w:bCs/>
                <w:color w:val="FFFFFF" w:themeColor="background1"/>
                <w:lang w:val="en-US"/>
              </w:rPr>
              <w:t>IESCO</w:t>
            </w:r>
          </w:p>
        </w:tc>
        <w:tc>
          <w:tcPr>
            <w:tcW w:w="2794" w:type="dxa"/>
            <w:shd w:val="clear" w:color="auto" w:fill="auto"/>
            <w:noWrap/>
            <w:vAlign w:val="bottom"/>
            <w:hideMark/>
          </w:tcPr>
          <w:p w14:paraId="2E4D6CA2" w14:textId="77777777" w:rsidR="00D019A5" w:rsidRPr="00B03C4A" w:rsidRDefault="00D019A5" w:rsidP="00D019A5">
            <w:pPr>
              <w:spacing w:before="60" w:after="60" w:line="240" w:lineRule="auto"/>
              <w:jc w:val="center"/>
              <w:rPr>
                <w:rFonts w:eastAsia="Times New Roman" w:cs="Calibri"/>
                <w:color w:val="000000"/>
                <w:highlight w:val="yellow"/>
                <w:lang w:val="en-US"/>
              </w:rPr>
            </w:pPr>
            <w:r w:rsidRPr="00B03C4A">
              <w:rPr>
                <w:rFonts w:eastAsia="Times New Roman" w:cs="Calibri"/>
                <w:color w:val="000000"/>
                <w:highlight w:val="yellow"/>
                <w:lang w:val="en-US"/>
              </w:rPr>
              <w:t>9.82%</w:t>
            </w:r>
          </w:p>
        </w:tc>
      </w:tr>
      <w:tr w:rsidR="00D019A5" w:rsidRPr="00D019A5" w14:paraId="5DE65449" w14:textId="77777777" w:rsidTr="00D019A5">
        <w:trPr>
          <w:trHeight w:val="290"/>
        </w:trPr>
        <w:tc>
          <w:tcPr>
            <w:tcW w:w="1272" w:type="dxa"/>
            <w:tcBorders>
              <w:top w:val="single" w:sz="4" w:space="0" w:color="FFFFFF" w:themeColor="background1"/>
              <w:left w:val="single" w:sz="4" w:space="0" w:color="FFFFFF" w:themeColor="background1"/>
              <w:bottom w:val="single" w:sz="4" w:space="0" w:color="FFFFFF" w:themeColor="background1"/>
            </w:tcBorders>
            <w:shd w:val="clear" w:color="auto" w:fill="000000" w:themeFill="text1"/>
            <w:noWrap/>
            <w:vAlign w:val="bottom"/>
            <w:hideMark/>
          </w:tcPr>
          <w:p w14:paraId="10EFAF3A" w14:textId="77777777" w:rsidR="00D019A5" w:rsidRPr="00D019A5" w:rsidRDefault="00D019A5" w:rsidP="00D019A5">
            <w:pPr>
              <w:spacing w:before="60" w:after="60" w:line="240" w:lineRule="auto"/>
              <w:jc w:val="center"/>
              <w:rPr>
                <w:rFonts w:eastAsia="Times New Roman" w:cs="Calibri"/>
                <w:b/>
                <w:bCs/>
                <w:color w:val="FFFFFF" w:themeColor="background1"/>
                <w:lang w:val="en-US"/>
              </w:rPr>
            </w:pPr>
            <w:r w:rsidRPr="00D019A5">
              <w:rPr>
                <w:rFonts w:eastAsia="Times New Roman" w:cs="Calibri"/>
                <w:b/>
                <w:bCs/>
                <w:color w:val="FFFFFF" w:themeColor="background1"/>
                <w:lang w:val="en-US"/>
              </w:rPr>
              <w:t>MEPCO</w:t>
            </w:r>
          </w:p>
        </w:tc>
        <w:tc>
          <w:tcPr>
            <w:tcW w:w="2794" w:type="dxa"/>
            <w:shd w:val="clear" w:color="auto" w:fill="auto"/>
            <w:noWrap/>
            <w:vAlign w:val="bottom"/>
            <w:hideMark/>
          </w:tcPr>
          <w:p w14:paraId="0F056AFE" w14:textId="77777777" w:rsidR="00D019A5" w:rsidRPr="00B03C4A" w:rsidRDefault="00D019A5" w:rsidP="00D019A5">
            <w:pPr>
              <w:spacing w:before="60" w:after="60" w:line="240" w:lineRule="auto"/>
              <w:jc w:val="center"/>
              <w:rPr>
                <w:rFonts w:eastAsia="Times New Roman" w:cs="Calibri"/>
                <w:color w:val="000000"/>
                <w:highlight w:val="yellow"/>
                <w:lang w:val="en-US"/>
              </w:rPr>
            </w:pPr>
            <w:r w:rsidRPr="00B03C4A">
              <w:rPr>
                <w:rFonts w:eastAsia="Times New Roman" w:cs="Calibri"/>
                <w:color w:val="000000"/>
                <w:highlight w:val="yellow"/>
                <w:lang w:val="en-US"/>
              </w:rPr>
              <w:t>14.90%</w:t>
            </w:r>
          </w:p>
        </w:tc>
      </w:tr>
      <w:tr w:rsidR="00D019A5" w:rsidRPr="00D019A5" w14:paraId="6CC7FB58" w14:textId="77777777" w:rsidTr="00D019A5">
        <w:trPr>
          <w:trHeight w:val="290"/>
        </w:trPr>
        <w:tc>
          <w:tcPr>
            <w:tcW w:w="1272" w:type="dxa"/>
            <w:tcBorders>
              <w:top w:val="single" w:sz="4" w:space="0" w:color="FFFFFF" w:themeColor="background1"/>
              <w:left w:val="single" w:sz="4" w:space="0" w:color="FFFFFF" w:themeColor="background1"/>
              <w:bottom w:val="single" w:sz="4" w:space="0" w:color="FFFFFF" w:themeColor="background1"/>
            </w:tcBorders>
            <w:shd w:val="clear" w:color="auto" w:fill="000000" w:themeFill="text1"/>
            <w:noWrap/>
            <w:vAlign w:val="bottom"/>
            <w:hideMark/>
          </w:tcPr>
          <w:p w14:paraId="683C4F55" w14:textId="77777777" w:rsidR="00D019A5" w:rsidRPr="00D019A5" w:rsidRDefault="00D019A5" w:rsidP="00D019A5">
            <w:pPr>
              <w:spacing w:before="60" w:after="60" w:line="240" w:lineRule="auto"/>
              <w:jc w:val="center"/>
              <w:rPr>
                <w:rFonts w:eastAsia="Times New Roman" w:cs="Calibri"/>
                <w:b/>
                <w:bCs/>
                <w:color w:val="FFFFFF" w:themeColor="background1"/>
                <w:lang w:val="en-US"/>
              </w:rPr>
            </w:pPr>
            <w:r w:rsidRPr="00D019A5">
              <w:rPr>
                <w:rFonts w:eastAsia="Times New Roman" w:cs="Calibri"/>
                <w:b/>
                <w:bCs/>
                <w:color w:val="FFFFFF" w:themeColor="background1"/>
                <w:lang w:val="en-US"/>
              </w:rPr>
              <w:t>PESCO</w:t>
            </w:r>
          </w:p>
        </w:tc>
        <w:tc>
          <w:tcPr>
            <w:tcW w:w="2794" w:type="dxa"/>
            <w:shd w:val="clear" w:color="auto" w:fill="auto"/>
            <w:noWrap/>
            <w:vAlign w:val="bottom"/>
            <w:hideMark/>
          </w:tcPr>
          <w:p w14:paraId="0D46B630" w14:textId="77777777" w:rsidR="00D019A5" w:rsidRPr="00B03C4A" w:rsidRDefault="00D019A5" w:rsidP="00D019A5">
            <w:pPr>
              <w:spacing w:before="60" w:after="60" w:line="240" w:lineRule="auto"/>
              <w:jc w:val="center"/>
              <w:rPr>
                <w:rFonts w:eastAsia="Times New Roman" w:cs="Calibri"/>
                <w:color w:val="000000"/>
                <w:highlight w:val="yellow"/>
                <w:lang w:val="en-US"/>
              </w:rPr>
            </w:pPr>
            <w:r w:rsidRPr="00B03C4A">
              <w:rPr>
                <w:rFonts w:eastAsia="Times New Roman" w:cs="Calibri"/>
                <w:color w:val="000000"/>
                <w:highlight w:val="yellow"/>
                <w:lang w:val="en-US"/>
              </w:rPr>
              <w:t>11.77%</w:t>
            </w:r>
          </w:p>
        </w:tc>
      </w:tr>
      <w:tr w:rsidR="00D019A5" w:rsidRPr="00D019A5" w14:paraId="4CAA6A4A" w14:textId="77777777" w:rsidTr="00D019A5">
        <w:trPr>
          <w:trHeight w:val="290"/>
        </w:trPr>
        <w:tc>
          <w:tcPr>
            <w:tcW w:w="1272" w:type="dxa"/>
            <w:tcBorders>
              <w:top w:val="single" w:sz="4" w:space="0" w:color="FFFFFF" w:themeColor="background1"/>
              <w:left w:val="single" w:sz="4" w:space="0" w:color="FFFFFF" w:themeColor="background1"/>
              <w:bottom w:val="single" w:sz="4" w:space="0" w:color="FFFFFF" w:themeColor="background1"/>
            </w:tcBorders>
            <w:shd w:val="clear" w:color="auto" w:fill="000000" w:themeFill="text1"/>
            <w:noWrap/>
            <w:vAlign w:val="bottom"/>
            <w:hideMark/>
          </w:tcPr>
          <w:p w14:paraId="4F0249BE" w14:textId="77777777" w:rsidR="00D019A5" w:rsidRPr="00D019A5" w:rsidRDefault="00D019A5" w:rsidP="00D019A5">
            <w:pPr>
              <w:spacing w:before="60" w:after="60" w:line="240" w:lineRule="auto"/>
              <w:jc w:val="center"/>
              <w:rPr>
                <w:rFonts w:eastAsia="Times New Roman" w:cs="Calibri"/>
                <w:b/>
                <w:bCs/>
                <w:color w:val="FFFFFF" w:themeColor="background1"/>
                <w:lang w:val="en-US"/>
              </w:rPr>
            </w:pPr>
            <w:r w:rsidRPr="00D019A5">
              <w:rPr>
                <w:rFonts w:eastAsia="Times New Roman" w:cs="Calibri"/>
                <w:b/>
                <w:bCs/>
                <w:color w:val="FFFFFF" w:themeColor="background1"/>
                <w:lang w:val="en-US"/>
              </w:rPr>
              <w:t>HESCO</w:t>
            </w:r>
          </w:p>
        </w:tc>
        <w:tc>
          <w:tcPr>
            <w:tcW w:w="2794" w:type="dxa"/>
            <w:shd w:val="clear" w:color="auto" w:fill="auto"/>
            <w:noWrap/>
            <w:vAlign w:val="bottom"/>
            <w:hideMark/>
          </w:tcPr>
          <w:p w14:paraId="7BDC475B" w14:textId="77777777" w:rsidR="00D019A5" w:rsidRPr="00B03C4A" w:rsidRDefault="00D019A5" w:rsidP="00D019A5">
            <w:pPr>
              <w:spacing w:before="60" w:after="60" w:line="240" w:lineRule="auto"/>
              <w:jc w:val="center"/>
              <w:rPr>
                <w:rFonts w:eastAsia="Times New Roman" w:cs="Calibri"/>
                <w:color w:val="000000"/>
                <w:highlight w:val="yellow"/>
                <w:lang w:val="en-US"/>
              </w:rPr>
            </w:pPr>
            <w:r w:rsidRPr="00B03C4A">
              <w:rPr>
                <w:rFonts w:eastAsia="Times New Roman" w:cs="Calibri"/>
                <w:color w:val="000000"/>
                <w:highlight w:val="yellow"/>
                <w:lang w:val="en-US"/>
              </w:rPr>
              <w:t>5.07%</w:t>
            </w:r>
          </w:p>
        </w:tc>
      </w:tr>
      <w:tr w:rsidR="00D019A5" w:rsidRPr="00D019A5" w14:paraId="04BD11BC" w14:textId="77777777" w:rsidTr="00D019A5">
        <w:trPr>
          <w:trHeight w:val="290"/>
        </w:trPr>
        <w:tc>
          <w:tcPr>
            <w:tcW w:w="1272" w:type="dxa"/>
            <w:tcBorders>
              <w:top w:val="single" w:sz="4" w:space="0" w:color="FFFFFF" w:themeColor="background1"/>
              <w:left w:val="single" w:sz="4" w:space="0" w:color="FFFFFF" w:themeColor="background1"/>
              <w:bottom w:val="single" w:sz="4" w:space="0" w:color="FFFFFF" w:themeColor="background1"/>
            </w:tcBorders>
            <w:shd w:val="clear" w:color="auto" w:fill="000000" w:themeFill="text1"/>
            <w:noWrap/>
            <w:vAlign w:val="bottom"/>
            <w:hideMark/>
          </w:tcPr>
          <w:p w14:paraId="40BC7904" w14:textId="77777777" w:rsidR="00D019A5" w:rsidRPr="00D019A5" w:rsidRDefault="00D019A5" w:rsidP="00D019A5">
            <w:pPr>
              <w:spacing w:before="60" w:after="60" w:line="240" w:lineRule="auto"/>
              <w:jc w:val="center"/>
              <w:rPr>
                <w:rFonts w:eastAsia="Times New Roman" w:cs="Calibri"/>
                <w:b/>
                <w:bCs/>
                <w:color w:val="FFFFFF" w:themeColor="background1"/>
                <w:lang w:val="en-US"/>
              </w:rPr>
            </w:pPr>
            <w:r w:rsidRPr="00D019A5">
              <w:rPr>
                <w:rFonts w:eastAsia="Times New Roman" w:cs="Calibri"/>
                <w:b/>
                <w:bCs/>
                <w:color w:val="FFFFFF" w:themeColor="background1"/>
                <w:lang w:val="en-US"/>
              </w:rPr>
              <w:t>QESCO</w:t>
            </w:r>
          </w:p>
        </w:tc>
        <w:tc>
          <w:tcPr>
            <w:tcW w:w="2794" w:type="dxa"/>
            <w:shd w:val="clear" w:color="auto" w:fill="auto"/>
            <w:noWrap/>
            <w:vAlign w:val="bottom"/>
            <w:hideMark/>
          </w:tcPr>
          <w:p w14:paraId="2301523F" w14:textId="77777777" w:rsidR="00D019A5" w:rsidRPr="00B03C4A" w:rsidRDefault="00D019A5" w:rsidP="00D019A5">
            <w:pPr>
              <w:spacing w:before="60" w:after="60" w:line="240" w:lineRule="auto"/>
              <w:jc w:val="center"/>
              <w:rPr>
                <w:rFonts w:eastAsia="Times New Roman" w:cs="Calibri"/>
                <w:color w:val="000000"/>
                <w:highlight w:val="yellow"/>
                <w:lang w:val="en-US"/>
              </w:rPr>
            </w:pPr>
            <w:r w:rsidRPr="00B03C4A">
              <w:rPr>
                <w:rFonts w:eastAsia="Times New Roman" w:cs="Calibri"/>
                <w:color w:val="000000"/>
                <w:highlight w:val="yellow"/>
                <w:lang w:val="en-US"/>
              </w:rPr>
              <w:t>6.31%</w:t>
            </w:r>
          </w:p>
        </w:tc>
      </w:tr>
      <w:tr w:rsidR="00D019A5" w:rsidRPr="00D019A5" w14:paraId="1C124905" w14:textId="77777777" w:rsidTr="00D019A5">
        <w:trPr>
          <w:trHeight w:val="290"/>
        </w:trPr>
        <w:tc>
          <w:tcPr>
            <w:tcW w:w="1272" w:type="dxa"/>
            <w:tcBorders>
              <w:top w:val="single" w:sz="4" w:space="0" w:color="FFFFFF" w:themeColor="background1"/>
              <w:left w:val="single" w:sz="4" w:space="0" w:color="FFFFFF" w:themeColor="background1"/>
              <w:bottom w:val="single" w:sz="4" w:space="0" w:color="FFFFFF" w:themeColor="background1"/>
            </w:tcBorders>
            <w:shd w:val="clear" w:color="auto" w:fill="000000" w:themeFill="text1"/>
            <w:noWrap/>
            <w:vAlign w:val="bottom"/>
            <w:hideMark/>
          </w:tcPr>
          <w:p w14:paraId="645DFA6A" w14:textId="77777777" w:rsidR="00D019A5" w:rsidRPr="00D019A5" w:rsidRDefault="00D019A5" w:rsidP="00D019A5">
            <w:pPr>
              <w:spacing w:before="60" w:after="60" w:line="240" w:lineRule="auto"/>
              <w:jc w:val="center"/>
              <w:rPr>
                <w:rFonts w:eastAsia="Times New Roman" w:cs="Calibri"/>
                <w:b/>
                <w:bCs/>
                <w:color w:val="FFFFFF" w:themeColor="background1"/>
                <w:lang w:val="en-US"/>
              </w:rPr>
            </w:pPr>
            <w:r w:rsidRPr="00D019A5">
              <w:rPr>
                <w:rFonts w:eastAsia="Times New Roman" w:cs="Calibri"/>
                <w:b/>
                <w:bCs/>
                <w:color w:val="FFFFFF" w:themeColor="background1"/>
                <w:lang w:val="en-US"/>
              </w:rPr>
              <w:t>TESCO</w:t>
            </w:r>
          </w:p>
        </w:tc>
        <w:tc>
          <w:tcPr>
            <w:tcW w:w="2794" w:type="dxa"/>
            <w:shd w:val="clear" w:color="auto" w:fill="auto"/>
            <w:noWrap/>
            <w:vAlign w:val="bottom"/>
            <w:hideMark/>
          </w:tcPr>
          <w:p w14:paraId="6D2769CA" w14:textId="77777777" w:rsidR="00D019A5" w:rsidRPr="00B03C4A" w:rsidRDefault="00D019A5" w:rsidP="00D019A5">
            <w:pPr>
              <w:spacing w:before="60" w:after="60" w:line="240" w:lineRule="auto"/>
              <w:jc w:val="center"/>
              <w:rPr>
                <w:rFonts w:eastAsia="Times New Roman" w:cs="Calibri"/>
                <w:color w:val="000000"/>
                <w:highlight w:val="yellow"/>
                <w:lang w:val="en-US"/>
              </w:rPr>
            </w:pPr>
            <w:r w:rsidRPr="00B03C4A">
              <w:rPr>
                <w:rFonts w:eastAsia="Times New Roman" w:cs="Calibri"/>
                <w:color w:val="000000"/>
                <w:highlight w:val="yellow"/>
                <w:lang w:val="en-US"/>
              </w:rPr>
              <w:t>1.66%</w:t>
            </w:r>
          </w:p>
        </w:tc>
      </w:tr>
      <w:tr w:rsidR="00D019A5" w:rsidRPr="00D019A5" w14:paraId="3C516B07" w14:textId="77777777" w:rsidTr="00D019A5">
        <w:trPr>
          <w:trHeight w:val="290"/>
        </w:trPr>
        <w:tc>
          <w:tcPr>
            <w:tcW w:w="1272" w:type="dxa"/>
            <w:tcBorders>
              <w:top w:val="single" w:sz="4" w:space="0" w:color="FFFFFF" w:themeColor="background1"/>
              <w:left w:val="single" w:sz="4" w:space="0" w:color="FFFFFF" w:themeColor="background1"/>
              <w:bottom w:val="single" w:sz="4" w:space="0" w:color="FFFFFF" w:themeColor="background1"/>
            </w:tcBorders>
            <w:shd w:val="clear" w:color="auto" w:fill="000000" w:themeFill="text1"/>
            <w:noWrap/>
            <w:vAlign w:val="bottom"/>
            <w:hideMark/>
          </w:tcPr>
          <w:p w14:paraId="0488082E" w14:textId="77777777" w:rsidR="00D019A5" w:rsidRPr="00D019A5" w:rsidRDefault="00D019A5" w:rsidP="00D019A5">
            <w:pPr>
              <w:spacing w:before="60" w:after="60" w:line="240" w:lineRule="auto"/>
              <w:jc w:val="center"/>
              <w:rPr>
                <w:rFonts w:eastAsia="Times New Roman" w:cs="Calibri"/>
                <w:b/>
                <w:bCs/>
                <w:color w:val="FFFFFF" w:themeColor="background1"/>
                <w:lang w:val="en-US"/>
              </w:rPr>
            </w:pPr>
            <w:r w:rsidRPr="00D019A5">
              <w:rPr>
                <w:rFonts w:eastAsia="Times New Roman" w:cs="Calibri"/>
                <w:b/>
                <w:bCs/>
                <w:color w:val="FFFFFF" w:themeColor="background1"/>
                <w:lang w:val="en-US"/>
              </w:rPr>
              <w:t>SEPCO</w:t>
            </w:r>
          </w:p>
        </w:tc>
        <w:tc>
          <w:tcPr>
            <w:tcW w:w="2794" w:type="dxa"/>
            <w:shd w:val="clear" w:color="auto" w:fill="auto"/>
            <w:noWrap/>
            <w:vAlign w:val="bottom"/>
            <w:hideMark/>
          </w:tcPr>
          <w:p w14:paraId="0BD31821" w14:textId="77777777" w:rsidR="00D019A5" w:rsidRPr="00B03C4A" w:rsidRDefault="00D019A5" w:rsidP="00D019A5">
            <w:pPr>
              <w:spacing w:before="60" w:after="60" w:line="240" w:lineRule="auto"/>
              <w:jc w:val="center"/>
              <w:rPr>
                <w:rFonts w:eastAsia="Times New Roman" w:cs="Calibri"/>
                <w:color w:val="000000"/>
                <w:highlight w:val="yellow"/>
                <w:lang w:val="en-US"/>
              </w:rPr>
            </w:pPr>
            <w:r w:rsidRPr="00B03C4A">
              <w:rPr>
                <w:rFonts w:eastAsia="Times New Roman" w:cs="Calibri"/>
                <w:color w:val="000000"/>
                <w:highlight w:val="yellow"/>
                <w:lang w:val="en-US"/>
              </w:rPr>
              <w:t>4.76%</w:t>
            </w:r>
          </w:p>
        </w:tc>
      </w:tr>
      <w:tr w:rsidR="00D019A5" w:rsidRPr="00D019A5" w14:paraId="63822E3D" w14:textId="77777777" w:rsidTr="00D019A5">
        <w:trPr>
          <w:trHeight w:val="290"/>
        </w:trPr>
        <w:tc>
          <w:tcPr>
            <w:tcW w:w="1272" w:type="dxa"/>
            <w:tcBorders>
              <w:top w:val="single" w:sz="4" w:space="0" w:color="FFFFFF" w:themeColor="background1"/>
              <w:left w:val="single" w:sz="4" w:space="0" w:color="FFFFFF" w:themeColor="background1"/>
            </w:tcBorders>
            <w:shd w:val="clear" w:color="auto" w:fill="000000" w:themeFill="text1"/>
            <w:noWrap/>
            <w:vAlign w:val="bottom"/>
            <w:hideMark/>
          </w:tcPr>
          <w:p w14:paraId="1A83B87F" w14:textId="6A201AFC" w:rsidR="00D019A5" w:rsidRPr="00D019A5" w:rsidRDefault="00D019A5" w:rsidP="00D019A5">
            <w:pPr>
              <w:spacing w:before="60" w:after="60" w:line="240" w:lineRule="auto"/>
              <w:jc w:val="center"/>
              <w:rPr>
                <w:rFonts w:eastAsia="Times New Roman" w:cs="Calibri"/>
                <w:b/>
                <w:bCs/>
                <w:color w:val="FFFFFF" w:themeColor="background1"/>
                <w:lang w:val="en-US"/>
              </w:rPr>
            </w:pPr>
            <w:r w:rsidRPr="00D019A5">
              <w:rPr>
                <w:rFonts w:eastAsia="Times New Roman" w:cs="Calibri"/>
                <w:b/>
                <w:bCs/>
                <w:color w:val="FFFFFF" w:themeColor="background1"/>
                <w:lang w:val="en-US"/>
              </w:rPr>
              <w:t>KE</w:t>
            </w:r>
          </w:p>
        </w:tc>
        <w:tc>
          <w:tcPr>
            <w:tcW w:w="2794" w:type="dxa"/>
            <w:shd w:val="clear" w:color="auto" w:fill="auto"/>
            <w:noWrap/>
            <w:vAlign w:val="bottom"/>
            <w:hideMark/>
          </w:tcPr>
          <w:p w14:paraId="5D74C3A3" w14:textId="77777777" w:rsidR="00D019A5" w:rsidRPr="00B03C4A" w:rsidRDefault="00D019A5" w:rsidP="00D019A5">
            <w:pPr>
              <w:spacing w:before="60" w:after="60" w:line="240" w:lineRule="auto"/>
              <w:jc w:val="center"/>
              <w:rPr>
                <w:rFonts w:eastAsia="Times New Roman" w:cs="Calibri"/>
                <w:color w:val="000000"/>
                <w:highlight w:val="yellow"/>
                <w:lang w:val="en-US"/>
              </w:rPr>
            </w:pPr>
            <w:r w:rsidRPr="00B03C4A">
              <w:rPr>
                <w:rFonts w:eastAsia="Times New Roman" w:cs="Calibri"/>
                <w:color w:val="000000"/>
                <w:highlight w:val="yellow"/>
                <w:lang w:val="en-US"/>
              </w:rPr>
              <w:t>3.61%</w:t>
            </w:r>
          </w:p>
        </w:tc>
      </w:tr>
    </w:tbl>
    <w:p w14:paraId="1C04B006" w14:textId="5EC4FE22" w:rsidR="00130F30" w:rsidRDefault="004A0057" w:rsidP="0017695C">
      <w:pPr>
        <w:pStyle w:val="Heading3"/>
        <w:rPr>
          <w:lang w:val="en-US"/>
        </w:rPr>
      </w:pPr>
      <w:r>
        <w:rPr>
          <w:lang w:val="en-US"/>
        </w:rPr>
        <w:t xml:space="preserve">Initial </w:t>
      </w:r>
      <w:r w:rsidR="00B138ED">
        <w:rPr>
          <w:lang w:val="en-US"/>
        </w:rPr>
        <w:t>Congested Zone</w:t>
      </w:r>
      <w:r>
        <w:rPr>
          <w:lang w:val="en-US"/>
        </w:rPr>
        <w:t>s</w:t>
      </w:r>
    </w:p>
    <w:p w14:paraId="4B66EE09" w14:textId="75D5F489" w:rsidR="003D7420" w:rsidRDefault="004A0057" w:rsidP="005B295A">
      <w:pPr>
        <w:pStyle w:val="Heading4"/>
      </w:pPr>
      <w:bookmarkStart w:id="1006" w:name="_Ref64651485"/>
      <w:r>
        <w:t>F</w:t>
      </w:r>
      <w:r w:rsidR="005A1AAB" w:rsidRPr="005A1AAB">
        <w:t xml:space="preserve">or the application of the provisions </w:t>
      </w:r>
      <w:r w:rsidR="00B47F57">
        <w:t xml:space="preserve">of </w:t>
      </w:r>
      <w:r w:rsidR="00F42855">
        <w:t xml:space="preserve">Section </w:t>
      </w:r>
      <w:r w:rsidR="00F42855">
        <w:fldChar w:fldCharType="begin"/>
      </w:r>
      <w:r w:rsidR="00F42855">
        <w:instrText xml:space="preserve"> REF _Ref64572794 \r \h </w:instrText>
      </w:r>
      <w:r w:rsidR="00F42855">
        <w:fldChar w:fldCharType="separate"/>
      </w:r>
      <w:r w:rsidR="00251DBF">
        <w:t>7.1.1</w:t>
      </w:r>
      <w:r w:rsidR="00F42855">
        <w:fldChar w:fldCharType="end"/>
      </w:r>
      <w:r w:rsidR="005A1AAB" w:rsidRPr="00F42855">
        <w:t>,</w:t>
      </w:r>
      <w:r w:rsidR="005A1AAB" w:rsidRPr="005A1AAB">
        <w:t xml:space="preserve"> </w:t>
      </w:r>
      <w:r w:rsidR="00B47F57">
        <w:t xml:space="preserve">the </w:t>
      </w:r>
      <w:r w:rsidR="007646FD">
        <w:t xml:space="preserve">following </w:t>
      </w:r>
      <w:r w:rsidR="003D7420">
        <w:t xml:space="preserve">areas shall be considered as </w:t>
      </w:r>
      <w:r w:rsidR="00B138ED">
        <w:t>Congested Zone</w:t>
      </w:r>
      <w:r w:rsidR="003D7420">
        <w:t>s:</w:t>
      </w:r>
      <w:bookmarkEnd w:id="1006"/>
      <w:r w:rsidR="003D7420">
        <w:t xml:space="preserve"> </w:t>
      </w:r>
    </w:p>
    <w:p w14:paraId="3E9D864C" w14:textId="77777777" w:rsidR="003D7420" w:rsidRDefault="005A1AAB" w:rsidP="00B03234">
      <w:pPr>
        <w:pStyle w:val="Heading5"/>
      </w:pPr>
      <w:r w:rsidRPr="005A1AAB">
        <w:t>the territory served by K-Electric</w:t>
      </w:r>
      <w:r w:rsidR="003D7420">
        <w:t>; and</w:t>
      </w:r>
    </w:p>
    <w:p w14:paraId="5EE14927" w14:textId="049A4C1C" w:rsidR="003D7420" w:rsidRDefault="00A75448" w:rsidP="00B03234">
      <w:pPr>
        <w:pStyle w:val="Heading5"/>
      </w:pPr>
      <w:r>
        <w:t xml:space="preserve">The territories served by EX-WAPDA DISCOs </w:t>
      </w:r>
      <w:r w:rsidR="00F76E5C">
        <w:t xml:space="preserve">or other Distribution Licensees connected with the Grid System </w:t>
      </w:r>
    </w:p>
    <w:p w14:paraId="17990B6C" w14:textId="2C635C2B" w:rsidR="005A1AAB" w:rsidRDefault="005A1AAB" w:rsidP="005B295A">
      <w:pPr>
        <w:pStyle w:val="Heading4"/>
      </w:pPr>
      <w:r>
        <w:t>Th</w:t>
      </w:r>
      <w:r w:rsidR="003D7420">
        <w:t xml:space="preserve">e </w:t>
      </w:r>
      <w:r w:rsidR="00F76E5C">
        <w:t xml:space="preserve">Zones mentioned </w:t>
      </w:r>
      <w:r w:rsidR="003D7420">
        <w:t>in</w:t>
      </w:r>
      <w:r w:rsidR="00F76E5C">
        <w:t xml:space="preserve"> Clause</w:t>
      </w:r>
      <w:r w:rsidR="003D7420">
        <w:t xml:space="preserve"> </w:t>
      </w:r>
      <w:r w:rsidR="003D7420">
        <w:fldChar w:fldCharType="begin"/>
      </w:r>
      <w:r w:rsidR="003D7420">
        <w:instrText xml:space="preserve"> REF _Ref64651485 \r \h  \* MERGEFORMAT </w:instrText>
      </w:r>
      <w:r w:rsidR="003D7420">
        <w:fldChar w:fldCharType="separate"/>
      </w:r>
      <w:r w:rsidR="00251DBF">
        <w:t>19.2.5.1</w:t>
      </w:r>
      <w:r w:rsidR="003D7420">
        <w:fldChar w:fldCharType="end"/>
      </w:r>
      <w:r w:rsidR="003D7420">
        <w:t xml:space="preserve"> shall be delimited </w:t>
      </w:r>
      <w:r>
        <w:t>by the</w:t>
      </w:r>
      <w:r w:rsidR="003D7420">
        <w:t xml:space="preserve"> </w:t>
      </w:r>
      <w:r>
        <w:t>Metering Points</w:t>
      </w:r>
      <w:r w:rsidR="003D7420">
        <w:t xml:space="preserve"> listed in </w:t>
      </w:r>
      <w:r w:rsidR="003D7420">
        <w:fldChar w:fldCharType="begin"/>
      </w:r>
      <w:r w:rsidR="003D7420">
        <w:instrText xml:space="preserve"> REF _Ref64565618 \h </w:instrText>
      </w:r>
      <w:r w:rsidR="003D7420">
        <w:fldChar w:fldCharType="separate"/>
      </w:r>
      <w:r w:rsidR="00251DBF" w:rsidRPr="0005549E">
        <w:t xml:space="preserve">Table </w:t>
      </w:r>
      <w:r w:rsidR="00251DBF">
        <w:rPr>
          <w:noProof/>
        </w:rPr>
        <w:t>8</w:t>
      </w:r>
      <w:r w:rsidR="003D7420">
        <w:fldChar w:fldCharType="end"/>
      </w:r>
      <w:r w:rsidR="00F76E5C">
        <w:t xml:space="preserve"> below</w:t>
      </w:r>
      <w:r w:rsidR="003D7420">
        <w:t>.</w:t>
      </w:r>
      <w:r>
        <w:t xml:space="preserve"> </w:t>
      </w:r>
    </w:p>
    <w:p w14:paraId="5D405584" w14:textId="7AD3B55C" w:rsidR="005A1AAB" w:rsidRPr="00D019A5" w:rsidRDefault="005A1AAB" w:rsidP="005A1AAB">
      <w:pPr>
        <w:pStyle w:val="Caption"/>
        <w:ind w:left="1276"/>
      </w:pPr>
      <w:bookmarkStart w:id="1007" w:name="_Ref64565618"/>
      <w:bookmarkStart w:id="1008" w:name="_Ref64565594"/>
      <w:r w:rsidRPr="0005549E">
        <w:t xml:space="preserve">Table </w:t>
      </w:r>
      <w:fldSimple w:instr=" SEQ Table \* ARABIC ">
        <w:r w:rsidR="00251DBF">
          <w:rPr>
            <w:noProof/>
          </w:rPr>
          <w:t>8</w:t>
        </w:r>
      </w:fldSimple>
      <w:bookmarkEnd w:id="1007"/>
      <w:r>
        <w:t xml:space="preserve">: Delimitation of K-Electric </w:t>
      </w:r>
      <w:bookmarkEnd w:id="1008"/>
      <w:r w:rsidR="00B138ED">
        <w:t>Congested Zone</w:t>
      </w:r>
    </w:p>
    <w:tbl>
      <w:tblPr>
        <w:tblStyle w:val="TableGrid"/>
        <w:tblW w:w="0" w:type="auto"/>
        <w:tblInd w:w="1980" w:type="dxa"/>
        <w:tblLook w:val="04A0" w:firstRow="1" w:lastRow="0" w:firstColumn="1" w:lastColumn="0" w:noHBand="0" w:noVBand="1"/>
      </w:tblPr>
      <w:tblGrid>
        <w:gridCol w:w="1417"/>
        <w:gridCol w:w="2268"/>
        <w:gridCol w:w="3680"/>
      </w:tblGrid>
      <w:tr w:rsidR="005A1AAB" w:rsidRPr="005A1AAB" w14:paraId="2E4F0C46" w14:textId="77777777" w:rsidTr="003D7420">
        <w:tc>
          <w:tcPr>
            <w:tcW w:w="1417" w:type="dxa"/>
            <w:tcBorders>
              <w:right w:val="single" w:sz="4" w:space="0" w:color="FFFFFF" w:themeColor="background1"/>
            </w:tcBorders>
            <w:shd w:val="clear" w:color="auto" w:fill="000000" w:themeFill="text1"/>
            <w:vAlign w:val="center"/>
          </w:tcPr>
          <w:p w14:paraId="17A63945" w14:textId="286DC73E" w:rsidR="005A1AAB" w:rsidRPr="005A1AAB" w:rsidRDefault="005A1AAB" w:rsidP="005A1AAB">
            <w:pPr>
              <w:pStyle w:val="BodyText"/>
              <w:spacing w:before="120" w:after="120"/>
              <w:ind w:left="0"/>
              <w:jc w:val="center"/>
              <w:rPr>
                <w:b/>
                <w:bCs/>
                <w:color w:val="FFFFFF" w:themeColor="background1"/>
              </w:rPr>
            </w:pPr>
            <w:r w:rsidRPr="005A1AAB">
              <w:rPr>
                <w:b/>
                <w:bCs/>
                <w:color w:val="FFFFFF" w:themeColor="background1"/>
              </w:rPr>
              <w:t>Metering Point</w:t>
            </w:r>
          </w:p>
        </w:tc>
        <w:tc>
          <w:tcPr>
            <w:tcW w:w="2268" w:type="dxa"/>
            <w:tcBorders>
              <w:left w:val="single" w:sz="4" w:space="0" w:color="FFFFFF" w:themeColor="background1"/>
              <w:right w:val="single" w:sz="4" w:space="0" w:color="FFFFFF" w:themeColor="background1"/>
            </w:tcBorders>
            <w:shd w:val="clear" w:color="auto" w:fill="000000" w:themeFill="text1"/>
            <w:vAlign w:val="center"/>
          </w:tcPr>
          <w:p w14:paraId="2DB92C8E" w14:textId="022863EA" w:rsidR="005A1AAB" w:rsidRPr="005A1AAB" w:rsidRDefault="005A1AAB" w:rsidP="005A1AAB">
            <w:pPr>
              <w:pStyle w:val="BodyText"/>
              <w:spacing w:before="120" w:after="120"/>
              <w:ind w:left="0"/>
              <w:jc w:val="center"/>
              <w:rPr>
                <w:b/>
                <w:bCs/>
                <w:color w:val="FFFFFF" w:themeColor="background1"/>
              </w:rPr>
            </w:pPr>
            <w:r w:rsidRPr="005A1AAB">
              <w:rPr>
                <w:b/>
                <w:bCs/>
                <w:color w:val="FFFFFF" w:themeColor="background1"/>
              </w:rPr>
              <w:t>Substation</w:t>
            </w:r>
          </w:p>
        </w:tc>
        <w:tc>
          <w:tcPr>
            <w:tcW w:w="3680" w:type="dxa"/>
            <w:tcBorders>
              <w:left w:val="single" w:sz="4" w:space="0" w:color="FFFFFF" w:themeColor="background1"/>
            </w:tcBorders>
            <w:shd w:val="clear" w:color="auto" w:fill="000000" w:themeFill="text1"/>
            <w:vAlign w:val="center"/>
          </w:tcPr>
          <w:p w14:paraId="5EEFBDBE" w14:textId="38CDD372" w:rsidR="005A1AAB" w:rsidRPr="005A1AAB" w:rsidRDefault="005A1AAB" w:rsidP="005A1AAB">
            <w:pPr>
              <w:pStyle w:val="BodyText"/>
              <w:spacing w:before="120" w:after="120"/>
              <w:ind w:left="0"/>
              <w:jc w:val="center"/>
              <w:rPr>
                <w:b/>
                <w:bCs/>
                <w:color w:val="FFFFFF" w:themeColor="background1"/>
              </w:rPr>
            </w:pPr>
            <w:r w:rsidRPr="005A1AAB">
              <w:rPr>
                <w:b/>
                <w:bCs/>
                <w:color w:val="FFFFFF" w:themeColor="background1"/>
              </w:rPr>
              <w:t xml:space="preserve">Line </w:t>
            </w:r>
          </w:p>
        </w:tc>
      </w:tr>
      <w:tr w:rsidR="005A1AAB" w14:paraId="37EC6B53" w14:textId="77777777" w:rsidTr="003D7420">
        <w:tc>
          <w:tcPr>
            <w:tcW w:w="1417" w:type="dxa"/>
            <w:vAlign w:val="center"/>
          </w:tcPr>
          <w:p w14:paraId="2996A2A3" w14:textId="465EDCBD" w:rsidR="005A1AAB" w:rsidRDefault="005A1AAB" w:rsidP="005A1AAB">
            <w:pPr>
              <w:pStyle w:val="BodyText"/>
              <w:spacing w:before="120" w:after="120"/>
              <w:ind w:left="139"/>
            </w:pPr>
            <w:r>
              <w:t>ASDF_001</w:t>
            </w:r>
          </w:p>
        </w:tc>
        <w:tc>
          <w:tcPr>
            <w:tcW w:w="2268" w:type="dxa"/>
            <w:vAlign w:val="center"/>
          </w:tcPr>
          <w:p w14:paraId="4645D640" w14:textId="6B5AB73E" w:rsidR="005A1AAB" w:rsidRDefault="005A1AAB" w:rsidP="005A1AAB">
            <w:pPr>
              <w:pStyle w:val="BodyText"/>
              <w:spacing w:before="120" w:after="120"/>
              <w:ind w:left="139"/>
            </w:pPr>
            <w:r>
              <w:t>Jamshoro 400 kV</w:t>
            </w:r>
          </w:p>
        </w:tc>
        <w:tc>
          <w:tcPr>
            <w:tcW w:w="3680" w:type="dxa"/>
            <w:vAlign w:val="center"/>
          </w:tcPr>
          <w:p w14:paraId="12EA0C74" w14:textId="6B6FBDB6" w:rsidR="005A1AAB" w:rsidRDefault="005A1AAB" w:rsidP="005A1AAB">
            <w:pPr>
              <w:pStyle w:val="BodyText"/>
              <w:spacing w:before="120" w:after="120"/>
              <w:ind w:left="139"/>
            </w:pPr>
            <w:commentRangeStart w:id="1009"/>
            <w:r>
              <w:t>Jamshoro 220 kV – TMK Road 220 kV</w:t>
            </w:r>
            <w:commentRangeEnd w:id="1009"/>
            <w:r w:rsidR="00A032EA">
              <w:rPr>
                <w:rStyle w:val="CommentReference"/>
              </w:rPr>
              <w:commentReference w:id="1009"/>
            </w:r>
          </w:p>
        </w:tc>
      </w:tr>
      <w:tr w:rsidR="005A1AAB" w14:paraId="1EBE92A8" w14:textId="77777777" w:rsidTr="003D7420">
        <w:tc>
          <w:tcPr>
            <w:tcW w:w="1417" w:type="dxa"/>
            <w:vAlign w:val="center"/>
          </w:tcPr>
          <w:p w14:paraId="03DE16F0" w14:textId="263B10B4" w:rsidR="005A1AAB" w:rsidRDefault="005A1AAB" w:rsidP="005A1AAB">
            <w:pPr>
              <w:pStyle w:val="BodyText"/>
              <w:spacing w:before="120" w:after="120"/>
              <w:ind w:left="0"/>
            </w:pPr>
            <w:r>
              <w:t>….</w:t>
            </w:r>
          </w:p>
        </w:tc>
        <w:tc>
          <w:tcPr>
            <w:tcW w:w="2268" w:type="dxa"/>
            <w:vAlign w:val="center"/>
          </w:tcPr>
          <w:p w14:paraId="24B69760" w14:textId="77777777" w:rsidR="005A1AAB" w:rsidRDefault="005A1AAB" w:rsidP="005A1AAB">
            <w:pPr>
              <w:pStyle w:val="BodyText"/>
              <w:spacing w:before="120" w:after="120"/>
              <w:ind w:left="0"/>
            </w:pPr>
          </w:p>
        </w:tc>
        <w:tc>
          <w:tcPr>
            <w:tcW w:w="3680" w:type="dxa"/>
            <w:vAlign w:val="center"/>
          </w:tcPr>
          <w:p w14:paraId="7A22A91C" w14:textId="59797CD3" w:rsidR="005A1AAB" w:rsidRDefault="005A1AAB" w:rsidP="005A1AAB">
            <w:pPr>
              <w:pStyle w:val="BodyText"/>
              <w:spacing w:before="120" w:after="120"/>
              <w:ind w:left="0"/>
            </w:pPr>
          </w:p>
        </w:tc>
      </w:tr>
      <w:tr w:rsidR="005A1AAB" w14:paraId="4A8173B3" w14:textId="77777777" w:rsidTr="003D7420">
        <w:tc>
          <w:tcPr>
            <w:tcW w:w="1417" w:type="dxa"/>
            <w:vAlign w:val="center"/>
          </w:tcPr>
          <w:p w14:paraId="100CF7B3" w14:textId="7AE88AC3" w:rsidR="005A1AAB" w:rsidRDefault="005A1AAB" w:rsidP="005A1AAB">
            <w:pPr>
              <w:pStyle w:val="BodyText"/>
              <w:spacing w:before="120" w:after="120"/>
              <w:ind w:left="0"/>
            </w:pPr>
            <w:r>
              <w:t>….</w:t>
            </w:r>
          </w:p>
        </w:tc>
        <w:tc>
          <w:tcPr>
            <w:tcW w:w="2268" w:type="dxa"/>
            <w:vAlign w:val="center"/>
          </w:tcPr>
          <w:p w14:paraId="7EB74FB3" w14:textId="77777777" w:rsidR="005A1AAB" w:rsidRDefault="005A1AAB" w:rsidP="005A1AAB">
            <w:pPr>
              <w:pStyle w:val="BodyText"/>
              <w:spacing w:before="120" w:after="120"/>
              <w:ind w:left="0"/>
            </w:pPr>
          </w:p>
        </w:tc>
        <w:tc>
          <w:tcPr>
            <w:tcW w:w="3680" w:type="dxa"/>
            <w:vAlign w:val="center"/>
          </w:tcPr>
          <w:p w14:paraId="5C873823" w14:textId="03EB8E1B" w:rsidR="005A1AAB" w:rsidRDefault="005A1AAB" w:rsidP="005A1AAB">
            <w:pPr>
              <w:pStyle w:val="BodyText"/>
              <w:spacing w:before="120" w:after="120"/>
              <w:ind w:left="0"/>
            </w:pPr>
          </w:p>
        </w:tc>
      </w:tr>
      <w:tr w:rsidR="005A1AAB" w14:paraId="7DF1A046" w14:textId="77777777" w:rsidTr="003D7420">
        <w:tc>
          <w:tcPr>
            <w:tcW w:w="1417" w:type="dxa"/>
            <w:vAlign w:val="center"/>
          </w:tcPr>
          <w:p w14:paraId="5C935B60" w14:textId="56AAA1AA" w:rsidR="005A1AAB" w:rsidRDefault="005A1AAB" w:rsidP="005A1AAB">
            <w:pPr>
              <w:pStyle w:val="BodyText"/>
              <w:spacing w:before="120" w:after="120"/>
              <w:ind w:left="0"/>
            </w:pPr>
            <w:r>
              <w:t>….</w:t>
            </w:r>
          </w:p>
        </w:tc>
        <w:tc>
          <w:tcPr>
            <w:tcW w:w="2268" w:type="dxa"/>
            <w:vAlign w:val="center"/>
          </w:tcPr>
          <w:p w14:paraId="1C256A10" w14:textId="77777777" w:rsidR="005A1AAB" w:rsidRDefault="005A1AAB" w:rsidP="005A1AAB">
            <w:pPr>
              <w:pStyle w:val="BodyText"/>
              <w:spacing w:before="120" w:after="120"/>
              <w:ind w:left="0"/>
            </w:pPr>
          </w:p>
        </w:tc>
        <w:tc>
          <w:tcPr>
            <w:tcW w:w="3680" w:type="dxa"/>
            <w:vAlign w:val="center"/>
          </w:tcPr>
          <w:p w14:paraId="6262A8C6" w14:textId="77777777" w:rsidR="005A1AAB" w:rsidRDefault="005A1AAB" w:rsidP="005A1AAB">
            <w:pPr>
              <w:pStyle w:val="BodyText"/>
              <w:spacing w:before="120" w:after="120"/>
              <w:ind w:left="0"/>
            </w:pPr>
          </w:p>
        </w:tc>
      </w:tr>
      <w:tr w:rsidR="005A1AAB" w14:paraId="623286E3" w14:textId="77777777" w:rsidTr="003D7420">
        <w:tc>
          <w:tcPr>
            <w:tcW w:w="7365" w:type="dxa"/>
            <w:gridSpan w:val="3"/>
            <w:vAlign w:val="center"/>
          </w:tcPr>
          <w:p w14:paraId="3D0E21C6" w14:textId="295A3103" w:rsidR="005A1AAB" w:rsidRDefault="005A1AAB" w:rsidP="005A1AAB">
            <w:pPr>
              <w:pStyle w:val="BodyText"/>
              <w:spacing w:before="120" w:after="120"/>
              <w:ind w:left="139"/>
            </w:pPr>
            <w:r>
              <w:t>To be completed by CPPA-G / NTDC</w:t>
            </w:r>
          </w:p>
        </w:tc>
      </w:tr>
    </w:tbl>
    <w:p w14:paraId="1CEF17D9" w14:textId="33EE94F2" w:rsidR="005A1AAB" w:rsidRPr="005A1AAB" w:rsidRDefault="0080070E" w:rsidP="005B295A">
      <w:pPr>
        <w:pStyle w:val="Heading4"/>
      </w:pPr>
      <w:r>
        <w:t xml:space="preserve">The relevant Metering Service Provider </w:t>
      </w:r>
      <w:r w:rsidR="005A1AAB">
        <w:t xml:space="preserve">shall </w:t>
      </w:r>
      <w:r w:rsidR="00F76E5C">
        <w:t xml:space="preserve">inform </w:t>
      </w:r>
      <w:r w:rsidR="005A1AAB">
        <w:t xml:space="preserve">the System Operator </w:t>
      </w:r>
      <w:r w:rsidR="007F1095">
        <w:t>and the Market Operator about</w:t>
      </w:r>
      <w:r w:rsidR="005A1AAB">
        <w:t xml:space="preserve"> Metering Points </w:t>
      </w:r>
      <w:r w:rsidR="007F1095">
        <w:t xml:space="preserve">which </w:t>
      </w:r>
      <w:r w:rsidR="005A1AAB">
        <w:t>shall be added</w:t>
      </w:r>
      <w:r w:rsidR="007F1095">
        <w:t xml:space="preserve"> or eliminated in</w:t>
      </w:r>
      <w:r w:rsidR="005A1AAB">
        <w:t xml:space="preserve"> </w:t>
      </w:r>
      <w:r>
        <w:t>the Congested Zones as indicated in Table 8 above</w:t>
      </w:r>
      <w:r w:rsidR="007F1095">
        <w:t xml:space="preserve">, due to </w:t>
      </w:r>
      <w:r w:rsidR="00F76E5C">
        <w:t xml:space="preserve">addition/deletion of Metering Points or </w:t>
      </w:r>
      <w:r w:rsidR="007F1095">
        <w:t xml:space="preserve">the </w:t>
      </w:r>
      <w:r w:rsidR="00F76E5C">
        <w:t xml:space="preserve">augmentation </w:t>
      </w:r>
      <w:r w:rsidR="007F1095">
        <w:t xml:space="preserve">of the Transmission or Distribution Network. </w:t>
      </w:r>
    </w:p>
    <w:p w14:paraId="3F0C349E" w14:textId="6B7B3479" w:rsidR="002118F7" w:rsidRDefault="007F1095" w:rsidP="005B295A">
      <w:pPr>
        <w:pStyle w:val="Heading4"/>
      </w:pPr>
      <w:r>
        <w:t>In case the</w:t>
      </w:r>
      <w:r w:rsidR="004A0057">
        <w:t xml:space="preserve"> electrical studies or Dispatch simulations, performed by the System Operator, as a consequence of the </w:t>
      </w:r>
      <w:r>
        <w:t xml:space="preserve">expansion of the Transmission Network or the installation of new control or protection devices, </w:t>
      </w:r>
      <w:r w:rsidR="004A0057">
        <w:t xml:space="preserve">show that </w:t>
      </w:r>
      <w:r>
        <w:t>Congestion in the area served by K-Electric</w:t>
      </w:r>
      <w:r w:rsidR="004A0057">
        <w:t xml:space="preserve"> is eliminated or significantly reduced, </w:t>
      </w:r>
      <w:r>
        <w:t>the System Operator</w:t>
      </w:r>
      <w:r w:rsidR="004A0057">
        <w:t xml:space="preserve"> shall </w:t>
      </w:r>
      <w:r w:rsidR="00F76E5C">
        <w:t xml:space="preserve">inform </w:t>
      </w:r>
      <w:r w:rsidR="002118F7">
        <w:t xml:space="preserve">the </w:t>
      </w:r>
      <w:r w:rsidR="0080070E">
        <w:t xml:space="preserve">Market Operator </w:t>
      </w:r>
      <w:r w:rsidR="002118F7">
        <w:t xml:space="preserve">about </w:t>
      </w:r>
      <w:r w:rsidR="00F76E5C">
        <w:t xml:space="preserve">such development and that the territory served by </w:t>
      </w:r>
      <w:r w:rsidR="002118F7">
        <w:t xml:space="preserve">K-Electric </w:t>
      </w:r>
      <w:r w:rsidR="00F76E5C">
        <w:t>may  no</w:t>
      </w:r>
      <w:r w:rsidR="002118F7" w:rsidRPr="002118F7">
        <w:t xml:space="preserve"> longer be considered a</w:t>
      </w:r>
      <w:r w:rsidR="00F76E5C">
        <w:t>s a</w:t>
      </w:r>
      <w:r w:rsidR="002118F7" w:rsidRPr="002118F7">
        <w:t xml:space="preserve"> </w:t>
      </w:r>
      <w:r w:rsidR="00C24F4E">
        <w:t xml:space="preserve">separate </w:t>
      </w:r>
      <w:r w:rsidR="00B138ED">
        <w:t>Congested Zone</w:t>
      </w:r>
      <w:r w:rsidR="002118F7">
        <w:t xml:space="preserve">.  </w:t>
      </w:r>
    </w:p>
    <w:p w14:paraId="20947A57" w14:textId="746DF010" w:rsidR="00F76E5C" w:rsidRDefault="00F76E5C" w:rsidP="005B295A">
      <w:pPr>
        <w:pStyle w:val="Heading4"/>
      </w:pPr>
      <w:r>
        <w:t>The Market Operator shall analyse the information provided by the System Operator and take a decision in this respect accordingly.</w:t>
      </w:r>
    </w:p>
    <w:p w14:paraId="07C189A1" w14:textId="0AD6EFF4" w:rsidR="005B4450" w:rsidRDefault="004A0057" w:rsidP="005B295A">
      <w:pPr>
        <w:pStyle w:val="Heading4"/>
      </w:pPr>
      <w:r>
        <w:t xml:space="preserve">The </w:t>
      </w:r>
      <w:r w:rsidR="00786DA8">
        <w:t xml:space="preserve">territory </w:t>
      </w:r>
      <w:r>
        <w:t xml:space="preserve">served by K-Electric </w:t>
      </w:r>
      <w:r w:rsidR="00F76E5C">
        <w:t xml:space="preserve">shall </w:t>
      </w:r>
      <w:r>
        <w:t xml:space="preserve">cease to be considered as a </w:t>
      </w:r>
      <w:r w:rsidR="00C24F4E">
        <w:t xml:space="preserve">separate </w:t>
      </w:r>
      <w:r w:rsidR="00B138ED">
        <w:t>Congested Zone</w:t>
      </w:r>
      <w:r>
        <w:t xml:space="preserve"> </w:t>
      </w:r>
      <w:r w:rsidR="002118F7">
        <w:t xml:space="preserve">by the Market Operator </w:t>
      </w:r>
      <w:r>
        <w:t xml:space="preserve">at 0:00 a.m. of the first day of the calendar month immediately after </w:t>
      </w:r>
      <w:r w:rsidR="00786DA8">
        <w:t>a decision has been made in this regard by the Market Operator</w:t>
      </w:r>
      <w:r>
        <w:t>.</w:t>
      </w:r>
    </w:p>
    <w:p w14:paraId="22C4299E" w14:textId="5A7D5336" w:rsidR="00C27D2A" w:rsidRDefault="00C27D2A" w:rsidP="00C27D2A">
      <w:pPr>
        <w:pStyle w:val="BodyText"/>
      </w:pPr>
    </w:p>
    <w:p w14:paraId="14EE1D08" w14:textId="7347617B" w:rsidR="00C27D2A" w:rsidRPr="00C27D2A" w:rsidRDefault="00C27D2A" w:rsidP="00C27D2A">
      <w:pPr>
        <w:pStyle w:val="Heading3"/>
      </w:pPr>
      <w:r w:rsidRPr="00C27D2A">
        <w:t>Default Interest</w:t>
      </w:r>
    </w:p>
    <w:p w14:paraId="2F8D3A41" w14:textId="516E471A" w:rsidR="00C27D2A" w:rsidRDefault="0080070E" w:rsidP="005B295A">
      <w:pPr>
        <w:pStyle w:val="Heading4"/>
      </w:pPr>
      <w:bookmarkStart w:id="1010" w:name="_Ref76660286"/>
      <w:r>
        <w:t xml:space="preserve">The </w:t>
      </w:r>
      <w:r w:rsidR="00C27D2A">
        <w:t xml:space="preserve">Default Interest </w:t>
      </w:r>
      <w:r>
        <w:t xml:space="preserve">rate </w:t>
      </w:r>
      <w:r w:rsidR="00BE350A">
        <w:t xml:space="preserve">on any amount not paid within the due date </w:t>
      </w:r>
      <w:r w:rsidR="00C27D2A">
        <w:t xml:space="preserve">shall be </w:t>
      </w:r>
      <w:commentRangeStart w:id="1011"/>
      <w:r w:rsidR="00C27D2A">
        <w:t>[</w:t>
      </w:r>
      <w:r w:rsidR="00C27D2A" w:rsidRPr="00D2409E">
        <w:rPr>
          <w:highlight w:val="yellow"/>
        </w:rPr>
        <w:t>xxxx %/year</w:t>
      </w:r>
      <w:r w:rsidR="00C27D2A">
        <w:t>]</w:t>
      </w:r>
      <w:commentRangeEnd w:id="1011"/>
      <w:r w:rsidR="00E57D61">
        <w:rPr>
          <w:rStyle w:val="CommentReference"/>
          <w:rFonts w:eastAsiaTheme="minorHAnsi" w:cstheme="minorBidi"/>
          <w:bCs w:val="0"/>
          <w:iCs w:val="0"/>
          <w:color w:val="1C1C1C"/>
        </w:rPr>
        <w:commentReference w:id="1011"/>
      </w:r>
      <w:r>
        <w:t xml:space="preserve"> or any other value as determined by the Market Operator</w:t>
      </w:r>
      <w:r w:rsidR="00786DA8">
        <w:t xml:space="preserve"> from time to time</w:t>
      </w:r>
      <w:r>
        <w:t>.</w:t>
      </w:r>
      <w:bookmarkEnd w:id="1010"/>
    </w:p>
    <w:p w14:paraId="0EC9A109" w14:textId="735787EE" w:rsidR="009A3724" w:rsidRDefault="009A3724" w:rsidP="009A3724">
      <w:pPr>
        <w:pStyle w:val="Heading3"/>
      </w:pPr>
      <w:r>
        <w:t>Unitary Cost of Capacity</w:t>
      </w:r>
    </w:p>
    <w:p w14:paraId="3608F568" w14:textId="5449A338" w:rsidR="009A3724" w:rsidRDefault="00786DA8" w:rsidP="009A3724">
      <w:pPr>
        <w:pStyle w:val="Heading4"/>
      </w:pPr>
      <w:bookmarkStart w:id="1012" w:name="_Ref70279988"/>
      <w:bookmarkStart w:id="1013" w:name="_Ref77152686"/>
      <w:r>
        <w:t xml:space="preserve">Till the time, </w:t>
      </w:r>
      <w:r w:rsidR="009A3724" w:rsidRPr="009A3724">
        <w:t xml:space="preserve">the System Operator </w:t>
      </w:r>
      <w:r>
        <w:t>devises</w:t>
      </w:r>
      <w:r w:rsidR="009A3724" w:rsidRPr="009A3724">
        <w:t xml:space="preserve"> a detailed methodology for determining the Unitary Cost of Capacity, </w:t>
      </w:r>
      <w:r>
        <w:t xml:space="preserve">as an interim measure, </w:t>
      </w:r>
      <w:r w:rsidR="009A3724" w:rsidRPr="009A3724">
        <w:t xml:space="preserve"> the unitary cost of Capacity shall be </w:t>
      </w:r>
      <w:r>
        <w:t>equal to</w:t>
      </w:r>
      <w:r w:rsidR="009A3724" w:rsidRPr="009A3724">
        <w:t xml:space="preserve"> </w:t>
      </w:r>
      <w:commentRangeStart w:id="1014"/>
      <w:commentRangeStart w:id="1015"/>
      <w:r w:rsidR="009A3724" w:rsidRPr="009A3724">
        <w:t>10,500,000 PKR/MW/year</w:t>
      </w:r>
      <w:commentRangeEnd w:id="1014"/>
      <w:r w:rsidR="009A3724" w:rsidRPr="009A3724">
        <w:rPr>
          <w:rStyle w:val="CommentReference"/>
          <w:rFonts w:eastAsiaTheme="minorHAnsi" w:cstheme="minorBidi"/>
          <w:bCs w:val="0"/>
          <w:iCs w:val="0"/>
          <w:color w:val="1C1C1C"/>
        </w:rPr>
        <w:commentReference w:id="1014"/>
      </w:r>
      <w:bookmarkEnd w:id="1012"/>
      <w:commentRangeEnd w:id="1015"/>
      <w:r w:rsidR="00220B2C">
        <w:rPr>
          <w:rStyle w:val="CommentReference"/>
          <w:rFonts w:eastAsiaTheme="minorHAnsi" w:cstheme="minorBidi"/>
          <w:bCs w:val="0"/>
          <w:iCs w:val="0"/>
          <w:color w:val="1C1C1C"/>
        </w:rPr>
        <w:commentReference w:id="1015"/>
      </w:r>
      <w:r>
        <w:t>.</w:t>
      </w:r>
      <w:bookmarkEnd w:id="1013"/>
    </w:p>
    <w:p w14:paraId="634BF1D0" w14:textId="0ABC0087" w:rsidR="00CF4EA3" w:rsidRDefault="00CF4EA3" w:rsidP="00CF4EA3">
      <w:pPr>
        <w:pStyle w:val="Heading3"/>
      </w:pPr>
      <w:bookmarkStart w:id="1016" w:name="_Ref76909729"/>
      <w:r>
        <w:t>Efficient level of reserves</w:t>
      </w:r>
      <w:bookmarkEnd w:id="1016"/>
    </w:p>
    <w:p w14:paraId="256B0B75" w14:textId="589CB811" w:rsidR="00CF4EA3" w:rsidRPr="00CF4EA3" w:rsidRDefault="00CF4EA3">
      <w:pPr>
        <w:pStyle w:val="Heading4"/>
      </w:pPr>
      <w:bookmarkStart w:id="1017" w:name="_Ref77152809"/>
      <w:r>
        <w:t xml:space="preserve">Till the time, </w:t>
      </w:r>
      <w:r w:rsidRPr="009A3724">
        <w:t xml:space="preserve">the System Operator </w:t>
      </w:r>
      <w:r>
        <w:t>determines the efficient level of reserves</w:t>
      </w:r>
      <w:r w:rsidRPr="009A3724">
        <w:t xml:space="preserve">, </w:t>
      </w:r>
      <w:r>
        <w:t xml:space="preserve">as an interim measure, </w:t>
      </w:r>
      <w:r w:rsidRPr="009A3724">
        <w:t xml:space="preserve">the </w:t>
      </w:r>
      <w:r>
        <w:t>value of efficient level of reserves shall be equal to [25%].</w:t>
      </w:r>
      <w:bookmarkEnd w:id="1017"/>
      <w:r w:rsidRPr="009A3724">
        <w:t xml:space="preserve"> </w:t>
      </w:r>
    </w:p>
    <w:p w14:paraId="1ADD2681" w14:textId="77777777" w:rsidR="005B4450" w:rsidRDefault="005B4450">
      <w:pPr>
        <w:spacing w:line="240" w:lineRule="auto"/>
        <w:rPr>
          <w:rFonts w:eastAsiaTheme="majorEastAsia" w:cstheme="majorBidi"/>
          <w:bCs/>
          <w:iCs/>
          <w:color w:val="000000" w:themeColor="text1"/>
          <w:szCs w:val="24"/>
        </w:rPr>
      </w:pPr>
      <w:r>
        <w:br w:type="page"/>
      </w:r>
    </w:p>
    <w:p w14:paraId="1636D0E7" w14:textId="599D7C3E" w:rsidR="000172BF" w:rsidRDefault="005B4450" w:rsidP="005B4450">
      <w:pPr>
        <w:pStyle w:val="Heading1"/>
      </w:pPr>
      <w:bookmarkStart w:id="1018" w:name="_Toc64846744"/>
      <w:bookmarkStart w:id="1019" w:name="_Toc69477044"/>
      <w:r>
        <w:t>Appendi</w:t>
      </w:r>
      <w:r w:rsidR="00786DA8">
        <w:t>c</w:t>
      </w:r>
      <w:r>
        <w:t>es</w:t>
      </w:r>
      <w:bookmarkEnd w:id="1018"/>
      <w:bookmarkEnd w:id="1019"/>
    </w:p>
    <w:p w14:paraId="4B90E3AD" w14:textId="1D2EBB4B" w:rsidR="005B4450" w:rsidRDefault="005B4450" w:rsidP="005B4450">
      <w:pPr>
        <w:pStyle w:val="Heading2"/>
      </w:pPr>
      <w:bookmarkStart w:id="1020" w:name="_Ref64724284"/>
      <w:bookmarkStart w:id="1021" w:name="_Toc64846745"/>
      <w:bookmarkStart w:id="1022" w:name="_Toc69477045"/>
      <w:r>
        <w:t>A</w:t>
      </w:r>
      <w:r w:rsidR="001C4A85">
        <w:t>ppendix</w:t>
      </w:r>
      <w:r>
        <w:t xml:space="preserve"> 1. </w:t>
      </w:r>
      <w:r w:rsidR="00FC1D92">
        <w:t xml:space="preserve">Methodology for </w:t>
      </w:r>
      <w:r>
        <w:t xml:space="preserve">Determination of </w:t>
      </w:r>
      <w:r w:rsidR="005E0A96">
        <w:t xml:space="preserve">System </w:t>
      </w:r>
      <w:r>
        <w:t>Marginal Prices</w:t>
      </w:r>
      <w:bookmarkEnd w:id="1020"/>
      <w:r w:rsidR="00FC1D92">
        <w:t xml:space="preserve"> and </w:t>
      </w:r>
      <w:bookmarkEnd w:id="1021"/>
      <w:r w:rsidR="0088020E">
        <w:t>A</w:t>
      </w:r>
      <w:r w:rsidR="005E0A96">
        <w:t xml:space="preserve">ncillary </w:t>
      </w:r>
      <w:r w:rsidR="0088020E">
        <w:t>S</w:t>
      </w:r>
      <w:r w:rsidR="005E0A96">
        <w:t xml:space="preserve">ervice </w:t>
      </w:r>
      <w:r w:rsidR="0088020E">
        <w:t>C</w:t>
      </w:r>
      <w:bookmarkEnd w:id="1022"/>
      <w:r w:rsidR="005E0A96">
        <w:t>harges</w:t>
      </w:r>
    </w:p>
    <w:p w14:paraId="7D7A3CCA" w14:textId="569590DF" w:rsidR="00FC1D92" w:rsidRDefault="00FC1D92" w:rsidP="00583943">
      <w:pPr>
        <w:pStyle w:val="Heading3"/>
      </w:pPr>
      <w:r>
        <w:t>General Approach</w:t>
      </w:r>
    </w:p>
    <w:p w14:paraId="7DB95E13" w14:textId="70ABB3EF" w:rsidR="00583943" w:rsidRDefault="00583943" w:rsidP="005B295A">
      <w:pPr>
        <w:pStyle w:val="Heading4"/>
      </w:pPr>
      <w:r w:rsidRPr="00DD6957">
        <w:t xml:space="preserve">The Grid Code </w:t>
      </w:r>
      <w:r w:rsidR="00DD6957" w:rsidRPr="00DD6957">
        <w:t xml:space="preserve">requires </w:t>
      </w:r>
      <w:r w:rsidRPr="00DD6957">
        <w:t>that the System Operator shall operate the system at its minimum cost</w:t>
      </w:r>
      <w:r w:rsidR="00DD6957" w:rsidRPr="00DD6957">
        <w:t xml:space="preserve"> while</w:t>
      </w:r>
      <w:r w:rsidRPr="00DD6957">
        <w:t xml:space="preserve"> </w:t>
      </w:r>
      <w:r w:rsidRPr="00B03C4A">
        <w:t xml:space="preserve">complying with the security and reliability criteria </w:t>
      </w:r>
      <w:r w:rsidR="00DD6957" w:rsidRPr="00B03C4A">
        <w:t xml:space="preserve">as </w:t>
      </w:r>
      <w:r w:rsidR="00DD6957">
        <w:t>set out</w:t>
      </w:r>
      <w:r w:rsidR="00DD6957" w:rsidRPr="00B03C4A">
        <w:t xml:space="preserve"> therein</w:t>
      </w:r>
      <w:r w:rsidRPr="00B03C4A">
        <w:t>.</w:t>
      </w:r>
      <w:r w:rsidRPr="00DD6957">
        <w:t xml:space="preserve"> This, in turn</w:t>
      </w:r>
      <w:r>
        <w:t xml:space="preserve">, requires also to schedule the necessary Ancillary Services in the most economical way. The way to comply with all these </w:t>
      </w:r>
      <w:r w:rsidR="00DD6957">
        <w:t>provisions is to</w:t>
      </w:r>
      <w:r>
        <w:t xml:space="preserve"> </w:t>
      </w:r>
      <w:r w:rsidR="00DD6957">
        <w:t xml:space="preserve">implement </w:t>
      </w:r>
      <w:r>
        <w:t xml:space="preserve">a Security Constrained Economic Dispatch to schedule the </w:t>
      </w:r>
      <w:r w:rsidR="00DD6957">
        <w:t xml:space="preserve">Energy </w:t>
      </w:r>
      <w:r>
        <w:t>production of each Generat</w:t>
      </w:r>
      <w:r w:rsidR="00BD6DB0">
        <w:t>ion Unit</w:t>
      </w:r>
      <w:r>
        <w:t>.</w:t>
      </w:r>
    </w:p>
    <w:p w14:paraId="0B7EF275" w14:textId="36AFE7BD" w:rsidR="00583943" w:rsidRDefault="00DD6957" w:rsidP="005B295A">
      <w:pPr>
        <w:pStyle w:val="Heading4"/>
      </w:pPr>
      <w:r>
        <w:t>To implement the SCED</w:t>
      </w:r>
      <w:r w:rsidR="00583943">
        <w:t xml:space="preserve">, the System Operator </w:t>
      </w:r>
      <w:r>
        <w:t>requires</w:t>
      </w:r>
      <w:r w:rsidR="00583943">
        <w:t xml:space="preserve"> </w:t>
      </w:r>
      <w:r w:rsidR="00583943" w:rsidRPr="00A31089">
        <w:t xml:space="preserve">necessary software tools and IT </w:t>
      </w:r>
      <w:r w:rsidR="00590D1D" w:rsidRPr="00A31089">
        <w:t>s</w:t>
      </w:r>
      <w:r w:rsidR="00583943" w:rsidRPr="00A31089">
        <w:t xml:space="preserve">ystems, as well as properly trained staff and appropriate </w:t>
      </w:r>
      <w:r w:rsidR="00D2409E" w:rsidRPr="00A31089">
        <w:t>o</w:t>
      </w:r>
      <w:r w:rsidR="00583943" w:rsidRPr="00A31089">
        <w:t xml:space="preserve">perational </w:t>
      </w:r>
      <w:r w:rsidR="00D2409E" w:rsidRPr="00A31089">
        <w:t>p</w:t>
      </w:r>
      <w:r w:rsidR="00583943" w:rsidRPr="00A31089">
        <w:t xml:space="preserve">rocedures to ensure </w:t>
      </w:r>
      <w:r>
        <w:t xml:space="preserve">that </w:t>
      </w:r>
      <w:r w:rsidR="00583943" w:rsidRPr="00A31089">
        <w:t>the system achieves its optimal economic performance</w:t>
      </w:r>
      <w:r>
        <w:t xml:space="preserve"> while </w:t>
      </w:r>
      <w:r w:rsidR="00583943">
        <w:t xml:space="preserve">maintaining always the required levels of reliability and security of supply. </w:t>
      </w:r>
    </w:p>
    <w:p w14:paraId="58080687" w14:textId="3C7E5FE9" w:rsidR="00503706" w:rsidRPr="00503706" w:rsidRDefault="00503706" w:rsidP="005B295A">
      <w:pPr>
        <w:pStyle w:val="Heading4"/>
        <w:rPr>
          <w:smallCaps/>
          <w:color w:val="auto"/>
          <w:sz w:val="24"/>
        </w:rPr>
      </w:pPr>
      <w:bookmarkStart w:id="1023" w:name="_Ref64750812"/>
      <w:r w:rsidRPr="00503706">
        <w:t xml:space="preserve">Regardless of the fact that the </w:t>
      </w:r>
      <w:r>
        <w:t>System Operator</w:t>
      </w:r>
      <w:r w:rsidRPr="00503706">
        <w:t xml:space="preserve"> may not yet be equipped with </w:t>
      </w:r>
      <w:r>
        <w:t xml:space="preserve">state-of-the-art software and </w:t>
      </w:r>
      <w:r w:rsidRPr="00503706">
        <w:t>IT systems</w:t>
      </w:r>
      <w:r>
        <w:t xml:space="preserve">, or that </w:t>
      </w:r>
      <w:r w:rsidRPr="00503706">
        <w:t xml:space="preserve">some of the </w:t>
      </w:r>
      <w:r w:rsidR="00D2409E">
        <w:t>o</w:t>
      </w:r>
      <w:r>
        <w:t xml:space="preserve">perational </w:t>
      </w:r>
      <w:r w:rsidR="00D2409E">
        <w:t>p</w:t>
      </w:r>
      <w:r>
        <w:t xml:space="preserve">rocedures require adaptations or </w:t>
      </w:r>
      <w:r w:rsidR="00DD6957">
        <w:t xml:space="preserve">development of </w:t>
      </w:r>
      <w:r>
        <w:t>new ones, it</w:t>
      </w:r>
      <w:r w:rsidR="00DD6957">
        <w:t xml:space="preserve"> is the duty of the System Operator that it</w:t>
      </w:r>
      <w:r>
        <w:t xml:space="preserve"> shall make best </w:t>
      </w:r>
      <w:r w:rsidR="00590D1D">
        <w:t xml:space="preserve">efforts </w:t>
      </w:r>
      <w:r>
        <w:t xml:space="preserve">to operate the </w:t>
      </w:r>
      <w:r w:rsidR="00DD6957">
        <w:t>Grid System</w:t>
      </w:r>
      <w:r>
        <w:t xml:space="preserve"> in the most economical way, within the security and reliability </w:t>
      </w:r>
      <w:r w:rsidR="00DD6957">
        <w:t xml:space="preserve">criteria </w:t>
      </w:r>
      <w:r>
        <w:t>established in the Grid Code.</w:t>
      </w:r>
      <w:bookmarkEnd w:id="1023"/>
      <w:r>
        <w:t xml:space="preserve">  </w:t>
      </w:r>
    </w:p>
    <w:p w14:paraId="75665C85" w14:textId="014BA2AD" w:rsidR="00BC5E98" w:rsidRDefault="00503706" w:rsidP="005B295A">
      <w:pPr>
        <w:pStyle w:val="Heading4"/>
      </w:pPr>
      <w:bookmarkStart w:id="1024" w:name="_Ref77074063"/>
      <w:r>
        <w:t>Provided th</w:t>
      </w:r>
      <w:r w:rsidR="00BC5E98">
        <w:t>at th</w:t>
      </w:r>
      <w:r>
        <w:t xml:space="preserve">e System </w:t>
      </w:r>
      <w:r w:rsidR="00BC5E98">
        <w:t>O</w:t>
      </w:r>
      <w:r>
        <w:t xml:space="preserve">perator </w:t>
      </w:r>
      <w:r w:rsidR="00BC5E98">
        <w:t xml:space="preserve">complies with the </w:t>
      </w:r>
      <w:r w:rsidR="00DD6957">
        <w:t xml:space="preserve">provisions </w:t>
      </w:r>
      <w:r w:rsidR="00BC5E98">
        <w:t xml:space="preserve">of Clause </w:t>
      </w:r>
      <w:r w:rsidR="00BC5E98">
        <w:fldChar w:fldCharType="begin"/>
      </w:r>
      <w:r w:rsidR="00BC5E98">
        <w:instrText xml:space="preserve"> REF _Ref64750812 \r \h </w:instrText>
      </w:r>
      <w:r w:rsidR="00BC5E98">
        <w:fldChar w:fldCharType="separate"/>
      </w:r>
      <w:r w:rsidR="00251DBF">
        <w:t>20.1.1.3</w:t>
      </w:r>
      <w:r w:rsidR="00BC5E98">
        <w:fldChar w:fldCharType="end"/>
      </w:r>
      <w:r w:rsidR="00BC5E98">
        <w:t xml:space="preserve">, it </w:t>
      </w:r>
      <w:r w:rsidR="00DD6957">
        <w:t xml:space="preserve">is </w:t>
      </w:r>
      <w:r w:rsidR="00BC5E98">
        <w:t>assumed that the result</w:t>
      </w:r>
      <w:r w:rsidR="00DD6957">
        <w:t>s</w:t>
      </w:r>
      <w:r w:rsidR="00BC5E98">
        <w:t xml:space="preserve"> of the operations</w:t>
      </w:r>
      <w:r w:rsidR="00DD6957">
        <w:t xml:space="preserve"> of </w:t>
      </w:r>
      <w:r w:rsidR="00BA4716">
        <w:t xml:space="preserve">the </w:t>
      </w:r>
      <w:r w:rsidR="00DD6957">
        <w:t>System Operator</w:t>
      </w:r>
      <w:r w:rsidR="00BC5E98">
        <w:t xml:space="preserve"> </w:t>
      </w:r>
      <w:r w:rsidR="00BA4716">
        <w:t xml:space="preserve">are aligned </w:t>
      </w:r>
      <w:r w:rsidR="00BC5E98">
        <w:t xml:space="preserve">with </w:t>
      </w:r>
      <w:r w:rsidR="00BA4716">
        <w:t>the</w:t>
      </w:r>
      <w:r w:rsidR="00BC5E98">
        <w:t xml:space="preserve"> Security Constrained Economic Dispatch and, therefore, </w:t>
      </w:r>
      <w:r w:rsidR="00FC1D92">
        <w:t xml:space="preserve">the </w:t>
      </w:r>
      <w:r w:rsidR="00BA4716">
        <w:t xml:space="preserve">determination of </w:t>
      </w:r>
      <w:r w:rsidR="00FC1D92">
        <w:t>System Marginal Prices, as well as the identification of the Generat</w:t>
      </w:r>
      <w:r w:rsidR="00BD6DB0">
        <w:t>ion Units</w:t>
      </w:r>
      <w:r w:rsidR="00FC1D92">
        <w:t xml:space="preserve"> entitled for receiving compensation for </w:t>
      </w:r>
      <w:r w:rsidR="00BA4716">
        <w:t>providing</w:t>
      </w:r>
      <w:r w:rsidR="00FC1D92">
        <w:t>, or allowing other Generat</w:t>
      </w:r>
      <w:r w:rsidR="00BD6DB0">
        <w:t>ion Units</w:t>
      </w:r>
      <w:r w:rsidR="00FC1D92">
        <w:t xml:space="preserve"> to </w:t>
      </w:r>
      <w:r w:rsidR="00BA4716">
        <w:t>provide</w:t>
      </w:r>
      <w:r w:rsidR="00FC1D92">
        <w:t xml:space="preserve"> Ancillary Services</w:t>
      </w:r>
      <w:r w:rsidR="00BA4716">
        <w:t>,</w:t>
      </w:r>
      <w:r w:rsidR="00FC1D92">
        <w:t xml:space="preserve"> shall be </w:t>
      </w:r>
      <w:r w:rsidR="00BA4716">
        <w:t xml:space="preserve">carried out </w:t>
      </w:r>
      <w:r w:rsidR="00BC5E98">
        <w:t>through an ex-post analysis of the results of the daily operations.</w:t>
      </w:r>
      <w:bookmarkEnd w:id="1024"/>
      <w:r w:rsidR="00BC5E98">
        <w:t xml:space="preserve"> </w:t>
      </w:r>
    </w:p>
    <w:p w14:paraId="73B49EBB" w14:textId="4AE0D358" w:rsidR="001F3A3F" w:rsidRDefault="00BC5E98" w:rsidP="00BC5E98">
      <w:pPr>
        <w:pStyle w:val="Heading3"/>
      </w:pPr>
      <w:r>
        <w:t>Procedure for determining the System Marginal Prices</w:t>
      </w:r>
    </w:p>
    <w:p w14:paraId="676B5992" w14:textId="560A09B3" w:rsidR="00872C95" w:rsidRDefault="00872C95" w:rsidP="005B295A">
      <w:pPr>
        <w:pStyle w:val="Heading4"/>
      </w:pPr>
      <w:bookmarkStart w:id="1025" w:name="_Ref64832949"/>
      <w:commentRangeStart w:id="1026"/>
      <w:r>
        <w:t>Every Business Day</w:t>
      </w:r>
      <w:commentRangeEnd w:id="1026"/>
      <w:r w:rsidR="00BA4716">
        <w:rPr>
          <w:rStyle w:val="CommentReference"/>
          <w:rFonts w:eastAsiaTheme="minorHAnsi" w:cstheme="minorBidi"/>
          <w:bCs w:val="0"/>
          <w:iCs w:val="0"/>
          <w:color w:val="1C1C1C"/>
        </w:rPr>
        <w:commentReference w:id="1026"/>
      </w:r>
      <w:r>
        <w:t xml:space="preserve">, the System Operator shall utilize the results of the actual operations of the previous day, or previous days in cases of non-Business Days, to develop an ordered table of all Generation Units and Imports for which the System Operator is responsible for Dispatching, for each hour of the day (the </w:t>
      </w:r>
      <w:r w:rsidR="0008682C">
        <w:t>Variable Generation Cost List</w:t>
      </w:r>
      <w:r>
        <w:t>).</w:t>
      </w:r>
      <w:bookmarkEnd w:id="1025"/>
      <w:r>
        <w:t xml:space="preserve"> </w:t>
      </w:r>
    </w:p>
    <w:p w14:paraId="3AD909BB" w14:textId="68F62D0C" w:rsidR="00872C95" w:rsidRDefault="00872C95" w:rsidP="005B295A">
      <w:pPr>
        <w:pStyle w:val="Heading4"/>
      </w:pPr>
      <w:r>
        <w:t xml:space="preserve"> </w:t>
      </w:r>
      <w:r w:rsidRPr="00A31089">
        <w:t xml:space="preserve">The </w:t>
      </w:r>
      <w:r w:rsidR="0008682C">
        <w:t>Variable Generation Cost List</w:t>
      </w:r>
      <w:r w:rsidR="0008682C" w:rsidRPr="00A31089" w:rsidDel="0008682C">
        <w:t xml:space="preserve"> </w:t>
      </w:r>
      <w:r w:rsidRPr="00A31089">
        <w:t>shall</w:t>
      </w:r>
      <w:r>
        <w:t xml:space="preserve"> contain all Generation Units and Imports ordered in ascending order of their Variable Generation Cost</w:t>
      </w:r>
      <w:r w:rsidR="00FD2336">
        <w:t xml:space="preserve"> or the Contract price in case of Imports</w:t>
      </w:r>
      <w:r w:rsidR="001F680C">
        <w:t>.</w:t>
      </w:r>
      <w:r>
        <w:t xml:space="preserve"> </w:t>
      </w:r>
    </w:p>
    <w:p w14:paraId="3C3110DC" w14:textId="2997EEC4" w:rsidR="00872C95" w:rsidRDefault="00872C95" w:rsidP="005B295A">
      <w:pPr>
        <w:pStyle w:val="Heading4"/>
      </w:pPr>
      <w:r>
        <w:t xml:space="preserve">Each Generation Unit or Import shall have associated </w:t>
      </w:r>
      <w:r w:rsidR="00D112B3">
        <w:t>four</w:t>
      </w:r>
      <w:r>
        <w:t xml:space="preserve"> values: </w:t>
      </w:r>
    </w:p>
    <w:p w14:paraId="2BD2CBBC" w14:textId="472B1839" w:rsidR="00872C95" w:rsidRDefault="00872C95" w:rsidP="00B03234">
      <w:pPr>
        <w:pStyle w:val="Heading5"/>
      </w:pPr>
      <w:r>
        <w:t>Variable Generation Cost</w:t>
      </w:r>
      <w:r w:rsidR="00BA4716">
        <w:t>: It</w:t>
      </w:r>
      <w:r>
        <w:t xml:space="preserve"> is the value which was used by the System Operator for Dispatching the Generation Units and Imports in the most economical way, pursuant</w:t>
      </w:r>
      <w:r w:rsidR="00BA4716">
        <w:t xml:space="preserve"> to</w:t>
      </w:r>
      <w:r>
        <w:t xml:space="preserve"> Clause </w:t>
      </w:r>
      <w:r>
        <w:fldChar w:fldCharType="begin"/>
      </w:r>
      <w:r>
        <w:instrText xml:space="preserve"> REF _Ref64750812 \r \h  \* MERGEFORMAT </w:instrText>
      </w:r>
      <w:r>
        <w:fldChar w:fldCharType="separate"/>
      </w:r>
      <w:r w:rsidR="00251DBF">
        <w:t>20.1.1.3</w:t>
      </w:r>
      <w:r>
        <w:fldChar w:fldCharType="end"/>
      </w:r>
      <w:r>
        <w:t xml:space="preserve">. </w:t>
      </w:r>
      <w:r w:rsidR="0042663A">
        <w:t>In case</w:t>
      </w:r>
      <w:r w:rsidR="00BA4716">
        <w:t>,</w:t>
      </w:r>
      <w:r w:rsidR="0042663A">
        <w:t xml:space="preserve"> the Variable Generation Cost of a Generation Unit is a function of its output or Generation Unit configuration, the value to be included in the table is the</w:t>
      </w:r>
      <w:r w:rsidR="00BA4716">
        <w:t xml:space="preserve"> value</w:t>
      </w:r>
      <w:r w:rsidR="0042663A">
        <w:t xml:space="preserve"> corresponding to the output</w:t>
      </w:r>
      <w:r w:rsidR="0032752C">
        <w:t xml:space="preserve"> or configuration</w:t>
      </w:r>
      <w:r w:rsidR="0042663A">
        <w:t xml:space="preserve"> at which this unit was dispatched. </w:t>
      </w:r>
    </w:p>
    <w:p w14:paraId="721A6FA5" w14:textId="5B4D2E01" w:rsidR="00872C95" w:rsidRDefault="00D2409E" w:rsidP="00B03234">
      <w:pPr>
        <w:pStyle w:val="Heading5"/>
      </w:pPr>
      <w:bookmarkStart w:id="1027" w:name="_Hlk66282127"/>
      <w:r>
        <w:t>An o</w:t>
      </w:r>
      <w:r w:rsidR="00872C95">
        <w:t xml:space="preserve">perational </w:t>
      </w:r>
      <w:r>
        <w:t>l</w:t>
      </w:r>
      <w:r w:rsidR="00872C95">
        <w:t>abel</w:t>
      </w:r>
      <w:bookmarkEnd w:id="1027"/>
      <w:r w:rsidR="00BA4716">
        <w:t xml:space="preserve">: </w:t>
      </w:r>
      <w:r w:rsidR="00D112B3">
        <w:t xml:space="preserve"> which</w:t>
      </w:r>
      <w:r w:rsidR="00872C95">
        <w:t xml:space="preserve"> shall have one of the following values: </w:t>
      </w:r>
    </w:p>
    <w:p w14:paraId="6C1CEF0E" w14:textId="3A470FFC" w:rsidR="00872C95" w:rsidRDefault="00872C95" w:rsidP="00CF7164">
      <w:pPr>
        <w:pStyle w:val="Heading6"/>
      </w:pPr>
      <w:r>
        <w:t xml:space="preserve">“Unavailable”, applicable to Generation Units or Imports which were not available for being Dispatched at the corresponding hour; </w:t>
      </w:r>
    </w:p>
    <w:p w14:paraId="48B9809E" w14:textId="5CF117D0" w:rsidR="00872C95" w:rsidRDefault="00872C95" w:rsidP="00CF7164">
      <w:pPr>
        <w:pStyle w:val="Heading6"/>
      </w:pPr>
      <w:r>
        <w:t>“Zero Variable Cost”, applicable to available Generation Units which use natural resources</w:t>
      </w:r>
      <w:r w:rsidR="00BA4716">
        <w:t xml:space="preserve"> as</w:t>
      </w:r>
      <w:r>
        <w:t xml:space="preserve"> </w:t>
      </w:r>
      <w:r w:rsidR="00BA4716">
        <w:t xml:space="preserve">primary energy </w:t>
      </w:r>
      <w:r>
        <w:t>which do not have an associated cost. Hydro, Solar (either PV or CSP), Wind and other similar renewable technologies will be labelled as such</w:t>
      </w:r>
      <w:r w:rsidR="00D112B3">
        <w:t>. Nuclear Generation Units shall be labelled as “Zero Variable  Cost” regardless its Variable Generation Cost may be different than zero</w:t>
      </w:r>
      <w:r>
        <w:t xml:space="preserve">;   </w:t>
      </w:r>
    </w:p>
    <w:p w14:paraId="711E82C1" w14:textId="1132D5C4" w:rsidR="00872C95" w:rsidRDefault="00872C95" w:rsidP="00CF7164">
      <w:pPr>
        <w:pStyle w:val="Heading6"/>
      </w:pPr>
      <w:r>
        <w:t xml:space="preserve">“Must Run”, applicable to available Generation Units not labelled as “Zero Variable Cost”, which have been dispatched to alleviate Congestion pursuant </w:t>
      </w:r>
      <w:r w:rsidR="000503D4">
        <w:t xml:space="preserve">to </w:t>
      </w:r>
      <w:r>
        <w:t xml:space="preserve">Clause </w:t>
      </w:r>
      <w:r w:rsidR="00F42855">
        <w:fldChar w:fldCharType="begin"/>
      </w:r>
      <w:r w:rsidR="00F42855">
        <w:instrText xml:space="preserve"> REF _Ref66562074 \r \h </w:instrText>
      </w:r>
      <w:r w:rsidR="00F42855">
        <w:fldChar w:fldCharType="separate"/>
      </w:r>
      <w:r w:rsidR="00251DBF">
        <w:t>7.1.2.1</w:t>
      </w:r>
      <w:r w:rsidR="00F42855">
        <w:fldChar w:fldCharType="end"/>
      </w:r>
      <w:r>
        <w:t xml:space="preserve">; </w:t>
      </w:r>
    </w:p>
    <w:p w14:paraId="316B6429" w14:textId="282B75E8" w:rsidR="00872C95" w:rsidRDefault="00872C95" w:rsidP="00CF7164">
      <w:pPr>
        <w:pStyle w:val="Heading6"/>
      </w:pPr>
      <w:r>
        <w:t xml:space="preserve">“Must Stop”, applicable to available Generation Units not labelled as “Zero Variable Cost”, which have not been dispatched, or have been dispatched below its maximum Capacity, to alleviate Congestion pursuant </w:t>
      </w:r>
      <w:r w:rsidR="000503D4">
        <w:t xml:space="preserve">to </w:t>
      </w:r>
      <w:r w:rsidR="008C02F7">
        <w:t>Sub-Section</w:t>
      </w:r>
      <w:r w:rsidR="00BD6DB0">
        <w:t xml:space="preserve"> </w:t>
      </w:r>
      <w:r w:rsidR="00BD6DB0">
        <w:rPr>
          <w:highlight w:val="yellow"/>
        </w:rPr>
        <w:fldChar w:fldCharType="begin"/>
      </w:r>
      <w:r w:rsidR="00BD6DB0">
        <w:instrText xml:space="preserve"> REF _Ref64572794 \r \h </w:instrText>
      </w:r>
      <w:r w:rsidR="00BD6DB0">
        <w:rPr>
          <w:highlight w:val="yellow"/>
        </w:rPr>
      </w:r>
      <w:r w:rsidR="00BD6DB0">
        <w:rPr>
          <w:highlight w:val="yellow"/>
        </w:rPr>
        <w:fldChar w:fldCharType="separate"/>
      </w:r>
      <w:r w:rsidR="00251DBF">
        <w:t>7.1.1</w:t>
      </w:r>
      <w:r w:rsidR="00BD6DB0">
        <w:rPr>
          <w:highlight w:val="yellow"/>
        </w:rPr>
        <w:fldChar w:fldCharType="end"/>
      </w:r>
      <w:r>
        <w:t xml:space="preserve">; </w:t>
      </w:r>
    </w:p>
    <w:p w14:paraId="0E906085" w14:textId="76D8FF5D" w:rsidR="00B95117" w:rsidRDefault="00B95117" w:rsidP="00CF7164">
      <w:pPr>
        <w:pStyle w:val="Heading6"/>
      </w:pPr>
      <w:r>
        <w:t>“Non</w:t>
      </w:r>
      <w:r w:rsidR="008412BA">
        <w:t>-</w:t>
      </w:r>
      <w:r>
        <w:t xml:space="preserve">Dispatched”, applicable to Generation Units not labelled as “Zero Variable Cost”, which have not been dispatched, or have been dispatched below its maximum Capacity, for other operational reasons. The System Operator shall clearly </w:t>
      </w:r>
      <w:r w:rsidR="000503D4">
        <w:t>identify and document such</w:t>
      </w:r>
      <w:r>
        <w:t xml:space="preserve"> reasons;</w:t>
      </w:r>
    </w:p>
    <w:p w14:paraId="6D9D38E3" w14:textId="38938635" w:rsidR="00872C95" w:rsidRDefault="00872C95" w:rsidP="00CF7164">
      <w:pPr>
        <w:pStyle w:val="Heading6"/>
      </w:pPr>
      <w:r>
        <w:t>“Fully Loaded”, applicable to available Generation Units not labelled as “Zero Variable Cost” or “Must Run”, which have been dispatched at or above ninety percent [90%] of its maximum available Capacity;</w:t>
      </w:r>
    </w:p>
    <w:p w14:paraId="63A8325F" w14:textId="39F591CF" w:rsidR="00872C95" w:rsidRDefault="00872C95" w:rsidP="00CF7164">
      <w:pPr>
        <w:pStyle w:val="Heading6"/>
      </w:pPr>
      <w:r>
        <w:t>“Partially Loaded”, applicable to available Generation Units not labelled as “Zero Variable Cost” or “Must Run” or “Must Stop”, which have been dispatched below ninety percent [90%] of its maximum available Capacity</w:t>
      </w:r>
    </w:p>
    <w:p w14:paraId="0830759F" w14:textId="7DC97FCD" w:rsidR="00872C95" w:rsidRDefault="00872C95" w:rsidP="00CF7164">
      <w:pPr>
        <w:pStyle w:val="Heading6"/>
      </w:pPr>
      <w:r>
        <w:t>“Out of Merit”, applicable to the available Generation Units not labelled as “Zero Variable Cost” or “Must Stop”</w:t>
      </w:r>
      <w:r w:rsidR="00DF3672">
        <w:t xml:space="preserve"> or “Non-Dispatched”</w:t>
      </w:r>
      <w:r>
        <w:t xml:space="preserve">, which have not been </w:t>
      </w:r>
      <w:r w:rsidR="000503D4">
        <w:t xml:space="preserve">scheduled for Dispatch </w:t>
      </w:r>
      <w:r>
        <w:t>by the System Operator. For the avoidance of doubt, a Generation Unit or Import may be labelled as “Out of Merit” even if this Generat</w:t>
      </w:r>
      <w:r w:rsidR="00BD6DB0">
        <w:t>ion Unit</w:t>
      </w:r>
      <w:r>
        <w:t xml:space="preserve"> or Import has produced electric power during the corresponding hour, if this production has not been instructed by the System Operator.   </w:t>
      </w:r>
    </w:p>
    <w:p w14:paraId="56341861" w14:textId="3638E6C4" w:rsidR="005C1E2F" w:rsidRDefault="005C1E2F" w:rsidP="00B03234">
      <w:pPr>
        <w:pStyle w:val="Heading5"/>
      </w:pPr>
      <w:r>
        <w:t xml:space="preserve">The Energy produced during the </w:t>
      </w:r>
      <w:r w:rsidR="000503D4">
        <w:t xml:space="preserve">relevant </w:t>
      </w:r>
      <w:r>
        <w:t xml:space="preserve">hour; </w:t>
      </w:r>
    </w:p>
    <w:p w14:paraId="27982665" w14:textId="2E78508F" w:rsidR="005C1E2F" w:rsidRDefault="005C1E2F" w:rsidP="00B03234">
      <w:pPr>
        <w:pStyle w:val="Heading5"/>
      </w:pPr>
      <w:r>
        <w:t>The available Capacity</w:t>
      </w:r>
      <w:r w:rsidR="000503D4">
        <w:t>:</w:t>
      </w:r>
      <w:r>
        <w:t xml:space="preserve"> which shall be equal to: </w:t>
      </w:r>
    </w:p>
    <w:p w14:paraId="1305AC6A" w14:textId="3FF9BA74" w:rsidR="005C1E2F" w:rsidRDefault="005C1E2F" w:rsidP="00CF7164">
      <w:pPr>
        <w:pStyle w:val="Heading6"/>
      </w:pPr>
      <w:r>
        <w:t xml:space="preserve">The Energy produced during the </w:t>
      </w:r>
      <w:r w:rsidR="000503D4">
        <w:t xml:space="preserve">relevant </w:t>
      </w:r>
      <w:r>
        <w:t>hour in case of Generation Units labelled as “Zero Variable Cost”</w:t>
      </w:r>
    </w:p>
    <w:p w14:paraId="5BB40911" w14:textId="6A72D864" w:rsidR="005C1E2F" w:rsidRDefault="005C1E2F" w:rsidP="00CF7164">
      <w:pPr>
        <w:pStyle w:val="Heading6"/>
      </w:pPr>
      <w:r>
        <w:t xml:space="preserve">The declared Available Capacity for the </w:t>
      </w:r>
      <w:r w:rsidR="000503D4">
        <w:t xml:space="preserve">relevant </w:t>
      </w:r>
      <w:r>
        <w:t xml:space="preserve">hour, as per the provisions of the Grid Code. </w:t>
      </w:r>
    </w:p>
    <w:p w14:paraId="696EAEC8" w14:textId="218B14C1" w:rsidR="005C1E2F" w:rsidRDefault="0042663A" w:rsidP="005B295A">
      <w:pPr>
        <w:pStyle w:val="Heading4"/>
        <w:rPr>
          <w:lang w:eastAsia="es-ES"/>
        </w:rPr>
      </w:pPr>
      <w:r>
        <w:rPr>
          <w:lang w:eastAsia="es-ES"/>
        </w:rPr>
        <w:t>An example of the table to be prepared</w:t>
      </w:r>
      <w:r w:rsidR="000503D4">
        <w:rPr>
          <w:lang w:eastAsia="es-ES"/>
        </w:rPr>
        <w:t xml:space="preserve"> by the System Operator</w:t>
      </w:r>
      <w:r>
        <w:rPr>
          <w:lang w:eastAsia="es-ES"/>
        </w:rPr>
        <w:t xml:space="preserve"> is shown </w:t>
      </w:r>
      <w:r w:rsidR="005C0D2D">
        <w:rPr>
          <w:lang w:eastAsia="es-ES"/>
        </w:rPr>
        <w:t xml:space="preserve">in </w:t>
      </w:r>
      <w:r w:rsidR="005C0D2D">
        <w:rPr>
          <w:lang w:eastAsia="es-ES"/>
        </w:rPr>
        <w:fldChar w:fldCharType="begin"/>
      </w:r>
      <w:r w:rsidR="005C0D2D">
        <w:rPr>
          <w:lang w:eastAsia="es-ES"/>
        </w:rPr>
        <w:instrText xml:space="preserve"> REF _Ref64832891 \h </w:instrText>
      </w:r>
      <w:r w:rsidR="005C0D2D">
        <w:rPr>
          <w:lang w:eastAsia="es-ES"/>
        </w:rPr>
      </w:r>
      <w:r w:rsidR="005C0D2D">
        <w:rPr>
          <w:lang w:eastAsia="es-ES"/>
        </w:rPr>
        <w:fldChar w:fldCharType="separate"/>
      </w:r>
      <w:r w:rsidR="00251DBF">
        <w:t xml:space="preserve">Figure </w:t>
      </w:r>
      <w:r w:rsidR="00251DBF">
        <w:rPr>
          <w:noProof/>
        </w:rPr>
        <w:t>2</w:t>
      </w:r>
      <w:r w:rsidR="005C0D2D">
        <w:rPr>
          <w:lang w:eastAsia="es-ES"/>
        </w:rPr>
        <w:fldChar w:fldCharType="end"/>
      </w:r>
      <w:r>
        <w:rPr>
          <w:lang w:eastAsia="es-ES"/>
        </w:rPr>
        <w:t xml:space="preserve">. The values included in </w:t>
      </w:r>
      <w:r w:rsidR="000503D4">
        <w:rPr>
          <w:lang w:eastAsia="es-ES"/>
        </w:rPr>
        <w:t xml:space="preserve">this </w:t>
      </w:r>
      <w:r>
        <w:rPr>
          <w:lang w:eastAsia="es-ES"/>
        </w:rPr>
        <w:t xml:space="preserve">figure are for </w:t>
      </w:r>
      <w:r w:rsidR="000503D4">
        <w:rPr>
          <w:lang w:eastAsia="es-ES"/>
        </w:rPr>
        <w:t xml:space="preserve">illustration </w:t>
      </w:r>
      <w:r>
        <w:rPr>
          <w:lang w:eastAsia="es-ES"/>
        </w:rPr>
        <w:t>purposes</w:t>
      </w:r>
      <w:r w:rsidR="000503D4">
        <w:rPr>
          <w:lang w:eastAsia="es-ES"/>
        </w:rPr>
        <w:t xml:space="preserve"> only</w:t>
      </w:r>
      <w:r>
        <w:rPr>
          <w:lang w:eastAsia="es-ES"/>
        </w:rPr>
        <w:t xml:space="preserve"> (not representing a real situation).</w:t>
      </w:r>
    </w:p>
    <w:p w14:paraId="1A1DEB0E" w14:textId="08CF2BA4" w:rsidR="0042663A" w:rsidRDefault="0042663A" w:rsidP="005C1E2F">
      <w:pPr>
        <w:rPr>
          <w:lang w:eastAsia="es-ES"/>
        </w:rPr>
      </w:pPr>
    </w:p>
    <w:p w14:paraId="31C521FA" w14:textId="6FA7E5AF" w:rsidR="00813F92" w:rsidRDefault="00813F92" w:rsidP="00813F92">
      <w:pPr>
        <w:pStyle w:val="Caption"/>
        <w:ind w:left="709"/>
      </w:pPr>
      <w:bookmarkStart w:id="1028" w:name="_Ref64832891"/>
      <w:r>
        <w:t xml:space="preserve">Figure </w:t>
      </w:r>
      <w:fldSimple w:instr=" SEQ Figure \* ARABIC ">
        <w:r w:rsidR="00251DBF">
          <w:rPr>
            <w:noProof/>
          </w:rPr>
          <w:t>2</w:t>
        </w:r>
      </w:fldSimple>
      <w:bookmarkEnd w:id="1028"/>
      <w:r>
        <w:t>:</w:t>
      </w:r>
      <w:r w:rsidRPr="00813F92">
        <w:t xml:space="preserve"> </w:t>
      </w:r>
      <w:r>
        <w:t xml:space="preserve">Example of </w:t>
      </w:r>
      <w:r w:rsidR="0008682C">
        <w:t>Variable Generation Cost List</w:t>
      </w:r>
    </w:p>
    <w:p w14:paraId="437D8C9B" w14:textId="72C5FF2F" w:rsidR="00D24557" w:rsidRPr="005C0D2D" w:rsidRDefault="008B54CD" w:rsidP="008B54CD">
      <w:pPr>
        <w:jc w:val="right"/>
        <w:rPr>
          <w:lang w:eastAsia="es-ES"/>
        </w:rPr>
      </w:pPr>
      <w:r w:rsidRPr="005C0D2D">
        <w:rPr>
          <w:noProof/>
        </w:rPr>
        <w:drawing>
          <wp:inline distT="0" distB="0" distL="0" distR="0" wp14:anchorId="4758B0F1" wp14:editId="140D1DB7">
            <wp:extent cx="5081084" cy="4205076"/>
            <wp:effectExtent l="0" t="0" r="571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2882" cy="4206564"/>
                    </a:xfrm>
                    <a:prstGeom prst="rect">
                      <a:avLst/>
                    </a:prstGeom>
                    <a:noFill/>
                    <a:ln>
                      <a:noFill/>
                    </a:ln>
                  </pic:spPr>
                </pic:pic>
              </a:graphicData>
            </a:graphic>
          </wp:inline>
        </w:drawing>
      </w:r>
    </w:p>
    <w:p w14:paraId="10F89E9E" w14:textId="172365E9" w:rsidR="00872C95" w:rsidRPr="005C0D2D" w:rsidRDefault="008B54CD" w:rsidP="005B295A">
      <w:pPr>
        <w:pStyle w:val="Heading4"/>
      </w:pPr>
      <w:r w:rsidRPr="005C0D2D">
        <w:t>For determining the System Marginal Price, only Generation  Units labelled</w:t>
      </w:r>
      <w:r w:rsidR="000503D4">
        <w:t xml:space="preserve"> as</w:t>
      </w:r>
      <w:r w:rsidRPr="005C0D2D">
        <w:t xml:space="preserve"> “Fully Loaded”</w:t>
      </w:r>
      <w:r w:rsidR="000503D4">
        <w:t>,</w:t>
      </w:r>
      <w:r w:rsidR="000503D4" w:rsidRPr="005C0D2D">
        <w:t xml:space="preserve"> </w:t>
      </w:r>
      <w:r w:rsidRPr="005C0D2D">
        <w:t>“Partially Loaded”</w:t>
      </w:r>
      <w:r w:rsidR="004126C3">
        <w:t xml:space="preserve"> and “Out of Merit”</w:t>
      </w:r>
      <w:r w:rsidRPr="005C0D2D">
        <w:t xml:space="preserve"> will be considered. </w:t>
      </w:r>
      <w:r w:rsidR="00872C95" w:rsidRPr="005C0D2D">
        <w:t xml:space="preserve">  </w:t>
      </w:r>
    </w:p>
    <w:p w14:paraId="17F471FC" w14:textId="7F7F6DEF" w:rsidR="00BC5E98" w:rsidRPr="005C0D2D" w:rsidRDefault="00BC5E98" w:rsidP="005B295A">
      <w:pPr>
        <w:pStyle w:val="Heading4"/>
      </w:pPr>
      <w:r w:rsidRPr="005C0D2D">
        <w:t>The System Marginal Price</w:t>
      </w:r>
      <w:r w:rsidR="008B54CD" w:rsidRPr="005C0D2D">
        <w:t>, for each hour,</w:t>
      </w:r>
      <w:r w:rsidRPr="005C0D2D">
        <w:t xml:space="preserve"> will be </w:t>
      </w:r>
      <w:r w:rsidR="008B54CD" w:rsidRPr="005C0D2D">
        <w:t>calculated</w:t>
      </w:r>
      <w:r w:rsidRPr="005C0D2D">
        <w:t xml:space="preserve"> as the Variable Generation Cost of the cheapest Generation Unit labelled as “Partially Loaded”, which has been dispatched at a price higher than the most expensive Generation Unit labelled as “Fully Loaded”. </w:t>
      </w:r>
    </w:p>
    <w:p w14:paraId="52089298" w14:textId="12F4E175" w:rsidR="00872C95" w:rsidRPr="005C0D2D" w:rsidRDefault="00BC5E98" w:rsidP="005B295A">
      <w:pPr>
        <w:pStyle w:val="Heading4"/>
      </w:pPr>
      <w:r w:rsidRPr="005C0D2D">
        <w:t xml:space="preserve">In case that the most expensive </w:t>
      </w:r>
      <w:r w:rsidR="00872C95" w:rsidRPr="005C0D2D">
        <w:t>Generation U</w:t>
      </w:r>
      <w:r w:rsidRPr="005C0D2D">
        <w:t xml:space="preserve">nit dispatched is </w:t>
      </w:r>
      <w:r w:rsidR="00872C95" w:rsidRPr="005C0D2D">
        <w:t>labelled as “F</w:t>
      </w:r>
      <w:r w:rsidRPr="005C0D2D">
        <w:t xml:space="preserve">ully </w:t>
      </w:r>
      <w:r w:rsidR="00872C95" w:rsidRPr="005C0D2D">
        <w:t>L</w:t>
      </w:r>
      <w:r w:rsidRPr="005C0D2D">
        <w:t>oaded</w:t>
      </w:r>
      <w:r w:rsidR="00872C95" w:rsidRPr="005C0D2D">
        <w:t>”</w:t>
      </w:r>
      <w:r w:rsidRPr="005C0D2D">
        <w:t xml:space="preserve"> and there are no </w:t>
      </w:r>
      <w:r w:rsidR="00872C95" w:rsidRPr="005C0D2D">
        <w:t>Generation Units labelled as “P</w:t>
      </w:r>
      <w:r w:rsidRPr="005C0D2D">
        <w:t xml:space="preserve">artially </w:t>
      </w:r>
      <w:r w:rsidR="00872C95" w:rsidRPr="005C0D2D">
        <w:t>L</w:t>
      </w:r>
      <w:r w:rsidRPr="005C0D2D">
        <w:t>oaded</w:t>
      </w:r>
      <w:r w:rsidR="00872C95" w:rsidRPr="005C0D2D">
        <w:t>”</w:t>
      </w:r>
      <w:r w:rsidRPr="005C0D2D">
        <w:t xml:space="preserve"> dispatched at a higher price, the </w:t>
      </w:r>
      <w:r w:rsidR="00872C95" w:rsidRPr="005C0D2D">
        <w:t>System Ma</w:t>
      </w:r>
      <w:r w:rsidRPr="005C0D2D">
        <w:t xml:space="preserve">rginal </w:t>
      </w:r>
      <w:r w:rsidR="00872C95" w:rsidRPr="005C0D2D">
        <w:t>P</w:t>
      </w:r>
      <w:r w:rsidRPr="005C0D2D">
        <w:t xml:space="preserve">rice will be the </w:t>
      </w:r>
      <w:r w:rsidR="00872C95" w:rsidRPr="005C0D2D">
        <w:t>V</w:t>
      </w:r>
      <w:r w:rsidRPr="005C0D2D">
        <w:t xml:space="preserve">ariable </w:t>
      </w:r>
      <w:r w:rsidR="00872C95" w:rsidRPr="005C0D2D">
        <w:t>Generation C</w:t>
      </w:r>
      <w:r w:rsidRPr="005C0D2D">
        <w:t xml:space="preserve">ost of the following </w:t>
      </w:r>
      <w:r w:rsidR="00FE2442">
        <w:t>this last</w:t>
      </w:r>
      <w:r w:rsidR="00FE2442" w:rsidRPr="00FE2442">
        <w:t xml:space="preserve"> </w:t>
      </w:r>
      <w:r w:rsidR="00FE2442" w:rsidRPr="005C0D2D">
        <w:t xml:space="preserve">most expensive Generation Unit dispatched labelled as “Fully Loaded” </w:t>
      </w:r>
      <w:r w:rsidR="00FE2442">
        <w:t xml:space="preserve"> </w:t>
      </w:r>
      <w:r w:rsidR="00872C95" w:rsidRPr="005C0D2D">
        <w:t xml:space="preserve">Generation in the Table </w:t>
      </w:r>
      <w:r w:rsidR="000503D4">
        <w:t>mentioned</w:t>
      </w:r>
      <w:r w:rsidR="000503D4" w:rsidRPr="005C0D2D">
        <w:t xml:space="preserve"> </w:t>
      </w:r>
      <w:r w:rsidR="00872C95" w:rsidRPr="005C0D2D">
        <w:t xml:space="preserve">in </w:t>
      </w:r>
      <w:r w:rsidR="005C0D2D" w:rsidRPr="005C0D2D">
        <w:t xml:space="preserve">Clause </w:t>
      </w:r>
      <w:r w:rsidR="005C0D2D" w:rsidRPr="005C0D2D">
        <w:fldChar w:fldCharType="begin"/>
      </w:r>
      <w:r w:rsidR="005C0D2D" w:rsidRPr="005C0D2D">
        <w:instrText xml:space="preserve"> REF _Ref64832949 \r \h </w:instrText>
      </w:r>
      <w:r w:rsidR="005C0D2D">
        <w:instrText xml:space="preserve"> \* MERGEFORMAT </w:instrText>
      </w:r>
      <w:r w:rsidR="005C0D2D" w:rsidRPr="005C0D2D">
        <w:fldChar w:fldCharType="separate"/>
      </w:r>
      <w:r w:rsidR="00251DBF">
        <w:t>20.1.2.1</w:t>
      </w:r>
      <w:r w:rsidR="005C0D2D" w:rsidRPr="005C0D2D">
        <w:fldChar w:fldCharType="end"/>
      </w:r>
      <w:r w:rsidR="005C0D2D" w:rsidRPr="005C0D2D">
        <w:t>.</w:t>
      </w:r>
    </w:p>
    <w:p w14:paraId="1AD6F31D" w14:textId="3220417B" w:rsidR="008412BA" w:rsidRDefault="005C0D2D" w:rsidP="005B295A">
      <w:pPr>
        <w:pStyle w:val="Heading4"/>
        <w:rPr>
          <w:lang w:eastAsia="es-ES"/>
        </w:rPr>
      </w:pPr>
      <w:r>
        <w:rPr>
          <w:lang w:eastAsia="es-ES"/>
        </w:rPr>
        <w:t xml:space="preserve">An example of discovering the System Marginal Price is shown in </w:t>
      </w:r>
      <w:r>
        <w:rPr>
          <w:lang w:eastAsia="es-ES"/>
        </w:rPr>
        <w:fldChar w:fldCharType="begin"/>
      </w:r>
      <w:r>
        <w:rPr>
          <w:lang w:eastAsia="es-ES"/>
        </w:rPr>
        <w:instrText xml:space="preserve"> REF _Ref64833097 \h </w:instrText>
      </w:r>
      <w:r>
        <w:rPr>
          <w:lang w:eastAsia="es-ES"/>
        </w:rPr>
      </w:r>
      <w:r>
        <w:rPr>
          <w:lang w:eastAsia="es-ES"/>
        </w:rPr>
        <w:fldChar w:fldCharType="separate"/>
      </w:r>
      <w:r w:rsidR="00251DBF">
        <w:t xml:space="preserve">Figure </w:t>
      </w:r>
      <w:r w:rsidR="00251DBF">
        <w:rPr>
          <w:noProof/>
        </w:rPr>
        <w:t>3</w:t>
      </w:r>
      <w:r>
        <w:rPr>
          <w:lang w:eastAsia="es-ES"/>
        </w:rPr>
        <w:fldChar w:fldCharType="end"/>
      </w:r>
      <w:r>
        <w:rPr>
          <w:lang w:eastAsia="es-ES"/>
        </w:rPr>
        <w:t>. In this case, the Generation Unit “Nandi Pur”</w:t>
      </w:r>
      <w:r w:rsidR="008412BA">
        <w:rPr>
          <w:lang w:eastAsia="es-ES"/>
        </w:rPr>
        <w:t>, which has 355 MW of Available Capacity and it was Dispatched at 270 MW sets the System Marginal Price, which results equal to 11.08 PKR/kWh.</w:t>
      </w:r>
    </w:p>
    <w:p w14:paraId="71B24087" w14:textId="5779FF67" w:rsidR="00BC5E98" w:rsidRDefault="005C0D2D" w:rsidP="005C0D2D">
      <w:pPr>
        <w:pStyle w:val="Caption"/>
        <w:ind w:left="709"/>
      </w:pPr>
      <w:bookmarkStart w:id="1029" w:name="_Ref64833097"/>
      <w:bookmarkStart w:id="1030" w:name="_Ref64833076"/>
      <w:r>
        <w:t xml:space="preserve">Figure </w:t>
      </w:r>
      <w:fldSimple w:instr=" SEQ Figure \* ARABIC ">
        <w:r w:rsidR="00251DBF">
          <w:rPr>
            <w:noProof/>
          </w:rPr>
          <w:t>3</w:t>
        </w:r>
      </w:fldSimple>
      <w:bookmarkEnd w:id="1029"/>
      <w:r>
        <w:t>:</w:t>
      </w:r>
      <w:r w:rsidRPr="00813F92">
        <w:t xml:space="preserve"> </w:t>
      </w:r>
      <w:r>
        <w:t xml:space="preserve">System Marginal Price based on the </w:t>
      </w:r>
      <w:bookmarkEnd w:id="1030"/>
      <w:r w:rsidR="0008682C">
        <w:t>Variable Generation Cost List</w:t>
      </w:r>
    </w:p>
    <w:p w14:paraId="006A30E1" w14:textId="0AB280CE" w:rsidR="00BC5E98" w:rsidRDefault="00F56FC0" w:rsidP="008412BA">
      <w:pPr>
        <w:jc w:val="right"/>
      </w:pPr>
      <w:r w:rsidRPr="00F56FC0">
        <w:rPr>
          <w:noProof/>
        </w:rPr>
        <w:drawing>
          <wp:inline distT="0" distB="0" distL="0" distR="0" wp14:anchorId="3B290AAE" wp14:editId="2F2E6094">
            <wp:extent cx="5459512" cy="2609244"/>
            <wp:effectExtent l="0" t="0" r="825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65014" cy="2611874"/>
                    </a:xfrm>
                    <a:prstGeom prst="rect">
                      <a:avLst/>
                    </a:prstGeom>
                    <a:noFill/>
                    <a:ln>
                      <a:noFill/>
                    </a:ln>
                  </pic:spPr>
                </pic:pic>
              </a:graphicData>
            </a:graphic>
          </wp:inline>
        </w:drawing>
      </w:r>
    </w:p>
    <w:p w14:paraId="4592B9C2" w14:textId="7881A365" w:rsidR="00BC5E98" w:rsidRDefault="00B24AD3" w:rsidP="00BC5E98">
      <w:pPr>
        <w:pStyle w:val="Heading3"/>
      </w:pPr>
      <w:r>
        <w:t xml:space="preserve">Interim </w:t>
      </w:r>
      <w:r w:rsidR="00BC5E98">
        <w:t>Procedure for determining the Generators Entitled to Receive</w:t>
      </w:r>
      <w:r>
        <w:t xml:space="preserve"> Compensation for</w:t>
      </w:r>
      <w:r w:rsidR="00BC5E98">
        <w:t xml:space="preserve"> </w:t>
      </w:r>
      <w:r w:rsidR="0088020E">
        <w:t>A</w:t>
      </w:r>
      <w:r w:rsidR="00FB73A3">
        <w:t xml:space="preserve">ncillary </w:t>
      </w:r>
      <w:r w:rsidR="0088020E">
        <w:t>S</w:t>
      </w:r>
      <w:r w:rsidR="00FB73A3">
        <w:t>ervice</w:t>
      </w:r>
      <w:r>
        <w:t>s</w:t>
      </w:r>
    </w:p>
    <w:p w14:paraId="72684866" w14:textId="0FD02C52" w:rsidR="008412BA" w:rsidRDefault="008412BA" w:rsidP="005B295A">
      <w:pPr>
        <w:pStyle w:val="Heading4"/>
      </w:pPr>
      <w:bookmarkStart w:id="1031" w:name="_Ref64835918"/>
      <w:r>
        <w:t>As</w:t>
      </w:r>
      <w:r w:rsidR="00FB73A3">
        <w:t xml:space="preserve"> </w:t>
      </w:r>
      <w:r w:rsidR="00B24AD3">
        <w:t xml:space="preserve">provided </w:t>
      </w:r>
      <w:r w:rsidR="00FB73A3">
        <w:t xml:space="preserve">under Clause </w:t>
      </w:r>
      <w:r w:rsidR="008D6187">
        <w:rPr>
          <w:highlight w:val="yellow"/>
        </w:rPr>
        <w:fldChar w:fldCharType="begin"/>
      </w:r>
      <w:r w:rsidR="008D6187">
        <w:instrText xml:space="preserve"> REF _Ref77074063 \n \h </w:instrText>
      </w:r>
      <w:r w:rsidR="008D6187">
        <w:rPr>
          <w:highlight w:val="yellow"/>
        </w:rPr>
      </w:r>
      <w:r w:rsidR="008D6187">
        <w:rPr>
          <w:highlight w:val="yellow"/>
        </w:rPr>
        <w:fldChar w:fldCharType="separate"/>
      </w:r>
      <w:r w:rsidR="008D6187">
        <w:t>20.1.1.4</w:t>
      </w:r>
      <w:r w:rsidR="008D6187">
        <w:rPr>
          <w:highlight w:val="yellow"/>
        </w:rPr>
        <w:fldChar w:fldCharType="end"/>
      </w:r>
      <w:r w:rsidR="008D6187">
        <w:t xml:space="preserve"> </w:t>
      </w:r>
      <w:r w:rsidR="00FB73A3">
        <w:t>above,</w:t>
      </w:r>
      <w:r>
        <w:t xml:space="preserve"> the results of the actual operations</w:t>
      </w:r>
      <w:r w:rsidR="00FB73A3">
        <w:t xml:space="preserve"> carried out by the System Operator</w:t>
      </w:r>
      <w:r>
        <w:t xml:space="preserve"> are assumed to </w:t>
      </w:r>
      <w:r w:rsidR="00B24AD3">
        <w:t xml:space="preserve">be in </w:t>
      </w:r>
      <w:r>
        <w:t>align</w:t>
      </w:r>
      <w:r w:rsidR="00B24AD3">
        <w:t>ment</w:t>
      </w:r>
      <w:r>
        <w:t xml:space="preserve"> with those of </w:t>
      </w:r>
      <w:r w:rsidR="00FB73A3">
        <w:t>the</w:t>
      </w:r>
      <w:r>
        <w:t xml:space="preserve"> Security Constrained Economic Dispatch</w:t>
      </w:r>
      <w:r w:rsidR="00B24AD3">
        <w:t xml:space="preserve">, therefore, for </w:t>
      </w:r>
      <w:r w:rsidR="00ED135E">
        <w:t>determination of</w:t>
      </w:r>
      <w:r w:rsidR="00B24AD3">
        <w:t xml:space="preserve"> the compensation for Ancillary Services, </w:t>
      </w:r>
      <w:r w:rsidR="00FB73A3">
        <w:t xml:space="preserve"> </w:t>
      </w:r>
      <w:r>
        <w:t>it shall be assumed that:</w:t>
      </w:r>
      <w:bookmarkEnd w:id="1031"/>
      <w:r>
        <w:t xml:space="preserve"> </w:t>
      </w:r>
    </w:p>
    <w:p w14:paraId="469BAB4E" w14:textId="24BD2C28" w:rsidR="00247397" w:rsidRDefault="00247397" w:rsidP="00B03234">
      <w:pPr>
        <w:pStyle w:val="Heading5"/>
      </w:pPr>
      <w:r>
        <w:t>For t</w:t>
      </w:r>
      <w:r w:rsidR="008412BA">
        <w:t>he Generation Units</w:t>
      </w:r>
      <w:r w:rsidR="00FB73A3">
        <w:t>,</w:t>
      </w:r>
      <w:r w:rsidR="008412BA">
        <w:t xml:space="preserve"> </w:t>
      </w:r>
      <w:r w:rsidR="00F56FC0">
        <w:t>which have Variable Generation Costs lower than the Syst</w:t>
      </w:r>
      <w:r>
        <w:t>em Mar</w:t>
      </w:r>
      <w:r w:rsidR="00F56FC0">
        <w:t>ginal Price and ha</w:t>
      </w:r>
      <w:r>
        <w:t>ve not been dispatched at full load</w:t>
      </w:r>
      <w:r w:rsidR="004126C3">
        <w:t xml:space="preserve"> other than</w:t>
      </w:r>
      <w:r w:rsidR="00FB73A3">
        <w:t xml:space="preserve"> Generation Units labelled as</w:t>
      </w:r>
      <w:r w:rsidR="004126C3">
        <w:t xml:space="preserve"> “Must Stop”</w:t>
      </w:r>
      <w:r>
        <w:t xml:space="preserve">, it </w:t>
      </w:r>
      <w:r w:rsidR="00FB73A3">
        <w:t xml:space="preserve">shall </w:t>
      </w:r>
      <w:r w:rsidR="00F56FC0">
        <w:t>be</w:t>
      </w:r>
      <w:r>
        <w:t xml:space="preserve"> considered that they have been instructed to disconnect or to reduce their output for </w:t>
      </w:r>
      <w:r w:rsidR="00FB73A3">
        <w:t xml:space="preserve">providing </w:t>
      </w:r>
      <w:r>
        <w:t xml:space="preserve">Ancillary Services or to allow other Generation Units to </w:t>
      </w:r>
      <w:r w:rsidR="00FB73A3">
        <w:t>provide the same</w:t>
      </w:r>
      <w:r>
        <w:t xml:space="preserve">. </w:t>
      </w:r>
    </w:p>
    <w:p w14:paraId="7722B022" w14:textId="2F4E28B5" w:rsidR="00247397" w:rsidRDefault="00247397" w:rsidP="00B03234">
      <w:pPr>
        <w:pStyle w:val="Heading5"/>
      </w:pPr>
      <w:r>
        <w:t>For the Generation Units</w:t>
      </w:r>
      <w:r w:rsidR="00FB73A3">
        <w:t>,</w:t>
      </w:r>
      <w:r>
        <w:t xml:space="preserve"> which have Variable Generation Cos</w:t>
      </w:r>
      <w:r w:rsidR="002C0673">
        <w:t>t</w:t>
      </w:r>
      <w:r w:rsidR="00FB73A3">
        <w:t>s</w:t>
      </w:r>
      <w:r>
        <w:t xml:space="preserve"> higher than the System Marginal Price and have been partially dispatched, it </w:t>
      </w:r>
      <w:r w:rsidR="00FB73A3">
        <w:t xml:space="preserve">shall </w:t>
      </w:r>
      <w:r>
        <w:t xml:space="preserve">be considered that they have been </w:t>
      </w:r>
      <w:r w:rsidR="00FB73A3">
        <w:t>scheduled for providing</w:t>
      </w:r>
      <w:r>
        <w:t xml:space="preserve"> Ancillary Services. </w:t>
      </w:r>
    </w:p>
    <w:p w14:paraId="2A7D099A" w14:textId="756ABD09" w:rsidR="00247397" w:rsidRDefault="00ED135E" w:rsidP="005B295A">
      <w:pPr>
        <w:pStyle w:val="Heading4"/>
      </w:pPr>
      <w:r w:rsidRPr="00B03C4A">
        <w:t xml:space="preserve">As provided </w:t>
      </w:r>
      <w:r>
        <w:t>above, t</w:t>
      </w:r>
      <w:r w:rsidR="00B24AD3">
        <w:t xml:space="preserve">he </w:t>
      </w:r>
      <w:r w:rsidR="00247397">
        <w:t xml:space="preserve">following Generation Units </w:t>
      </w:r>
      <w:r>
        <w:t xml:space="preserve">shall be </w:t>
      </w:r>
      <w:r w:rsidR="00B24AD3">
        <w:t xml:space="preserve">eligible </w:t>
      </w:r>
      <w:r w:rsidR="00247397">
        <w:t xml:space="preserve">to receive compensation for the </w:t>
      </w:r>
      <w:r w:rsidR="00B24AD3">
        <w:t xml:space="preserve">provision </w:t>
      </w:r>
      <w:r w:rsidR="00247397">
        <w:t xml:space="preserve">of Ancillary Services: </w:t>
      </w:r>
    </w:p>
    <w:p w14:paraId="6B3610A0" w14:textId="16E8DC2E" w:rsidR="008412BA" w:rsidRDefault="00247397" w:rsidP="00B03234">
      <w:pPr>
        <w:pStyle w:val="Heading5"/>
      </w:pPr>
      <w:bookmarkStart w:id="1032" w:name="_Ref64836235"/>
      <w:r>
        <w:t>Generation Units, labelled as “</w:t>
      </w:r>
      <w:r w:rsidR="00DF3672">
        <w:t>Non-Dispatched</w:t>
      </w:r>
      <w:r>
        <w:t xml:space="preserve">”, </w:t>
      </w:r>
      <w:r w:rsidR="00B24AD3">
        <w:t xml:space="preserve">whose </w:t>
      </w:r>
      <w:r>
        <w:t>Variable Generation Cost is lower than the System Marginal Price</w:t>
      </w:r>
      <w:r w:rsidR="00B24AD3">
        <w:t>: Such</w:t>
      </w:r>
      <w:r>
        <w:t xml:space="preserve"> Generation Units shall receive</w:t>
      </w:r>
      <w:r w:rsidR="00B24AD3">
        <w:t xml:space="preserve"> compensation on account of Lost</w:t>
      </w:r>
      <w:r>
        <w:t xml:space="preserve"> </w:t>
      </w:r>
      <w:r w:rsidRPr="00247397">
        <w:t>Opportunity Cost</w:t>
      </w:r>
      <w:r w:rsidR="00B24AD3">
        <w:t>,</w:t>
      </w:r>
      <w:r w:rsidRPr="00247397">
        <w:t xml:space="preserve"> </w:t>
      </w:r>
      <w:r w:rsidR="00B24AD3">
        <w:t>which</w:t>
      </w:r>
      <w:r w:rsidR="00935AC4">
        <w:t xml:space="preserve"> shall be calculated as per Clause </w:t>
      </w:r>
      <w:r w:rsidR="00935AC4">
        <w:fldChar w:fldCharType="begin"/>
      </w:r>
      <w:r w:rsidR="00935AC4">
        <w:instrText xml:space="preserve"> REF _Ref64632086 \r \h </w:instrText>
      </w:r>
      <w:r w:rsidR="00935AC4">
        <w:fldChar w:fldCharType="separate"/>
      </w:r>
      <w:r w:rsidR="00251DBF">
        <w:t>7.3.2.2</w:t>
      </w:r>
      <w:r w:rsidR="00935AC4">
        <w:fldChar w:fldCharType="end"/>
      </w:r>
      <w:r>
        <w:t>;</w:t>
      </w:r>
      <w:bookmarkEnd w:id="1032"/>
      <w:r>
        <w:t xml:space="preserve"> </w:t>
      </w:r>
    </w:p>
    <w:p w14:paraId="40692286" w14:textId="6A6073D5" w:rsidR="00247397" w:rsidRDefault="00247397" w:rsidP="00B03234">
      <w:pPr>
        <w:pStyle w:val="Heading5"/>
      </w:pPr>
      <w:bookmarkStart w:id="1033" w:name="_Ref64836266"/>
      <w:r>
        <w:t xml:space="preserve">Generation Units, labelled as “Partially Loaded”, </w:t>
      </w:r>
      <w:r w:rsidR="00B24AD3">
        <w:t>whose</w:t>
      </w:r>
      <w:r w:rsidR="00B24AD3" w:rsidRPr="00247397">
        <w:t xml:space="preserve"> </w:t>
      </w:r>
      <w:r w:rsidRPr="00247397">
        <w:t>Variable Generation Cost is lower than the System Marginal Price</w:t>
      </w:r>
      <w:r w:rsidR="00B24AD3">
        <w:t>:</w:t>
      </w:r>
      <w:r w:rsidRPr="00247397">
        <w:t xml:space="preserve"> </w:t>
      </w:r>
      <w:r w:rsidR="00B24AD3">
        <w:t xml:space="preserve">Such Generation Units shall receive compensation on account of Lost </w:t>
      </w:r>
      <w:r w:rsidR="00B24AD3" w:rsidRPr="00247397">
        <w:t>Opportunity Cost</w:t>
      </w:r>
      <w:r w:rsidR="00B24AD3">
        <w:t>,</w:t>
      </w:r>
      <w:r w:rsidR="00B24AD3" w:rsidRPr="00247397">
        <w:t xml:space="preserve"> </w:t>
      </w:r>
      <w:r w:rsidR="00B24AD3">
        <w:t xml:space="preserve">which shall be calculated as per Clause </w:t>
      </w:r>
      <w:r w:rsidR="00B24AD3">
        <w:fldChar w:fldCharType="begin"/>
      </w:r>
      <w:r w:rsidR="00B24AD3">
        <w:instrText xml:space="preserve"> REF _Ref64632086 \r \h </w:instrText>
      </w:r>
      <w:r w:rsidR="00B24AD3">
        <w:fldChar w:fldCharType="separate"/>
      </w:r>
      <w:r w:rsidR="00B24AD3">
        <w:t>7.3.2.2</w:t>
      </w:r>
      <w:r w:rsidR="00B24AD3">
        <w:fldChar w:fldCharType="end"/>
      </w:r>
      <w:r w:rsidR="00935AC4">
        <w:t>; and</w:t>
      </w:r>
    </w:p>
    <w:p w14:paraId="0F399979" w14:textId="0807A33C" w:rsidR="00247397" w:rsidRDefault="00247397" w:rsidP="00B03234">
      <w:pPr>
        <w:pStyle w:val="Heading5"/>
      </w:pPr>
      <w:r w:rsidRPr="00247397">
        <w:t xml:space="preserve"> </w:t>
      </w:r>
      <w:r>
        <w:t xml:space="preserve">Generation Units, labelled as “Partially Loaded”, </w:t>
      </w:r>
      <w:r w:rsidR="00B24AD3">
        <w:t>whose</w:t>
      </w:r>
      <w:r w:rsidR="00B24AD3" w:rsidRPr="00247397">
        <w:t xml:space="preserve"> </w:t>
      </w:r>
      <w:r w:rsidRPr="00247397">
        <w:t xml:space="preserve">Variable Generation Cost </w:t>
      </w:r>
      <w:r>
        <w:t>is higher</w:t>
      </w:r>
      <w:r w:rsidRPr="00247397">
        <w:t xml:space="preserve"> than the System Marginal Price</w:t>
      </w:r>
      <w:r w:rsidR="00B24AD3">
        <w:t>:</w:t>
      </w:r>
      <w:r w:rsidRPr="00247397">
        <w:t xml:space="preserve"> </w:t>
      </w:r>
      <w:r w:rsidR="00B24AD3">
        <w:t>Such</w:t>
      </w:r>
      <w:r w:rsidR="00B24AD3" w:rsidRPr="00247397">
        <w:t xml:space="preserve"> </w:t>
      </w:r>
      <w:r w:rsidRPr="00247397">
        <w:t>Generation Units shall receive a</w:t>
      </w:r>
      <w:r w:rsidR="00B24AD3">
        <w:t xml:space="preserve"> compensation for its</w:t>
      </w:r>
      <w:r w:rsidRPr="00247397">
        <w:t xml:space="preserve"> </w:t>
      </w:r>
      <w:bookmarkStart w:id="1034" w:name="_Hlk66458113"/>
      <w:r w:rsidR="00A16269">
        <w:t>v</w:t>
      </w:r>
      <w:r w:rsidR="00935AC4" w:rsidRPr="00935AC4">
        <w:t xml:space="preserve">ariable </w:t>
      </w:r>
      <w:r w:rsidR="00A16269">
        <w:t>c</w:t>
      </w:r>
      <w:r w:rsidR="00935AC4" w:rsidRPr="00935AC4">
        <w:t xml:space="preserve">ost </w:t>
      </w:r>
      <w:bookmarkEnd w:id="1034"/>
      <w:r w:rsidR="00B24AD3">
        <w:t>which</w:t>
      </w:r>
      <w:r w:rsidR="00935AC4">
        <w:t xml:space="preserve"> </w:t>
      </w:r>
      <w:r w:rsidR="00935AC4" w:rsidRPr="00935AC4">
        <w:t>shall be calculated as per Claus</w:t>
      </w:r>
      <w:r w:rsidR="00935AC4">
        <w:t xml:space="preserve">e </w:t>
      </w:r>
      <w:r w:rsidR="00935AC4">
        <w:fldChar w:fldCharType="begin"/>
      </w:r>
      <w:r w:rsidR="00935AC4">
        <w:instrText xml:space="preserve"> REF _Ref64632106 \r \h </w:instrText>
      </w:r>
      <w:r w:rsidR="00935AC4">
        <w:fldChar w:fldCharType="separate"/>
      </w:r>
      <w:r w:rsidR="00251DBF">
        <w:t>7.3.3.2</w:t>
      </w:r>
      <w:r w:rsidR="00935AC4">
        <w:fldChar w:fldCharType="end"/>
      </w:r>
      <w:r w:rsidR="00935AC4">
        <w:t>.</w:t>
      </w:r>
    </w:p>
    <w:bookmarkEnd w:id="1033"/>
    <w:p w14:paraId="703FD458" w14:textId="322EE9DC" w:rsidR="00511AC7" w:rsidRDefault="00935AC4" w:rsidP="005B295A">
      <w:pPr>
        <w:pStyle w:val="Heading4"/>
        <w:rPr>
          <w:lang w:eastAsia="es-ES"/>
        </w:rPr>
      </w:pPr>
      <w:r>
        <w:rPr>
          <w:lang w:eastAsia="es-ES"/>
        </w:rPr>
        <w:t xml:space="preserve">An </w:t>
      </w:r>
      <w:r w:rsidR="00ED135E">
        <w:rPr>
          <w:lang w:eastAsia="es-ES"/>
        </w:rPr>
        <w:t xml:space="preserve">illustration </w:t>
      </w:r>
      <w:r>
        <w:rPr>
          <w:lang w:eastAsia="es-ES"/>
        </w:rPr>
        <w:t xml:space="preserve">of the determination of the Generation Units </w:t>
      </w:r>
      <w:r w:rsidR="00ED135E">
        <w:rPr>
          <w:lang w:eastAsia="es-ES"/>
        </w:rPr>
        <w:t xml:space="preserve">eligible </w:t>
      </w:r>
      <w:r>
        <w:rPr>
          <w:lang w:eastAsia="es-ES"/>
        </w:rPr>
        <w:t xml:space="preserve">to receive compensations for the provision of Ancillary Services is shown in </w:t>
      </w:r>
      <w:r w:rsidR="00511AC7">
        <w:rPr>
          <w:lang w:eastAsia="es-ES"/>
        </w:rPr>
        <w:fldChar w:fldCharType="begin"/>
      </w:r>
      <w:r w:rsidR="00511AC7">
        <w:rPr>
          <w:lang w:eastAsia="es-ES"/>
        </w:rPr>
        <w:instrText xml:space="preserve"> REF _Ref64837235 \h </w:instrText>
      </w:r>
      <w:r w:rsidR="00511AC7">
        <w:rPr>
          <w:lang w:eastAsia="es-ES"/>
        </w:rPr>
      </w:r>
      <w:r w:rsidR="00511AC7">
        <w:rPr>
          <w:lang w:eastAsia="es-ES"/>
        </w:rPr>
        <w:fldChar w:fldCharType="separate"/>
      </w:r>
      <w:r w:rsidR="00251DBF">
        <w:t xml:space="preserve">Figure </w:t>
      </w:r>
      <w:r w:rsidR="00251DBF">
        <w:rPr>
          <w:noProof/>
        </w:rPr>
        <w:t>4</w:t>
      </w:r>
      <w:r w:rsidR="00511AC7">
        <w:rPr>
          <w:lang w:eastAsia="es-ES"/>
        </w:rPr>
        <w:fldChar w:fldCharType="end"/>
      </w:r>
      <w:r>
        <w:rPr>
          <w:lang w:eastAsia="es-ES"/>
        </w:rPr>
        <w:t xml:space="preserve">. In this case, </w:t>
      </w:r>
      <w:r w:rsidR="00511AC7">
        <w:rPr>
          <w:lang w:eastAsia="es-ES"/>
        </w:rPr>
        <w:t xml:space="preserve">six Generation Units </w:t>
      </w:r>
      <w:r w:rsidR="00B24AD3">
        <w:rPr>
          <w:lang w:eastAsia="es-ES"/>
        </w:rPr>
        <w:t xml:space="preserve">are eligible </w:t>
      </w:r>
      <w:r w:rsidR="00511AC7">
        <w:rPr>
          <w:lang w:eastAsia="es-ES"/>
        </w:rPr>
        <w:t xml:space="preserve">to  receive </w:t>
      </w:r>
      <w:r w:rsidR="00B24AD3">
        <w:rPr>
          <w:lang w:eastAsia="es-ES"/>
        </w:rPr>
        <w:t xml:space="preserve">compensation on account of Lost </w:t>
      </w:r>
      <w:r w:rsidR="00511AC7">
        <w:rPr>
          <w:lang w:eastAsia="es-ES"/>
        </w:rPr>
        <w:t xml:space="preserve">Opportunity Cost (JDW-III (Ghotki);  UCH-II;  Liberty Power;  Foundation; Engro; Guddu 10 </w:t>
      </w:r>
      <w:r w:rsidR="00511AC7" w:rsidRPr="00F42855">
        <w:rPr>
          <w:lang w:eastAsia="es-ES"/>
        </w:rPr>
        <w:t>and  Guddu 3-4)</w:t>
      </w:r>
      <w:r w:rsidR="00B24AD3">
        <w:rPr>
          <w:lang w:eastAsia="es-ES"/>
        </w:rPr>
        <w:t xml:space="preserve"> and</w:t>
      </w:r>
      <w:r w:rsidR="00511AC7" w:rsidRPr="00F42855">
        <w:rPr>
          <w:lang w:eastAsia="es-ES"/>
        </w:rPr>
        <w:t xml:space="preserve"> Two Generation Units </w:t>
      </w:r>
      <w:r w:rsidR="00B24AD3">
        <w:rPr>
          <w:lang w:eastAsia="es-ES"/>
        </w:rPr>
        <w:t>are</w:t>
      </w:r>
      <w:r w:rsidR="00B24AD3" w:rsidRPr="00F42855">
        <w:rPr>
          <w:lang w:eastAsia="es-ES"/>
        </w:rPr>
        <w:t xml:space="preserve"> </w:t>
      </w:r>
      <w:r w:rsidR="00B24AD3">
        <w:rPr>
          <w:lang w:eastAsia="es-ES"/>
        </w:rPr>
        <w:t>eligible</w:t>
      </w:r>
      <w:r w:rsidR="00B24AD3" w:rsidRPr="00F42855">
        <w:rPr>
          <w:lang w:eastAsia="es-ES"/>
        </w:rPr>
        <w:t xml:space="preserve"> </w:t>
      </w:r>
      <w:r w:rsidR="00511AC7" w:rsidRPr="00F42855">
        <w:rPr>
          <w:lang w:eastAsia="es-ES"/>
        </w:rPr>
        <w:t xml:space="preserve">to receive </w:t>
      </w:r>
      <w:r w:rsidR="00A16269" w:rsidRPr="00F42855">
        <w:rPr>
          <w:lang w:eastAsia="es-ES"/>
        </w:rPr>
        <w:t>v</w:t>
      </w:r>
      <w:r w:rsidR="00511AC7" w:rsidRPr="00F42855">
        <w:rPr>
          <w:lang w:eastAsia="es-ES"/>
        </w:rPr>
        <w:t xml:space="preserve">ariable </w:t>
      </w:r>
      <w:r w:rsidR="00A16269" w:rsidRPr="00F42855">
        <w:rPr>
          <w:lang w:eastAsia="es-ES"/>
        </w:rPr>
        <w:t>c</w:t>
      </w:r>
      <w:r w:rsidR="00511AC7" w:rsidRPr="00F42855">
        <w:rPr>
          <w:lang w:eastAsia="es-ES"/>
        </w:rPr>
        <w:t xml:space="preserve">ost </w:t>
      </w:r>
      <w:r w:rsidR="00A16269" w:rsidRPr="00F42855">
        <w:rPr>
          <w:lang w:eastAsia="es-ES"/>
        </w:rPr>
        <w:t>c</w:t>
      </w:r>
      <w:r w:rsidR="00511AC7" w:rsidRPr="00F42855">
        <w:rPr>
          <w:lang w:eastAsia="es-ES"/>
        </w:rPr>
        <w:t>ompensation (Orient</w:t>
      </w:r>
      <w:r w:rsidR="00511AC7">
        <w:rPr>
          <w:lang w:eastAsia="es-ES"/>
        </w:rPr>
        <w:t xml:space="preserve"> and Kapco). </w:t>
      </w:r>
    </w:p>
    <w:p w14:paraId="601AE9CA" w14:textId="77777777" w:rsidR="00935AC4" w:rsidRPr="00935AC4" w:rsidRDefault="00935AC4" w:rsidP="00935AC4">
      <w:pPr>
        <w:pStyle w:val="BodyText"/>
        <w:rPr>
          <w:lang w:eastAsia="es-ES"/>
        </w:rPr>
      </w:pPr>
    </w:p>
    <w:p w14:paraId="073A14CC" w14:textId="3DC8E3A7" w:rsidR="00935AC4" w:rsidRDefault="00935AC4" w:rsidP="00935AC4">
      <w:pPr>
        <w:pStyle w:val="Caption"/>
        <w:ind w:left="709"/>
      </w:pPr>
      <w:bookmarkStart w:id="1035" w:name="_Ref64837235"/>
      <w:r>
        <w:t xml:space="preserve">Figure </w:t>
      </w:r>
      <w:fldSimple w:instr=" SEQ Figure \* ARABIC ">
        <w:r w:rsidR="00251DBF">
          <w:rPr>
            <w:noProof/>
          </w:rPr>
          <w:t>4</w:t>
        </w:r>
      </w:fldSimple>
      <w:bookmarkEnd w:id="1035"/>
      <w:r>
        <w:t>:</w:t>
      </w:r>
      <w:r w:rsidRPr="00813F92">
        <w:t xml:space="preserve"> </w:t>
      </w:r>
      <w:r>
        <w:t xml:space="preserve">Generation Units </w:t>
      </w:r>
      <w:r w:rsidR="00B24AD3">
        <w:t xml:space="preserve">Eligible </w:t>
      </w:r>
      <w:r>
        <w:t xml:space="preserve">to Receive Compensations for </w:t>
      </w:r>
      <w:r w:rsidR="0088020E">
        <w:t>ASC</w:t>
      </w:r>
    </w:p>
    <w:p w14:paraId="78DBCD3B" w14:textId="07D302B2" w:rsidR="008412BA" w:rsidRDefault="00935AC4" w:rsidP="00511AC7">
      <w:pPr>
        <w:pStyle w:val="BodyText"/>
        <w:ind w:left="142"/>
        <w:jc w:val="right"/>
      </w:pPr>
      <w:r w:rsidRPr="00935AC4">
        <w:rPr>
          <w:noProof/>
        </w:rPr>
        <w:drawing>
          <wp:inline distT="0" distB="0" distL="0" distR="0" wp14:anchorId="0A08332F" wp14:editId="3D844213">
            <wp:extent cx="5217505" cy="3564412"/>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21035" cy="3566824"/>
                    </a:xfrm>
                    <a:prstGeom prst="rect">
                      <a:avLst/>
                    </a:prstGeom>
                    <a:noFill/>
                    <a:ln>
                      <a:noFill/>
                    </a:ln>
                  </pic:spPr>
                </pic:pic>
              </a:graphicData>
            </a:graphic>
          </wp:inline>
        </w:drawing>
      </w:r>
    </w:p>
    <w:p w14:paraId="7B85801D" w14:textId="77777777" w:rsidR="005B4450" w:rsidRPr="005B4450" w:rsidRDefault="005B4450" w:rsidP="00B03C4A">
      <w:pPr>
        <w:keepNext/>
        <w:keepLines/>
        <w:spacing w:before="400" w:after="200" w:line="240" w:lineRule="auto"/>
        <w:outlineLvl w:val="1"/>
      </w:pPr>
    </w:p>
    <w:sectPr w:rsidR="005B4450" w:rsidRPr="005B4450" w:rsidSect="00F1525B">
      <w:headerReference w:type="default" r:id="rId28"/>
      <w:footerReference w:type="default" r:id="rId29"/>
      <w:pgSz w:w="11907" w:h="16840" w:code="9"/>
      <w:pgMar w:top="1418" w:right="1134" w:bottom="1418" w:left="141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HP1" w:date="2021-06-02T15:07:00Z" w:initials="HP">
    <w:p w14:paraId="64A80AAE" w14:textId="2AF150A8" w:rsidR="00C4406F" w:rsidRDefault="00C4406F">
      <w:pPr>
        <w:pStyle w:val="CommentText"/>
      </w:pPr>
      <w:r>
        <w:rPr>
          <w:rStyle w:val="CommentReference"/>
        </w:rPr>
        <w:annotationRef/>
      </w:r>
      <w:r>
        <w:t>Is Grid Code applicable to Kashmir?</w:t>
      </w:r>
      <w:r w:rsidR="00DD3516">
        <w:t xml:space="preserve"> If not, how can we Require them to provide ancillary services? Ask Farooq</w:t>
      </w:r>
    </w:p>
  </w:comment>
  <w:comment w:id="18" w:author="HP1" w:date="2021-06-01T14:53:00Z" w:initials="HP">
    <w:p w14:paraId="38F0EAC4" w14:textId="73239F57" w:rsidR="006601E5" w:rsidRDefault="006601E5">
      <w:pPr>
        <w:pStyle w:val="CommentText"/>
      </w:pPr>
      <w:r>
        <w:rPr>
          <w:rStyle w:val="CommentReference"/>
        </w:rPr>
        <w:annotationRef/>
      </w:r>
      <w:r w:rsidRPr="00DF40BC">
        <w:rPr>
          <w:highlight w:val="yellow"/>
        </w:rPr>
        <w:t>To check from SECP</w:t>
      </w:r>
      <w:r w:rsidR="00DD3516" w:rsidRPr="00DF40BC">
        <w:rPr>
          <w:highlight w:val="yellow"/>
        </w:rPr>
        <w:t xml:space="preserve"> what is the process of fines and penalties</w:t>
      </w:r>
    </w:p>
  </w:comment>
  <w:comment w:id="20" w:author="HP" w:date="2021-04-29T13:03:00Z" w:initials="HP">
    <w:p w14:paraId="60C13905" w14:textId="77777777" w:rsidR="00943601" w:rsidRDefault="00943601">
      <w:pPr>
        <w:pStyle w:val="CommentText"/>
      </w:pPr>
      <w:r>
        <w:rPr>
          <w:rStyle w:val="CommentReference"/>
        </w:rPr>
        <w:annotationRef/>
      </w:r>
      <w:r>
        <w:t>Definition used in the Rules:</w:t>
      </w:r>
    </w:p>
    <w:p w14:paraId="2F8D5664" w14:textId="77777777" w:rsidR="00943601" w:rsidRDefault="00943601" w:rsidP="00115486">
      <w:pPr>
        <w:pStyle w:val="ListParagraph"/>
        <w:spacing w:before="0" w:after="160" w:line="256" w:lineRule="auto"/>
        <w:ind w:left="0"/>
        <w:rPr>
          <w:rFonts w:ascii="Times New Roman" w:hAnsi="Times New Roman" w:cs="Times New Roman"/>
          <w:sz w:val="24"/>
          <w:szCs w:val="24"/>
        </w:rPr>
      </w:pPr>
      <w:bookmarkStart w:id="22" w:name="_Hlk63160305"/>
    </w:p>
    <w:p w14:paraId="17DBEE77" w14:textId="5E34EDA2" w:rsidR="00943601" w:rsidRDefault="00943601" w:rsidP="00115486">
      <w:pPr>
        <w:pStyle w:val="ListParagraph"/>
        <w:spacing w:before="0" w:after="160" w:line="256" w:lineRule="auto"/>
        <w:ind w:left="0"/>
        <w:rPr>
          <w:rFonts w:ascii="Times New Roman" w:hAnsi="Times New Roman" w:cs="Times New Roman"/>
          <w:color w:val="auto"/>
          <w:sz w:val="24"/>
          <w:szCs w:val="24"/>
        </w:rPr>
      </w:pPr>
      <w:r>
        <w:rPr>
          <w:rFonts w:ascii="Times New Roman" w:hAnsi="Times New Roman" w:cs="Times New Roman"/>
          <w:sz w:val="24"/>
          <w:szCs w:val="24"/>
        </w:rPr>
        <w:t>“Security Constrained Economic Dispatch” or “SCED” means the allocation of system demand to individual generation facilities to effect the most economical production of electricity for optimum system economy, security and reliability with due consideration of variable generation costs, incremental network losses, load flow considerations and other operational considerations as determined solely by the system operator.</w:t>
      </w:r>
      <w:bookmarkEnd w:id="22"/>
    </w:p>
    <w:p w14:paraId="04670643" w14:textId="6FB55E8A" w:rsidR="00943601" w:rsidRDefault="00943601">
      <w:pPr>
        <w:pStyle w:val="CommentText"/>
      </w:pPr>
    </w:p>
  </w:comment>
  <w:comment w:id="21" w:author="HP1" w:date="2021-05-27T09:58:00Z" w:initials="HP">
    <w:p w14:paraId="51014480" w14:textId="3A7E03AE" w:rsidR="00094AFF" w:rsidRDefault="00094AFF">
      <w:pPr>
        <w:pStyle w:val="CommentText"/>
      </w:pPr>
      <w:r>
        <w:rPr>
          <w:rStyle w:val="CommentReference"/>
        </w:rPr>
        <w:annotationRef/>
      </w:r>
      <w:r>
        <w:t>To be incorporated in Grid Code</w:t>
      </w:r>
      <w:r w:rsidR="00DF40BC">
        <w:t>; Tell Farooq</w:t>
      </w:r>
    </w:p>
  </w:comment>
  <w:comment w:id="38" w:author="HP1" w:date="2021-02-23T12:20:00Z" w:initials="HP">
    <w:p w14:paraId="5975107D" w14:textId="59FE007B" w:rsidR="00943601" w:rsidRDefault="00943601" w:rsidP="00126D3F">
      <w:pPr>
        <w:pStyle w:val="CommentText"/>
      </w:pPr>
      <w:r>
        <w:rPr>
          <w:rStyle w:val="CommentReference"/>
        </w:rPr>
        <w:annotationRef/>
      </w:r>
      <w:r>
        <w:rPr>
          <w:rStyle w:val="CommentReference"/>
        </w:rPr>
        <w:annotationRef/>
      </w:r>
      <w:r w:rsidRPr="00EF2126">
        <w:rPr>
          <w:highlight w:val="yellow"/>
        </w:rPr>
        <w:t>To be checked with legal</w:t>
      </w:r>
    </w:p>
  </w:comment>
  <w:comment w:id="51" w:author="HP1" w:date="2021-04-15T16:02:00Z" w:initials="HP">
    <w:p w14:paraId="14E3A608" w14:textId="77777777" w:rsidR="00943601" w:rsidRPr="00EF2126" w:rsidRDefault="00943601" w:rsidP="00EF2126">
      <w:pPr>
        <w:pStyle w:val="CommentText"/>
        <w:rPr>
          <w:highlight w:val="yellow"/>
        </w:rPr>
      </w:pPr>
      <w:r>
        <w:rPr>
          <w:rStyle w:val="CommentReference"/>
        </w:rPr>
        <w:annotationRef/>
      </w:r>
      <w:r w:rsidRPr="00EF2126">
        <w:rPr>
          <w:rStyle w:val="CommentReference"/>
          <w:highlight w:val="yellow"/>
        </w:rPr>
        <w:annotationRef/>
      </w:r>
    </w:p>
    <w:p w14:paraId="7C654011" w14:textId="77777777" w:rsidR="00943601" w:rsidRDefault="00943601" w:rsidP="00EF2126">
      <w:pPr>
        <w:pStyle w:val="CommentText"/>
      </w:pPr>
      <w:r w:rsidRPr="00EF2126">
        <w:rPr>
          <w:highlight w:val="yellow"/>
        </w:rPr>
        <w:t>Define in Grid Code the priority of MO proposals</w:t>
      </w:r>
    </w:p>
    <w:p w14:paraId="3939B212" w14:textId="5357D119" w:rsidR="00943601" w:rsidRDefault="00943601">
      <w:pPr>
        <w:pStyle w:val="CommentText"/>
      </w:pPr>
    </w:p>
  </w:comment>
  <w:comment w:id="53" w:author="HP1" w:date="2021-07-12T19:12:00Z" w:initials="HP">
    <w:p w14:paraId="1A78B69A" w14:textId="7D7F3F77" w:rsidR="003A3882" w:rsidRDefault="003A3882">
      <w:pPr>
        <w:pStyle w:val="CommentText"/>
      </w:pPr>
      <w:r>
        <w:rPr>
          <w:rStyle w:val="CommentReference"/>
        </w:rPr>
        <w:annotationRef/>
      </w:r>
      <w:r w:rsidR="00340C45">
        <w:t xml:space="preserve">CCOPs prepared by SO </w:t>
      </w:r>
      <w:r>
        <w:t xml:space="preserve">Shall be prepared in </w:t>
      </w:r>
      <w:r w:rsidR="00340C45">
        <w:t>collaboration</w:t>
      </w:r>
      <w:r>
        <w:t xml:space="preserve"> with MO</w:t>
      </w:r>
    </w:p>
  </w:comment>
  <w:comment w:id="64" w:author="HP1" w:date="2021-07-08T19:01:00Z" w:initials="HP">
    <w:p w14:paraId="12C96D8D" w14:textId="72C46DF2" w:rsidR="00E82736" w:rsidRDefault="00E82736">
      <w:pPr>
        <w:pStyle w:val="CommentText"/>
      </w:pPr>
      <w:r>
        <w:rPr>
          <w:rStyle w:val="CommentReference"/>
        </w:rPr>
        <w:annotationRef/>
      </w:r>
      <w:r w:rsidRPr="00100704">
        <w:rPr>
          <w:highlight w:val="yellow"/>
        </w:rPr>
        <w:t>Supplier Regulation to clarify</w:t>
      </w:r>
    </w:p>
  </w:comment>
  <w:comment w:id="76" w:author="HP1" w:date="2021-05-27T11:04:00Z" w:initials="HP">
    <w:p w14:paraId="3FA6EBFA" w14:textId="4EA0F31F" w:rsidR="005A3AE9" w:rsidRDefault="005A3AE9">
      <w:pPr>
        <w:pStyle w:val="CommentText"/>
      </w:pPr>
      <w:r>
        <w:rPr>
          <w:rStyle w:val="CommentReference"/>
        </w:rPr>
        <w:annotationRef/>
      </w:r>
      <w:r>
        <w:t>Defined list</w:t>
      </w:r>
      <w:r w:rsidR="00A27EE3">
        <w:t xml:space="preserve"> in the </w:t>
      </w:r>
      <w:r w:rsidR="0097069A">
        <w:t>manual</w:t>
      </w:r>
    </w:p>
  </w:comment>
  <w:comment w:id="77" w:author="HP1" w:date="2021-05-27T11:11:00Z" w:initials="HP">
    <w:p w14:paraId="7535B741" w14:textId="1CDE63D7" w:rsidR="005A3AE9" w:rsidRDefault="005A3AE9">
      <w:pPr>
        <w:pStyle w:val="CommentText"/>
      </w:pPr>
      <w:r>
        <w:rPr>
          <w:rStyle w:val="CommentReference"/>
        </w:rPr>
        <w:annotationRef/>
      </w:r>
      <w:r>
        <w:t xml:space="preserve">Define complaints </w:t>
      </w:r>
      <w:r w:rsidR="00A27EE3">
        <w:t>mechanism in</w:t>
      </w:r>
      <w:r w:rsidR="0097069A">
        <w:t xml:space="preserve"> manual</w:t>
      </w:r>
    </w:p>
  </w:comment>
  <w:comment w:id="110" w:author="HP1" w:date="2021-08-16T11:11:00Z" w:initials="HP">
    <w:p w14:paraId="3BEE6ECB" w14:textId="404524CD" w:rsidR="00566393" w:rsidRDefault="00566393">
      <w:pPr>
        <w:pStyle w:val="CommentText"/>
      </w:pPr>
      <w:r>
        <w:rPr>
          <w:rStyle w:val="CommentReference"/>
        </w:rPr>
        <w:annotationRef/>
      </w:r>
      <w:r>
        <w:t>rephrasing</w:t>
      </w:r>
    </w:p>
  </w:comment>
  <w:comment w:id="136" w:author="HP1" w:date="2021-07-08T22:09:00Z" w:initials="HP">
    <w:p w14:paraId="68229DB9" w14:textId="2B5F271F" w:rsidR="00DF34AB" w:rsidRDefault="00DF34AB">
      <w:pPr>
        <w:pStyle w:val="CommentText"/>
      </w:pPr>
      <w:r>
        <w:rPr>
          <w:rStyle w:val="CommentReference"/>
        </w:rPr>
        <w:annotationRef/>
      </w:r>
      <w:r>
        <w:t>Discuss with Omer Sb</w:t>
      </w:r>
    </w:p>
  </w:comment>
  <w:comment w:id="141" w:author="AAKASH AHMED" w:date="2021-05-19T13:28:00Z" w:initials="AA">
    <w:p w14:paraId="6B2C0EF0" w14:textId="3667BAEC" w:rsidR="007D140A" w:rsidRDefault="007D140A">
      <w:pPr>
        <w:pStyle w:val="CommentText"/>
      </w:pPr>
      <w:r>
        <w:rPr>
          <w:rStyle w:val="CommentReference"/>
        </w:rPr>
        <w:annotationRef/>
      </w:r>
      <w:r>
        <w:t>dispatch related clauses not to be part this code or contracts section</w:t>
      </w:r>
    </w:p>
  </w:comment>
  <w:comment w:id="142" w:author="HP1" w:date="2021-06-13T16:12:00Z" w:initials="HP">
    <w:p w14:paraId="04A63CBF" w14:textId="245EAE4B" w:rsidR="009D7C04" w:rsidRDefault="009D7C04">
      <w:pPr>
        <w:pStyle w:val="CommentText"/>
      </w:pPr>
      <w:r>
        <w:rPr>
          <w:rStyle w:val="CommentReference"/>
        </w:rPr>
        <w:annotationRef/>
      </w:r>
      <w:r>
        <w:t>IT should be because it is a commercial issue</w:t>
      </w:r>
      <w:r w:rsidR="00D933F6">
        <w:t>, Discuss with Omer Sb</w:t>
      </w:r>
    </w:p>
  </w:comment>
  <w:comment w:id="155" w:author="HP1" w:date="2021-06-23T11:48:00Z" w:initials="HP">
    <w:p w14:paraId="6656B7B7" w14:textId="04EBA3B5" w:rsidR="00CA6B33" w:rsidRDefault="00CA6B33">
      <w:pPr>
        <w:pStyle w:val="CommentText"/>
      </w:pPr>
      <w:r>
        <w:rPr>
          <w:rStyle w:val="CommentReference"/>
        </w:rPr>
        <w:annotationRef/>
      </w:r>
      <w:r>
        <w:t>.3</w:t>
      </w:r>
    </w:p>
  </w:comment>
  <w:comment w:id="157" w:author="Jorge Bircher" w:date="2021-04-25T11:58:00Z" w:initials="JBA">
    <w:p w14:paraId="7B0F3417" w14:textId="7E391A27" w:rsidR="00943601" w:rsidRDefault="00943601" w:rsidP="003151C3">
      <w:pPr>
        <w:pStyle w:val="CommentText"/>
      </w:pPr>
      <w:r>
        <w:rPr>
          <w:rStyle w:val="CommentReference"/>
        </w:rPr>
        <w:annotationRef/>
      </w:r>
      <w:r w:rsidR="003151C3">
        <w:t>Discuss with Omer Sb</w:t>
      </w:r>
      <w:r w:rsidR="00DB7424">
        <w:t>, Generation license already include this</w:t>
      </w:r>
    </w:p>
  </w:comment>
  <w:comment w:id="158" w:author="HP1" w:date="2021-08-16T12:48:00Z" w:initials="HP">
    <w:p w14:paraId="456FD5C3" w14:textId="2F66DA13" w:rsidR="00AF15B1" w:rsidRDefault="00AF15B1">
      <w:pPr>
        <w:pStyle w:val="CommentText"/>
      </w:pPr>
      <w:r>
        <w:rPr>
          <w:rStyle w:val="CommentReference"/>
        </w:rPr>
        <w:annotationRef/>
      </w:r>
      <w:r>
        <w:t>Register them through SPT:Abid Sb</w:t>
      </w:r>
    </w:p>
  </w:comment>
  <w:comment w:id="169" w:author="HP1" w:date="2021-05-28T10:09:00Z" w:initials="HP">
    <w:p w14:paraId="45386A32" w14:textId="0857B909" w:rsidR="001D26D0" w:rsidRDefault="001D26D0">
      <w:pPr>
        <w:pStyle w:val="CommentText"/>
      </w:pPr>
      <w:r>
        <w:rPr>
          <w:rStyle w:val="CommentReference"/>
        </w:rPr>
        <w:annotationRef/>
      </w:r>
      <w:r>
        <w:t>Deregister or suspend</w:t>
      </w:r>
    </w:p>
  </w:comment>
  <w:comment w:id="179" w:author="HP1" w:date="2021-07-13T15:29:00Z" w:initials="HP">
    <w:p w14:paraId="73586054" w14:textId="5EACA7AA" w:rsidR="00A16578" w:rsidRDefault="00A16578">
      <w:pPr>
        <w:pStyle w:val="CommentText"/>
      </w:pPr>
      <w:r>
        <w:rPr>
          <w:rStyle w:val="CommentReference"/>
        </w:rPr>
        <w:annotationRef/>
      </w:r>
      <w:r>
        <w:t>Discuss with Omer Sb to discuss with DISCOs</w:t>
      </w:r>
    </w:p>
  </w:comment>
  <w:comment w:id="185" w:author="HP1" w:date="2021-03-09T19:07:00Z" w:initials="HP">
    <w:p w14:paraId="25E08D4D" w14:textId="54F45EE2" w:rsidR="00943601" w:rsidRDefault="00943601">
      <w:pPr>
        <w:pStyle w:val="CommentText"/>
      </w:pPr>
      <w:r>
        <w:rPr>
          <w:rStyle w:val="CommentReference"/>
        </w:rPr>
        <w:annotationRef/>
      </w:r>
      <w:r w:rsidR="00447795">
        <w:t>To be critically reviewed with Abid SB</w:t>
      </w:r>
    </w:p>
  </w:comment>
  <w:comment w:id="194" w:author="HP1" w:date="2021-07-16T15:23:00Z" w:initials="HP">
    <w:p w14:paraId="12353AA7" w14:textId="04DC8F9D" w:rsidR="007923B9" w:rsidRDefault="007923B9">
      <w:pPr>
        <w:pStyle w:val="CommentText"/>
      </w:pPr>
      <w:r>
        <w:rPr>
          <w:rStyle w:val="CommentReference"/>
        </w:rPr>
        <w:annotationRef/>
      </w:r>
      <w:r>
        <w:t>We decided that the small geneators shall be dealt on individual basis, Discuss with Omer Sb</w:t>
      </w:r>
    </w:p>
  </w:comment>
  <w:comment w:id="204" w:author="HP1" w:date="2021-05-31T09:39:00Z" w:initials="HP">
    <w:p w14:paraId="3797CE13" w14:textId="7E0749E9" w:rsidR="00E05FDF" w:rsidRDefault="00E05FDF">
      <w:pPr>
        <w:pStyle w:val="CommentText"/>
      </w:pPr>
      <w:r>
        <w:rPr>
          <w:rStyle w:val="CommentReference"/>
        </w:rPr>
        <w:annotationRef/>
      </w:r>
      <w:r>
        <w:t>Modify langauage</w:t>
      </w:r>
    </w:p>
  </w:comment>
  <w:comment w:id="221" w:author="HP1" w:date="2021-07-11T00:04:00Z" w:initials="HP">
    <w:p w14:paraId="26FB5EE7" w14:textId="7359EBFC" w:rsidR="006C5602" w:rsidRDefault="006C5602">
      <w:pPr>
        <w:pStyle w:val="CommentText"/>
      </w:pPr>
      <w:r>
        <w:rPr>
          <w:rStyle w:val="CommentReference"/>
        </w:rPr>
        <w:annotationRef/>
      </w:r>
      <w:r>
        <w:t>Take word from Namet Sb</w:t>
      </w:r>
    </w:p>
  </w:comment>
  <w:comment w:id="249" w:author="HP1" w:date="2021-07-11T00:24:00Z" w:initials="HP">
    <w:p w14:paraId="32330599" w14:textId="76A7B925" w:rsidR="0089002A" w:rsidRDefault="0089002A">
      <w:pPr>
        <w:pStyle w:val="CommentText"/>
      </w:pPr>
      <w:r>
        <w:rPr>
          <w:rStyle w:val="CommentReference"/>
        </w:rPr>
        <w:annotationRef/>
      </w:r>
      <w:r>
        <w:t>Discuss with Omer Sb</w:t>
      </w:r>
    </w:p>
  </w:comment>
  <w:comment w:id="255" w:author="HP1" w:date="2021-05-31T11:22:00Z" w:initials="HP">
    <w:p w14:paraId="7A5D65B5" w14:textId="54783542" w:rsidR="006B1A4C" w:rsidRDefault="006B1A4C">
      <w:pPr>
        <w:pStyle w:val="CommentText"/>
      </w:pPr>
      <w:r>
        <w:rPr>
          <w:rStyle w:val="CommentReference"/>
        </w:rPr>
        <w:annotationRef/>
      </w:r>
      <w:r>
        <w:t>Should this be public or shall go to below</w:t>
      </w:r>
      <w:r w:rsidR="005D69C5">
        <w:t>. Discuss with JB</w:t>
      </w:r>
      <w:r w:rsidR="005B43B0">
        <w:t>, keep this for now,</w:t>
      </w:r>
      <w:r w:rsidR="00C20B0E">
        <w:t>Public information in spain Discuss with Omer SB</w:t>
      </w:r>
    </w:p>
  </w:comment>
  <w:comment w:id="271" w:author="HP1" w:date="2021-07-11T12:20:00Z" w:initials="HP">
    <w:p w14:paraId="127D698D" w14:textId="0E8B7083" w:rsidR="008A621F" w:rsidRDefault="008A621F">
      <w:pPr>
        <w:pStyle w:val="CommentText"/>
      </w:pPr>
      <w:r>
        <w:rPr>
          <w:rStyle w:val="CommentReference"/>
        </w:rPr>
        <w:annotationRef/>
      </w:r>
      <w:r>
        <w:t>Discuss with Omer Sb</w:t>
      </w:r>
    </w:p>
  </w:comment>
  <w:comment w:id="277" w:author="Jorge Bircher" w:date="2021-02-02T12:12:00Z" w:initials="JBA">
    <w:p w14:paraId="70DAF8A1" w14:textId="711794E0" w:rsidR="00943601" w:rsidRDefault="00943601">
      <w:pPr>
        <w:pStyle w:val="CommentText"/>
      </w:pPr>
      <w:r>
        <w:rPr>
          <w:rStyle w:val="CommentReference"/>
        </w:rPr>
        <w:annotationRef/>
      </w:r>
      <w:r w:rsidRPr="00806DF2">
        <w:t>These names shall be changed once the GC is approved. We will neither redefine these services, nor to establish the amounts, etc. All these issues will be included in the GC. In this Code we will only determine the compensations the MO shall include in the settlement statements</w:t>
      </w:r>
    </w:p>
    <w:p w14:paraId="30B738A8" w14:textId="00055270" w:rsidR="009075FC" w:rsidRDefault="009075FC">
      <w:pPr>
        <w:pStyle w:val="CommentText"/>
      </w:pPr>
    </w:p>
    <w:p w14:paraId="4929DBD7" w14:textId="34B11E52" w:rsidR="00943601" w:rsidRDefault="009075FC">
      <w:pPr>
        <w:pStyle w:val="CommentText"/>
      </w:pPr>
      <w:r>
        <w:t>Farooq to verify</w:t>
      </w:r>
      <w:r w:rsidR="00943601">
        <w:t xml:space="preserve">, </w:t>
      </w:r>
    </w:p>
  </w:comment>
  <w:comment w:id="281" w:author="HP1" w:date="2021-06-01T10:56:00Z" w:initials="HP">
    <w:p w14:paraId="37DB0855" w14:textId="1843BC74" w:rsidR="00866C35" w:rsidRDefault="00866C35">
      <w:pPr>
        <w:pStyle w:val="CommentText"/>
      </w:pPr>
      <w:r>
        <w:rPr>
          <w:rStyle w:val="CommentReference"/>
        </w:rPr>
        <w:annotationRef/>
      </w:r>
      <w:r>
        <w:t>Language to be changed</w:t>
      </w:r>
      <w:r w:rsidR="008A621F">
        <w:t>: Discuss with Omer Sb</w:t>
      </w:r>
    </w:p>
  </w:comment>
  <w:comment w:id="280" w:author="Jorge Bircher" w:date="2021-02-18T20:36:00Z" w:initials="JBA">
    <w:p w14:paraId="7CB8424A" w14:textId="7F29343C" w:rsidR="00943601" w:rsidRPr="00830F98" w:rsidRDefault="00943601" w:rsidP="007C60ED">
      <w:pPr>
        <w:pStyle w:val="CommentText"/>
        <w:rPr>
          <w:highlight w:val="cyan"/>
        </w:rPr>
      </w:pPr>
      <w:r>
        <w:rPr>
          <w:rStyle w:val="CommentReference"/>
        </w:rPr>
        <w:annotationRef/>
      </w:r>
      <w:r>
        <w:rPr>
          <w:rStyle w:val="CommentReference"/>
        </w:rPr>
        <w:annotationRef/>
      </w:r>
      <w:r w:rsidRPr="00830F98">
        <w:rPr>
          <w:highlight w:val="cyan"/>
        </w:rPr>
        <w:t>This provision needs to be thoroughly discussed</w:t>
      </w:r>
      <w:r>
        <w:rPr>
          <w:highlight w:val="cyan"/>
        </w:rPr>
        <w:t>-N</w:t>
      </w:r>
      <w:r w:rsidRPr="00830F98">
        <w:rPr>
          <w:highlight w:val="cyan"/>
        </w:rPr>
        <w:t xml:space="preserve">ot here (within the limits of this code) but with the GC Review Panel. Our position (up to now) is that all AASS are mandatory and, therefore, we only compensate for loss of revenue. However, we aware that providing some AASS is sometimes a burden for the provider. For example, operation under AGC is a burden for those generators which are under this control. And the GC establishes that having AGC is mandatory but it is silent in relation with which generators should operate under AGC. </w:t>
      </w:r>
    </w:p>
    <w:p w14:paraId="43D40AF1" w14:textId="77777777" w:rsidR="00943601" w:rsidRPr="00830F98" w:rsidRDefault="00943601" w:rsidP="007C60ED">
      <w:pPr>
        <w:pStyle w:val="CommentText"/>
        <w:rPr>
          <w:highlight w:val="cyan"/>
        </w:rPr>
      </w:pPr>
      <w:r w:rsidRPr="00830F98">
        <w:rPr>
          <w:highlight w:val="cyan"/>
        </w:rPr>
        <w:t xml:space="preserve">So, it needs to be defined if there would be some economic compensation for this or not. This code (in this version) says NO. But it may be debatable. </w:t>
      </w:r>
    </w:p>
    <w:p w14:paraId="38B49558" w14:textId="31107D98" w:rsidR="00943601" w:rsidRDefault="00943601" w:rsidP="007C60ED">
      <w:pPr>
        <w:pStyle w:val="CommentText"/>
      </w:pPr>
      <w:r w:rsidRPr="00830F98">
        <w:rPr>
          <w:highlight w:val="cyan"/>
        </w:rPr>
        <w:t>Final caution note. If we maintain this criteria (AASS are mandatory) the GC should be much more precise. It is not enough to say “governor” or “AGC”. It shall establish the minimum operational parameters, time of response, etc. etc.). It needs to be discussed</w:t>
      </w:r>
      <w:r>
        <w:t xml:space="preserve">. </w:t>
      </w:r>
    </w:p>
    <w:p w14:paraId="6349FA5E" w14:textId="77777777" w:rsidR="00190B7B" w:rsidRDefault="00190B7B" w:rsidP="007C60ED">
      <w:pPr>
        <w:pStyle w:val="CommentText"/>
      </w:pPr>
    </w:p>
    <w:p w14:paraId="0F055717" w14:textId="77777777" w:rsidR="00190B7B" w:rsidRDefault="00190B7B" w:rsidP="007C60ED">
      <w:pPr>
        <w:pStyle w:val="CommentText"/>
      </w:pPr>
    </w:p>
    <w:p w14:paraId="5F940356" w14:textId="2816D565" w:rsidR="009075FC" w:rsidRDefault="00190B7B" w:rsidP="007C60ED">
      <w:pPr>
        <w:pStyle w:val="CommentText"/>
      </w:pPr>
      <w:r>
        <w:t>To be changes once finalized in gird Code</w:t>
      </w:r>
    </w:p>
    <w:p w14:paraId="1F3BADC4" w14:textId="77777777" w:rsidR="00190B7B" w:rsidRDefault="00190B7B" w:rsidP="007C60ED">
      <w:pPr>
        <w:pStyle w:val="CommentText"/>
      </w:pPr>
    </w:p>
    <w:p w14:paraId="7D306144" w14:textId="02D229FD" w:rsidR="00943601" w:rsidRDefault="00943601">
      <w:pPr>
        <w:pStyle w:val="CommentText"/>
      </w:pPr>
    </w:p>
  </w:comment>
  <w:comment w:id="300" w:author="HP1" w:date="2021-06-02T09:47:00Z" w:initials="HP">
    <w:p w14:paraId="5C66A607" w14:textId="0D8D029F" w:rsidR="00C734D1" w:rsidRDefault="00C734D1">
      <w:pPr>
        <w:pStyle w:val="CommentText"/>
      </w:pPr>
      <w:r>
        <w:rPr>
          <w:rStyle w:val="CommentReference"/>
        </w:rPr>
        <w:annotationRef/>
      </w:r>
      <w:r>
        <w:t>To be replaced with Zone</w:t>
      </w:r>
    </w:p>
  </w:comment>
  <w:comment w:id="304" w:author="HP1" w:date="2021-06-29T15:27:00Z" w:initials="HP">
    <w:p w14:paraId="718F472B" w14:textId="5738BE10" w:rsidR="00EA529A" w:rsidRDefault="00EA529A">
      <w:pPr>
        <w:pStyle w:val="CommentText"/>
      </w:pPr>
      <w:r>
        <w:rPr>
          <w:rStyle w:val="CommentReference"/>
        </w:rPr>
        <w:annotationRef/>
      </w:r>
      <w:r>
        <w:t>Discuss with JB in relation to KE</w:t>
      </w:r>
      <w:r w:rsidR="00C20B0E">
        <w:t>: Develop Sample calculation</w:t>
      </w:r>
    </w:p>
  </w:comment>
  <w:comment w:id="305" w:author="HP1" w:date="2021-08-22T12:01:00Z" w:initials="HP">
    <w:p w14:paraId="0FBAAC3C" w14:textId="6BA469D8" w:rsidR="00502E21" w:rsidRDefault="00502E21">
      <w:pPr>
        <w:pStyle w:val="CommentText"/>
      </w:pPr>
      <w:r>
        <w:rPr>
          <w:rStyle w:val="CommentReference"/>
        </w:rPr>
        <w:annotationRef/>
      </w:r>
      <w:r>
        <w:t>SMS to be installed here</w:t>
      </w:r>
    </w:p>
  </w:comment>
  <w:comment w:id="330" w:author="HP1" w:date="2021-06-29T17:21:00Z" w:initials="HP">
    <w:p w14:paraId="7C545444" w14:textId="4F913175" w:rsidR="00E92C95" w:rsidRDefault="00E92C95">
      <w:pPr>
        <w:pStyle w:val="CommentText"/>
      </w:pPr>
      <w:r>
        <w:rPr>
          <w:rStyle w:val="CommentReference"/>
        </w:rPr>
        <w:annotationRef/>
      </w:r>
      <w:r>
        <w:t>Discuss with JB</w:t>
      </w:r>
      <w:r w:rsidR="00DC1BE0">
        <w:t xml:space="preserve"> and Abid Sb</w:t>
      </w:r>
      <w:r w:rsidR="001F10D3">
        <w:t>, keep it</w:t>
      </w:r>
    </w:p>
  </w:comment>
  <w:comment w:id="414" w:author="HP1" w:date="2021-06-29T17:33:00Z" w:initials="HP">
    <w:p w14:paraId="3032F192" w14:textId="4E38F0CA" w:rsidR="003F018C" w:rsidRDefault="003F018C">
      <w:pPr>
        <w:pStyle w:val="CommentText"/>
      </w:pPr>
      <w:r>
        <w:rPr>
          <w:rStyle w:val="CommentReference"/>
        </w:rPr>
        <w:annotationRef/>
      </w:r>
      <w:r>
        <w:t>Check with Abid sb and improve language</w:t>
      </w:r>
    </w:p>
  </w:comment>
  <w:comment w:id="457" w:author="HP1" w:date="2021-08-22T12:45:00Z" w:initials="HP">
    <w:p w14:paraId="1841C6A6" w14:textId="35C27C18" w:rsidR="00544A6E" w:rsidRDefault="00544A6E">
      <w:pPr>
        <w:pStyle w:val="CommentText"/>
      </w:pPr>
      <w:r>
        <w:rPr>
          <w:rStyle w:val="CommentReference"/>
        </w:rPr>
        <w:annotationRef/>
      </w:r>
      <w:r>
        <w:t>Link it to participation in phases</w:t>
      </w:r>
    </w:p>
  </w:comment>
  <w:comment w:id="458" w:author="HP1" w:date="2021-07-01T11:21:00Z" w:initials="HP">
    <w:p w14:paraId="5EE1FD3F" w14:textId="72DD89B4" w:rsidR="006E2EB6" w:rsidRDefault="006E2EB6">
      <w:pPr>
        <w:pStyle w:val="CommentText"/>
      </w:pPr>
      <w:r>
        <w:rPr>
          <w:rStyle w:val="CommentReference"/>
        </w:rPr>
        <w:annotationRef/>
      </w:r>
      <w:r w:rsidR="00722CA1">
        <w:t>I’ll check for CCOP Clauses</w:t>
      </w:r>
    </w:p>
  </w:comment>
  <w:comment w:id="459" w:author="HP1" w:date="2021-08-22T12:47:00Z" w:initials="HP">
    <w:p w14:paraId="011F78B8" w14:textId="615CB7B6" w:rsidR="00544A6E" w:rsidRDefault="00544A6E">
      <w:pPr>
        <w:pStyle w:val="CommentText"/>
      </w:pPr>
      <w:r>
        <w:rPr>
          <w:rStyle w:val="CommentReference"/>
        </w:rPr>
        <w:annotationRef/>
      </w:r>
      <w:r>
        <w:t>Subject to review</w:t>
      </w:r>
    </w:p>
  </w:comment>
  <w:comment w:id="460" w:author="HP1" w:date="2021-08-22T12:48:00Z" w:initials="HP">
    <w:p w14:paraId="3D00A96B" w14:textId="13DAE04D" w:rsidR="00544A6E" w:rsidRDefault="00544A6E">
      <w:pPr>
        <w:pStyle w:val="CommentText"/>
      </w:pPr>
      <w:r>
        <w:rPr>
          <w:rStyle w:val="CommentReference"/>
        </w:rPr>
        <w:annotationRef/>
      </w:r>
      <w:r>
        <w:t>This should be a deemed issued</w:t>
      </w:r>
    </w:p>
  </w:comment>
  <w:comment w:id="468" w:author="HP1" w:date="2021-02-26T17:12:00Z" w:initials="HP">
    <w:p w14:paraId="22A9BB57" w14:textId="77777777" w:rsidR="00943601" w:rsidRPr="000B1401" w:rsidRDefault="00943601" w:rsidP="00F046AD">
      <w:pPr>
        <w:pStyle w:val="CommentText"/>
        <w:rPr>
          <w:highlight w:val="cyan"/>
        </w:rPr>
      </w:pPr>
      <w:r>
        <w:rPr>
          <w:rStyle w:val="CommentReference"/>
        </w:rPr>
        <w:annotationRef/>
      </w:r>
      <w:r>
        <w:rPr>
          <w:rStyle w:val="CommentReference"/>
        </w:rPr>
        <w:annotationRef/>
      </w:r>
      <w:r w:rsidRPr="000B1401">
        <w:rPr>
          <w:highlight w:val="cyan"/>
        </w:rPr>
        <w:t>There will be great variation from average. Will these be checked at the initial request? Can an Applicant claim different before COD as per location and technology?</w:t>
      </w:r>
    </w:p>
    <w:p w14:paraId="2DF86672" w14:textId="77777777" w:rsidR="00943601" w:rsidRPr="000B1401" w:rsidRDefault="00943601">
      <w:pPr>
        <w:pStyle w:val="CommentText"/>
        <w:rPr>
          <w:highlight w:val="cyan"/>
        </w:rPr>
      </w:pPr>
    </w:p>
    <w:p w14:paraId="37A191E2" w14:textId="77777777" w:rsidR="001A7E54" w:rsidRDefault="00943601" w:rsidP="00F046AD">
      <w:pPr>
        <w:pStyle w:val="CommentText"/>
      </w:pPr>
      <w:r w:rsidRPr="000B1401">
        <w:rPr>
          <w:rStyle w:val="CommentReference"/>
          <w:highlight w:val="cyan"/>
        </w:rPr>
        <w:annotationRef/>
      </w:r>
      <w:r w:rsidRPr="000B1401">
        <w:rPr>
          <w:highlight w:val="cyan"/>
        </w:rPr>
        <w:t>For existing generation no. Actual availability will be used. For new ones, nobody knows the actual availability, so these values shall be used. Location could be an issue and somebody can claim its location is better and  it will have higher EAF. But I don’t think the MO should be involved in this kind of evaluatio</w:t>
      </w:r>
      <w:r>
        <w:t>ns.</w:t>
      </w:r>
    </w:p>
    <w:p w14:paraId="0F88DFBC" w14:textId="77777777" w:rsidR="001A7E54" w:rsidRDefault="001A7E54" w:rsidP="00F046AD">
      <w:pPr>
        <w:pStyle w:val="CommentText"/>
      </w:pPr>
    </w:p>
    <w:p w14:paraId="2D7EF097" w14:textId="7D42D068" w:rsidR="00943601" w:rsidRDefault="001A7E54" w:rsidP="00F046AD">
      <w:pPr>
        <w:pStyle w:val="CommentText"/>
      </w:pPr>
      <w:r>
        <w:t>Farooq to determine</w:t>
      </w:r>
      <w:r w:rsidR="00943601">
        <w:t xml:space="preserve"> </w:t>
      </w:r>
    </w:p>
    <w:p w14:paraId="60E72F84" w14:textId="0B35E755" w:rsidR="00943601" w:rsidRDefault="00943601">
      <w:pPr>
        <w:pStyle w:val="CommentText"/>
      </w:pPr>
    </w:p>
  </w:comment>
  <w:comment w:id="469" w:author="HP1" w:date="2021-08-22T13:03:00Z" w:initials="HP">
    <w:p w14:paraId="436D0805" w14:textId="480D7135" w:rsidR="00043335" w:rsidRDefault="00043335">
      <w:pPr>
        <w:pStyle w:val="CommentText"/>
      </w:pPr>
      <w:r>
        <w:rPr>
          <w:rStyle w:val="CommentReference"/>
        </w:rPr>
        <w:annotationRef/>
      </w:r>
      <w:r>
        <w:t>Who to approve? policy</w:t>
      </w:r>
    </w:p>
  </w:comment>
  <w:comment w:id="470" w:author="HP1" w:date="2021-08-22T13:09:00Z" w:initials="HP">
    <w:p w14:paraId="44543633" w14:textId="20DDC9CB" w:rsidR="00CE34A8" w:rsidRDefault="00CE34A8">
      <w:pPr>
        <w:pStyle w:val="CommentText"/>
      </w:pPr>
      <w:r>
        <w:rPr>
          <w:rStyle w:val="CommentReference"/>
        </w:rPr>
        <w:annotationRef/>
      </w:r>
      <w:r>
        <w:t>Requisite approval to be checked</w:t>
      </w:r>
    </w:p>
  </w:comment>
  <w:comment w:id="471" w:author="HP1" w:date="2021-08-22T13:20:00Z" w:initials="HP">
    <w:p w14:paraId="0272DA5C" w14:textId="1C41F7AB" w:rsidR="00F504E5" w:rsidRDefault="00F504E5">
      <w:pPr>
        <w:pStyle w:val="CommentText"/>
      </w:pPr>
      <w:r>
        <w:rPr>
          <w:rStyle w:val="CommentReference"/>
        </w:rPr>
        <w:annotationRef/>
      </w:r>
      <w:r>
        <w:t>Refer to regulation</w:t>
      </w:r>
    </w:p>
  </w:comment>
  <w:comment w:id="476" w:author="HP1" w:date="2021-06-30T15:02:00Z" w:initials="HP">
    <w:p w14:paraId="6DD9EC03" w14:textId="3FBEBC0D" w:rsidR="005014BE" w:rsidRDefault="005014BE">
      <w:pPr>
        <w:pStyle w:val="CommentText"/>
      </w:pPr>
      <w:r>
        <w:rPr>
          <w:rStyle w:val="CommentReference"/>
        </w:rPr>
        <w:annotationRef/>
      </w:r>
      <w:r>
        <w:t>.2</w:t>
      </w:r>
    </w:p>
  </w:comment>
  <w:comment w:id="477" w:author="HP1" w:date="2021-06-30T15:14:00Z" w:initials="HP">
    <w:p w14:paraId="05212295" w14:textId="5A994095" w:rsidR="003214A4" w:rsidRDefault="003214A4">
      <w:pPr>
        <w:pStyle w:val="CommentText"/>
      </w:pPr>
      <w:r>
        <w:rPr>
          <w:rStyle w:val="CommentReference"/>
        </w:rPr>
        <w:annotationRef/>
      </w:r>
      <w:r>
        <w:t>This may be removed, discuss with JB</w:t>
      </w:r>
      <w:r w:rsidR="002F3617">
        <w:t>: Discuss with Omer Sb</w:t>
      </w:r>
      <w:r w:rsidR="009075FC">
        <w:t>, not very frequent reviews</w:t>
      </w:r>
    </w:p>
  </w:comment>
  <w:comment w:id="478" w:author="HP1" w:date="2021-06-08T10:07:00Z" w:initials="HP">
    <w:p w14:paraId="0E9DD7A4" w14:textId="4D7FE401" w:rsidR="00D32F60" w:rsidRDefault="00D32F60">
      <w:pPr>
        <w:pStyle w:val="CommentText"/>
      </w:pPr>
      <w:r>
        <w:rPr>
          <w:rStyle w:val="CommentReference"/>
        </w:rPr>
        <w:annotationRef/>
      </w:r>
      <w:r>
        <w:t>Reduce or cancel</w:t>
      </w:r>
    </w:p>
  </w:comment>
  <w:comment w:id="479" w:author="HP1" w:date="2021-08-22T13:33:00Z" w:initials="HP">
    <w:p w14:paraId="5CD69B9B" w14:textId="30800A9C" w:rsidR="005122DB" w:rsidRDefault="005122DB">
      <w:pPr>
        <w:pStyle w:val="CommentText"/>
      </w:pPr>
      <w:r>
        <w:rPr>
          <w:rStyle w:val="CommentReference"/>
        </w:rPr>
        <w:annotationRef/>
      </w:r>
      <w:r>
        <w:t>Review can’t be more than certain percentage</w:t>
      </w:r>
    </w:p>
  </w:comment>
  <w:comment w:id="486" w:author="HP1" w:date="2021-08-25T09:36:00Z" w:initials="HP">
    <w:p w14:paraId="2A0AC1C3" w14:textId="0D7369F0" w:rsidR="000E59AE" w:rsidRDefault="000E59AE">
      <w:pPr>
        <w:pStyle w:val="CommentText"/>
      </w:pPr>
      <w:r>
        <w:rPr>
          <w:rStyle w:val="CommentReference"/>
        </w:rPr>
        <w:annotationRef/>
      </w:r>
      <w:r>
        <w:t>During critical hours</w:t>
      </w:r>
    </w:p>
  </w:comment>
  <w:comment w:id="490" w:author="HP1" w:date="2021-08-25T09:43:00Z" w:initials="HP">
    <w:p w14:paraId="105FB03D" w14:textId="4DFE359B" w:rsidR="000E59AE" w:rsidRDefault="000E59AE">
      <w:pPr>
        <w:pStyle w:val="CommentText"/>
      </w:pPr>
      <w:r>
        <w:rPr>
          <w:rStyle w:val="CommentReference"/>
        </w:rPr>
        <w:annotationRef/>
      </w:r>
      <w:r>
        <w:t>Bring th</w:t>
      </w:r>
    </w:p>
  </w:comment>
  <w:comment w:id="492" w:author="HP1" w:date="2021-07-13T09:42:00Z" w:initials="HP">
    <w:p w14:paraId="15B2BAFC" w14:textId="4E1CC2C9" w:rsidR="00340C45" w:rsidRDefault="00340C45">
      <w:pPr>
        <w:pStyle w:val="CommentText"/>
      </w:pPr>
      <w:r>
        <w:rPr>
          <w:rStyle w:val="CommentReference"/>
        </w:rPr>
        <w:annotationRef/>
      </w:r>
      <w:r>
        <w:t>Discuss with Omer Sb how to ensure collaboration with MO</w:t>
      </w:r>
    </w:p>
  </w:comment>
  <w:comment w:id="494" w:author="HP1" w:date="2021-08-25T09:49:00Z" w:initials="HP">
    <w:p w14:paraId="1B85227A" w14:textId="60C64402" w:rsidR="008A1568" w:rsidRDefault="008A1568">
      <w:pPr>
        <w:pStyle w:val="CommentText"/>
      </w:pPr>
      <w:r>
        <w:rPr>
          <w:rStyle w:val="CommentReference"/>
        </w:rPr>
        <w:annotationRef/>
      </w:r>
      <w:r>
        <w:t>During critical months</w:t>
      </w:r>
    </w:p>
  </w:comment>
  <w:comment w:id="495" w:author="HP1" w:date="2021-07-16T09:52:00Z" w:initials="HP">
    <w:p w14:paraId="711E70C7" w14:textId="5B929981" w:rsidR="00DD67E1" w:rsidRDefault="00DD67E1">
      <w:pPr>
        <w:pStyle w:val="CommentText"/>
      </w:pPr>
      <w:r>
        <w:rPr>
          <w:rStyle w:val="CommentReference"/>
        </w:rPr>
        <w:annotationRef/>
      </w:r>
      <w:r>
        <w:t>Discuss with JB</w:t>
      </w:r>
    </w:p>
  </w:comment>
  <w:comment w:id="509" w:author="HP1" w:date="2021-06-09T10:39:00Z" w:initials="HP">
    <w:p w14:paraId="1CBFF6EB" w14:textId="67217539" w:rsidR="00506904" w:rsidRDefault="00506904">
      <w:pPr>
        <w:pStyle w:val="CommentText"/>
      </w:pPr>
      <w:r>
        <w:rPr>
          <w:rStyle w:val="CommentReference"/>
        </w:rPr>
        <w:annotationRef/>
      </w:r>
      <w:r w:rsidR="004766F9">
        <w:t xml:space="preserve">Energy Supplied why? </w:t>
      </w:r>
      <w:r>
        <w:t>Discuss with JB</w:t>
      </w:r>
      <w:r w:rsidR="00814601" w:rsidRPr="00814601">
        <w:rPr>
          <w:color w:val="FF0000"/>
        </w:rPr>
        <w:t>: Please correct</w:t>
      </w:r>
    </w:p>
  </w:comment>
  <w:comment w:id="512" w:author="HP1" w:date="2021-07-01T14:38:00Z" w:initials="HP">
    <w:p w14:paraId="38D9036A" w14:textId="28D58E25" w:rsidR="001C60A0" w:rsidRDefault="001C60A0">
      <w:pPr>
        <w:pStyle w:val="CommentText"/>
      </w:pPr>
      <w:r>
        <w:rPr>
          <w:rStyle w:val="CommentReference"/>
        </w:rPr>
        <w:annotationRef/>
      </w:r>
      <w:r>
        <w:t>Check the fomulas</w:t>
      </w:r>
    </w:p>
  </w:comment>
  <w:comment w:id="516" w:author="HP1" w:date="2021-07-14T12:08:00Z" w:initials="HP">
    <w:p w14:paraId="02BBBF53" w14:textId="68F40899" w:rsidR="001A7E54" w:rsidRDefault="001A7E54">
      <w:pPr>
        <w:pStyle w:val="CommentText"/>
      </w:pPr>
      <w:r>
        <w:rPr>
          <w:rStyle w:val="CommentReference"/>
        </w:rPr>
        <w:annotationRef/>
      </w:r>
      <w:r>
        <w:t>Discuss with Omer Sb</w:t>
      </w:r>
    </w:p>
  </w:comment>
  <w:comment w:id="518" w:author="HP1" w:date="2021-04-08T13:06:00Z" w:initials="HP">
    <w:p w14:paraId="3376A4FC" w14:textId="08DEA99B" w:rsidR="00943601" w:rsidRDefault="00943601">
      <w:pPr>
        <w:pStyle w:val="CommentText"/>
      </w:pPr>
      <w:r>
        <w:rPr>
          <w:rStyle w:val="CommentReference"/>
        </w:rPr>
        <w:annotationRef/>
      </w:r>
      <w:r w:rsidRPr="002D58BB">
        <w:rPr>
          <w:highlight w:val="yellow"/>
        </w:rPr>
        <w:t>We will take the last few years where the plan is optimal</w:t>
      </w:r>
    </w:p>
  </w:comment>
  <w:comment w:id="519" w:author="HP1" w:date="2021-07-14T12:07:00Z" w:initials="HP">
    <w:p w14:paraId="0F73F7B3" w14:textId="53FBECE4" w:rsidR="001A7E54" w:rsidRDefault="001A7E54">
      <w:pPr>
        <w:pStyle w:val="CommentText"/>
      </w:pPr>
      <w:r>
        <w:rPr>
          <w:rStyle w:val="CommentReference"/>
        </w:rPr>
        <w:annotationRef/>
      </w:r>
      <w:r>
        <w:t>Discuss with Omer Sb</w:t>
      </w:r>
    </w:p>
  </w:comment>
  <w:comment w:id="520" w:author="HP1" w:date="2021-07-14T12:09:00Z" w:initials="HP">
    <w:p w14:paraId="74FABFD4" w14:textId="1B8F5D3D" w:rsidR="001A7E54" w:rsidRDefault="001A7E54">
      <w:pPr>
        <w:pStyle w:val="CommentText"/>
      </w:pPr>
      <w:r>
        <w:rPr>
          <w:rStyle w:val="CommentReference"/>
        </w:rPr>
        <w:annotationRef/>
      </w:r>
      <w:r>
        <w:t>Discuss with Omer sb</w:t>
      </w:r>
    </w:p>
  </w:comment>
  <w:comment w:id="523" w:author="HP1" w:date="2021-07-01T15:43:00Z" w:initials="HP">
    <w:p w14:paraId="58F43A4E" w14:textId="79D5481C" w:rsidR="00D36A91" w:rsidRDefault="00D36A91">
      <w:pPr>
        <w:pStyle w:val="CommentText"/>
      </w:pPr>
      <w:r>
        <w:rPr>
          <w:rStyle w:val="CommentReference"/>
        </w:rPr>
        <w:annotationRef/>
      </w:r>
      <w:r>
        <w:t>Discuss with JB</w:t>
      </w:r>
      <w:r w:rsidR="002D698F">
        <w:t>, Discuss with Omer Sb</w:t>
      </w:r>
      <w:r w:rsidR="00D82BB9">
        <w:t>, it shall be approved, Abid Sb</w:t>
      </w:r>
    </w:p>
  </w:comment>
  <w:comment w:id="525" w:author="HP1" w:date="2021-08-25T10:12:00Z" w:initials="HP">
    <w:p w14:paraId="063C6159" w14:textId="19397A5B" w:rsidR="00D82BB9" w:rsidRDefault="00D82BB9">
      <w:pPr>
        <w:pStyle w:val="CommentText"/>
      </w:pPr>
      <w:r>
        <w:rPr>
          <w:rStyle w:val="CommentReference"/>
        </w:rPr>
        <w:annotationRef/>
      </w:r>
      <w:r>
        <w:t>For critical hour</w:t>
      </w:r>
    </w:p>
  </w:comment>
  <w:comment w:id="526" w:author="HP1" w:date="2021-06-09T11:31:00Z" w:initials="HP">
    <w:p w14:paraId="4AD205B1" w14:textId="2B8ADEDE" w:rsidR="004D1B98" w:rsidRDefault="004D1B98">
      <w:pPr>
        <w:pStyle w:val="CommentText"/>
      </w:pPr>
      <w:r>
        <w:rPr>
          <w:rStyle w:val="CommentReference"/>
        </w:rPr>
        <w:annotationRef/>
      </w:r>
      <w:r>
        <w:t>Or any other values specified by the MO</w:t>
      </w:r>
      <w:r w:rsidR="000505B1">
        <w:t>, discuss with JB</w:t>
      </w:r>
      <w:r w:rsidR="002D698F">
        <w:t>: The Market Operator should not have such liberty</w:t>
      </w:r>
      <w:r w:rsidR="00277945">
        <w:t>, Discuss with Omer Sb</w:t>
      </w:r>
    </w:p>
  </w:comment>
  <w:comment w:id="527" w:author="HP1" w:date="2021-07-13T16:45:00Z" w:initials="HP">
    <w:p w14:paraId="66DDD386" w14:textId="14D53765" w:rsidR="002D698F" w:rsidRDefault="002D698F">
      <w:pPr>
        <w:pStyle w:val="CommentText"/>
      </w:pPr>
      <w:r>
        <w:rPr>
          <w:rStyle w:val="CommentReference"/>
        </w:rPr>
        <w:annotationRef/>
      </w:r>
      <w:r>
        <w:t>Authority can be included</w:t>
      </w:r>
    </w:p>
  </w:comment>
  <w:comment w:id="529" w:author="HP1" w:date="2021-08-25T10:14:00Z" w:initials="HP">
    <w:p w14:paraId="4D17C741" w14:textId="5B75269F" w:rsidR="00D82BB9" w:rsidRDefault="00D82BB9">
      <w:pPr>
        <w:pStyle w:val="CommentText"/>
      </w:pPr>
      <w:r>
        <w:rPr>
          <w:rStyle w:val="CommentReference"/>
        </w:rPr>
        <w:annotationRef/>
      </w:r>
      <w:r>
        <w:t>Label axis</w:t>
      </w:r>
    </w:p>
  </w:comment>
  <w:comment w:id="540" w:author="HP1" w:date="2021-08-25T10:30:00Z" w:initials="HP">
    <w:p w14:paraId="2A743504" w14:textId="05F42041" w:rsidR="00AC41FC" w:rsidRDefault="00AC41FC">
      <w:pPr>
        <w:pStyle w:val="CommentText"/>
      </w:pPr>
      <w:r>
        <w:rPr>
          <w:rStyle w:val="CommentReference"/>
        </w:rPr>
        <w:annotationRef/>
      </w:r>
      <w:r>
        <w:t>Put a transitory provision for spreading the payment into 12 months.</w:t>
      </w:r>
    </w:p>
  </w:comment>
  <w:comment w:id="543" w:author="HP1" w:date="2021-07-01T17:45:00Z" w:initials="HP">
    <w:p w14:paraId="52C393B1" w14:textId="0DF76715" w:rsidR="00B34A5F" w:rsidRDefault="00B34A5F">
      <w:pPr>
        <w:pStyle w:val="CommentText"/>
      </w:pPr>
      <w:r>
        <w:rPr>
          <w:rStyle w:val="CommentReference"/>
        </w:rPr>
        <w:annotationRef/>
      </w:r>
      <w:r>
        <w:t xml:space="preserve">Should this be public: </w:t>
      </w:r>
      <w:r w:rsidR="00607C3C">
        <w:t xml:space="preserve">Discuss with </w:t>
      </w:r>
      <w:r>
        <w:t>JB</w:t>
      </w:r>
      <w:r w:rsidR="00277945">
        <w:t>, public in Spain, discuss with Omer Sb</w:t>
      </w:r>
    </w:p>
  </w:comment>
  <w:comment w:id="552" w:author="HP1" w:date="2021-02-26T18:25:00Z" w:initials="HP">
    <w:p w14:paraId="5FE54F20" w14:textId="2E98FE52" w:rsidR="00943601" w:rsidRDefault="00943601">
      <w:pPr>
        <w:pStyle w:val="CommentText"/>
      </w:pPr>
      <w:r>
        <w:rPr>
          <w:rStyle w:val="CommentReference"/>
        </w:rPr>
        <w:annotationRef/>
      </w:r>
      <w:r w:rsidRPr="009E24C4">
        <w:rPr>
          <w:highlight w:val="yellow"/>
        </w:rPr>
        <w:t>This should come before BMC as BMC is checking the compliance with it.</w:t>
      </w:r>
    </w:p>
  </w:comment>
  <w:comment w:id="556" w:author="HP1" w:date="2021-08-26T09:21:00Z" w:initials="HP">
    <w:p w14:paraId="2A6438F0" w14:textId="2D04FEB1" w:rsidR="00857297" w:rsidRDefault="00857297">
      <w:pPr>
        <w:pStyle w:val="CommentText"/>
      </w:pPr>
      <w:r>
        <w:rPr>
          <w:rStyle w:val="CommentReference"/>
        </w:rPr>
        <w:annotationRef/>
      </w:r>
      <w:r>
        <w:t>Multiple licensing</w:t>
      </w:r>
    </w:p>
  </w:comment>
  <w:comment w:id="562" w:author="HP1" w:date="2021-08-26T09:24:00Z" w:initials="HP">
    <w:p w14:paraId="5838D7CB" w14:textId="0F2A1221" w:rsidR="00857297" w:rsidRDefault="00857297">
      <w:pPr>
        <w:pStyle w:val="CommentText"/>
      </w:pPr>
      <w:r>
        <w:rPr>
          <w:rStyle w:val="CommentReference"/>
        </w:rPr>
        <w:annotationRef/>
      </w:r>
      <w:r>
        <w:t>This may also be 5 years</w:t>
      </w:r>
    </w:p>
  </w:comment>
  <w:comment w:id="564" w:author="HP1" w:date="2021-07-02T11:43:00Z" w:initials="HP">
    <w:p w14:paraId="5D75AE28" w14:textId="1B9E443A" w:rsidR="00540CA2" w:rsidRDefault="00540CA2">
      <w:pPr>
        <w:pStyle w:val="CommentText"/>
      </w:pPr>
      <w:r>
        <w:rPr>
          <w:rStyle w:val="CommentReference"/>
        </w:rPr>
        <w:annotationRef/>
      </w:r>
      <w:r>
        <w:t>Replace with capitalized</w:t>
      </w:r>
    </w:p>
  </w:comment>
  <w:comment w:id="563" w:author="Jorge Bircher [2]" w:date="2020-10-08T18:27:00Z" w:initials="JB">
    <w:p w14:paraId="780A3EAC" w14:textId="77777777" w:rsidR="00943601" w:rsidRPr="009E24C4" w:rsidRDefault="00943601">
      <w:pPr>
        <w:pStyle w:val="CommentText"/>
        <w:rPr>
          <w:highlight w:val="yellow"/>
        </w:rPr>
      </w:pPr>
      <w:r w:rsidRPr="009E24C4">
        <w:rPr>
          <w:rStyle w:val="CommentReference"/>
          <w:highlight w:val="yellow"/>
        </w:rPr>
        <w:annotationRef/>
      </w:r>
      <w:r w:rsidRPr="009E24C4">
        <w:rPr>
          <w:highlight w:val="yellow"/>
        </w:rPr>
        <w:t xml:space="preserve">This clause requires that NEPRA issues the corresponding regulation (Power Procurement Regulation) and that such regulation is aligned with the draft developed by the CPPA. Otherwise it should be modified. </w:t>
      </w:r>
    </w:p>
    <w:p w14:paraId="23D275D5" w14:textId="28D56845" w:rsidR="00943601" w:rsidRDefault="00943601">
      <w:pPr>
        <w:pStyle w:val="CommentText"/>
      </w:pPr>
      <w:r w:rsidRPr="009E24C4">
        <w:rPr>
          <w:highlight w:val="yellow"/>
        </w:rPr>
        <w:t>Does NEPRA agrees with this? It is important to discuss the issue with them.</w:t>
      </w:r>
    </w:p>
  </w:comment>
  <w:comment w:id="565" w:author="Jorge Bircher [2]" w:date="2020-10-08T18:29:00Z" w:initials="JB">
    <w:p w14:paraId="1C6AC3AE" w14:textId="77777777" w:rsidR="00943601" w:rsidRPr="009E24C4" w:rsidRDefault="00943601" w:rsidP="005C18BF">
      <w:pPr>
        <w:pStyle w:val="CommentText"/>
        <w:ind w:left="720" w:hanging="720"/>
        <w:rPr>
          <w:highlight w:val="cyan"/>
        </w:rPr>
      </w:pPr>
      <w:r>
        <w:rPr>
          <w:rStyle w:val="CommentReference"/>
        </w:rPr>
        <w:annotationRef/>
      </w:r>
      <w:r w:rsidRPr="009E24C4">
        <w:rPr>
          <w:highlight w:val="cyan"/>
        </w:rPr>
        <w:t xml:space="preserve">In addition to the previous comment, this clause assumes that the Power Procurement Plan and its associated Demand Forecast is a public document which may be used by the MO (it is not confidential). </w:t>
      </w:r>
    </w:p>
    <w:p w14:paraId="1E0DDD2F" w14:textId="78D0605B" w:rsidR="00943601" w:rsidRDefault="00943601" w:rsidP="005C18BF">
      <w:pPr>
        <w:pStyle w:val="CommentText"/>
        <w:ind w:left="720" w:hanging="720"/>
      </w:pPr>
      <w:r w:rsidRPr="009E24C4">
        <w:rPr>
          <w:highlight w:val="cyan"/>
        </w:rPr>
        <w:t>The issue needs to be discussed.</w:t>
      </w:r>
      <w:r>
        <w:t xml:space="preserve"> </w:t>
      </w:r>
    </w:p>
  </w:comment>
  <w:comment w:id="566" w:author="HP1" w:date="2021-07-02T11:39:00Z" w:initials="HP">
    <w:p w14:paraId="75D18F20" w14:textId="7FA1EAB6" w:rsidR="00540CA2" w:rsidRDefault="00540CA2">
      <w:pPr>
        <w:pStyle w:val="CommentText"/>
      </w:pPr>
      <w:r>
        <w:rPr>
          <w:rStyle w:val="CommentReference"/>
        </w:rPr>
        <w:annotationRef/>
      </w:r>
      <w:r>
        <w:t>Discuss w</w:t>
      </w:r>
      <w:r w:rsidR="005A537C">
        <w:t>i</w:t>
      </w:r>
      <w:r>
        <w:t>th Omer SB</w:t>
      </w:r>
    </w:p>
  </w:comment>
  <w:comment w:id="567" w:author="HP1" w:date="2021-08-26T09:33:00Z" w:initials="HP">
    <w:p w14:paraId="59B27E0A" w14:textId="35F46C2C" w:rsidR="008B5AEC" w:rsidRDefault="008B5AEC">
      <w:pPr>
        <w:pStyle w:val="CommentText"/>
      </w:pPr>
      <w:r>
        <w:rPr>
          <w:rStyle w:val="CommentReference"/>
        </w:rPr>
        <w:annotationRef/>
      </w:r>
      <w:r>
        <w:t>BPCs should also be reigistered</w:t>
      </w:r>
    </w:p>
  </w:comment>
  <w:comment w:id="568" w:author="HP1" w:date="2021-07-11T16:17:00Z" w:initials="HP">
    <w:p w14:paraId="06766354" w14:textId="1C440820" w:rsidR="00061164" w:rsidRDefault="00061164">
      <w:pPr>
        <w:pStyle w:val="CommentText"/>
      </w:pPr>
      <w:r>
        <w:rPr>
          <w:rStyle w:val="CommentReference"/>
        </w:rPr>
        <w:annotationRef/>
      </w:r>
      <w:r>
        <w:t>Discuss with Omer Sb</w:t>
      </w:r>
    </w:p>
  </w:comment>
  <w:comment w:id="662" w:author="HP1" w:date="2021-02-27T12:03:00Z" w:initials="HP">
    <w:p w14:paraId="2C99D13D" w14:textId="77777777" w:rsidR="00943601" w:rsidRPr="009E24C4" w:rsidRDefault="00943601">
      <w:pPr>
        <w:pStyle w:val="CommentText"/>
        <w:rPr>
          <w:highlight w:val="cyan"/>
        </w:rPr>
      </w:pPr>
      <w:r>
        <w:rPr>
          <w:rStyle w:val="CommentReference"/>
        </w:rPr>
        <w:annotationRef/>
      </w:r>
      <w:r w:rsidRPr="009E24C4">
        <w:rPr>
          <w:highlight w:val="cyan"/>
        </w:rPr>
        <w:t>Shouldn’t the PPP prevail?</w:t>
      </w:r>
    </w:p>
    <w:p w14:paraId="23FCD400" w14:textId="77777777" w:rsidR="00943601" w:rsidRPr="009E24C4" w:rsidRDefault="00943601">
      <w:pPr>
        <w:pStyle w:val="CommentText"/>
        <w:rPr>
          <w:highlight w:val="cyan"/>
        </w:rPr>
      </w:pPr>
    </w:p>
    <w:p w14:paraId="355DB860" w14:textId="00E4C5B5" w:rsidR="00943601" w:rsidRPr="009E24C4" w:rsidRDefault="00943601" w:rsidP="00EB5F09">
      <w:pPr>
        <w:pStyle w:val="CommentText"/>
        <w:rPr>
          <w:highlight w:val="cyan"/>
        </w:rPr>
      </w:pPr>
      <w:r w:rsidRPr="009E24C4">
        <w:rPr>
          <w:rStyle w:val="CommentReference"/>
          <w:highlight w:val="cyan"/>
        </w:rPr>
        <w:annotationRef/>
      </w:r>
      <w:r w:rsidRPr="009E24C4">
        <w:rPr>
          <w:highlight w:val="cyan"/>
        </w:rPr>
        <w:t xml:space="preserve">I prefer the original text. If the plan states that some assets will be commissioned i.e. in 2023, but the </w:t>
      </w:r>
      <w:r>
        <w:rPr>
          <w:highlight w:val="cyan"/>
        </w:rPr>
        <w:t>Default Supplier</w:t>
      </w:r>
      <w:r w:rsidRPr="009E24C4">
        <w:rPr>
          <w:highlight w:val="cyan"/>
        </w:rPr>
        <w:t xml:space="preserve"> says that it will be completed in 2024, using the original date is misleading. It surely be changed in the new review of the procurement plan. So, I prefer to use the more realistic date.</w:t>
      </w:r>
    </w:p>
    <w:p w14:paraId="67771370" w14:textId="77777777" w:rsidR="00943601" w:rsidRDefault="00943601">
      <w:pPr>
        <w:pStyle w:val="CommentText"/>
      </w:pPr>
      <w:r w:rsidRPr="009E24C4">
        <w:rPr>
          <w:highlight w:val="cyan"/>
        </w:rPr>
        <w:t>In the opposite case, the PP states 2024 and the supplier 2023, it can be presumed that the supplier has advanced the date to comply with the capacity obligations, although NEPRA has authorised it to contract only in 2024. So, again, the latest date seems more appropriate.</w:t>
      </w:r>
    </w:p>
  </w:comment>
  <w:comment w:id="675" w:author="HP1" w:date="2021-02-27T13:38:00Z" w:initials="HP">
    <w:p w14:paraId="2A1D3935" w14:textId="2BF296EA" w:rsidR="00943601" w:rsidRDefault="00943601">
      <w:pPr>
        <w:pStyle w:val="CommentText"/>
      </w:pPr>
      <w:r>
        <w:rPr>
          <w:rStyle w:val="CommentReference"/>
        </w:rPr>
        <w:annotationRef/>
      </w:r>
      <w:r>
        <w:rPr>
          <w:rStyle w:val="CommentReference"/>
        </w:rPr>
        <w:annotationRef/>
      </w:r>
      <w:r w:rsidRPr="009E24C4">
        <w:rPr>
          <w:highlight w:val="yellow"/>
        </w:rPr>
        <w:t>To be decided as per discussions with Abid Sb</w:t>
      </w:r>
    </w:p>
  </w:comment>
  <w:comment w:id="680" w:author="HP1" w:date="2021-08-28T10:00:00Z" w:initials="HP">
    <w:p w14:paraId="3331E59A" w14:textId="62538066" w:rsidR="00D90AB9" w:rsidRDefault="00D90AB9">
      <w:pPr>
        <w:pStyle w:val="CommentText"/>
      </w:pPr>
      <w:r>
        <w:rPr>
          <w:rStyle w:val="CommentReference"/>
        </w:rPr>
        <w:annotationRef/>
      </w:r>
      <w:r>
        <w:t>Only NTDC shall be charged consolidated basis</w:t>
      </w:r>
    </w:p>
  </w:comment>
  <w:comment w:id="706" w:author="HP1" w:date="2021-02-27T14:51:00Z" w:initials="HP">
    <w:p w14:paraId="4043B1A2" w14:textId="77777777" w:rsidR="00943601" w:rsidRPr="009E24C4" w:rsidRDefault="00943601" w:rsidP="00C07C72">
      <w:pPr>
        <w:pStyle w:val="CommentText"/>
        <w:rPr>
          <w:highlight w:val="cyan"/>
        </w:rPr>
      </w:pPr>
      <w:r>
        <w:rPr>
          <w:rStyle w:val="CommentReference"/>
        </w:rPr>
        <w:annotationRef/>
      </w:r>
      <w:r>
        <w:rPr>
          <w:rStyle w:val="CommentReference"/>
        </w:rPr>
        <w:annotationRef/>
      </w:r>
      <w:r w:rsidRPr="009E24C4">
        <w:rPr>
          <w:highlight w:val="cyan"/>
        </w:rPr>
        <w:t>Until BMC is not implemented, will MO issue yearly invoice</w:t>
      </w:r>
    </w:p>
    <w:p w14:paraId="6418F6FB" w14:textId="77777777" w:rsidR="00943601" w:rsidRPr="009E24C4" w:rsidRDefault="00943601">
      <w:pPr>
        <w:pStyle w:val="CommentText"/>
        <w:rPr>
          <w:highlight w:val="cyan"/>
        </w:rPr>
      </w:pPr>
    </w:p>
    <w:p w14:paraId="0BE5C37A" w14:textId="77777777" w:rsidR="00943601" w:rsidRPr="009E24C4" w:rsidRDefault="00943601" w:rsidP="00C07C72">
      <w:pPr>
        <w:pStyle w:val="CommentText"/>
        <w:rPr>
          <w:highlight w:val="cyan"/>
        </w:rPr>
      </w:pPr>
      <w:r w:rsidRPr="009E24C4">
        <w:rPr>
          <w:rStyle w:val="CommentReference"/>
          <w:highlight w:val="cyan"/>
        </w:rPr>
        <w:annotationRef/>
      </w:r>
      <w:r w:rsidRPr="009E24C4">
        <w:rPr>
          <w:highlight w:val="cyan"/>
        </w:rPr>
        <w:t xml:space="preserve">In principle yes. We will need to re-discuss the moment in which the BMC is established. </w:t>
      </w:r>
    </w:p>
    <w:p w14:paraId="0888E0F6" w14:textId="77777777" w:rsidR="00943601" w:rsidRDefault="00943601" w:rsidP="00C07C72">
      <w:pPr>
        <w:pStyle w:val="CommentText"/>
      </w:pPr>
      <w:r w:rsidRPr="009E24C4">
        <w:rPr>
          <w:highlight w:val="cyan"/>
        </w:rPr>
        <w:t>According with the contract models RED and you are developing, BMC should be established from the very first day of CTBCM</w:t>
      </w:r>
    </w:p>
    <w:p w14:paraId="6B9161A6" w14:textId="44D96C35" w:rsidR="00943601" w:rsidRDefault="00943601">
      <w:pPr>
        <w:pStyle w:val="CommentText"/>
      </w:pPr>
    </w:p>
  </w:comment>
  <w:comment w:id="717" w:author="HP1" w:date="2021-08-28T10:18:00Z" w:initials="HP">
    <w:p w14:paraId="506F9750" w14:textId="640CB86B" w:rsidR="00380386" w:rsidRDefault="00380386">
      <w:pPr>
        <w:pStyle w:val="CommentText"/>
      </w:pPr>
      <w:r>
        <w:rPr>
          <w:rStyle w:val="CommentReference"/>
        </w:rPr>
        <w:annotationRef/>
      </w:r>
    </w:p>
  </w:comment>
  <w:comment w:id="718" w:author="HP1" w:date="2021-08-28T10:18:00Z" w:initials="HP">
    <w:p w14:paraId="7B6AC2BB" w14:textId="668FB834" w:rsidR="00380386" w:rsidRDefault="00380386">
      <w:pPr>
        <w:pStyle w:val="CommentText"/>
      </w:pPr>
      <w:r>
        <w:rPr>
          <w:rStyle w:val="CommentReference"/>
        </w:rPr>
        <w:annotationRef/>
      </w:r>
      <w:r>
        <w:t>Discuss with Namet Sb</w:t>
      </w:r>
    </w:p>
  </w:comment>
  <w:comment w:id="722" w:author="HP1" w:date="2021-08-30T09:11:00Z" w:initials="HP">
    <w:p w14:paraId="6D07F75B" w14:textId="2ED5ACC9" w:rsidR="00C839D2" w:rsidRDefault="00C839D2">
      <w:pPr>
        <w:pStyle w:val="CommentText"/>
      </w:pPr>
      <w:r>
        <w:rPr>
          <w:rStyle w:val="CommentReference"/>
        </w:rPr>
        <w:annotationRef/>
      </w:r>
      <w:r>
        <w:t>Check for other name, other miscilineous</w:t>
      </w:r>
    </w:p>
  </w:comment>
  <w:comment w:id="753" w:author="HP1" w:date="2021-09-01T09:07:00Z" w:initials="HP">
    <w:p w14:paraId="670986A9" w14:textId="48050463" w:rsidR="00585335" w:rsidRDefault="00585335">
      <w:pPr>
        <w:pStyle w:val="CommentText"/>
      </w:pPr>
      <w:r>
        <w:rPr>
          <w:rStyle w:val="CommentReference"/>
        </w:rPr>
        <w:annotationRef/>
      </w:r>
      <w:r>
        <w:t>Add references</w:t>
      </w:r>
    </w:p>
  </w:comment>
  <w:comment w:id="755" w:author="HP1" w:date="2021-07-03T15:56:00Z" w:initials="HP">
    <w:p w14:paraId="6D77F569" w14:textId="504AC08F" w:rsidR="002822DC" w:rsidRDefault="002822DC">
      <w:pPr>
        <w:pStyle w:val="CommentText"/>
      </w:pPr>
      <w:r>
        <w:rPr>
          <w:rStyle w:val="CommentReference"/>
        </w:rPr>
        <w:annotationRef/>
      </w:r>
      <w:r>
        <w:t>Should we be taking Security Cover, if they don’t pay, we inform the Authority as it is a license obligation not a market obligation.</w:t>
      </w:r>
      <w:r w:rsidR="00753779">
        <w:t xml:space="preserve"> Discuss with Abid Sb</w:t>
      </w:r>
    </w:p>
  </w:comment>
  <w:comment w:id="756" w:author="HP1" w:date="2021-09-01T09:10:00Z" w:initials="HP">
    <w:p w14:paraId="038621B6" w14:textId="24747618" w:rsidR="00585335" w:rsidRDefault="00585335">
      <w:pPr>
        <w:pStyle w:val="CommentText"/>
      </w:pPr>
      <w:r>
        <w:rPr>
          <w:rStyle w:val="CommentReference"/>
        </w:rPr>
        <w:annotationRef/>
      </w:r>
      <w:r>
        <w:t>To be included change language</w:t>
      </w:r>
    </w:p>
  </w:comment>
  <w:comment w:id="768" w:author="HP1" w:date="2021-07-07T16:46:00Z" w:initials="HP">
    <w:p w14:paraId="5168FB75" w14:textId="7AB79494" w:rsidR="002A1AD9" w:rsidRDefault="002A1AD9">
      <w:pPr>
        <w:pStyle w:val="CommentText"/>
      </w:pPr>
      <w:r>
        <w:rPr>
          <w:rStyle w:val="CommentReference"/>
        </w:rPr>
        <w:annotationRef/>
      </w:r>
      <w:r>
        <w:t>This amount may be spread over a period of at least 6 months; Discuss with Abid Sb</w:t>
      </w:r>
    </w:p>
  </w:comment>
  <w:comment w:id="770" w:author="HP1" w:date="2021-06-17T16:24:00Z" w:initials="HP">
    <w:p w14:paraId="362B53CB" w14:textId="5791821D" w:rsidR="000D7EAE" w:rsidRDefault="000D7EAE">
      <w:pPr>
        <w:pStyle w:val="CommentText"/>
      </w:pPr>
      <w:r>
        <w:rPr>
          <w:rStyle w:val="CommentReference"/>
        </w:rPr>
        <w:annotationRef/>
      </w:r>
      <w:r>
        <w:t>Rationale, Discuss with Abid Sb</w:t>
      </w:r>
    </w:p>
  </w:comment>
  <w:comment w:id="777" w:author="HP1" w:date="2021-04-16T14:19:00Z" w:initials="HP">
    <w:p w14:paraId="5763AD80" w14:textId="26431B25" w:rsidR="00943601" w:rsidRDefault="00943601">
      <w:pPr>
        <w:pStyle w:val="CommentText"/>
      </w:pPr>
      <w:r>
        <w:rPr>
          <w:rStyle w:val="CommentReference"/>
        </w:rPr>
        <w:annotationRef/>
      </w:r>
      <w:r w:rsidRPr="003E6681">
        <w:rPr>
          <w:highlight w:val="green"/>
        </w:rPr>
        <w:t>Please draft this Appendix</w:t>
      </w:r>
    </w:p>
  </w:comment>
  <w:comment w:id="778" w:author="Jorge Bircher" w:date="2021-04-25T21:58:00Z" w:initials="JBA">
    <w:p w14:paraId="208DB1C7" w14:textId="1AC60842" w:rsidR="00943601" w:rsidRDefault="00943601">
      <w:pPr>
        <w:pStyle w:val="CommentText"/>
      </w:pPr>
      <w:r>
        <w:rPr>
          <w:rStyle w:val="CommentReference"/>
        </w:rPr>
        <w:annotationRef/>
      </w:r>
      <w:r>
        <w:t>It will be developed in a second round, after we have agreed in all the other topics.</w:t>
      </w:r>
    </w:p>
  </w:comment>
  <w:comment w:id="781" w:author="HP1" w:date="2021-07-09T10:55:00Z" w:initials="HP">
    <w:p w14:paraId="2E63B62B" w14:textId="24D5B1E8" w:rsidR="001A11E6" w:rsidRDefault="001A11E6">
      <w:pPr>
        <w:pStyle w:val="CommentText"/>
      </w:pPr>
      <w:r>
        <w:rPr>
          <w:rStyle w:val="CommentReference"/>
        </w:rPr>
        <w:annotationRef/>
      </w:r>
      <w:r>
        <w:t>Discuss with Abid SB and Omer Sb</w:t>
      </w:r>
    </w:p>
  </w:comment>
  <w:comment w:id="782" w:author="HP1" w:date="2021-06-17T16:50:00Z" w:initials="HP">
    <w:p w14:paraId="47794547" w14:textId="06DA3C3A" w:rsidR="00CB5129" w:rsidRDefault="00CB5129">
      <w:pPr>
        <w:pStyle w:val="CommentText"/>
      </w:pPr>
      <w:r>
        <w:rPr>
          <w:rStyle w:val="CommentReference"/>
        </w:rPr>
        <w:annotationRef/>
      </w:r>
      <w:r>
        <w:t>Insert further steps before Authority</w:t>
      </w:r>
    </w:p>
  </w:comment>
  <w:comment w:id="791" w:author="HP1" w:date="2021-07-09T11:26:00Z" w:initials="HP">
    <w:p w14:paraId="08FEEFDF" w14:textId="31BCF2BC" w:rsidR="00253EFC" w:rsidRDefault="00253EFC">
      <w:pPr>
        <w:pStyle w:val="CommentText"/>
      </w:pPr>
      <w:r>
        <w:rPr>
          <w:rStyle w:val="CommentReference"/>
        </w:rPr>
        <w:annotationRef/>
      </w:r>
      <w:r>
        <w:rPr>
          <w:rStyle w:val="CommentReference"/>
        </w:rPr>
        <w:t>Discuss with Abid SB</w:t>
      </w:r>
    </w:p>
  </w:comment>
  <w:comment w:id="792" w:author="HP1" w:date="2021-07-09T11:26:00Z" w:initials="HP">
    <w:p w14:paraId="692DCE62" w14:textId="2BFB5534" w:rsidR="00253EFC" w:rsidRDefault="00253EFC">
      <w:pPr>
        <w:pStyle w:val="CommentText"/>
      </w:pPr>
      <w:r>
        <w:rPr>
          <w:rStyle w:val="CommentReference"/>
        </w:rPr>
        <w:annotationRef/>
      </w:r>
    </w:p>
  </w:comment>
  <w:comment w:id="795" w:author="HP1" w:date="2021-09-01T09:56:00Z" w:initials="HP">
    <w:p w14:paraId="5863B763" w14:textId="0587E2C3" w:rsidR="008130C4" w:rsidRDefault="008130C4">
      <w:pPr>
        <w:pStyle w:val="CommentText"/>
      </w:pPr>
      <w:r>
        <w:rPr>
          <w:rStyle w:val="CommentReference"/>
        </w:rPr>
        <w:annotationRef/>
      </w:r>
      <w:r>
        <w:t>Provide the same for Settlement Guarantee Fund</w:t>
      </w:r>
    </w:p>
  </w:comment>
  <w:comment w:id="800" w:author="Muhammad Naeem" w:date="2021-07-16T11:02:00Z" w:initials="HMN">
    <w:p w14:paraId="2FB0548C" w14:textId="77777777" w:rsidR="00545969" w:rsidRDefault="00545969" w:rsidP="00545969">
      <w:pPr>
        <w:pStyle w:val="CommentText"/>
      </w:pPr>
      <w:r>
        <w:rPr>
          <w:rStyle w:val="CommentReference"/>
        </w:rPr>
        <w:annotationRef/>
      </w:r>
      <w:r>
        <w:t>Discuss with JB</w:t>
      </w:r>
    </w:p>
  </w:comment>
  <w:comment w:id="815" w:author="HP1" w:date="2021-07-13T10:57:00Z" w:initials="HP">
    <w:p w14:paraId="0890A543" w14:textId="22A7B68F" w:rsidR="00476702" w:rsidRDefault="00476702">
      <w:pPr>
        <w:pStyle w:val="CommentText"/>
      </w:pPr>
      <w:r>
        <w:rPr>
          <w:rStyle w:val="CommentReference"/>
        </w:rPr>
        <w:annotationRef/>
      </w:r>
      <w:r>
        <w:t>To be removed, discuss with Omer Sb</w:t>
      </w:r>
    </w:p>
  </w:comment>
  <w:comment w:id="817" w:author="HP1" w:date="2021-07-12T16:01:00Z" w:initials="HP">
    <w:p w14:paraId="627E829F" w14:textId="5770E117" w:rsidR="00E40003" w:rsidRDefault="00E40003">
      <w:pPr>
        <w:pStyle w:val="CommentText"/>
      </w:pPr>
      <w:r>
        <w:rPr>
          <w:rStyle w:val="CommentReference"/>
        </w:rPr>
        <w:annotationRef/>
      </w:r>
      <w:r>
        <w:t>Discuss with Omer Sb</w:t>
      </w:r>
    </w:p>
  </w:comment>
  <w:comment w:id="818" w:author="HP1" w:date="2021-07-13T10:58:00Z" w:initials="HP">
    <w:p w14:paraId="171360B2" w14:textId="71E9672D" w:rsidR="00476702" w:rsidRDefault="00476702">
      <w:pPr>
        <w:pStyle w:val="CommentText"/>
      </w:pPr>
      <w:r>
        <w:rPr>
          <w:rStyle w:val="CommentReference"/>
        </w:rPr>
        <w:annotationRef/>
      </w:r>
      <w:r>
        <w:t>Discuss</w:t>
      </w:r>
    </w:p>
  </w:comment>
  <w:comment w:id="849" w:author="HP1" w:date="2021-07-09T15:36:00Z" w:initials="HP">
    <w:p w14:paraId="6FEE003B" w14:textId="52669313" w:rsidR="00A064A1" w:rsidRDefault="00A064A1">
      <w:pPr>
        <w:pStyle w:val="CommentText"/>
      </w:pPr>
      <w:r>
        <w:rPr>
          <w:rStyle w:val="CommentReference"/>
        </w:rPr>
        <w:annotationRef/>
      </w:r>
      <w:r>
        <w:t>Discuss with JB</w:t>
      </w:r>
      <w:r w:rsidR="00476702">
        <w:t xml:space="preserve"> and Omer Sb</w:t>
      </w:r>
    </w:p>
  </w:comment>
  <w:comment w:id="866" w:author="HP1" w:date="2021-07-09T15:55:00Z" w:initials="HP">
    <w:p w14:paraId="275AD38E" w14:textId="64F75B94" w:rsidR="00A733B5" w:rsidRDefault="00A733B5">
      <w:pPr>
        <w:pStyle w:val="CommentText"/>
      </w:pPr>
      <w:r>
        <w:rPr>
          <w:rStyle w:val="CommentReference"/>
        </w:rPr>
        <w:annotationRef/>
      </w:r>
      <w:r>
        <w:t>Below this is not needed</w:t>
      </w:r>
    </w:p>
  </w:comment>
  <w:comment w:id="916" w:author="HP1" w:date="2021-03-12T15:22:00Z" w:initials="HP">
    <w:p w14:paraId="4C21F861" w14:textId="6980148F" w:rsidR="00943601" w:rsidRDefault="00943601">
      <w:pPr>
        <w:pStyle w:val="CommentText"/>
      </w:pPr>
      <w:r>
        <w:rPr>
          <w:rStyle w:val="CommentReference"/>
        </w:rPr>
        <w:annotationRef/>
      </w:r>
      <w:r w:rsidRPr="00A31089">
        <w:rPr>
          <w:highlight w:val="yellow"/>
        </w:rPr>
        <w:t>To be checked with Lawyers</w:t>
      </w:r>
    </w:p>
  </w:comment>
  <w:comment w:id="917" w:author="HP1" w:date="2021-06-11T10:08:00Z" w:initials="HP">
    <w:p w14:paraId="010388C6" w14:textId="1A2E0829" w:rsidR="001E0810" w:rsidRDefault="001E0810">
      <w:pPr>
        <w:pStyle w:val="CommentText"/>
      </w:pPr>
      <w:r>
        <w:rPr>
          <w:rStyle w:val="CommentReference"/>
        </w:rPr>
        <w:annotationRef/>
      </w:r>
      <w:r>
        <w:t xml:space="preserve">This should be dealt at the Grid Code level, not here: </w:t>
      </w:r>
      <w:r w:rsidR="00000B4C">
        <w:t xml:space="preserve">Discuss with </w:t>
      </w:r>
      <w:r>
        <w:t>JB</w:t>
      </w:r>
      <w:r w:rsidR="00571D57">
        <w:t>, with market implications shall be included</w:t>
      </w:r>
    </w:p>
  </w:comment>
  <w:comment w:id="933" w:author="HP1" w:date="2021-03-12T15:33:00Z" w:initials="HP">
    <w:p w14:paraId="72BEBB28" w14:textId="15CF5932" w:rsidR="00943601" w:rsidRDefault="00943601">
      <w:pPr>
        <w:pStyle w:val="CommentText"/>
      </w:pPr>
      <w:r>
        <w:rPr>
          <w:rStyle w:val="CommentReference"/>
        </w:rPr>
        <w:annotationRef/>
      </w:r>
      <w:r w:rsidRPr="00A31089">
        <w:rPr>
          <w:highlight w:val="yellow"/>
        </w:rPr>
        <w:t>To be checked with legal up to q</w:t>
      </w:r>
    </w:p>
  </w:comment>
  <w:comment w:id="936" w:author="HP1" w:date="2021-07-05T12:53:00Z" w:initials="HP">
    <w:p w14:paraId="3B8B9459" w14:textId="20A006DB" w:rsidR="00686883" w:rsidRDefault="00686883">
      <w:pPr>
        <w:pStyle w:val="CommentText"/>
      </w:pPr>
      <w:r>
        <w:rPr>
          <w:rStyle w:val="CommentReference"/>
        </w:rPr>
        <w:annotationRef/>
      </w:r>
      <w:r>
        <w:t>This is not needed</w:t>
      </w:r>
      <w:r w:rsidR="00E427C9">
        <w:t>: Discuss with JB and Omer Sb</w:t>
      </w:r>
      <w:r w:rsidR="00C5231C">
        <w:t>, it shall be informed it might be breaching its license</w:t>
      </w:r>
    </w:p>
  </w:comment>
  <w:comment w:id="943" w:author="HP1" w:date="2021-03-14T19:01:00Z" w:initials="HP">
    <w:p w14:paraId="117A7D92" w14:textId="5969D2B5" w:rsidR="00943601" w:rsidRDefault="00943601">
      <w:pPr>
        <w:pStyle w:val="CommentText"/>
      </w:pPr>
      <w:r>
        <w:rPr>
          <w:rStyle w:val="CommentReference"/>
        </w:rPr>
        <w:annotationRef/>
      </w:r>
      <w:r w:rsidRPr="00A31089">
        <w:rPr>
          <w:highlight w:val="yellow"/>
        </w:rPr>
        <w:t>To be checked with legal</w:t>
      </w:r>
    </w:p>
  </w:comment>
  <w:comment w:id="957" w:author="HP1" w:date="2021-07-16T09:09:00Z" w:initials="HP">
    <w:p w14:paraId="41F7FC27" w14:textId="6CBCE646" w:rsidR="00BE5FAD" w:rsidRDefault="00BE5FAD">
      <w:pPr>
        <w:pStyle w:val="CommentText"/>
      </w:pPr>
      <w:r>
        <w:rPr>
          <w:rStyle w:val="CommentReference"/>
        </w:rPr>
        <w:annotationRef/>
      </w:r>
      <w:r>
        <w:t>Hafiz Sb and Omer Sb</w:t>
      </w:r>
    </w:p>
  </w:comment>
  <w:comment w:id="974" w:author="HP1" w:date="2021-07-06T11:34:00Z" w:initials="HP">
    <w:p w14:paraId="313FFF05" w14:textId="728F3DE9" w:rsidR="008858F7" w:rsidRDefault="008858F7">
      <w:pPr>
        <w:pStyle w:val="CommentText"/>
      </w:pPr>
      <w:r>
        <w:rPr>
          <w:rStyle w:val="CommentReference"/>
        </w:rPr>
        <w:annotationRef/>
      </w:r>
      <w:r w:rsidRPr="00F85C0F">
        <w:rPr>
          <w:color w:val="FF0000"/>
        </w:rPr>
        <w:t>To be defined</w:t>
      </w:r>
    </w:p>
  </w:comment>
  <w:comment w:id="979" w:author="HP1" w:date="2021-07-13T12:36:00Z" w:initials="HP">
    <w:p w14:paraId="7C3724D1" w14:textId="6310D133" w:rsidR="00456831" w:rsidRDefault="00456831">
      <w:pPr>
        <w:pStyle w:val="CommentText"/>
      </w:pPr>
      <w:r>
        <w:rPr>
          <w:rStyle w:val="CommentReference"/>
        </w:rPr>
        <w:annotationRef/>
      </w:r>
      <w:r>
        <w:t>Should these be public</w:t>
      </w:r>
      <w:r w:rsidR="00F85C0F">
        <w:t>, for market it should be public</w:t>
      </w:r>
      <w:r w:rsidR="00BE5FAD">
        <w:t>, Discuss with Omer Sb</w:t>
      </w:r>
    </w:p>
  </w:comment>
  <w:comment w:id="982" w:author="HP1" w:date="2021-07-13T12:39:00Z" w:initials="HP">
    <w:p w14:paraId="6FE6D7E6" w14:textId="201191B5" w:rsidR="001017C1" w:rsidRDefault="001017C1">
      <w:pPr>
        <w:pStyle w:val="CommentText"/>
      </w:pPr>
      <w:r>
        <w:rPr>
          <w:rStyle w:val="CommentReference"/>
        </w:rPr>
        <w:annotationRef/>
      </w:r>
      <w:r>
        <w:t>This is very general</w:t>
      </w:r>
      <w:r w:rsidR="00574CE9">
        <w:t>, Hafiz Sb and Omer Sb</w:t>
      </w:r>
    </w:p>
  </w:comment>
  <w:comment w:id="996" w:author="HP1" w:date="2021-07-13T12:47:00Z" w:initials="HP">
    <w:p w14:paraId="5443B885" w14:textId="298C3109" w:rsidR="00A032EA" w:rsidRDefault="00A032EA">
      <w:pPr>
        <w:pStyle w:val="CommentText"/>
      </w:pPr>
      <w:r>
        <w:rPr>
          <w:rStyle w:val="CommentReference"/>
        </w:rPr>
        <w:annotationRef/>
      </w:r>
      <w:r>
        <w:t xml:space="preserve">Discuss with </w:t>
      </w:r>
      <w:r w:rsidR="009B7740">
        <w:t>Sameer or Hasnain to confirm</w:t>
      </w:r>
    </w:p>
  </w:comment>
  <w:comment w:id="1001" w:author="HP1" w:date="2021-07-13T12:50:00Z" w:initials="HP">
    <w:p w14:paraId="6F2BD3E9" w14:textId="7A6E1269" w:rsidR="00A032EA" w:rsidRDefault="00A032EA">
      <w:pPr>
        <w:pStyle w:val="CommentText"/>
      </w:pPr>
      <w:r>
        <w:rPr>
          <w:rStyle w:val="CommentReference"/>
        </w:rPr>
        <w:annotationRef/>
      </w:r>
      <w:r>
        <w:t>To be discussed</w:t>
      </w:r>
    </w:p>
  </w:comment>
  <w:comment w:id="1009" w:author="HP1" w:date="2021-07-13T12:51:00Z" w:initials="HP">
    <w:p w14:paraId="19752140" w14:textId="18FA6260" w:rsidR="00A032EA" w:rsidRDefault="00A032EA">
      <w:pPr>
        <w:pStyle w:val="CommentText"/>
      </w:pPr>
      <w:r>
        <w:rPr>
          <w:rStyle w:val="CommentReference"/>
        </w:rPr>
        <w:annotationRef/>
      </w:r>
      <w:r>
        <w:t>Farooq to add</w:t>
      </w:r>
    </w:p>
  </w:comment>
  <w:comment w:id="1011" w:author="HP1" w:date="2021-02-28T16:21:00Z" w:initials="HP">
    <w:p w14:paraId="100B93A6" w14:textId="7EC3A0AF" w:rsidR="00943601" w:rsidRDefault="00943601">
      <w:pPr>
        <w:pStyle w:val="CommentText"/>
      </w:pPr>
      <w:r>
        <w:rPr>
          <w:rStyle w:val="CommentReference"/>
        </w:rPr>
        <w:annotationRef/>
      </w:r>
      <w:r>
        <w:t>KIBOR+ Something to be suggested by Abid Sb</w:t>
      </w:r>
    </w:p>
  </w:comment>
  <w:comment w:id="1014" w:author="Jorge Bircher" w:date="2021-04-25T21:49:00Z" w:initials="JBA">
    <w:p w14:paraId="41E6AF48" w14:textId="77777777" w:rsidR="00943601" w:rsidRDefault="00943601">
      <w:pPr>
        <w:pStyle w:val="CommentText"/>
      </w:pPr>
      <w:r>
        <w:rPr>
          <w:rStyle w:val="CommentReference"/>
        </w:rPr>
        <w:annotationRef/>
      </w:r>
      <w:r>
        <w:t xml:space="preserve">This value was estimated for a gas turbine, costing 750 USD/MW, amortized in 30 years with a discount  rate of 8% + 5,000 USD/MW/year for O&amp;M. </w:t>
      </w:r>
    </w:p>
    <w:p w14:paraId="4EA10638" w14:textId="4C542AE4" w:rsidR="00943601" w:rsidRDefault="00943601">
      <w:pPr>
        <w:pStyle w:val="CommentText"/>
      </w:pPr>
      <w:r>
        <w:t>The exchange rate used was 150.</w:t>
      </w:r>
    </w:p>
  </w:comment>
  <w:comment w:id="1015" w:author="HP1" w:date="2021-06-18T11:09:00Z" w:initials="HP">
    <w:p w14:paraId="67D0F700" w14:textId="4F444ECF" w:rsidR="00220B2C" w:rsidRDefault="00220B2C">
      <w:pPr>
        <w:pStyle w:val="CommentText"/>
      </w:pPr>
      <w:r>
        <w:rPr>
          <w:rStyle w:val="CommentReference"/>
        </w:rPr>
        <w:annotationRef/>
      </w:r>
      <w:r>
        <w:t>Discuss with Naveed Sb and Abid Sb</w:t>
      </w:r>
    </w:p>
  </w:comment>
  <w:comment w:id="1026" w:author="HP1" w:date="2021-07-06T16:55:00Z" w:initials="HP">
    <w:p w14:paraId="0D1A8675" w14:textId="5C6CCBDA" w:rsidR="00BA4716" w:rsidRDefault="00BA4716">
      <w:pPr>
        <w:pStyle w:val="CommentText"/>
      </w:pPr>
      <w:r>
        <w:rPr>
          <w:rStyle w:val="CommentReference"/>
        </w:rPr>
        <w:annotationRef/>
      </w:r>
      <w:r>
        <w:t>This should be daily, discuss with Omer Sb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A80AAE" w15:done="0"/>
  <w15:commentEx w15:paraId="38F0EAC4" w15:done="0"/>
  <w15:commentEx w15:paraId="04670643" w15:done="0"/>
  <w15:commentEx w15:paraId="51014480" w15:paraIdParent="04670643" w15:done="0"/>
  <w15:commentEx w15:paraId="5975107D" w15:done="0"/>
  <w15:commentEx w15:paraId="3939B212" w15:done="0"/>
  <w15:commentEx w15:paraId="1A78B69A" w15:done="0"/>
  <w15:commentEx w15:paraId="12C96D8D" w15:done="0"/>
  <w15:commentEx w15:paraId="3FA6EBFA" w15:done="0"/>
  <w15:commentEx w15:paraId="7535B741" w15:done="0"/>
  <w15:commentEx w15:paraId="3BEE6ECB" w15:done="0"/>
  <w15:commentEx w15:paraId="68229DB9" w15:done="0"/>
  <w15:commentEx w15:paraId="6B2C0EF0" w15:done="0"/>
  <w15:commentEx w15:paraId="04A63CBF" w15:paraIdParent="6B2C0EF0" w15:done="0"/>
  <w15:commentEx w15:paraId="6656B7B7" w15:done="0"/>
  <w15:commentEx w15:paraId="7B0F3417" w15:done="0"/>
  <w15:commentEx w15:paraId="456FD5C3" w15:paraIdParent="7B0F3417" w15:done="0"/>
  <w15:commentEx w15:paraId="45386A32" w15:done="0"/>
  <w15:commentEx w15:paraId="73586054" w15:done="0"/>
  <w15:commentEx w15:paraId="25E08D4D" w15:done="0"/>
  <w15:commentEx w15:paraId="12353AA7" w15:done="0"/>
  <w15:commentEx w15:paraId="3797CE13" w15:done="0"/>
  <w15:commentEx w15:paraId="26FB5EE7" w15:done="0"/>
  <w15:commentEx w15:paraId="32330599" w15:done="0"/>
  <w15:commentEx w15:paraId="7A5D65B5" w15:done="0"/>
  <w15:commentEx w15:paraId="127D698D" w15:done="0"/>
  <w15:commentEx w15:paraId="4929DBD7" w15:done="0"/>
  <w15:commentEx w15:paraId="37DB0855" w15:done="0"/>
  <w15:commentEx w15:paraId="7D306144" w15:done="0"/>
  <w15:commentEx w15:paraId="5C66A607" w15:done="0"/>
  <w15:commentEx w15:paraId="718F472B" w15:done="0"/>
  <w15:commentEx w15:paraId="0FBAAC3C" w15:done="0"/>
  <w15:commentEx w15:paraId="7C545444" w15:done="0"/>
  <w15:commentEx w15:paraId="3032F192" w15:done="0"/>
  <w15:commentEx w15:paraId="1841C6A6" w15:done="0"/>
  <w15:commentEx w15:paraId="5EE1FD3F" w15:done="0"/>
  <w15:commentEx w15:paraId="011F78B8" w15:done="0"/>
  <w15:commentEx w15:paraId="3D00A96B" w15:done="0"/>
  <w15:commentEx w15:paraId="60E72F84" w15:done="0"/>
  <w15:commentEx w15:paraId="436D0805" w15:done="0"/>
  <w15:commentEx w15:paraId="44543633" w15:done="0"/>
  <w15:commentEx w15:paraId="0272DA5C" w15:done="0"/>
  <w15:commentEx w15:paraId="6DD9EC03" w15:done="0"/>
  <w15:commentEx w15:paraId="05212295" w15:done="0"/>
  <w15:commentEx w15:paraId="0E9DD7A4" w15:done="0"/>
  <w15:commentEx w15:paraId="5CD69B9B" w15:done="0"/>
  <w15:commentEx w15:paraId="2A0AC1C3" w15:done="0"/>
  <w15:commentEx w15:paraId="105FB03D" w15:done="0"/>
  <w15:commentEx w15:paraId="15B2BAFC" w15:done="0"/>
  <w15:commentEx w15:paraId="1B85227A" w15:done="0"/>
  <w15:commentEx w15:paraId="711E70C7" w15:done="0"/>
  <w15:commentEx w15:paraId="1CBFF6EB" w15:done="0"/>
  <w15:commentEx w15:paraId="38D9036A" w15:done="0"/>
  <w15:commentEx w15:paraId="02BBBF53" w15:done="0"/>
  <w15:commentEx w15:paraId="3376A4FC" w15:done="0"/>
  <w15:commentEx w15:paraId="0F73F7B3" w15:done="0"/>
  <w15:commentEx w15:paraId="74FABFD4" w15:done="0"/>
  <w15:commentEx w15:paraId="58F43A4E" w15:done="0"/>
  <w15:commentEx w15:paraId="063C6159" w15:done="0"/>
  <w15:commentEx w15:paraId="4AD205B1" w15:done="0"/>
  <w15:commentEx w15:paraId="66DDD386" w15:done="0"/>
  <w15:commentEx w15:paraId="4D17C741" w15:done="0"/>
  <w15:commentEx w15:paraId="2A743504" w15:done="0"/>
  <w15:commentEx w15:paraId="52C393B1" w15:done="0"/>
  <w15:commentEx w15:paraId="5FE54F20" w15:done="0"/>
  <w15:commentEx w15:paraId="2A6438F0" w15:done="0"/>
  <w15:commentEx w15:paraId="5838D7CB" w15:done="0"/>
  <w15:commentEx w15:paraId="5D75AE28" w15:done="0"/>
  <w15:commentEx w15:paraId="23D275D5" w15:done="0"/>
  <w15:commentEx w15:paraId="1E0DDD2F" w15:done="0"/>
  <w15:commentEx w15:paraId="75D18F20" w15:done="0"/>
  <w15:commentEx w15:paraId="59B27E0A" w15:done="0"/>
  <w15:commentEx w15:paraId="06766354" w15:done="0"/>
  <w15:commentEx w15:paraId="67771370" w15:done="0"/>
  <w15:commentEx w15:paraId="2A1D3935" w15:done="0"/>
  <w15:commentEx w15:paraId="3331E59A" w15:done="0"/>
  <w15:commentEx w15:paraId="6B9161A6" w15:done="0"/>
  <w15:commentEx w15:paraId="506F9750" w15:done="0"/>
  <w15:commentEx w15:paraId="7B6AC2BB" w15:paraIdParent="506F9750" w15:done="0"/>
  <w15:commentEx w15:paraId="6D07F75B" w15:done="0"/>
  <w15:commentEx w15:paraId="670986A9" w15:done="0"/>
  <w15:commentEx w15:paraId="6D77F569" w15:done="0"/>
  <w15:commentEx w15:paraId="038621B6" w15:paraIdParent="6D77F569" w15:done="0"/>
  <w15:commentEx w15:paraId="5168FB75" w15:done="0"/>
  <w15:commentEx w15:paraId="362B53CB" w15:done="0"/>
  <w15:commentEx w15:paraId="5763AD80" w15:done="0"/>
  <w15:commentEx w15:paraId="208DB1C7" w15:paraIdParent="5763AD80" w15:done="0"/>
  <w15:commentEx w15:paraId="2E63B62B" w15:done="0"/>
  <w15:commentEx w15:paraId="47794547" w15:done="0"/>
  <w15:commentEx w15:paraId="08FEEFDF" w15:done="0"/>
  <w15:commentEx w15:paraId="692DCE62" w15:paraIdParent="08FEEFDF" w15:done="0"/>
  <w15:commentEx w15:paraId="5863B763" w15:done="0"/>
  <w15:commentEx w15:paraId="2FB0548C" w15:done="0"/>
  <w15:commentEx w15:paraId="0890A543" w15:done="0"/>
  <w15:commentEx w15:paraId="627E829F" w15:done="0"/>
  <w15:commentEx w15:paraId="171360B2" w15:done="0"/>
  <w15:commentEx w15:paraId="6FEE003B" w15:done="0"/>
  <w15:commentEx w15:paraId="275AD38E" w15:done="0"/>
  <w15:commentEx w15:paraId="4C21F861" w15:done="0"/>
  <w15:commentEx w15:paraId="010388C6" w15:paraIdParent="4C21F861" w15:done="0"/>
  <w15:commentEx w15:paraId="72BEBB28" w15:done="0"/>
  <w15:commentEx w15:paraId="3B8B9459" w15:done="0"/>
  <w15:commentEx w15:paraId="117A7D92" w15:done="0"/>
  <w15:commentEx w15:paraId="41F7FC27" w15:done="0"/>
  <w15:commentEx w15:paraId="313FFF05" w15:done="0"/>
  <w15:commentEx w15:paraId="7C3724D1" w15:done="0"/>
  <w15:commentEx w15:paraId="6FE6D7E6" w15:done="0"/>
  <w15:commentEx w15:paraId="5443B885" w15:done="0"/>
  <w15:commentEx w15:paraId="6F2BD3E9" w15:done="0"/>
  <w15:commentEx w15:paraId="19752140" w15:done="0"/>
  <w15:commentEx w15:paraId="100B93A6" w15:done="0"/>
  <w15:commentEx w15:paraId="4EA10638" w15:done="0"/>
  <w15:commentEx w15:paraId="67D0F700" w15:paraIdParent="4EA10638" w15:done="0"/>
  <w15:commentEx w15:paraId="0D1A86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21D31" w16cex:dateUtc="2021-06-02T10:07:00Z"/>
  <w16cex:commentExtensible w16cex:durableId="2460C856" w16cex:dateUtc="2021-06-01T09:53:00Z"/>
  <w16cex:commentExtensible w16cex:durableId="24352D20" w16cex:dateUtc="2021-04-29T08:03:00Z"/>
  <w16cex:commentExtensible w16cex:durableId="2459EBC2" w16cex:dateUtc="2021-05-27T04:58:00Z"/>
  <w16cex:commentExtensible w16cex:durableId="23DF7199" w16cex:dateUtc="2021-02-23T07:20:00Z"/>
  <w16cex:commentExtensible w16cex:durableId="2422E20C" w16cex:dateUtc="2021-04-15T11:02:00Z"/>
  <w16cex:commentExtensible w16cex:durableId="249712AF" w16cex:dateUtc="2021-07-12T14:12:00Z"/>
  <w16cex:commentExtensible w16cex:durableId="2491CA05" w16cex:dateUtc="2021-07-08T14:01:00Z"/>
  <w16cex:commentExtensible w16cex:durableId="2459FB47" w16cex:dateUtc="2021-05-27T06:04:00Z"/>
  <w16cex:commentExtensible w16cex:durableId="2459FCE6" w16cex:dateUtc="2021-05-27T06:11:00Z"/>
  <w16cex:commentExtensible w16cex:durableId="24C4C659" w16cex:dateUtc="2021-08-16T06:11:00Z"/>
  <w16cex:commentExtensible w16cex:durableId="2491F5FF" w16cex:dateUtc="2021-07-08T17:09:00Z"/>
  <w16cex:commentExtensible w16cex:durableId="244F90F2" w16cex:dateUtc="2021-05-19T08:28:00Z"/>
  <w16cex:commentExtensible w16cex:durableId="2470ACD4" w16cex:dateUtc="2021-06-13T11:12:00Z"/>
  <w16cex:commentExtensible w16cex:durableId="247D9E0E" w16cex:dateUtc="2021-06-23T06:48:00Z"/>
  <w16cex:commentExtensible w16cex:durableId="242FD7F8" w16cex:dateUtc="2021-04-25T09:58:00Z"/>
  <w16cex:commentExtensible w16cex:durableId="24C4DD21" w16cex:dateUtc="2021-08-16T07:48:00Z"/>
  <w16cex:commentExtensible w16cex:durableId="245B3FC1" w16cex:dateUtc="2021-05-28T05:09:00Z"/>
  <w16cex:commentExtensible w16cex:durableId="24982FC1" w16cex:dateUtc="2021-07-13T10:29:00Z"/>
  <w16cex:commentExtensible w16cex:durableId="23F245F0" w16cex:dateUtc="2021-03-09T14:07:00Z"/>
  <w16cex:commentExtensible w16cex:durableId="249C22DA" w16cex:dateUtc="2021-07-16T10:23:00Z"/>
  <w16cex:commentExtensible w16cex:durableId="245F2D38" w16cex:dateUtc="2021-05-31T04:39:00Z"/>
  <w16cex:commentExtensible w16cex:durableId="2494B40A" w16cex:dateUtc="2021-07-10T19:04:00Z"/>
  <w16cex:commentExtensible w16cex:durableId="2494B8B9" w16cex:dateUtc="2021-07-10T19:24:00Z"/>
  <w16cex:commentExtensible w16cex:durableId="245F4573" w16cex:dateUtc="2021-05-31T06:22:00Z"/>
  <w16cex:commentExtensible w16cex:durableId="2495608C" w16cex:dateUtc="2021-07-11T07:20:00Z"/>
  <w16cex:commentExtensible w16cex:durableId="23C3C020" w16cex:dateUtc="2021-02-02T11:12:00Z"/>
  <w16cex:commentExtensible w16cex:durableId="246090C6" w16cex:dateUtc="2021-06-01T05:56:00Z"/>
  <w16cex:commentExtensible w16cex:durableId="23D94E50" w16cex:dateUtc="2021-02-18T19:36:00Z"/>
  <w16cex:commentExtensible w16cex:durableId="2461D221" w16cex:dateUtc="2021-06-02T04:47:00Z"/>
  <w16cex:commentExtensible w16cex:durableId="2485BA71" w16cex:dateUtc="2021-06-29T10:27:00Z"/>
  <w16cex:commentExtensible w16cex:durableId="24CCBB02" w16cex:dateUtc="2021-08-22T07:01:00Z"/>
  <w16cex:commentExtensible w16cex:durableId="2485D51B" w16cex:dateUtc="2021-06-29T12:21:00Z"/>
  <w16cex:commentExtensible w16cex:durableId="2485D7DE" w16cex:dateUtc="2021-06-29T12:33:00Z"/>
  <w16cex:commentExtensible w16cex:durableId="24CCC56E" w16cex:dateUtc="2021-08-22T07:45:00Z"/>
  <w16cex:commentExtensible w16cex:durableId="248823A0" w16cex:dateUtc="2021-07-01T06:21:00Z"/>
  <w16cex:commentExtensible w16cex:durableId="24CCC5D1" w16cex:dateUtc="2021-08-22T07:47:00Z"/>
  <w16cex:commentExtensible w16cex:durableId="24CCC62B" w16cex:dateUtc="2021-08-22T07:48:00Z"/>
  <w16cex:commentExtensible w16cex:durableId="23E3AA72" w16cex:dateUtc="2021-02-26T12:12:00Z"/>
  <w16cex:commentExtensible w16cex:durableId="24CCC995" w16cex:dateUtc="2021-08-22T08:03:00Z"/>
  <w16cex:commentExtensible w16cex:durableId="24CCCB08" w16cex:dateUtc="2021-08-22T08:09:00Z"/>
  <w16cex:commentExtensible w16cex:durableId="24CCCD94" w16cex:dateUtc="2021-08-22T08:20:00Z"/>
  <w16cex:commentExtensible w16cex:durableId="24870616" w16cex:dateUtc="2021-06-30T10:02:00Z"/>
  <w16cex:commentExtensible w16cex:durableId="248708D9" w16cex:dateUtc="2021-06-30T10:14:00Z"/>
  <w16cex:commentExtensible w16cex:durableId="2469BFDF" w16cex:dateUtc="2021-06-08T05:07:00Z"/>
  <w16cex:commentExtensible w16cex:durableId="24CCD0B8" w16cex:dateUtc="2021-08-22T08:33:00Z"/>
  <w16cex:commentExtensible w16cex:durableId="24D08DF5" w16cex:dateUtc="2021-08-25T04:36:00Z"/>
  <w16cex:commentExtensible w16cex:durableId="24D08F30" w16cex:dateUtc="2021-08-25T04:43:00Z"/>
  <w16cex:commentExtensible w16cex:durableId="2497DE7F" w16cex:dateUtc="2021-07-13T04:42:00Z"/>
  <w16cex:commentExtensible w16cex:durableId="24D0908F" w16cex:dateUtc="2021-08-25T04:49:00Z"/>
  <w16cex:commentExtensible w16cex:durableId="249BD561" w16cex:dateUtc="2021-07-16T04:52:00Z"/>
  <w16cex:commentExtensible w16cex:durableId="246B18EF" w16cex:dateUtc="2021-06-09T05:39:00Z"/>
  <w16cex:commentExtensible w16cex:durableId="248851F9" w16cex:dateUtc="2021-07-01T09:38:00Z"/>
  <w16cex:commentExtensible w16cex:durableId="2499524B" w16cex:dateUtc="2021-07-14T07:08:00Z"/>
  <w16cex:commentExtensible w16cex:durableId="24197E6A" w16cex:dateUtc="2021-04-08T08:06:00Z"/>
  <w16cex:commentExtensible w16cex:durableId="2499521F" w16cex:dateUtc="2021-07-14T07:07:00Z"/>
  <w16cex:commentExtensible w16cex:durableId="24995296" w16cex:dateUtc="2021-07-14T07:09:00Z"/>
  <w16cex:commentExtensible w16cex:durableId="2488612B" w16cex:dateUtc="2021-07-01T10:43:00Z"/>
  <w16cex:commentExtensible w16cex:durableId="24D0961C" w16cex:dateUtc="2021-08-25T05:12:00Z"/>
  <w16cex:commentExtensible w16cex:durableId="246B2522" w16cex:dateUtc="2021-06-09T06:31:00Z"/>
  <w16cex:commentExtensible w16cex:durableId="249841B3" w16cex:dateUtc="2021-07-13T11:45:00Z"/>
  <w16cex:commentExtensible w16cex:durableId="24D0967A" w16cex:dateUtc="2021-08-25T05:14:00Z"/>
  <w16cex:commentExtensible w16cex:durableId="24D09A30" w16cex:dateUtc="2021-08-25T05:30:00Z"/>
  <w16cex:commentExtensible w16cex:durableId="24887DCC" w16cex:dateUtc="2021-07-01T12:45:00Z"/>
  <w16cex:commentExtensible w16cex:durableId="23E3BBB4" w16cex:dateUtc="2021-02-26T13:25:00Z"/>
  <w16cex:commentExtensible w16cex:durableId="24D1DB98" w16cex:dateUtc="2021-08-26T04:21:00Z"/>
  <w16cex:commentExtensible w16cex:durableId="24D1DC45" w16cex:dateUtc="2021-08-26T04:24:00Z"/>
  <w16cex:commentExtensible w16cex:durableId="24897A4B" w16cex:dateUtc="2021-07-02T06:43:00Z"/>
  <w16cex:commentExtensible w16cex:durableId="2329D883" w16cex:dateUtc="2020-10-08T16:27:00Z"/>
  <w16cex:commentExtensible w16cex:durableId="2329D910" w16cex:dateUtc="2020-10-08T16:29:00Z"/>
  <w16cex:commentExtensible w16cex:durableId="24897989" w16cex:dateUtc="2021-07-02T06:39:00Z"/>
  <w16cex:commentExtensible w16cex:durableId="24D1DE73" w16cex:dateUtc="2021-08-26T04:33:00Z"/>
  <w16cex:commentExtensible w16cex:durableId="2495981B" w16cex:dateUtc="2021-07-11T11:17:00Z"/>
  <w16cex:commentExtensible w16cex:durableId="23E4B37C" w16cex:dateUtc="2021-02-27T07:03:00Z"/>
  <w16cex:commentExtensible w16cex:durableId="23E4C9DF" w16cex:dateUtc="2021-02-27T08:38:00Z"/>
  <w16cex:commentExtensible w16cex:durableId="24D487CA" w16cex:dateUtc="2021-08-28T05:00:00Z"/>
  <w16cex:commentExtensible w16cex:durableId="23E4DADD" w16cex:dateUtc="2021-02-27T09:51:00Z"/>
  <w16cex:commentExtensible w16cex:durableId="24D48C0B" w16cex:dateUtc="2021-08-28T05:18:00Z"/>
  <w16cex:commentExtensible w16cex:durableId="24D48C13" w16cex:dateUtc="2021-08-28T05:18:00Z"/>
  <w16cex:commentExtensible w16cex:durableId="24D71F40" w16cex:dateUtc="2021-08-30T04:11:00Z"/>
  <w16cex:commentExtensible w16cex:durableId="24D9C16C" w16cex:dateUtc="2021-09-01T04:07:00Z"/>
  <w16cex:commentExtensible w16cex:durableId="248B0713" w16cex:dateUtc="2021-07-03T10:56:00Z"/>
  <w16cex:commentExtensible w16cex:durableId="24D9C221" w16cex:dateUtc="2021-09-01T04:10:00Z"/>
  <w16cex:commentExtensible w16cex:durableId="249058D6" w16cex:dateUtc="2021-07-07T11:46:00Z"/>
  <w16cex:commentExtensible w16cex:durableId="2475F5B6" w16cex:dateUtc="2021-06-17T11:24:00Z"/>
  <w16cex:commentExtensible w16cex:durableId="24241B87" w16cex:dateUtc="2021-04-16T09:19:00Z"/>
  <w16cex:commentExtensible w16cex:durableId="24306493" w16cex:dateUtc="2021-04-25T19:58:00Z"/>
  <w16cex:commentExtensible w16cex:durableId="2492A9AF" w16cex:dateUtc="2021-07-09T05:55:00Z"/>
  <w16cex:commentExtensible w16cex:durableId="2475FBD1" w16cex:dateUtc="2021-06-17T11:50:00Z"/>
  <w16cex:commentExtensible w16cex:durableId="2492B0EA" w16cex:dateUtc="2021-07-09T06:26:00Z"/>
  <w16cex:commentExtensible w16cex:durableId="2492B0EC" w16cex:dateUtc="2021-07-09T06:26:00Z"/>
  <w16cex:commentExtensible w16cex:durableId="24D9CCDA" w16cex:dateUtc="2021-09-01T04:56:00Z"/>
  <w16cex:commentExtensible w16cex:durableId="249BE5C5" w16cex:dateUtc="2021-07-16T06:02:00Z"/>
  <w16cex:commentExtensible w16cex:durableId="2497F01A" w16cex:dateUtc="2021-07-13T05:57:00Z"/>
  <w16cex:commentExtensible w16cex:durableId="2496E5DE" w16cex:dateUtc="2021-07-12T11:01:00Z"/>
  <w16cex:commentExtensible w16cex:durableId="2497F05A" w16cex:dateUtc="2021-07-13T05:58:00Z"/>
  <w16cex:commentExtensible w16cex:durableId="2492EB89" w16cex:dateUtc="2021-07-09T10:36:00Z"/>
  <w16cex:commentExtensible w16cex:durableId="2492F00F" w16cex:dateUtc="2021-07-09T10:55:00Z"/>
  <w16cex:commentExtensible w16cex:durableId="23F605BC" w16cex:dateUtc="2021-03-12T10:22:00Z"/>
  <w16cex:commentExtensible w16cex:durableId="246DB4B2" w16cex:dateUtc="2021-06-11T05:08:00Z"/>
  <w16cex:commentExtensible w16cex:durableId="23F60837" w16cex:dateUtc="2021-03-12T10:33:00Z"/>
  <w16cex:commentExtensible w16cex:durableId="248D7F66" w16cex:dateUtc="2021-07-05T07:53:00Z"/>
  <w16cex:commentExtensible w16cex:durableId="23F8DC0F" w16cex:dateUtc="2021-03-14T14:01:00Z"/>
  <w16cex:commentExtensible w16cex:durableId="249BCB41" w16cex:dateUtc="2021-07-16T04:09:00Z"/>
  <w16cex:commentExtensible w16cex:durableId="248EBE57" w16cex:dateUtc="2021-07-06T06:34:00Z"/>
  <w16cex:commentExtensible w16cex:durableId="24980740" w16cex:dateUtc="2021-07-13T07:36:00Z"/>
  <w16cex:commentExtensible w16cex:durableId="2498080A" w16cex:dateUtc="2021-07-13T07:39:00Z"/>
  <w16cex:commentExtensible w16cex:durableId="249809CD" w16cex:dateUtc="2021-07-13T07:47:00Z"/>
  <w16cex:commentExtensible w16cex:durableId="24980AA5" w16cex:dateUtc="2021-07-13T07:50:00Z"/>
  <w16cex:commentExtensible w16cex:durableId="24980AE7" w16cex:dateUtc="2021-07-13T07:51:00Z"/>
  <w16cex:commentExtensible w16cex:durableId="23E64184" w16cex:dateUtc="2021-02-28T11:21:00Z"/>
  <w16cex:commentExtensible w16cex:durableId="24306274" w16cex:dateUtc="2021-04-25T19:49:00Z"/>
  <w16cex:commentExtensible w16cex:durableId="2476FD5A" w16cex:dateUtc="2021-06-18T06:09:00Z"/>
  <w16cex:commentExtensible w16cex:durableId="248F0966" w16cex:dateUtc="2021-07-06T1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A80AAE" w16cid:durableId="24621D31"/>
  <w16cid:commentId w16cid:paraId="38F0EAC4" w16cid:durableId="2460C856"/>
  <w16cid:commentId w16cid:paraId="04670643" w16cid:durableId="24352D20"/>
  <w16cid:commentId w16cid:paraId="51014480" w16cid:durableId="2459EBC2"/>
  <w16cid:commentId w16cid:paraId="5975107D" w16cid:durableId="23DF7199"/>
  <w16cid:commentId w16cid:paraId="3939B212" w16cid:durableId="2422E20C"/>
  <w16cid:commentId w16cid:paraId="1A78B69A" w16cid:durableId="249712AF"/>
  <w16cid:commentId w16cid:paraId="12C96D8D" w16cid:durableId="2491CA05"/>
  <w16cid:commentId w16cid:paraId="3FA6EBFA" w16cid:durableId="2459FB47"/>
  <w16cid:commentId w16cid:paraId="7535B741" w16cid:durableId="2459FCE6"/>
  <w16cid:commentId w16cid:paraId="3BEE6ECB" w16cid:durableId="24C4C659"/>
  <w16cid:commentId w16cid:paraId="68229DB9" w16cid:durableId="2491F5FF"/>
  <w16cid:commentId w16cid:paraId="6B2C0EF0" w16cid:durableId="244F90F2"/>
  <w16cid:commentId w16cid:paraId="04A63CBF" w16cid:durableId="2470ACD4"/>
  <w16cid:commentId w16cid:paraId="6656B7B7" w16cid:durableId="247D9E0E"/>
  <w16cid:commentId w16cid:paraId="7B0F3417" w16cid:durableId="242FD7F8"/>
  <w16cid:commentId w16cid:paraId="456FD5C3" w16cid:durableId="24C4DD21"/>
  <w16cid:commentId w16cid:paraId="45386A32" w16cid:durableId="245B3FC1"/>
  <w16cid:commentId w16cid:paraId="73586054" w16cid:durableId="24982FC1"/>
  <w16cid:commentId w16cid:paraId="25E08D4D" w16cid:durableId="23F245F0"/>
  <w16cid:commentId w16cid:paraId="12353AA7" w16cid:durableId="249C22DA"/>
  <w16cid:commentId w16cid:paraId="3797CE13" w16cid:durableId="245F2D38"/>
  <w16cid:commentId w16cid:paraId="26FB5EE7" w16cid:durableId="2494B40A"/>
  <w16cid:commentId w16cid:paraId="32330599" w16cid:durableId="2494B8B9"/>
  <w16cid:commentId w16cid:paraId="7A5D65B5" w16cid:durableId="245F4573"/>
  <w16cid:commentId w16cid:paraId="127D698D" w16cid:durableId="2495608C"/>
  <w16cid:commentId w16cid:paraId="4929DBD7" w16cid:durableId="23C3C020"/>
  <w16cid:commentId w16cid:paraId="37DB0855" w16cid:durableId="246090C6"/>
  <w16cid:commentId w16cid:paraId="7D306144" w16cid:durableId="23D94E50"/>
  <w16cid:commentId w16cid:paraId="5C66A607" w16cid:durableId="2461D221"/>
  <w16cid:commentId w16cid:paraId="718F472B" w16cid:durableId="2485BA71"/>
  <w16cid:commentId w16cid:paraId="0FBAAC3C" w16cid:durableId="24CCBB02"/>
  <w16cid:commentId w16cid:paraId="7C545444" w16cid:durableId="2485D51B"/>
  <w16cid:commentId w16cid:paraId="3032F192" w16cid:durableId="2485D7DE"/>
  <w16cid:commentId w16cid:paraId="1841C6A6" w16cid:durableId="24CCC56E"/>
  <w16cid:commentId w16cid:paraId="5EE1FD3F" w16cid:durableId="248823A0"/>
  <w16cid:commentId w16cid:paraId="011F78B8" w16cid:durableId="24CCC5D1"/>
  <w16cid:commentId w16cid:paraId="3D00A96B" w16cid:durableId="24CCC62B"/>
  <w16cid:commentId w16cid:paraId="60E72F84" w16cid:durableId="23E3AA72"/>
  <w16cid:commentId w16cid:paraId="436D0805" w16cid:durableId="24CCC995"/>
  <w16cid:commentId w16cid:paraId="44543633" w16cid:durableId="24CCCB08"/>
  <w16cid:commentId w16cid:paraId="0272DA5C" w16cid:durableId="24CCCD94"/>
  <w16cid:commentId w16cid:paraId="6DD9EC03" w16cid:durableId="24870616"/>
  <w16cid:commentId w16cid:paraId="05212295" w16cid:durableId="248708D9"/>
  <w16cid:commentId w16cid:paraId="0E9DD7A4" w16cid:durableId="2469BFDF"/>
  <w16cid:commentId w16cid:paraId="5CD69B9B" w16cid:durableId="24CCD0B8"/>
  <w16cid:commentId w16cid:paraId="2A0AC1C3" w16cid:durableId="24D08DF5"/>
  <w16cid:commentId w16cid:paraId="105FB03D" w16cid:durableId="24D08F30"/>
  <w16cid:commentId w16cid:paraId="15B2BAFC" w16cid:durableId="2497DE7F"/>
  <w16cid:commentId w16cid:paraId="1B85227A" w16cid:durableId="24D0908F"/>
  <w16cid:commentId w16cid:paraId="711E70C7" w16cid:durableId="249BD561"/>
  <w16cid:commentId w16cid:paraId="1CBFF6EB" w16cid:durableId="246B18EF"/>
  <w16cid:commentId w16cid:paraId="38D9036A" w16cid:durableId="248851F9"/>
  <w16cid:commentId w16cid:paraId="02BBBF53" w16cid:durableId="2499524B"/>
  <w16cid:commentId w16cid:paraId="3376A4FC" w16cid:durableId="24197E6A"/>
  <w16cid:commentId w16cid:paraId="0F73F7B3" w16cid:durableId="2499521F"/>
  <w16cid:commentId w16cid:paraId="74FABFD4" w16cid:durableId="24995296"/>
  <w16cid:commentId w16cid:paraId="58F43A4E" w16cid:durableId="2488612B"/>
  <w16cid:commentId w16cid:paraId="063C6159" w16cid:durableId="24D0961C"/>
  <w16cid:commentId w16cid:paraId="4AD205B1" w16cid:durableId="246B2522"/>
  <w16cid:commentId w16cid:paraId="66DDD386" w16cid:durableId="249841B3"/>
  <w16cid:commentId w16cid:paraId="4D17C741" w16cid:durableId="24D0967A"/>
  <w16cid:commentId w16cid:paraId="2A743504" w16cid:durableId="24D09A30"/>
  <w16cid:commentId w16cid:paraId="52C393B1" w16cid:durableId="24887DCC"/>
  <w16cid:commentId w16cid:paraId="5FE54F20" w16cid:durableId="23E3BBB4"/>
  <w16cid:commentId w16cid:paraId="2A6438F0" w16cid:durableId="24D1DB98"/>
  <w16cid:commentId w16cid:paraId="5838D7CB" w16cid:durableId="24D1DC45"/>
  <w16cid:commentId w16cid:paraId="5D75AE28" w16cid:durableId="24897A4B"/>
  <w16cid:commentId w16cid:paraId="23D275D5" w16cid:durableId="2329D883"/>
  <w16cid:commentId w16cid:paraId="1E0DDD2F" w16cid:durableId="2329D910"/>
  <w16cid:commentId w16cid:paraId="75D18F20" w16cid:durableId="24897989"/>
  <w16cid:commentId w16cid:paraId="59B27E0A" w16cid:durableId="24D1DE73"/>
  <w16cid:commentId w16cid:paraId="06766354" w16cid:durableId="2495981B"/>
  <w16cid:commentId w16cid:paraId="67771370" w16cid:durableId="23E4B37C"/>
  <w16cid:commentId w16cid:paraId="2A1D3935" w16cid:durableId="23E4C9DF"/>
  <w16cid:commentId w16cid:paraId="3331E59A" w16cid:durableId="24D487CA"/>
  <w16cid:commentId w16cid:paraId="6B9161A6" w16cid:durableId="23E4DADD"/>
  <w16cid:commentId w16cid:paraId="506F9750" w16cid:durableId="24D48C0B"/>
  <w16cid:commentId w16cid:paraId="7B6AC2BB" w16cid:durableId="24D48C13"/>
  <w16cid:commentId w16cid:paraId="6D07F75B" w16cid:durableId="24D71F40"/>
  <w16cid:commentId w16cid:paraId="670986A9" w16cid:durableId="24D9C16C"/>
  <w16cid:commentId w16cid:paraId="6D77F569" w16cid:durableId="248B0713"/>
  <w16cid:commentId w16cid:paraId="038621B6" w16cid:durableId="24D9C221"/>
  <w16cid:commentId w16cid:paraId="5168FB75" w16cid:durableId="249058D6"/>
  <w16cid:commentId w16cid:paraId="362B53CB" w16cid:durableId="2475F5B6"/>
  <w16cid:commentId w16cid:paraId="5763AD80" w16cid:durableId="24241B87"/>
  <w16cid:commentId w16cid:paraId="208DB1C7" w16cid:durableId="24306493"/>
  <w16cid:commentId w16cid:paraId="2E63B62B" w16cid:durableId="2492A9AF"/>
  <w16cid:commentId w16cid:paraId="47794547" w16cid:durableId="2475FBD1"/>
  <w16cid:commentId w16cid:paraId="08FEEFDF" w16cid:durableId="2492B0EA"/>
  <w16cid:commentId w16cid:paraId="692DCE62" w16cid:durableId="2492B0EC"/>
  <w16cid:commentId w16cid:paraId="5863B763" w16cid:durableId="24D9CCDA"/>
  <w16cid:commentId w16cid:paraId="2FB0548C" w16cid:durableId="249BE5C5"/>
  <w16cid:commentId w16cid:paraId="0890A543" w16cid:durableId="2497F01A"/>
  <w16cid:commentId w16cid:paraId="627E829F" w16cid:durableId="2496E5DE"/>
  <w16cid:commentId w16cid:paraId="171360B2" w16cid:durableId="2497F05A"/>
  <w16cid:commentId w16cid:paraId="6FEE003B" w16cid:durableId="2492EB89"/>
  <w16cid:commentId w16cid:paraId="275AD38E" w16cid:durableId="2492F00F"/>
  <w16cid:commentId w16cid:paraId="4C21F861" w16cid:durableId="23F605BC"/>
  <w16cid:commentId w16cid:paraId="010388C6" w16cid:durableId="246DB4B2"/>
  <w16cid:commentId w16cid:paraId="72BEBB28" w16cid:durableId="23F60837"/>
  <w16cid:commentId w16cid:paraId="3B8B9459" w16cid:durableId="248D7F66"/>
  <w16cid:commentId w16cid:paraId="117A7D92" w16cid:durableId="23F8DC0F"/>
  <w16cid:commentId w16cid:paraId="41F7FC27" w16cid:durableId="249BCB41"/>
  <w16cid:commentId w16cid:paraId="313FFF05" w16cid:durableId="248EBE57"/>
  <w16cid:commentId w16cid:paraId="7C3724D1" w16cid:durableId="24980740"/>
  <w16cid:commentId w16cid:paraId="6FE6D7E6" w16cid:durableId="2498080A"/>
  <w16cid:commentId w16cid:paraId="5443B885" w16cid:durableId="249809CD"/>
  <w16cid:commentId w16cid:paraId="6F2BD3E9" w16cid:durableId="24980AA5"/>
  <w16cid:commentId w16cid:paraId="19752140" w16cid:durableId="24980AE7"/>
  <w16cid:commentId w16cid:paraId="100B93A6" w16cid:durableId="23E64184"/>
  <w16cid:commentId w16cid:paraId="4EA10638" w16cid:durableId="24306274"/>
  <w16cid:commentId w16cid:paraId="67D0F700" w16cid:durableId="2476FD5A"/>
  <w16cid:commentId w16cid:paraId="0D1A8675" w16cid:durableId="248F09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78F5C" w14:textId="77777777" w:rsidR="004D6075" w:rsidRDefault="004D6075" w:rsidP="00801B07">
      <w:pPr>
        <w:spacing w:before="0" w:after="0"/>
      </w:pPr>
      <w:r>
        <w:separator/>
      </w:r>
    </w:p>
  </w:endnote>
  <w:endnote w:type="continuationSeparator" w:id="0">
    <w:p w14:paraId="477D8892" w14:textId="77777777" w:rsidR="004D6075" w:rsidRDefault="004D6075" w:rsidP="00801B07">
      <w:pPr>
        <w:spacing w:before="0" w:after="0"/>
      </w:pPr>
      <w:r>
        <w:continuationSeparator/>
      </w:r>
    </w:p>
  </w:endnote>
  <w:endnote w:type="continuationNotice" w:id="1">
    <w:p w14:paraId="636BB9E9" w14:textId="77777777" w:rsidR="004D6075" w:rsidRDefault="004D607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ヒラギノ角ゴ Pro W3">
    <w:charset w:val="80"/>
    <w:family w:val="auto"/>
    <w:pitch w:val="variable"/>
    <w:sig w:usb0="E00002FF" w:usb1="7AC7FFFF" w:usb2="00000012" w:usb3="00000000" w:csb0="0002000D"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MT">
    <w:altName w:val="Garamond"/>
    <w:charset w:val="00"/>
    <w:family w:val="roman"/>
    <w:pitch w:val="variable"/>
    <w:sig w:usb0="00000287" w:usb1="00000000" w:usb2="00000000" w:usb3="00000000" w:csb0="0000009F" w:csb1="00000000"/>
  </w:font>
  <w:font w:name="GillSansMTStd-Book">
    <w:altName w:val="Calibri"/>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D86BA" w14:textId="77777777" w:rsidR="00943601" w:rsidRDefault="00943601"/>
  <w:p w14:paraId="2493E588" w14:textId="77777777" w:rsidR="00943601" w:rsidRDefault="0094360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077662"/>
      <w:docPartObj>
        <w:docPartGallery w:val="Page Numbers (Bottom of Page)"/>
        <w:docPartUnique/>
      </w:docPartObj>
    </w:sdtPr>
    <w:sdtEndPr>
      <w:rPr>
        <w:noProof/>
      </w:rPr>
    </w:sdtEndPr>
    <w:sdtContent>
      <w:p w14:paraId="1B62AD66" w14:textId="0CE8C5EA" w:rsidR="00804C30" w:rsidRDefault="00804C30">
        <w:pPr>
          <w:pStyle w:val="Footer"/>
        </w:pPr>
        <w:r>
          <w:fldChar w:fldCharType="begin"/>
        </w:r>
        <w:r>
          <w:instrText xml:space="preserve"> PAGE   \* MERGEFORMAT </w:instrText>
        </w:r>
        <w:r>
          <w:fldChar w:fldCharType="separate"/>
        </w:r>
        <w:r>
          <w:rPr>
            <w:noProof/>
          </w:rPr>
          <w:t>2</w:t>
        </w:r>
        <w:r>
          <w:rPr>
            <w:noProof/>
          </w:rPr>
          <w:fldChar w:fldCharType="end"/>
        </w:r>
      </w:p>
    </w:sdtContent>
  </w:sdt>
  <w:p w14:paraId="74D3250D" w14:textId="0A52FC9F" w:rsidR="00943601" w:rsidRDefault="00943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5B112" w14:textId="77777777" w:rsidR="004D6075" w:rsidRDefault="004D6075" w:rsidP="00801B07">
      <w:pPr>
        <w:spacing w:before="0" w:after="0"/>
      </w:pPr>
      <w:r>
        <w:separator/>
      </w:r>
    </w:p>
  </w:footnote>
  <w:footnote w:type="continuationSeparator" w:id="0">
    <w:p w14:paraId="62773718" w14:textId="77777777" w:rsidR="004D6075" w:rsidRDefault="004D6075" w:rsidP="00801B07">
      <w:pPr>
        <w:spacing w:before="0" w:after="0"/>
      </w:pPr>
      <w:r>
        <w:continuationSeparator/>
      </w:r>
    </w:p>
  </w:footnote>
  <w:footnote w:type="continuationNotice" w:id="1">
    <w:p w14:paraId="405634ED" w14:textId="77777777" w:rsidR="004D6075" w:rsidRDefault="004D607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137E" w14:textId="0B2FD0C2" w:rsidR="00943601" w:rsidRPr="005457A5" w:rsidRDefault="00943601" w:rsidP="00804C30">
    <w:pPr>
      <w:pStyle w:val="Header"/>
      <w:tabs>
        <w:tab w:val="clear" w:pos="4252"/>
        <w:tab w:val="center" w:pos="3828"/>
        <w:tab w:val="left" w:pos="6237"/>
      </w:tabs>
      <w:ind w:left="0"/>
      <w:jc w:val="left"/>
    </w:pPr>
    <w:r>
      <w:t>Commercial Code</w:t>
    </w:r>
    <w:r w:rsidR="00804C30">
      <w:t xml:space="preserve">         </w:t>
    </w:r>
    <w:r w:rsidRPr="005457A5">
      <w:tab/>
    </w:r>
    <w:r w:rsidRPr="005457A5">
      <w:tab/>
    </w:r>
    <w:r w:rsidR="00804C30">
      <w:t xml:space="preserve">                                                 </w:t>
    </w:r>
    <w:r w:rsidR="00804C30" w:rsidRPr="009D2903">
      <w:rPr>
        <w:highlight w:val="yellow"/>
      </w:rPr>
      <w:t>CPPA-G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C2A00266"/>
    <w:lvl w:ilvl="0">
      <w:start w:val="1"/>
      <w:numFmt w:val="decimal"/>
      <w:pStyle w:val="ListNumber3"/>
      <w:lvlText w:val="%1."/>
      <w:lvlJc w:val="left"/>
      <w:pPr>
        <w:tabs>
          <w:tab w:val="num" w:pos="926"/>
        </w:tabs>
        <w:ind w:left="926" w:hanging="360"/>
      </w:pPr>
    </w:lvl>
  </w:abstractNum>
  <w:abstractNum w:abstractNumId="1" w15:restartNumberingAfterBreak="0">
    <w:nsid w:val="FFFFFF7F"/>
    <w:multiLevelType w:val="singleLevel"/>
    <w:tmpl w:val="859C2E68"/>
    <w:lvl w:ilvl="0">
      <w:start w:val="1"/>
      <w:numFmt w:val="decimal"/>
      <w:pStyle w:val="ListNumber2"/>
      <w:lvlText w:val="%1."/>
      <w:lvlJc w:val="left"/>
      <w:pPr>
        <w:tabs>
          <w:tab w:val="num" w:pos="643"/>
        </w:tabs>
        <w:ind w:left="643" w:hanging="360"/>
      </w:pPr>
    </w:lvl>
  </w:abstractNum>
  <w:abstractNum w:abstractNumId="2" w15:restartNumberingAfterBreak="0">
    <w:nsid w:val="FFFFFF82"/>
    <w:multiLevelType w:val="singleLevel"/>
    <w:tmpl w:val="9C2486B2"/>
    <w:lvl w:ilvl="0">
      <w:start w:val="1"/>
      <w:numFmt w:val="bullet"/>
      <w:pStyle w:val="ListBullet3"/>
      <w:lvlText w:val=""/>
      <w:lvlJc w:val="left"/>
      <w:pPr>
        <w:ind w:left="1352" w:hanging="360"/>
      </w:pPr>
      <w:rPr>
        <w:rFonts w:ascii="Symbol" w:hAnsi="Symbol" w:hint="default"/>
        <w:color w:val="002B7F" w:themeColor="accent1"/>
        <w:sz w:val="16"/>
      </w:rPr>
    </w:lvl>
  </w:abstractNum>
  <w:abstractNum w:abstractNumId="3" w15:restartNumberingAfterBreak="0">
    <w:nsid w:val="FFFFFF88"/>
    <w:multiLevelType w:val="singleLevel"/>
    <w:tmpl w:val="4D087F9A"/>
    <w:lvl w:ilvl="0">
      <w:start w:val="1"/>
      <w:numFmt w:val="decimal"/>
      <w:pStyle w:val="ListNumber"/>
      <w:lvlText w:val="%1."/>
      <w:lvlJc w:val="left"/>
      <w:pPr>
        <w:tabs>
          <w:tab w:val="num" w:pos="360"/>
        </w:tabs>
        <w:ind w:left="360" w:hanging="360"/>
      </w:pPr>
      <w:rPr>
        <w:b/>
      </w:rPr>
    </w:lvl>
  </w:abstractNum>
  <w:abstractNum w:abstractNumId="4" w15:restartNumberingAfterBreak="0">
    <w:nsid w:val="042F1D82"/>
    <w:multiLevelType w:val="hybridMultilevel"/>
    <w:tmpl w:val="BF3CE88C"/>
    <w:lvl w:ilvl="0" w:tplc="9AECEAAE">
      <w:start w:val="1"/>
      <w:numFmt w:val="lowerLetter"/>
      <w:lvlText w:val="%1)"/>
      <w:lvlJc w:val="right"/>
      <w:pPr>
        <w:ind w:left="1571" w:hanging="360"/>
      </w:pPr>
      <w:rPr>
        <w:rFonts w:ascii="Calibri" w:hAnsi="Calibri" w:hint="default"/>
      </w:rPr>
    </w:lvl>
    <w:lvl w:ilvl="1" w:tplc="1F86B178">
      <w:start w:val="1"/>
      <w:numFmt w:val="lowerLetter"/>
      <w:lvlText w:val="%2."/>
      <w:lvlJc w:val="left"/>
      <w:pPr>
        <w:ind w:left="2291" w:hanging="360"/>
      </w:pPr>
      <w:rPr>
        <w:rFonts w:hint="default"/>
      </w:r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15:restartNumberingAfterBreak="0">
    <w:nsid w:val="080E3BC4"/>
    <w:multiLevelType w:val="hybridMultilevel"/>
    <w:tmpl w:val="05D61E88"/>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6" w15:restartNumberingAfterBreak="0">
    <w:nsid w:val="0A3A138C"/>
    <w:multiLevelType w:val="hybridMultilevel"/>
    <w:tmpl w:val="4B54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6C0977"/>
    <w:multiLevelType w:val="hybridMultilevel"/>
    <w:tmpl w:val="A3FA44AE"/>
    <w:lvl w:ilvl="0" w:tplc="3F2E4778">
      <w:start w:val="1"/>
      <w:numFmt w:val="lowerLetter"/>
      <w:lvlText w:val="%1."/>
      <w:lvlJc w:val="left"/>
      <w:pPr>
        <w:ind w:left="229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A223B8"/>
    <w:multiLevelType w:val="hybridMultilevel"/>
    <w:tmpl w:val="85C0AA1A"/>
    <w:lvl w:ilvl="0" w:tplc="DCFEAEB6">
      <w:start w:val="1"/>
      <w:numFmt w:val="bullet"/>
      <w:pStyle w:val="Ind2Sp"/>
      <w:lvlText w:val=""/>
      <w:lvlJc w:val="left"/>
      <w:pPr>
        <w:ind w:left="786" w:hanging="360"/>
      </w:pPr>
      <w:rPr>
        <w:rFonts w:ascii="Symbol" w:hAnsi="Symbol" w:hint="default"/>
        <w:lang w:val="en-GB"/>
      </w:rPr>
    </w:lvl>
    <w:lvl w:ilvl="1" w:tplc="04090003">
      <w:start w:val="1"/>
      <w:numFmt w:val="bullet"/>
      <w:lvlText w:val="o"/>
      <w:lvlJc w:val="left"/>
      <w:pPr>
        <w:ind w:left="1440" w:hanging="360"/>
      </w:pPr>
      <w:rPr>
        <w:rFonts w:ascii="Courier New" w:hAnsi="Courier New" w:hint="default"/>
      </w:rPr>
    </w:lvl>
    <w:lvl w:ilvl="2" w:tplc="3F8C57F4">
      <w:start w:val="2"/>
      <w:numFmt w:val="bullet"/>
      <w:lvlText w:val="•"/>
      <w:lvlJc w:val="left"/>
      <w:pPr>
        <w:ind w:left="2520" w:hanging="72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E16B04"/>
    <w:multiLevelType w:val="hybridMultilevel"/>
    <w:tmpl w:val="8742787C"/>
    <w:lvl w:ilvl="0" w:tplc="9AECEAAE">
      <w:start w:val="1"/>
      <w:numFmt w:val="lowerLetter"/>
      <w:lvlText w:val="%1)"/>
      <w:lvlJc w:val="right"/>
      <w:pPr>
        <w:ind w:left="720" w:hanging="360"/>
      </w:pPr>
      <w:rPr>
        <w:rFonts w:ascii="Calibri" w:hAnsi="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0D31EB2"/>
    <w:multiLevelType w:val="hybridMultilevel"/>
    <w:tmpl w:val="71B82FD0"/>
    <w:lvl w:ilvl="0" w:tplc="1C429622">
      <w:start w:val="1"/>
      <w:numFmt w:val="bullet"/>
      <w:pStyle w:val="Ind1Sp"/>
      <w:lvlText w:val=""/>
      <w:lvlJc w:val="left"/>
      <w:pPr>
        <w:ind w:left="284" w:hanging="284"/>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C052850E">
      <w:numFmt w:val="bullet"/>
      <w:lvlText w:val="•"/>
      <w:lvlJc w:val="left"/>
      <w:pPr>
        <w:ind w:left="2520" w:hanging="72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424F93"/>
    <w:multiLevelType w:val="singleLevel"/>
    <w:tmpl w:val="998656F8"/>
    <w:lvl w:ilvl="0">
      <w:start w:val="1"/>
      <w:numFmt w:val="lowerLetter"/>
      <w:pStyle w:val="SEPNumbera"/>
      <w:lvlText w:val="%1."/>
      <w:legacy w:legacy="1" w:legacySpace="0" w:legacyIndent="360"/>
      <w:lvlJc w:val="left"/>
      <w:pPr>
        <w:ind w:left="1080" w:hanging="360"/>
      </w:pPr>
    </w:lvl>
  </w:abstractNum>
  <w:abstractNum w:abstractNumId="12" w15:restartNumberingAfterBreak="0">
    <w:nsid w:val="11C32349"/>
    <w:multiLevelType w:val="hybridMultilevel"/>
    <w:tmpl w:val="C60085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4010ECE"/>
    <w:multiLevelType w:val="hybridMultilevel"/>
    <w:tmpl w:val="B7A83132"/>
    <w:lvl w:ilvl="0" w:tplc="CB1683F8">
      <w:start w:val="1"/>
      <w:numFmt w:val="bullet"/>
      <w:pStyle w:val="Indent2"/>
      <w:lvlText w:val=""/>
      <w:lvlJc w:val="left"/>
      <w:pPr>
        <w:ind w:left="680" w:hanging="283"/>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9C45C6"/>
    <w:multiLevelType w:val="multilevel"/>
    <w:tmpl w:val="AE4E883A"/>
    <w:lvl w:ilvl="0">
      <w:start w:val="1"/>
      <w:numFmt w:val="lowerRoman"/>
      <w:lvlText w:val="%1."/>
      <w:lvlJc w:val="right"/>
      <w:pPr>
        <w:tabs>
          <w:tab w:val="num" w:pos="720"/>
        </w:tabs>
        <w:ind w:left="720" w:hanging="360"/>
      </w:pPr>
      <w:rPr>
        <w:rFonts w:hint="default"/>
        <w:b w:val="0"/>
        <w:bCs w:val="0"/>
        <w:sz w:val="20"/>
      </w:rPr>
    </w:lvl>
    <w:lvl w:ilvl="1">
      <w:start w:val="2"/>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rPr>
        <w:b w:val="0"/>
        <w:bCs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left"/>
      <w:pPr>
        <w:ind w:left="5400" w:hanging="720"/>
      </w:pPr>
      <w:rPr>
        <w:rFonts w:hint="default"/>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A473D8"/>
    <w:multiLevelType w:val="hybridMultilevel"/>
    <w:tmpl w:val="64FA3D7A"/>
    <w:lvl w:ilvl="0" w:tplc="1F86B178">
      <w:start w:val="1"/>
      <w:numFmt w:val="lowerLetter"/>
      <w:lvlText w:val="%1."/>
      <w:lvlJc w:val="left"/>
      <w:pPr>
        <w:ind w:left="229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B04C59"/>
    <w:multiLevelType w:val="hybridMultilevel"/>
    <w:tmpl w:val="7B26E8A4"/>
    <w:lvl w:ilvl="0" w:tplc="23582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1E57E2"/>
    <w:multiLevelType w:val="hybridMultilevel"/>
    <w:tmpl w:val="9EA255B8"/>
    <w:lvl w:ilvl="0" w:tplc="04090001">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8" w15:restartNumberingAfterBreak="0">
    <w:nsid w:val="198711C3"/>
    <w:multiLevelType w:val="hybridMultilevel"/>
    <w:tmpl w:val="28663672"/>
    <w:lvl w:ilvl="0" w:tplc="4EB6F23A">
      <w:start w:val="1"/>
      <w:numFmt w:val="decimal"/>
      <w:pStyle w:val="Modulo"/>
      <w:lvlText w:val="Modulo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FB071B"/>
    <w:multiLevelType w:val="hybridMultilevel"/>
    <w:tmpl w:val="E4C8481A"/>
    <w:lvl w:ilvl="0" w:tplc="567C4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96653A"/>
    <w:multiLevelType w:val="hybridMultilevel"/>
    <w:tmpl w:val="4DF0462C"/>
    <w:lvl w:ilvl="0" w:tplc="0C0A0003">
      <w:start w:val="1"/>
      <w:numFmt w:val="bullet"/>
      <w:lvlText w:val="o"/>
      <w:lvlJc w:val="left"/>
      <w:pPr>
        <w:ind w:left="4330" w:hanging="360"/>
      </w:pPr>
      <w:rPr>
        <w:rFonts w:ascii="Courier New" w:hAnsi="Courier New" w:cs="Courier New"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21" w15:restartNumberingAfterBreak="0">
    <w:nsid w:val="25FE376C"/>
    <w:multiLevelType w:val="hybridMultilevel"/>
    <w:tmpl w:val="AA12ECDC"/>
    <w:lvl w:ilvl="0" w:tplc="73F4C60A">
      <w:start w:val="1"/>
      <w:numFmt w:val="decimal"/>
      <w:lvlText w:val="%1."/>
      <w:lvlJc w:val="left"/>
      <w:pPr>
        <w:ind w:left="1571" w:hanging="360"/>
      </w:pPr>
      <w:rPr>
        <w:rFonts w:hint="default"/>
        <w:color w:val="002B7F" w:themeColor="accent1"/>
      </w:rPr>
    </w:lvl>
    <w:lvl w:ilvl="1" w:tplc="6504C842">
      <w:start w:val="1"/>
      <w:numFmt w:val="lowerLetter"/>
      <w:lvlText w:val="(%2)"/>
      <w:lvlJc w:val="left"/>
      <w:pPr>
        <w:ind w:left="2521" w:hanging="590"/>
      </w:pPr>
      <w:rPr>
        <w:rFonts w:hint="default"/>
      </w:rPr>
    </w:lvl>
    <w:lvl w:ilvl="2" w:tplc="0C0A000F">
      <w:start w:val="1"/>
      <w:numFmt w:val="decimal"/>
      <w:lvlText w:val="%3."/>
      <w:lvlJc w:val="left"/>
      <w:pPr>
        <w:ind w:left="103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2" w15:restartNumberingAfterBreak="0">
    <w:nsid w:val="266C2625"/>
    <w:multiLevelType w:val="hybridMultilevel"/>
    <w:tmpl w:val="0D04ACAC"/>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23" w15:restartNumberingAfterBreak="0">
    <w:nsid w:val="2A095AD4"/>
    <w:multiLevelType w:val="hybridMultilevel"/>
    <w:tmpl w:val="3168ABE2"/>
    <w:lvl w:ilvl="0" w:tplc="AE28E578">
      <w:numFmt w:val="bullet"/>
      <w:pStyle w:val="ListBullet2"/>
      <w:lvlText w:val="○"/>
      <w:lvlJc w:val="left"/>
      <w:pPr>
        <w:ind w:left="725" w:hanging="428"/>
      </w:pPr>
      <w:rPr>
        <w:rFonts w:ascii="Calibri" w:eastAsiaTheme="minorHAnsi" w:hAnsi="Calibri" w:cstheme="minorBidi" w:hint="default"/>
      </w:rPr>
    </w:lvl>
    <w:lvl w:ilvl="1" w:tplc="04090003" w:tentative="1">
      <w:start w:val="1"/>
      <w:numFmt w:val="bullet"/>
      <w:lvlText w:val="o"/>
      <w:lvlJc w:val="left"/>
      <w:pPr>
        <w:ind w:left="1377" w:hanging="360"/>
      </w:pPr>
      <w:rPr>
        <w:rFonts w:ascii="Courier New" w:hAnsi="Courier New" w:cs="Courier New" w:hint="default"/>
      </w:rPr>
    </w:lvl>
    <w:lvl w:ilvl="2" w:tplc="04090005" w:tentative="1">
      <w:start w:val="1"/>
      <w:numFmt w:val="bullet"/>
      <w:lvlText w:val=""/>
      <w:lvlJc w:val="left"/>
      <w:pPr>
        <w:ind w:left="2097" w:hanging="360"/>
      </w:pPr>
      <w:rPr>
        <w:rFonts w:ascii="Wingdings" w:hAnsi="Wingdings" w:hint="default"/>
      </w:rPr>
    </w:lvl>
    <w:lvl w:ilvl="3" w:tplc="04090001" w:tentative="1">
      <w:start w:val="1"/>
      <w:numFmt w:val="bullet"/>
      <w:lvlText w:val=""/>
      <w:lvlJc w:val="left"/>
      <w:pPr>
        <w:ind w:left="2817" w:hanging="360"/>
      </w:pPr>
      <w:rPr>
        <w:rFonts w:ascii="Symbol" w:hAnsi="Symbol" w:hint="default"/>
      </w:rPr>
    </w:lvl>
    <w:lvl w:ilvl="4" w:tplc="04090003" w:tentative="1">
      <w:start w:val="1"/>
      <w:numFmt w:val="bullet"/>
      <w:lvlText w:val="o"/>
      <w:lvlJc w:val="left"/>
      <w:pPr>
        <w:ind w:left="3537" w:hanging="360"/>
      </w:pPr>
      <w:rPr>
        <w:rFonts w:ascii="Courier New" w:hAnsi="Courier New" w:cs="Courier New" w:hint="default"/>
      </w:rPr>
    </w:lvl>
    <w:lvl w:ilvl="5" w:tplc="04090005" w:tentative="1">
      <w:start w:val="1"/>
      <w:numFmt w:val="bullet"/>
      <w:lvlText w:val=""/>
      <w:lvlJc w:val="left"/>
      <w:pPr>
        <w:ind w:left="4257" w:hanging="360"/>
      </w:pPr>
      <w:rPr>
        <w:rFonts w:ascii="Wingdings" w:hAnsi="Wingdings" w:hint="default"/>
      </w:rPr>
    </w:lvl>
    <w:lvl w:ilvl="6" w:tplc="04090001" w:tentative="1">
      <w:start w:val="1"/>
      <w:numFmt w:val="bullet"/>
      <w:lvlText w:val=""/>
      <w:lvlJc w:val="left"/>
      <w:pPr>
        <w:ind w:left="4977" w:hanging="360"/>
      </w:pPr>
      <w:rPr>
        <w:rFonts w:ascii="Symbol" w:hAnsi="Symbol" w:hint="default"/>
      </w:rPr>
    </w:lvl>
    <w:lvl w:ilvl="7" w:tplc="04090003" w:tentative="1">
      <w:start w:val="1"/>
      <w:numFmt w:val="bullet"/>
      <w:lvlText w:val="o"/>
      <w:lvlJc w:val="left"/>
      <w:pPr>
        <w:ind w:left="5697" w:hanging="360"/>
      </w:pPr>
      <w:rPr>
        <w:rFonts w:ascii="Courier New" w:hAnsi="Courier New" w:cs="Courier New" w:hint="default"/>
      </w:rPr>
    </w:lvl>
    <w:lvl w:ilvl="8" w:tplc="04090005" w:tentative="1">
      <w:start w:val="1"/>
      <w:numFmt w:val="bullet"/>
      <w:lvlText w:val=""/>
      <w:lvlJc w:val="left"/>
      <w:pPr>
        <w:ind w:left="6417" w:hanging="360"/>
      </w:pPr>
      <w:rPr>
        <w:rFonts w:ascii="Wingdings" w:hAnsi="Wingdings" w:hint="default"/>
      </w:rPr>
    </w:lvl>
  </w:abstractNum>
  <w:abstractNum w:abstractNumId="24" w15:restartNumberingAfterBreak="0">
    <w:nsid w:val="2CA277CA"/>
    <w:multiLevelType w:val="hybridMultilevel"/>
    <w:tmpl w:val="64FA3D7A"/>
    <w:lvl w:ilvl="0" w:tplc="1F86B178">
      <w:start w:val="1"/>
      <w:numFmt w:val="lowerLetter"/>
      <w:lvlText w:val="%1."/>
      <w:lvlJc w:val="left"/>
      <w:pPr>
        <w:ind w:left="229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3338CB"/>
    <w:multiLevelType w:val="hybridMultilevel"/>
    <w:tmpl w:val="64FA3D7A"/>
    <w:lvl w:ilvl="0" w:tplc="1F86B178">
      <w:start w:val="1"/>
      <w:numFmt w:val="lowerLetter"/>
      <w:lvlText w:val="%1."/>
      <w:lvlJc w:val="left"/>
      <w:pPr>
        <w:ind w:left="229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9805D4"/>
    <w:multiLevelType w:val="singleLevel"/>
    <w:tmpl w:val="8E061ED0"/>
    <w:lvl w:ilvl="0">
      <w:start w:val="1"/>
      <w:numFmt w:val="bullet"/>
      <w:pStyle w:val="Listavietas2"/>
      <w:lvlText w:val=""/>
      <w:lvlJc w:val="left"/>
      <w:pPr>
        <w:tabs>
          <w:tab w:val="num" w:pos="717"/>
        </w:tabs>
        <w:ind w:left="714" w:hanging="357"/>
      </w:pPr>
      <w:rPr>
        <w:rFonts w:ascii="Symbol" w:hAnsi="Symbol" w:hint="default"/>
      </w:rPr>
    </w:lvl>
  </w:abstractNum>
  <w:abstractNum w:abstractNumId="27" w15:restartNumberingAfterBreak="0">
    <w:nsid w:val="3B9D2628"/>
    <w:multiLevelType w:val="multilevel"/>
    <w:tmpl w:val="B7BE829A"/>
    <w:lvl w:ilvl="0">
      <w:start w:val="1"/>
      <w:numFmt w:val="lowerRoman"/>
      <w:lvlText w:val="%1."/>
      <w:lvlJc w:val="right"/>
      <w:pPr>
        <w:tabs>
          <w:tab w:val="num" w:pos="720"/>
        </w:tabs>
        <w:ind w:left="720" w:hanging="360"/>
      </w:pPr>
      <w:rPr>
        <w:rFonts w:hint="default"/>
        <w:b w:val="0"/>
        <w:bCs w:val="0"/>
        <w:sz w:val="20"/>
      </w:rPr>
    </w:lvl>
    <w:lvl w:ilvl="1">
      <w:start w:val="2"/>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rPr>
        <w:b w:val="0"/>
        <w:bCs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left"/>
      <w:pPr>
        <w:ind w:left="5400" w:hanging="720"/>
      </w:pPr>
      <w:rPr>
        <w:rFonts w:hint="default"/>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222019"/>
    <w:multiLevelType w:val="hybridMultilevel"/>
    <w:tmpl w:val="7B26E8A4"/>
    <w:lvl w:ilvl="0" w:tplc="23582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E3050C"/>
    <w:multiLevelType w:val="hybridMultilevel"/>
    <w:tmpl w:val="8FB6A3F6"/>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987B14"/>
    <w:multiLevelType w:val="hybridMultilevel"/>
    <w:tmpl w:val="47DAD3AA"/>
    <w:lvl w:ilvl="0" w:tplc="CE60E2B8">
      <w:numFmt w:val="bullet"/>
      <w:pStyle w:val="ListBullet"/>
      <w:lvlText w:val="•"/>
      <w:lvlJc w:val="left"/>
      <w:pPr>
        <w:ind w:left="720" w:hanging="360"/>
      </w:pPr>
      <w:rPr>
        <w:rFonts w:ascii="Calibri" w:eastAsia="Verdana" w:hAnsi="Calibri" w:cs="Verdana" w:hint="default"/>
        <w:lang w:val="en-GB"/>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DB22DE"/>
    <w:multiLevelType w:val="hybridMultilevel"/>
    <w:tmpl w:val="93A465B8"/>
    <w:lvl w:ilvl="0" w:tplc="40090001">
      <w:start w:val="1"/>
      <w:numFmt w:val="bullet"/>
      <w:lvlText w:val=""/>
      <w:lvlJc w:val="left"/>
      <w:pPr>
        <w:ind w:left="3272" w:hanging="360"/>
      </w:pPr>
      <w:rPr>
        <w:rFonts w:ascii="Symbol" w:hAnsi="Symbol" w:hint="default"/>
      </w:rPr>
    </w:lvl>
    <w:lvl w:ilvl="1" w:tplc="40090003" w:tentative="1">
      <w:start w:val="1"/>
      <w:numFmt w:val="bullet"/>
      <w:lvlText w:val="o"/>
      <w:lvlJc w:val="left"/>
      <w:pPr>
        <w:ind w:left="3992" w:hanging="360"/>
      </w:pPr>
      <w:rPr>
        <w:rFonts w:ascii="Courier New" w:hAnsi="Courier New" w:cs="Courier New" w:hint="default"/>
      </w:rPr>
    </w:lvl>
    <w:lvl w:ilvl="2" w:tplc="40090005" w:tentative="1">
      <w:start w:val="1"/>
      <w:numFmt w:val="bullet"/>
      <w:lvlText w:val=""/>
      <w:lvlJc w:val="left"/>
      <w:pPr>
        <w:ind w:left="4712" w:hanging="360"/>
      </w:pPr>
      <w:rPr>
        <w:rFonts w:ascii="Wingdings" w:hAnsi="Wingdings" w:hint="default"/>
      </w:rPr>
    </w:lvl>
    <w:lvl w:ilvl="3" w:tplc="40090001" w:tentative="1">
      <w:start w:val="1"/>
      <w:numFmt w:val="bullet"/>
      <w:lvlText w:val=""/>
      <w:lvlJc w:val="left"/>
      <w:pPr>
        <w:ind w:left="5432" w:hanging="360"/>
      </w:pPr>
      <w:rPr>
        <w:rFonts w:ascii="Symbol" w:hAnsi="Symbol" w:hint="default"/>
      </w:rPr>
    </w:lvl>
    <w:lvl w:ilvl="4" w:tplc="40090003" w:tentative="1">
      <w:start w:val="1"/>
      <w:numFmt w:val="bullet"/>
      <w:lvlText w:val="o"/>
      <w:lvlJc w:val="left"/>
      <w:pPr>
        <w:ind w:left="6152" w:hanging="360"/>
      </w:pPr>
      <w:rPr>
        <w:rFonts w:ascii="Courier New" w:hAnsi="Courier New" w:cs="Courier New" w:hint="default"/>
      </w:rPr>
    </w:lvl>
    <w:lvl w:ilvl="5" w:tplc="40090005" w:tentative="1">
      <w:start w:val="1"/>
      <w:numFmt w:val="bullet"/>
      <w:lvlText w:val=""/>
      <w:lvlJc w:val="left"/>
      <w:pPr>
        <w:ind w:left="6872" w:hanging="360"/>
      </w:pPr>
      <w:rPr>
        <w:rFonts w:ascii="Wingdings" w:hAnsi="Wingdings" w:hint="default"/>
      </w:rPr>
    </w:lvl>
    <w:lvl w:ilvl="6" w:tplc="40090001" w:tentative="1">
      <w:start w:val="1"/>
      <w:numFmt w:val="bullet"/>
      <w:lvlText w:val=""/>
      <w:lvlJc w:val="left"/>
      <w:pPr>
        <w:ind w:left="7592" w:hanging="360"/>
      </w:pPr>
      <w:rPr>
        <w:rFonts w:ascii="Symbol" w:hAnsi="Symbol" w:hint="default"/>
      </w:rPr>
    </w:lvl>
    <w:lvl w:ilvl="7" w:tplc="40090003" w:tentative="1">
      <w:start w:val="1"/>
      <w:numFmt w:val="bullet"/>
      <w:lvlText w:val="o"/>
      <w:lvlJc w:val="left"/>
      <w:pPr>
        <w:ind w:left="8312" w:hanging="360"/>
      </w:pPr>
      <w:rPr>
        <w:rFonts w:ascii="Courier New" w:hAnsi="Courier New" w:cs="Courier New" w:hint="default"/>
      </w:rPr>
    </w:lvl>
    <w:lvl w:ilvl="8" w:tplc="40090005" w:tentative="1">
      <w:start w:val="1"/>
      <w:numFmt w:val="bullet"/>
      <w:lvlText w:val=""/>
      <w:lvlJc w:val="left"/>
      <w:pPr>
        <w:ind w:left="9032" w:hanging="360"/>
      </w:pPr>
      <w:rPr>
        <w:rFonts w:ascii="Wingdings" w:hAnsi="Wingdings" w:hint="default"/>
      </w:rPr>
    </w:lvl>
  </w:abstractNum>
  <w:abstractNum w:abstractNumId="32" w15:restartNumberingAfterBreak="0">
    <w:nsid w:val="4165729D"/>
    <w:multiLevelType w:val="multilevel"/>
    <w:tmpl w:val="09567FEE"/>
    <w:lvl w:ilvl="0">
      <w:start w:val="1"/>
      <w:numFmt w:val="decimal"/>
      <w:pStyle w:val="Heading1"/>
      <w:lvlText w:val="Chapter %1."/>
      <w:lvlJc w:val="left"/>
      <w:pPr>
        <w:ind w:left="1495" w:hanging="360"/>
      </w:pPr>
      <w:rPr>
        <w:rFonts w:hint="default"/>
      </w:rPr>
    </w:lvl>
    <w:lvl w:ilvl="1">
      <w:start w:val="1"/>
      <w:numFmt w:val="decimal"/>
      <w:pStyle w:val="Heading2"/>
      <w:suff w:val="space"/>
      <w:lvlText w:val="%1.%2."/>
      <w:lvlJc w:val="left"/>
      <w:pPr>
        <w:ind w:left="1871" w:hanging="1474"/>
      </w:pPr>
      <w:rPr>
        <w:rFonts w:hint="default"/>
      </w:rPr>
    </w:lvl>
    <w:lvl w:ilvl="2">
      <w:start w:val="1"/>
      <w:numFmt w:val="decimal"/>
      <w:pStyle w:val="Heading3"/>
      <w:suff w:val="space"/>
      <w:lvlText w:val="%1.%2.%3."/>
      <w:lvlJc w:val="left"/>
      <w:pPr>
        <w:ind w:left="1814" w:hanging="1247"/>
      </w:pPr>
      <w:rPr>
        <w:rFonts w:hint="default"/>
      </w:rPr>
    </w:lvl>
    <w:lvl w:ilvl="3">
      <w:start w:val="1"/>
      <w:numFmt w:val="decimal"/>
      <w:pStyle w:val="Heading4"/>
      <w:suff w:val="space"/>
      <w:lvlText w:val="%1.%2.%3.%4."/>
      <w:lvlJc w:val="left"/>
      <w:pPr>
        <w:ind w:left="2637" w:hanging="793"/>
      </w:pPr>
      <w:rPr>
        <w:rFonts w:hint="default"/>
        <w:lang w:val="en-GB"/>
      </w:rPr>
    </w:lvl>
    <w:lvl w:ilvl="4">
      <w:start w:val="1"/>
      <w:numFmt w:val="lowerLetter"/>
      <w:pStyle w:val="Heading5"/>
      <w:lvlText w:val="%5)"/>
      <w:lvlJc w:val="right"/>
      <w:pPr>
        <w:ind w:left="1673" w:hanging="113"/>
      </w:pPr>
      <w:rPr>
        <w:rFonts w:ascii="Calibri" w:hAnsi="Calibri" w:hint="default"/>
        <w:strike w:val="0"/>
      </w:rPr>
    </w:lvl>
    <w:lvl w:ilvl="5">
      <w:start w:val="1"/>
      <w:numFmt w:val="decimal"/>
      <w:pStyle w:val="Heading6"/>
      <w:lvlText w:val="%5.%6."/>
      <w:lvlJc w:val="left"/>
      <w:pPr>
        <w:ind w:left="5953" w:firstLine="1"/>
      </w:pPr>
      <w:rPr>
        <w:rFonts w:ascii="Calibri" w:hAnsi="Calibri" w:hint="default"/>
        <w:caps w:val="0"/>
        <w:strike w:val="0"/>
        <w:dstrike w:val="0"/>
        <w:vanish w:val="0"/>
        <w:sz w:val="22"/>
        <w:vertAlign w:val="baseline"/>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33" w15:restartNumberingAfterBreak="0">
    <w:nsid w:val="467D69BF"/>
    <w:multiLevelType w:val="multilevel"/>
    <w:tmpl w:val="B058A2DC"/>
    <w:styleLink w:val="Style1"/>
    <w:lvl w:ilvl="0">
      <w:start w:val="1"/>
      <w:numFmt w:val="decimal"/>
      <w:lvlText w:val="Step 1 - %1"/>
      <w:lvlJc w:val="left"/>
      <w:pPr>
        <w:ind w:left="284" w:hanging="284"/>
      </w:pPr>
      <w:rPr>
        <w:rFonts w:ascii="Calibri" w:hAnsi="Calibri" w:hint="default"/>
        <w:caps w:val="0"/>
        <w:strike w:val="0"/>
        <w:dstrike w:val="0"/>
        <w:vanish w:val="0"/>
        <w:sz w:val="22"/>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509412FB"/>
    <w:multiLevelType w:val="multilevel"/>
    <w:tmpl w:val="2E1081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rPr>
    </w:lvl>
    <w:lvl w:ilvl="2">
      <w:start w:val="1"/>
      <w:numFmt w:val="lowerLetter"/>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left"/>
      <w:pPr>
        <w:ind w:left="5400" w:hanging="720"/>
      </w:pPr>
      <w:rPr>
        <w:rFonts w:hint="default"/>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2E536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44F2EEB"/>
    <w:multiLevelType w:val="multilevel"/>
    <w:tmpl w:val="C78A80A2"/>
    <w:lvl w:ilvl="0">
      <w:start w:val="1"/>
      <w:numFmt w:val="decimal"/>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5B255A37"/>
    <w:multiLevelType w:val="multilevel"/>
    <w:tmpl w:val="F796DE66"/>
    <w:styleLink w:val="HeadingsBe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5BDF3380"/>
    <w:multiLevelType w:val="hybridMultilevel"/>
    <w:tmpl w:val="07A21948"/>
    <w:lvl w:ilvl="0" w:tplc="08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5D747372"/>
    <w:multiLevelType w:val="hybridMultilevel"/>
    <w:tmpl w:val="7CAAF6D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607366C7"/>
    <w:multiLevelType w:val="hybridMultilevel"/>
    <w:tmpl w:val="64FA3D7A"/>
    <w:lvl w:ilvl="0" w:tplc="1F86B178">
      <w:start w:val="1"/>
      <w:numFmt w:val="lowerLetter"/>
      <w:lvlText w:val="%1."/>
      <w:lvlJc w:val="left"/>
      <w:pPr>
        <w:ind w:left="229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FA3D39"/>
    <w:multiLevelType w:val="hybridMultilevel"/>
    <w:tmpl w:val="F5488478"/>
    <w:lvl w:ilvl="0" w:tplc="0C0A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2" w15:restartNumberingAfterBreak="0">
    <w:nsid w:val="6B253513"/>
    <w:multiLevelType w:val="hybridMultilevel"/>
    <w:tmpl w:val="D0A272D4"/>
    <w:lvl w:ilvl="0" w:tplc="0C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D3585F"/>
    <w:multiLevelType w:val="hybridMultilevel"/>
    <w:tmpl w:val="64FA3D7A"/>
    <w:lvl w:ilvl="0" w:tplc="1F86B178">
      <w:start w:val="1"/>
      <w:numFmt w:val="lowerLetter"/>
      <w:lvlText w:val="%1."/>
      <w:lvlJc w:val="left"/>
      <w:pPr>
        <w:ind w:left="229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6E480D"/>
    <w:multiLevelType w:val="hybridMultilevel"/>
    <w:tmpl w:val="D2C44620"/>
    <w:lvl w:ilvl="0" w:tplc="08090003">
      <w:start w:val="1"/>
      <w:numFmt w:val="bullet"/>
      <w:lvlText w:val="o"/>
      <w:lvlJc w:val="left"/>
      <w:pPr>
        <w:ind w:left="2356" w:hanging="360"/>
      </w:pPr>
      <w:rPr>
        <w:rFonts w:ascii="Courier New" w:hAnsi="Courier New" w:cs="Courier New" w:hint="default"/>
      </w:rPr>
    </w:lvl>
    <w:lvl w:ilvl="1" w:tplc="04090003">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45" w15:restartNumberingAfterBreak="0">
    <w:nsid w:val="79213A7D"/>
    <w:multiLevelType w:val="singleLevel"/>
    <w:tmpl w:val="A6DCD7E4"/>
    <w:lvl w:ilvl="0">
      <w:start w:val="1"/>
      <w:numFmt w:val="bullet"/>
      <w:pStyle w:val="Listaletra1"/>
      <w:lvlText w:val=""/>
      <w:lvlJc w:val="left"/>
      <w:pPr>
        <w:tabs>
          <w:tab w:val="num" w:pos="360"/>
        </w:tabs>
        <w:ind w:left="360" w:hanging="360"/>
      </w:pPr>
      <w:rPr>
        <w:rFonts w:ascii="Symbol" w:hAnsi="Symbol" w:hint="default"/>
      </w:rPr>
    </w:lvl>
  </w:abstractNum>
  <w:abstractNum w:abstractNumId="46" w15:restartNumberingAfterBreak="0">
    <w:nsid w:val="7ADF1B04"/>
    <w:multiLevelType w:val="hybridMultilevel"/>
    <w:tmpl w:val="1A8478D8"/>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47" w15:restartNumberingAfterBreak="0">
    <w:nsid w:val="7B594B12"/>
    <w:multiLevelType w:val="hybridMultilevel"/>
    <w:tmpl w:val="7B26E8A4"/>
    <w:lvl w:ilvl="0" w:tplc="23582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7"/>
  </w:num>
  <w:num w:numId="5">
    <w:abstractNumId w:val="13"/>
  </w:num>
  <w:num w:numId="6">
    <w:abstractNumId w:val="36"/>
  </w:num>
  <w:num w:numId="7">
    <w:abstractNumId w:val="35"/>
  </w:num>
  <w:num w:numId="8">
    <w:abstractNumId w:val="10"/>
  </w:num>
  <w:num w:numId="9">
    <w:abstractNumId w:val="18"/>
  </w:num>
  <w:num w:numId="10">
    <w:abstractNumId w:val="8"/>
  </w:num>
  <w:num w:numId="11">
    <w:abstractNumId w:val="26"/>
  </w:num>
  <w:num w:numId="12">
    <w:abstractNumId w:val="45"/>
  </w:num>
  <w:num w:numId="13">
    <w:abstractNumId w:val="33"/>
  </w:num>
  <w:num w:numId="14">
    <w:abstractNumId w:val="3"/>
  </w:num>
  <w:num w:numId="15">
    <w:abstractNumId w:val="23"/>
  </w:num>
  <w:num w:numId="16">
    <w:abstractNumId w:val="30"/>
  </w:num>
  <w:num w:numId="17">
    <w:abstractNumId w:val="39"/>
  </w:num>
  <w:num w:numId="18">
    <w:abstractNumId w:val="32"/>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2"/>
  </w:num>
  <w:num w:numId="21">
    <w:abstractNumId w:val="42"/>
  </w:num>
  <w:num w:numId="22">
    <w:abstractNumId w:val="32"/>
  </w:num>
  <w:num w:numId="23">
    <w:abstractNumId w:val="17"/>
  </w:num>
  <w:num w:numId="24">
    <w:abstractNumId w:val="6"/>
  </w:num>
  <w:num w:numId="25">
    <w:abstractNumId w:val="21"/>
  </w:num>
  <w:num w:numId="26">
    <w:abstractNumId w:val="4"/>
  </w:num>
  <w:num w:numId="27">
    <w:abstractNumId w:val="40"/>
  </w:num>
  <w:num w:numId="28">
    <w:abstractNumId w:val="24"/>
  </w:num>
  <w:num w:numId="29">
    <w:abstractNumId w:val="25"/>
  </w:num>
  <w:num w:numId="30">
    <w:abstractNumId w:val="43"/>
  </w:num>
  <w:num w:numId="31">
    <w:abstractNumId w:val="15"/>
  </w:num>
  <w:num w:numId="32">
    <w:abstractNumId w:val="7"/>
  </w:num>
  <w:num w:numId="33">
    <w:abstractNumId w:val="11"/>
    <w:lvlOverride w:ilvl="0">
      <w:startOverride w:val="1"/>
    </w:lvlOverride>
  </w:num>
  <w:num w:numId="34">
    <w:abstractNumId w:val="34"/>
  </w:num>
  <w:num w:numId="35">
    <w:abstractNumId w:val="47"/>
  </w:num>
  <w:num w:numId="36">
    <w:abstractNumId w:val="16"/>
  </w:num>
  <w:num w:numId="37">
    <w:abstractNumId w:val="28"/>
  </w:num>
  <w:num w:numId="38">
    <w:abstractNumId w:val="44"/>
  </w:num>
  <w:num w:numId="39">
    <w:abstractNumId w:val="3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num>
  <w:num w:numId="41">
    <w:abstractNumId w:val="5"/>
  </w:num>
  <w:num w:numId="42">
    <w:abstractNumId w:val="29"/>
  </w:num>
  <w:num w:numId="43">
    <w:abstractNumId w:val="41"/>
  </w:num>
  <w:num w:numId="44">
    <w:abstractNumId w:val="19"/>
  </w:num>
  <w:num w:numId="45">
    <w:abstractNumId w:val="27"/>
  </w:num>
  <w:num w:numId="46">
    <w:abstractNumId w:val="9"/>
  </w:num>
  <w:num w:numId="47">
    <w:abstractNumId w:val="31"/>
  </w:num>
  <w:num w:numId="48">
    <w:abstractNumId w:val="32"/>
  </w:num>
  <w:num w:numId="49">
    <w:abstractNumId w:val="22"/>
  </w:num>
  <w:num w:numId="50">
    <w:abstractNumId w:val="46"/>
  </w:num>
  <w:num w:numId="51">
    <w:abstractNumId w:val="38"/>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P1">
    <w15:presenceInfo w15:providerId="None" w15:userId="HP1"/>
  </w15:person>
  <w15:person w15:author="HP">
    <w15:presenceInfo w15:providerId="None" w15:userId="HP"/>
  </w15:person>
  <w15:person w15:author="AAKASH AHMED">
    <w15:presenceInfo w15:providerId="AD" w15:userId="S::aakash.ahmed@CPPAPK.onmicrosoft.com::7225f0d9-68a3-4af7-a59c-e3cd19fb3d56"/>
  </w15:person>
  <w15:person w15:author="Jorge Bircher">
    <w15:presenceInfo w15:providerId="Windows Live" w15:userId="a33103b7bba2a0b3"/>
  </w15:person>
  <w15:person w15:author="Jorge Bircher [2]">
    <w15:presenceInfo w15:providerId="None" w15:userId="Jorge Bircher"/>
  </w15:person>
  <w15:person w15:author="Muhammad Naeem">
    <w15:presenceInfo w15:providerId="Windows Live" w15:userId="62291d63a25531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defaultTabStop w:val="720"/>
  <w:clickAndTypeStyle w:val="BodyText"/>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D5"/>
    <w:rsid w:val="0000023E"/>
    <w:rsid w:val="000003BB"/>
    <w:rsid w:val="0000096C"/>
    <w:rsid w:val="00000B4C"/>
    <w:rsid w:val="000010E5"/>
    <w:rsid w:val="00001311"/>
    <w:rsid w:val="00001323"/>
    <w:rsid w:val="00001443"/>
    <w:rsid w:val="000021A7"/>
    <w:rsid w:val="0000273C"/>
    <w:rsid w:val="0000339F"/>
    <w:rsid w:val="0000357D"/>
    <w:rsid w:val="00003713"/>
    <w:rsid w:val="0000373C"/>
    <w:rsid w:val="00004015"/>
    <w:rsid w:val="00004BCA"/>
    <w:rsid w:val="00004E48"/>
    <w:rsid w:val="00005F8D"/>
    <w:rsid w:val="00006937"/>
    <w:rsid w:val="00007786"/>
    <w:rsid w:val="00007B5E"/>
    <w:rsid w:val="00007ED3"/>
    <w:rsid w:val="00010241"/>
    <w:rsid w:val="00010DE4"/>
    <w:rsid w:val="00011589"/>
    <w:rsid w:val="00011B36"/>
    <w:rsid w:val="00011E96"/>
    <w:rsid w:val="00012464"/>
    <w:rsid w:val="000129C7"/>
    <w:rsid w:val="00012FBD"/>
    <w:rsid w:val="000136F0"/>
    <w:rsid w:val="00014BE5"/>
    <w:rsid w:val="00014FAE"/>
    <w:rsid w:val="0001523B"/>
    <w:rsid w:val="00015981"/>
    <w:rsid w:val="00015D2E"/>
    <w:rsid w:val="000161DC"/>
    <w:rsid w:val="000162BC"/>
    <w:rsid w:val="0001646F"/>
    <w:rsid w:val="00016B7B"/>
    <w:rsid w:val="00016FC6"/>
    <w:rsid w:val="000172BF"/>
    <w:rsid w:val="00017550"/>
    <w:rsid w:val="00020159"/>
    <w:rsid w:val="00020A85"/>
    <w:rsid w:val="00020C20"/>
    <w:rsid w:val="0002130A"/>
    <w:rsid w:val="0002155A"/>
    <w:rsid w:val="000218FB"/>
    <w:rsid w:val="00022B78"/>
    <w:rsid w:val="00022FB1"/>
    <w:rsid w:val="0002343C"/>
    <w:rsid w:val="0002374B"/>
    <w:rsid w:val="0002391B"/>
    <w:rsid w:val="000249C0"/>
    <w:rsid w:val="0002591E"/>
    <w:rsid w:val="00025AEB"/>
    <w:rsid w:val="00025F68"/>
    <w:rsid w:val="0002651C"/>
    <w:rsid w:val="00026B10"/>
    <w:rsid w:val="00026DED"/>
    <w:rsid w:val="0002770C"/>
    <w:rsid w:val="000279AC"/>
    <w:rsid w:val="00030294"/>
    <w:rsid w:val="000304EA"/>
    <w:rsid w:val="0003090E"/>
    <w:rsid w:val="0003093C"/>
    <w:rsid w:val="000309C6"/>
    <w:rsid w:val="00030AF4"/>
    <w:rsid w:val="00030EDF"/>
    <w:rsid w:val="00031CF1"/>
    <w:rsid w:val="0003221B"/>
    <w:rsid w:val="0003305F"/>
    <w:rsid w:val="00033589"/>
    <w:rsid w:val="00033A64"/>
    <w:rsid w:val="000345F6"/>
    <w:rsid w:val="00035452"/>
    <w:rsid w:val="00035C2D"/>
    <w:rsid w:val="00036E30"/>
    <w:rsid w:val="000374C0"/>
    <w:rsid w:val="00037DD0"/>
    <w:rsid w:val="00040B01"/>
    <w:rsid w:val="00041F6B"/>
    <w:rsid w:val="0004268C"/>
    <w:rsid w:val="00042C21"/>
    <w:rsid w:val="00042D84"/>
    <w:rsid w:val="00043335"/>
    <w:rsid w:val="000439D2"/>
    <w:rsid w:val="0004469E"/>
    <w:rsid w:val="000448A8"/>
    <w:rsid w:val="00044F52"/>
    <w:rsid w:val="00045304"/>
    <w:rsid w:val="000456DF"/>
    <w:rsid w:val="00045A8F"/>
    <w:rsid w:val="0004604B"/>
    <w:rsid w:val="00046CA1"/>
    <w:rsid w:val="000472AE"/>
    <w:rsid w:val="000473D2"/>
    <w:rsid w:val="00047437"/>
    <w:rsid w:val="00050052"/>
    <w:rsid w:val="000503C6"/>
    <w:rsid w:val="000503D4"/>
    <w:rsid w:val="000505B1"/>
    <w:rsid w:val="00050C09"/>
    <w:rsid w:val="00051233"/>
    <w:rsid w:val="00052773"/>
    <w:rsid w:val="000527BD"/>
    <w:rsid w:val="00052C7B"/>
    <w:rsid w:val="0005323C"/>
    <w:rsid w:val="000534E9"/>
    <w:rsid w:val="00053D47"/>
    <w:rsid w:val="00053E7E"/>
    <w:rsid w:val="00053F29"/>
    <w:rsid w:val="00054232"/>
    <w:rsid w:val="00055312"/>
    <w:rsid w:val="000553CB"/>
    <w:rsid w:val="0005549E"/>
    <w:rsid w:val="0005579C"/>
    <w:rsid w:val="00055B3E"/>
    <w:rsid w:val="000563C0"/>
    <w:rsid w:val="000567F5"/>
    <w:rsid w:val="00056D4A"/>
    <w:rsid w:val="000574CE"/>
    <w:rsid w:val="000578D7"/>
    <w:rsid w:val="00060824"/>
    <w:rsid w:val="00060D47"/>
    <w:rsid w:val="00060EAC"/>
    <w:rsid w:val="00061164"/>
    <w:rsid w:val="00061CEB"/>
    <w:rsid w:val="00062DEA"/>
    <w:rsid w:val="00062E4A"/>
    <w:rsid w:val="000634A8"/>
    <w:rsid w:val="00064325"/>
    <w:rsid w:val="0006445A"/>
    <w:rsid w:val="00064629"/>
    <w:rsid w:val="0006515C"/>
    <w:rsid w:val="000654AA"/>
    <w:rsid w:val="00065BA4"/>
    <w:rsid w:val="000661BF"/>
    <w:rsid w:val="00066202"/>
    <w:rsid w:val="000666F2"/>
    <w:rsid w:val="0006687B"/>
    <w:rsid w:val="000675C6"/>
    <w:rsid w:val="0007090C"/>
    <w:rsid w:val="0007173A"/>
    <w:rsid w:val="00071FC2"/>
    <w:rsid w:val="0007216A"/>
    <w:rsid w:val="000727F5"/>
    <w:rsid w:val="00072AE7"/>
    <w:rsid w:val="00072CCA"/>
    <w:rsid w:val="00074C61"/>
    <w:rsid w:val="00074F28"/>
    <w:rsid w:val="00075106"/>
    <w:rsid w:val="000751F6"/>
    <w:rsid w:val="0007555C"/>
    <w:rsid w:val="00075FCE"/>
    <w:rsid w:val="000764FD"/>
    <w:rsid w:val="00076567"/>
    <w:rsid w:val="00076B37"/>
    <w:rsid w:val="00076D5B"/>
    <w:rsid w:val="00080011"/>
    <w:rsid w:val="0008023D"/>
    <w:rsid w:val="00080B25"/>
    <w:rsid w:val="000818C7"/>
    <w:rsid w:val="00081D75"/>
    <w:rsid w:val="00081F60"/>
    <w:rsid w:val="000825CF"/>
    <w:rsid w:val="00082ECF"/>
    <w:rsid w:val="000848E8"/>
    <w:rsid w:val="0008537E"/>
    <w:rsid w:val="000857FD"/>
    <w:rsid w:val="000859DC"/>
    <w:rsid w:val="00085AB5"/>
    <w:rsid w:val="0008682C"/>
    <w:rsid w:val="00086B2D"/>
    <w:rsid w:val="000879B9"/>
    <w:rsid w:val="00090024"/>
    <w:rsid w:val="00091DBE"/>
    <w:rsid w:val="000920F8"/>
    <w:rsid w:val="00092B42"/>
    <w:rsid w:val="00092F84"/>
    <w:rsid w:val="00093382"/>
    <w:rsid w:val="00093A06"/>
    <w:rsid w:val="00093E09"/>
    <w:rsid w:val="00094203"/>
    <w:rsid w:val="00094AFF"/>
    <w:rsid w:val="00094FD3"/>
    <w:rsid w:val="00095051"/>
    <w:rsid w:val="000951D6"/>
    <w:rsid w:val="00095DE1"/>
    <w:rsid w:val="0009711A"/>
    <w:rsid w:val="00097121"/>
    <w:rsid w:val="000972BB"/>
    <w:rsid w:val="0009769B"/>
    <w:rsid w:val="000A01BE"/>
    <w:rsid w:val="000A0657"/>
    <w:rsid w:val="000A1269"/>
    <w:rsid w:val="000A172D"/>
    <w:rsid w:val="000A1DB9"/>
    <w:rsid w:val="000A2D15"/>
    <w:rsid w:val="000A3395"/>
    <w:rsid w:val="000A39CD"/>
    <w:rsid w:val="000A406F"/>
    <w:rsid w:val="000A41A5"/>
    <w:rsid w:val="000A4316"/>
    <w:rsid w:val="000A450B"/>
    <w:rsid w:val="000A4E5E"/>
    <w:rsid w:val="000A5E59"/>
    <w:rsid w:val="000A6D80"/>
    <w:rsid w:val="000A6E31"/>
    <w:rsid w:val="000A73B5"/>
    <w:rsid w:val="000A7B7C"/>
    <w:rsid w:val="000A7C01"/>
    <w:rsid w:val="000B0014"/>
    <w:rsid w:val="000B1334"/>
    <w:rsid w:val="000B1401"/>
    <w:rsid w:val="000B1524"/>
    <w:rsid w:val="000B16F2"/>
    <w:rsid w:val="000B194C"/>
    <w:rsid w:val="000B1B6A"/>
    <w:rsid w:val="000B1C92"/>
    <w:rsid w:val="000B2735"/>
    <w:rsid w:val="000B2AC9"/>
    <w:rsid w:val="000B3217"/>
    <w:rsid w:val="000B3747"/>
    <w:rsid w:val="000B4CB0"/>
    <w:rsid w:val="000B537C"/>
    <w:rsid w:val="000B54B5"/>
    <w:rsid w:val="000B570C"/>
    <w:rsid w:val="000B683A"/>
    <w:rsid w:val="000B6F1A"/>
    <w:rsid w:val="000B701B"/>
    <w:rsid w:val="000B7CD3"/>
    <w:rsid w:val="000C01E0"/>
    <w:rsid w:val="000C02F0"/>
    <w:rsid w:val="000C0556"/>
    <w:rsid w:val="000C175D"/>
    <w:rsid w:val="000C1DBE"/>
    <w:rsid w:val="000C2217"/>
    <w:rsid w:val="000C2242"/>
    <w:rsid w:val="000C28C6"/>
    <w:rsid w:val="000C294E"/>
    <w:rsid w:val="000C3321"/>
    <w:rsid w:val="000C3621"/>
    <w:rsid w:val="000C3757"/>
    <w:rsid w:val="000C3EC2"/>
    <w:rsid w:val="000C4174"/>
    <w:rsid w:val="000C427C"/>
    <w:rsid w:val="000C50F7"/>
    <w:rsid w:val="000C55EE"/>
    <w:rsid w:val="000C61B7"/>
    <w:rsid w:val="000C620A"/>
    <w:rsid w:val="000C6E22"/>
    <w:rsid w:val="000C787A"/>
    <w:rsid w:val="000C7941"/>
    <w:rsid w:val="000D0164"/>
    <w:rsid w:val="000D03F7"/>
    <w:rsid w:val="000D0689"/>
    <w:rsid w:val="000D075A"/>
    <w:rsid w:val="000D1E30"/>
    <w:rsid w:val="000D1F7A"/>
    <w:rsid w:val="000D20B1"/>
    <w:rsid w:val="000D2237"/>
    <w:rsid w:val="000D2AFA"/>
    <w:rsid w:val="000D35AE"/>
    <w:rsid w:val="000D45A2"/>
    <w:rsid w:val="000D468A"/>
    <w:rsid w:val="000D4EDF"/>
    <w:rsid w:val="000D5129"/>
    <w:rsid w:val="000D517C"/>
    <w:rsid w:val="000D534D"/>
    <w:rsid w:val="000D5721"/>
    <w:rsid w:val="000D5CCF"/>
    <w:rsid w:val="000D6084"/>
    <w:rsid w:val="000D6331"/>
    <w:rsid w:val="000D6715"/>
    <w:rsid w:val="000D6FA4"/>
    <w:rsid w:val="000D720F"/>
    <w:rsid w:val="000D7D25"/>
    <w:rsid w:val="000D7EAE"/>
    <w:rsid w:val="000E02BE"/>
    <w:rsid w:val="000E0E64"/>
    <w:rsid w:val="000E14AD"/>
    <w:rsid w:val="000E16F6"/>
    <w:rsid w:val="000E176E"/>
    <w:rsid w:val="000E1D74"/>
    <w:rsid w:val="000E1DAE"/>
    <w:rsid w:val="000E217C"/>
    <w:rsid w:val="000E2521"/>
    <w:rsid w:val="000E29D3"/>
    <w:rsid w:val="000E2EC0"/>
    <w:rsid w:val="000E59AE"/>
    <w:rsid w:val="000E5ED1"/>
    <w:rsid w:val="000E633F"/>
    <w:rsid w:val="000E6C08"/>
    <w:rsid w:val="000E7863"/>
    <w:rsid w:val="000E78BB"/>
    <w:rsid w:val="000E7ED0"/>
    <w:rsid w:val="000F149D"/>
    <w:rsid w:val="000F1690"/>
    <w:rsid w:val="000F1C20"/>
    <w:rsid w:val="000F31EB"/>
    <w:rsid w:val="000F3A76"/>
    <w:rsid w:val="000F44DB"/>
    <w:rsid w:val="000F4512"/>
    <w:rsid w:val="000F573E"/>
    <w:rsid w:val="000F576A"/>
    <w:rsid w:val="000F582B"/>
    <w:rsid w:val="000F5861"/>
    <w:rsid w:val="000F588C"/>
    <w:rsid w:val="000F5CC4"/>
    <w:rsid w:val="000F5FC4"/>
    <w:rsid w:val="000F60B6"/>
    <w:rsid w:val="000F6A2C"/>
    <w:rsid w:val="000F7519"/>
    <w:rsid w:val="000F7689"/>
    <w:rsid w:val="000F79C6"/>
    <w:rsid w:val="000F7C3A"/>
    <w:rsid w:val="001000F4"/>
    <w:rsid w:val="00100102"/>
    <w:rsid w:val="00100704"/>
    <w:rsid w:val="00100D7F"/>
    <w:rsid w:val="00100E02"/>
    <w:rsid w:val="00101466"/>
    <w:rsid w:val="001017C1"/>
    <w:rsid w:val="001021C3"/>
    <w:rsid w:val="001048F6"/>
    <w:rsid w:val="00105B50"/>
    <w:rsid w:val="00107786"/>
    <w:rsid w:val="001079BD"/>
    <w:rsid w:val="001079EC"/>
    <w:rsid w:val="00107CBC"/>
    <w:rsid w:val="00107DC9"/>
    <w:rsid w:val="00110741"/>
    <w:rsid w:val="001108B5"/>
    <w:rsid w:val="00110D23"/>
    <w:rsid w:val="0011167A"/>
    <w:rsid w:val="001116A1"/>
    <w:rsid w:val="00111869"/>
    <w:rsid w:val="00111950"/>
    <w:rsid w:val="001119F9"/>
    <w:rsid w:val="00111ADA"/>
    <w:rsid w:val="00111CDE"/>
    <w:rsid w:val="00112337"/>
    <w:rsid w:val="0011252B"/>
    <w:rsid w:val="00113437"/>
    <w:rsid w:val="0011345A"/>
    <w:rsid w:val="00113567"/>
    <w:rsid w:val="00113BD5"/>
    <w:rsid w:val="00113DA6"/>
    <w:rsid w:val="00114174"/>
    <w:rsid w:val="00114B9D"/>
    <w:rsid w:val="00115486"/>
    <w:rsid w:val="001155C1"/>
    <w:rsid w:val="00115C1E"/>
    <w:rsid w:val="00116C46"/>
    <w:rsid w:val="00117E63"/>
    <w:rsid w:val="00120287"/>
    <w:rsid w:val="001203B5"/>
    <w:rsid w:val="0012055E"/>
    <w:rsid w:val="001206CB"/>
    <w:rsid w:val="00120CA2"/>
    <w:rsid w:val="0012110D"/>
    <w:rsid w:val="001214CE"/>
    <w:rsid w:val="001215A7"/>
    <w:rsid w:val="00121A5B"/>
    <w:rsid w:val="00122392"/>
    <w:rsid w:val="00122522"/>
    <w:rsid w:val="001231E4"/>
    <w:rsid w:val="001235FD"/>
    <w:rsid w:val="00123D67"/>
    <w:rsid w:val="00124861"/>
    <w:rsid w:val="00124A03"/>
    <w:rsid w:val="00124CBA"/>
    <w:rsid w:val="00124F35"/>
    <w:rsid w:val="00125238"/>
    <w:rsid w:val="00125288"/>
    <w:rsid w:val="001252B5"/>
    <w:rsid w:val="00125C68"/>
    <w:rsid w:val="00125D1D"/>
    <w:rsid w:val="00125D6C"/>
    <w:rsid w:val="00125EFF"/>
    <w:rsid w:val="00126186"/>
    <w:rsid w:val="00126743"/>
    <w:rsid w:val="00126846"/>
    <w:rsid w:val="00126D3F"/>
    <w:rsid w:val="00126F9D"/>
    <w:rsid w:val="00127C50"/>
    <w:rsid w:val="00127CB7"/>
    <w:rsid w:val="00127CCF"/>
    <w:rsid w:val="00130617"/>
    <w:rsid w:val="0013082F"/>
    <w:rsid w:val="00130A0D"/>
    <w:rsid w:val="00130D3E"/>
    <w:rsid w:val="00130F30"/>
    <w:rsid w:val="001316AA"/>
    <w:rsid w:val="00131C52"/>
    <w:rsid w:val="00131E45"/>
    <w:rsid w:val="0013255E"/>
    <w:rsid w:val="001326D5"/>
    <w:rsid w:val="0013296B"/>
    <w:rsid w:val="00132BCB"/>
    <w:rsid w:val="00132EA0"/>
    <w:rsid w:val="00132EF8"/>
    <w:rsid w:val="0013344D"/>
    <w:rsid w:val="001336DD"/>
    <w:rsid w:val="001340A6"/>
    <w:rsid w:val="0013414E"/>
    <w:rsid w:val="001343B4"/>
    <w:rsid w:val="00134CB0"/>
    <w:rsid w:val="00134CC9"/>
    <w:rsid w:val="0013560C"/>
    <w:rsid w:val="00135791"/>
    <w:rsid w:val="00135E1E"/>
    <w:rsid w:val="001360BC"/>
    <w:rsid w:val="00136176"/>
    <w:rsid w:val="001365CF"/>
    <w:rsid w:val="00136802"/>
    <w:rsid w:val="00136D3A"/>
    <w:rsid w:val="00136E31"/>
    <w:rsid w:val="00137422"/>
    <w:rsid w:val="00137E33"/>
    <w:rsid w:val="00140B2E"/>
    <w:rsid w:val="00140ED4"/>
    <w:rsid w:val="0014126F"/>
    <w:rsid w:val="00141379"/>
    <w:rsid w:val="001413CC"/>
    <w:rsid w:val="0014187E"/>
    <w:rsid w:val="00141BE2"/>
    <w:rsid w:val="001426DD"/>
    <w:rsid w:val="001435C8"/>
    <w:rsid w:val="0014385A"/>
    <w:rsid w:val="00144951"/>
    <w:rsid w:val="001458C0"/>
    <w:rsid w:val="00145E0E"/>
    <w:rsid w:val="0014607A"/>
    <w:rsid w:val="00146964"/>
    <w:rsid w:val="00146D02"/>
    <w:rsid w:val="00147189"/>
    <w:rsid w:val="001472C6"/>
    <w:rsid w:val="0014757F"/>
    <w:rsid w:val="0014759D"/>
    <w:rsid w:val="001476DB"/>
    <w:rsid w:val="00147B7A"/>
    <w:rsid w:val="00147BA5"/>
    <w:rsid w:val="0015002F"/>
    <w:rsid w:val="00150A42"/>
    <w:rsid w:val="00150B78"/>
    <w:rsid w:val="00150F10"/>
    <w:rsid w:val="0015145F"/>
    <w:rsid w:val="001519FE"/>
    <w:rsid w:val="00151AFE"/>
    <w:rsid w:val="0015229D"/>
    <w:rsid w:val="00152780"/>
    <w:rsid w:val="001529E9"/>
    <w:rsid w:val="00152BA3"/>
    <w:rsid w:val="0015330A"/>
    <w:rsid w:val="00153BE6"/>
    <w:rsid w:val="00154DF9"/>
    <w:rsid w:val="00154FFF"/>
    <w:rsid w:val="001552DC"/>
    <w:rsid w:val="001553A6"/>
    <w:rsid w:val="0015555E"/>
    <w:rsid w:val="00155595"/>
    <w:rsid w:val="00155650"/>
    <w:rsid w:val="001557F8"/>
    <w:rsid w:val="00155B38"/>
    <w:rsid w:val="001560A3"/>
    <w:rsid w:val="0015616B"/>
    <w:rsid w:val="001573EE"/>
    <w:rsid w:val="0016002B"/>
    <w:rsid w:val="00160BF7"/>
    <w:rsid w:val="001611B2"/>
    <w:rsid w:val="00161D2B"/>
    <w:rsid w:val="0016216B"/>
    <w:rsid w:val="001628D8"/>
    <w:rsid w:val="00162D38"/>
    <w:rsid w:val="00163DB4"/>
    <w:rsid w:val="00163EC2"/>
    <w:rsid w:val="0016547C"/>
    <w:rsid w:val="0016658C"/>
    <w:rsid w:val="0016763E"/>
    <w:rsid w:val="001676DA"/>
    <w:rsid w:val="00167A38"/>
    <w:rsid w:val="00170C3A"/>
    <w:rsid w:val="00171615"/>
    <w:rsid w:val="001716EC"/>
    <w:rsid w:val="00171E72"/>
    <w:rsid w:val="00172397"/>
    <w:rsid w:val="00173E7C"/>
    <w:rsid w:val="00174125"/>
    <w:rsid w:val="001744B4"/>
    <w:rsid w:val="00174BBB"/>
    <w:rsid w:val="00174DA8"/>
    <w:rsid w:val="001753FE"/>
    <w:rsid w:val="00175802"/>
    <w:rsid w:val="00175D34"/>
    <w:rsid w:val="001760E3"/>
    <w:rsid w:val="001767EB"/>
    <w:rsid w:val="0017695C"/>
    <w:rsid w:val="00176D07"/>
    <w:rsid w:val="00176F12"/>
    <w:rsid w:val="00177AE1"/>
    <w:rsid w:val="00180F71"/>
    <w:rsid w:val="00181006"/>
    <w:rsid w:val="00181334"/>
    <w:rsid w:val="00181571"/>
    <w:rsid w:val="00181665"/>
    <w:rsid w:val="001818A0"/>
    <w:rsid w:val="0018259B"/>
    <w:rsid w:val="0018271D"/>
    <w:rsid w:val="0018275F"/>
    <w:rsid w:val="0018291F"/>
    <w:rsid w:val="0018298F"/>
    <w:rsid w:val="001829CC"/>
    <w:rsid w:val="00183C61"/>
    <w:rsid w:val="00183FED"/>
    <w:rsid w:val="00184B0E"/>
    <w:rsid w:val="00184CA7"/>
    <w:rsid w:val="00184E12"/>
    <w:rsid w:val="00184FD2"/>
    <w:rsid w:val="001854BE"/>
    <w:rsid w:val="0018553B"/>
    <w:rsid w:val="00185D07"/>
    <w:rsid w:val="00186641"/>
    <w:rsid w:val="00186A98"/>
    <w:rsid w:val="00186D68"/>
    <w:rsid w:val="00186DDD"/>
    <w:rsid w:val="00186E61"/>
    <w:rsid w:val="00187249"/>
    <w:rsid w:val="00187DB6"/>
    <w:rsid w:val="001904D8"/>
    <w:rsid w:val="00190B7B"/>
    <w:rsid w:val="00190C59"/>
    <w:rsid w:val="00190C67"/>
    <w:rsid w:val="00190EF2"/>
    <w:rsid w:val="00191325"/>
    <w:rsid w:val="00192915"/>
    <w:rsid w:val="001943E7"/>
    <w:rsid w:val="00195019"/>
    <w:rsid w:val="00195581"/>
    <w:rsid w:val="00195992"/>
    <w:rsid w:val="0019764E"/>
    <w:rsid w:val="001976FD"/>
    <w:rsid w:val="001977CE"/>
    <w:rsid w:val="001A04DD"/>
    <w:rsid w:val="001A0C23"/>
    <w:rsid w:val="001A11E6"/>
    <w:rsid w:val="001A1560"/>
    <w:rsid w:val="001A1FFF"/>
    <w:rsid w:val="001A2251"/>
    <w:rsid w:val="001A23C9"/>
    <w:rsid w:val="001A2661"/>
    <w:rsid w:val="001A2F2D"/>
    <w:rsid w:val="001A3552"/>
    <w:rsid w:val="001A3756"/>
    <w:rsid w:val="001A3875"/>
    <w:rsid w:val="001A4047"/>
    <w:rsid w:val="001A4371"/>
    <w:rsid w:val="001A4A60"/>
    <w:rsid w:val="001A5320"/>
    <w:rsid w:val="001A5687"/>
    <w:rsid w:val="001A5E9F"/>
    <w:rsid w:val="001A5F3C"/>
    <w:rsid w:val="001A6019"/>
    <w:rsid w:val="001A6D59"/>
    <w:rsid w:val="001A6E0D"/>
    <w:rsid w:val="001A72AC"/>
    <w:rsid w:val="001A7D29"/>
    <w:rsid w:val="001A7DDD"/>
    <w:rsid w:val="001A7E54"/>
    <w:rsid w:val="001A7EC9"/>
    <w:rsid w:val="001B01EC"/>
    <w:rsid w:val="001B0610"/>
    <w:rsid w:val="001B0755"/>
    <w:rsid w:val="001B224B"/>
    <w:rsid w:val="001B23A5"/>
    <w:rsid w:val="001B2D2E"/>
    <w:rsid w:val="001B4092"/>
    <w:rsid w:val="001B418B"/>
    <w:rsid w:val="001B4FB1"/>
    <w:rsid w:val="001B5840"/>
    <w:rsid w:val="001B592B"/>
    <w:rsid w:val="001B6259"/>
    <w:rsid w:val="001B7517"/>
    <w:rsid w:val="001B7861"/>
    <w:rsid w:val="001B7D63"/>
    <w:rsid w:val="001C00D1"/>
    <w:rsid w:val="001C059F"/>
    <w:rsid w:val="001C08EB"/>
    <w:rsid w:val="001C0ECE"/>
    <w:rsid w:val="001C0F0F"/>
    <w:rsid w:val="001C1C6F"/>
    <w:rsid w:val="001C3230"/>
    <w:rsid w:val="001C333B"/>
    <w:rsid w:val="001C3AAA"/>
    <w:rsid w:val="001C3FB9"/>
    <w:rsid w:val="001C49FA"/>
    <w:rsid w:val="001C4A53"/>
    <w:rsid w:val="001C4A85"/>
    <w:rsid w:val="001C57C7"/>
    <w:rsid w:val="001C60A0"/>
    <w:rsid w:val="001C6718"/>
    <w:rsid w:val="001C67B8"/>
    <w:rsid w:val="001C6E65"/>
    <w:rsid w:val="001C72C2"/>
    <w:rsid w:val="001C73EF"/>
    <w:rsid w:val="001C74F5"/>
    <w:rsid w:val="001C75FC"/>
    <w:rsid w:val="001D061E"/>
    <w:rsid w:val="001D09E4"/>
    <w:rsid w:val="001D0A86"/>
    <w:rsid w:val="001D0CB2"/>
    <w:rsid w:val="001D11B5"/>
    <w:rsid w:val="001D11E1"/>
    <w:rsid w:val="001D16F5"/>
    <w:rsid w:val="001D182E"/>
    <w:rsid w:val="001D1BEA"/>
    <w:rsid w:val="001D22A8"/>
    <w:rsid w:val="001D26D0"/>
    <w:rsid w:val="001D2A2A"/>
    <w:rsid w:val="001D2B9B"/>
    <w:rsid w:val="001D2E97"/>
    <w:rsid w:val="001D304D"/>
    <w:rsid w:val="001D30BB"/>
    <w:rsid w:val="001D32DD"/>
    <w:rsid w:val="001D3581"/>
    <w:rsid w:val="001D3C5D"/>
    <w:rsid w:val="001D464A"/>
    <w:rsid w:val="001D5592"/>
    <w:rsid w:val="001D56B2"/>
    <w:rsid w:val="001D6786"/>
    <w:rsid w:val="001D7009"/>
    <w:rsid w:val="001D71D7"/>
    <w:rsid w:val="001D7A46"/>
    <w:rsid w:val="001E0810"/>
    <w:rsid w:val="001E1ADB"/>
    <w:rsid w:val="001E1D2F"/>
    <w:rsid w:val="001E223E"/>
    <w:rsid w:val="001E315D"/>
    <w:rsid w:val="001E3EC1"/>
    <w:rsid w:val="001E4234"/>
    <w:rsid w:val="001E4925"/>
    <w:rsid w:val="001E4ABA"/>
    <w:rsid w:val="001E54AD"/>
    <w:rsid w:val="001E5563"/>
    <w:rsid w:val="001E5B51"/>
    <w:rsid w:val="001E5EA7"/>
    <w:rsid w:val="001E61D6"/>
    <w:rsid w:val="001E6EFE"/>
    <w:rsid w:val="001E7972"/>
    <w:rsid w:val="001F10D3"/>
    <w:rsid w:val="001F1E6F"/>
    <w:rsid w:val="001F21DB"/>
    <w:rsid w:val="001F283E"/>
    <w:rsid w:val="001F3266"/>
    <w:rsid w:val="001F3A3F"/>
    <w:rsid w:val="001F5266"/>
    <w:rsid w:val="001F53A8"/>
    <w:rsid w:val="001F5A40"/>
    <w:rsid w:val="001F680C"/>
    <w:rsid w:val="001F6B98"/>
    <w:rsid w:val="001F6CEB"/>
    <w:rsid w:val="002000F0"/>
    <w:rsid w:val="00200267"/>
    <w:rsid w:val="0020121E"/>
    <w:rsid w:val="00201A01"/>
    <w:rsid w:val="00201A86"/>
    <w:rsid w:val="00201F9D"/>
    <w:rsid w:val="002025A2"/>
    <w:rsid w:val="00202DBF"/>
    <w:rsid w:val="00203630"/>
    <w:rsid w:val="00203696"/>
    <w:rsid w:val="002039A5"/>
    <w:rsid w:val="00203FD2"/>
    <w:rsid w:val="00204316"/>
    <w:rsid w:val="00204A89"/>
    <w:rsid w:val="00204B70"/>
    <w:rsid w:val="00205266"/>
    <w:rsid w:val="002054F8"/>
    <w:rsid w:val="002056E9"/>
    <w:rsid w:val="002057EE"/>
    <w:rsid w:val="00205872"/>
    <w:rsid w:val="002059C2"/>
    <w:rsid w:val="00205DF6"/>
    <w:rsid w:val="0020620F"/>
    <w:rsid w:val="00206E65"/>
    <w:rsid w:val="00207244"/>
    <w:rsid w:val="002073EA"/>
    <w:rsid w:val="00207537"/>
    <w:rsid w:val="0020779B"/>
    <w:rsid w:val="00207839"/>
    <w:rsid w:val="00207F8B"/>
    <w:rsid w:val="002101E4"/>
    <w:rsid w:val="00210ADA"/>
    <w:rsid w:val="002111AA"/>
    <w:rsid w:val="002111ED"/>
    <w:rsid w:val="00211201"/>
    <w:rsid w:val="002118F7"/>
    <w:rsid w:val="00211C29"/>
    <w:rsid w:val="00211E7F"/>
    <w:rsid w:val="00212072"/>
    <w:rsid w:val="00212F6F"/>
    <w:rsid w:val="00214CE4"/>
    <w:rsid w:val="00215286"/>
    <w:rsid w:val="0021581F"/>
    <w:rsid w:val="00215B4F"/>
    <w:rsid w:val="0021630C"/>
    <w:rsid w:val="00216654"/>
    <w:rsid w:val="00216CDF"/>
    <w:rsid w:val="00217B1D"/>
    <w:rsid w:val="00217D11"/>
    <w:rsid w:val="00220A69"/>
    <w:rsid w:val="00220B2C"/>
    <w:rsid w:val="00220C18"/>
    <w:rsid w:val="00221975"/>
    <w:rsid w:val="00221B8B"/>
    <w:rsid w:val="00221D90"/>
    <w:rsid w:val="00222F09"/>
    <w:rsid w:val="0022348E"/>
    <w:rsid w:val="0022355B"/>
    <w:rsid w:val="00224613"/>
    <w:rsid w:val="002246AC"/>
    <w:rsid w:val="00224826"/>
    <w:rsid w:val="00224967"/>
    <w:rsid w:val="002249DC"/>
    <w:rsid w:val="00225D99"/>
    <w:rsid w:val="00226400"/>
    <w:rsid w:val="00226E3D"/>
    <w:rsid w:val="00227F0D"/>
    <w:rsid w:val="00230236"/>
    <w:rsid w:val="002302E5"/>
    <w:rsid w:val="00230459"/>
    <w:rsid w:val="00230A36"/>
    <w:rsid w:val="00230CFC"/>
    <w:rsid w:val="00230FAD"/>
    <w:rsid w:val="00231209"/>
    <w:rsid w:val="00231260"/>
    <w:rsid w:val="00231577"/>
    <w:rsid w:val="002315AC"/>
    <w:rsid w:val="002317E0"/>
    <w:rsid w:val="002336C3"/>
    <w:rsid w:val="00233BD2"/>
    <w:rsid w:val="0023509E"/>
    <w:rsid w:val="002354C9"/>
    <w:rsid w:val="002354D4"/>
    <w:rsid w:val="00235844"/>
    <w:rsid w:val="002358B8"/>
    <w:rsid w:val="00236044"/>
    <w:rsid w:val="00236366"/>
    <w:rsid w:val="00236E29"/>
    <w:rsid w:val="00236FF5"/>
    <w:rsid w:val="002371D5"/>
    <w:rsid w:val="00237233"/>
    <w:rsid w:val="00240901"/>
    <w:rsid w:val="0024134E"/>
    <w:rsid w:val="00241539"/>
    <w:rsid w:val="00242820"/>
    <w:rsid w:val="0024503B"/>
    <w:rsid w:val="00245A50"/>
    <w:rsid w:val="002462E3"/>
    <w:rsid w:val="00246FF7"/>
    <w:rsid w:val="00247397"/>
    <w:rsid w:val="00247C20"/>
    <w:rsid w:val="002510B1"/>
    <w:rsid w:val="002517D9"/>
    <w:rsid w:val="00251DBF"/>
    <w:rsid w:val="00251F3B"/>
    <w:rsid w:val="0025211B"/>
    <w:rsid w:val="002521DD"/>
    <w:rsid w:val="002529A0"/>
    <w:rsid w:val="00253C48"/>
    <w:rsid w:val="00253EFC"/>
    <w:rsid w:val="00253F32"/>
    <w:rsid w:val="0025414F"/>
    <w:rsid w:val="00254981"/>
    <w:rsid w:val="00254C6E"/>
    <w:rsid w:val="002554E9"/>
    <w:rsid w:val="0025631D"/>
    <w:rsid w:val="00256360"/>
    <w:rsid w:val="00256B2B"/>
    <w:rsid w:val="00257340"/>
    <w:rsid w:val="00257354"/>
    <w:rsid w:val="00257632"/>
    <w:rsid w:val="00257CC2"/>
    <w:rsid w:val="002600B2"/>
    <w:rsid w:val="00260783"/>
    <w:rsid w:val="002609D2"/>
    <w:rsid w:val="0026120F"/>
    <w:rsid w:val="0026179B"/>
    <w:rsid w:val="00262250"/>
    <w:rsid w:val="00263436"/>
    <w:rsid w:val="00263B9E"/>
    <w:rsid w:val="002646F2"/>
    <w:rsid w:val="00264E9F"/>
    <w:rsid w:val="00264EF8"/>
    <w:rsid w:val="00265097"/>
    <w:rsid w:val="002651AA"/>
    <w:rsid w:val="00266399"/>
    <w:rsid w:val="00266E0F"/>
    <w:rsid w:val="002677A4"/>
    <w:rsid w:val="00270155"/>
    <w:rsid w:val="00270434"/>
    <w:rsid w:val="002712AD"/>
    <w:rsid w:val="002716AF"/>
    <w:rsid w:val="0027222F"/>
    <w:rsid w:val="002722B7"/>
    <w:rsid w:val="0027230F"/>
    <w:rsid w:val="00272CFE"/>
    <w:rsid w:val="002732D4"/>
    <w:rsid w:val="002735AD"/>
    <w:rsid w:val="00273750"/>
    <w:rsid w:val="00273BC0"/>
    <w:rsid w:val="00273CFC"/>
    <w:rsid w:val="00274219"/>
    <w:rsid w:val="00274442"/>
    <w:rsid w:val="00274529"/>
    <w:rsid w:val="00274CDE"/>
    <w:rsid w:val="00275042"/>
    <w:rsid w:val="002757B1"/>
    <w:rsid w:val="002766E9"/>
    <w:rsid w:val="002767EC"/>
    <w:rsid w:val="00276CC7"/>
    <w:rsid w:val="00276E80"/>
    <w:rsid w:val="00277153"/>
    <w:rsid w:val="00277945"/>
    <w:rsid w:val="00277F1A"/>
    <w:rsid w:val="0028043D"/>
    <w:rsid w:val="002807FA"/>
    <w:rsid w:val="00281563"/>
    <w:rsid w:val="002818BF"/>
    <w:rsid w:val="00281EFD"/>
    <w:rsid w:val="002822DC"/>
    <w:rsid w:val="00282CC8"/>
    <w:rsid w:val="00282F08"/>
    <w:rsid w:val="0028351E"/>
    <w:rsid w:val="0028386E"/>
    <w:rsid w:val="002844A1"/>
    <w:rsid w:val="00285EA1"/>
    <w:rsid w:val="002869DE"/>
    <w:rsid w:val="00286A77"/>
    <w:rsid w:val="00286BAE"/>
    <w:rsid w:val="0028726E"/>
    <w:rsid w:val="002872B0"/>
    <w:rsid w:val="00287689"/>
    <w:rsid w:val="00287B06"/>
    <w:rsid w:val="00287E9F"/>
    <w:rsid w:val="0029003C"/>
    <w:rsid w:val="00290416"/>
    <w:rsid w:val="00290BF6"/>
    <w:rsid w:val="00290DB2"/>
    <w:rsid w:val="00290EAD"/>
    <w:rsid w:val="0029145B"/>
    <w:rsid w:val="0029156E"/>
    <w:rsid w:val="00291CB6"/>
    <w:rsid w:val="002923BC"/>
    <w:rsid w:val="002929AA"/>
    <w:rsid w:val="00292BD3"/>
    <w:rsid w:val="0029337F"/>
    <w:rsid w:val="00293B22"/>
    <w:rsid w:val="00293F8F"/>
    <w:rsid w:val="00294518"/>
    <w:rsid w:val="002948E4"/>
    <w:rsid w:val="00294A96"/>
    <w:rsid w:val="00294BC3"/>
    <w:rsid w:val="0029621D"/>
    <w:rsid w:val="002966A9"/>
    <w:rsid w:val="00296AE8"/>
    <w:rsid w:val="00296FD9"/>
    <w:rsid w:val="002972CF"/>
    <w:rsid w:val="00297B99"/>
    <w:rsid w:val="002A0160"/>
    <w:rsid w:val="002A01B0"/>
    <w:rsid w:val="002A096D"/>
    <w:rsid w:val="002A1AD9"/>
    <w:rsid w:val="002A285B"/>
    <w:rsid w:val="002A28B3"/>
    <w:rsid w:val="002A31FB"/>
    <w:rsid w:val="002A3430"/>
    <w:rsid w:val="002A355F"/>
    <w:rsid w:val="002A3905"/>
    <w:rsid w:val="002A3AA5"/>
    <w:rsid w:val="002A3F51"/>
    <w:rsid w:val="002A43E8"/>
    <w:rsid w:val="002A47E3"/>
    <w:rsid w:val="002A4B86"/>
    <w:rsid w:val="002A4CFF"/>
    <w:rsid w:val="002A4DD6"/>
    <w:rsid w:val="002A4E9E"/>
    <w:rsid w:val="002A4FF6"/>
    <w:rsid w:val="002A5136"/>
    <w:rsid w:val="002A54A6"/>
    <w:rsid w:val="002A55B8"/>
    <w:rsid w:val="002A5F9A"/>
    <w:rsid w:val="002A61FA"/>
    <w:rsid w:val="002A68BF"/>
    <w:rsid w:val="002A68D6"/>
    <w:rsid w:val="002B05AD"/>
    <w:rsid w:val="002B07DB"/>
    <w:rsid w:val="002B147D"/>
    <w:rsid w:val="002B1E92"/>
    <w:rsid w:val="002B1FE6"/>
    <w:rsid w:val="002B26C0"/>
    <w:rsid w:val="002B28A7"/>
    <w:rsid w:val="002B3644"/>
    <w:rsid w:val="002B3781"/>
    <w:rsid w:val="002B39EB"/>
    <w:rsid w:val="002B420B"/>
    <w:rsid w:val="002B48FB"/>
    <w:rsid w:val="002B4F0D"/>
    <w:rsid w:val="002B5709"/>
    <w:rsid w:val="002B5D94"/>
    <w:rsid w:val="002B67C8"/>
    <w:rsid w:val="002B6843"/>
    <w:rsid w:val="002B6A4C"/>
    <w:rsid w:val="002B726D"/>
    <w:rsid w:val="002B749E"/>
    <w:rsid w:val="002C0598"/>
    <w:rsid w:val="002C062B"/>
    <w:rsid w:val="002C0673"/>
    <w:rsid w:val="002C0D06"/>
    <w:rsid w:val="002C0D48"/>
    <w:rsid w:val="002C120E"/>
    <w:rsid w:val="002C1B09"/>
    <w:rsid w:val="002C210D"/>
    <w:rsid w:val="002C213E"/>
    <w:rsid w:val="002C24F3"/>
    <w:rsid w:val="002C2D0A"/>
    <w:rsid w:val="002C2DEC"/>
    <w:rsid w:val="002C32A5"/>
    <w:rsid w:val="002C33EF"/>
    <w:rsid w:val="002C3761"/>
    <w:rsid w:val="002C3EE6"/>
    <w:rsid w:val="002C493A"/>
    <w:rsid w:val="002C5194"/>
    <w:rsid w:val="002C5902"/>
    <w:rsid w:val="002C5FD6"/>
    <w:rsid w:val="002C6251"/>
    <w:rsid w:val="002C65D8"/>
    <w:rsid w:val="002C76C7"/>
    <w:rsid w:val="002C7E58"/>
    <w:rsid w:val="002C7EB6"/>
    <w:rsid w:val="002D189E"/>
    <w:rsid w:val="002D1AB8"/>
    <w:rsid w:val="002D1BAC"/>
    <w:rsid w:val="002D2206"/>
    <w:rsid w:val="002D348C"/>
    <w:rsid w:val="002D3CD9"/>
    <w:rsid w:val="002D4089"/>
    <w:rsid w:val="002D4737"/>
    <w:rsid w:val="002D4C44"/>
    <w:rsid w:val="002D4DE0"/>
    <w:rsid w:val="002D4EDB"/>
    <w:rsid w:val="002D52B8"/>
    <w:rsid w:val="002D53A9"/>
    <w:rsid w:val="002D550B"/>
    <w:rsid w:val="002D58BB"/>
    <w:rsid w:val="002D5989"/>
    <w:rsid w:val="002D5F7C"/>
    <w:rsid w:val="002D60EE"/>
    <w:rsid w:val="002D643F"/>
    <w:rsid w:val="002D698F"/>
    <w:rsid w:val="002D7128"/>
    <w:rsid w:val="002D74B8"/>
    <w:rsid w:val="002D7513"/>
    <w:rsid w:val="002D77D8"/>
    <w:rsid w:val="002D7BC0"/>
    <w:rsid w:val="002D7BCE"/>
    <w:rsid w:val="002D7E15"/>
    <w:rsid w:val="002E071F"/>
    <w:rsid w:val="002E0F0B"/>
    <w:rsid w:val="002E103B"/>
    <w:rsid w:val="002E22C3"/>
    <w:rsid w:val="002E31F6"/>
    <w:rsid w:val="002E3415"/>
    <w:rsid w:val="002E3658"/>
    <w:rsid w:val="002E3CCF"/>
    <w:rsid w:val="002E3EB0"/>
    <w:rsid w:val="002E405A"/>
    <w:rsid w:val="002E40FD"/>
    <w:rsid w:val="002E4115"/>
    <w:rsid w:val="002E41F9"/>
    <w:rsid w:val="002E4BD1"/>
    <w:rsid w:val="002E4D54"/>
    <w:rsid w:val="002E529E"/>
    <w:rsid w:val="002E5396"/>
    <w:rsid w:val="002E59CF"/>
    <w:rsid w:val="002E6250"/>
    <w:rsid w:val="002E62C0"/>
    <w:rsid w:val="002E72FE"/>
    <w:rsid w:val="002E7BAC"/>
    <w:rsid w:val="002E7ECC"/>
    <w:rsid w:val="002F04D7"/>
    <w:rsid w:val="002F0DB7"/>
    <w:rsid w:val="002F19B7"/>
    <w:rsid w:val="002F1BCF"/>
    <w:rsid w:val="002F1C0A"/>
    <w:rsid w:val="002F287F"/>
    <w:rsid w:val="002F3617"/>
    <w:rsid w:val="002F3BA1"/>
    <w:rsid w:val="002F3C94"/>
    <w:rsid w:val="002F3D0D"/>
    <w:rsid w:val="002F3E38"/>
    <w:rsid w:val="002F4EDA"/>
    <w:rsid w:val="002F4FA1"/>
    <w:rsid w:val="002F50FC"/>
    <w:rsid w:val="002F5F15"/>
    <w:rsid w:val="002F621F"/>
    <w:rsid w:val="002F6972"/>
    <w:rsid w:val="002F7493"/>
    <w:rsid w:val="002F76EA"/>
    <w:rsid w:val="00300278"/>
    <w:rsid w:val="0030057E"/>
    <w:rsid w:val="00300E14"/>
    <w:rsid w:val="00300E29"/>
    <w:rsid w:val="00301271"/>
    <w:rsid w:val="003018FA"/>
    <w:rsid w:val="003019DC"/>
    <w:rsid w:val="00302191"/>
    <w:rsid w:val="00302427"/>
    <w:rsid w:val="003028D5"/>
    <w:rsid w:val="0030292C"/>
    <w:rsid w:val="00302CB0"/>
    <w:rsid w:val="0030309D"/>
    <w:rsid w:val="003037BA"/>
    <w:rsid w:val="00303E16"/>
    <w:rsid w:val="00304662"/>
    <w:rsid w:val="0030473A"/>
    <w:rsid w:val="00304B93"/>
    <w:rsid w:val="00305459"/>
    <w:rsid w:val="00305464"/>
    <w:rsid w:val="0030560E"/>
    <w:rsid w:val="00306AE9"/>
    <w:rsid w:val="00307708"/>
    <w:rsid w:val="00310BDE"/>
    <w:rsid w:val="00310D3D"/>
    <w:rsid w:val="003110C6"/>
    <w:rsid w:val="00311415"/>
    <w:rsid w:val="00311E38"/>
    <w:rsid w:val="00311EDA"/>
    <w:rsid w:val="00311FA4"/>
    <w:rsid w:val="003121BA"/>
    <w:rsid w:val="0031337F"/>
    <w:rsid w:val="003134CB"/>
    <w:rsid w:val="00313A90"/>
    <w:rsid w:val="0031408B"/>
    <w:rsid w:val="00314DAF"/>
    <w:rsid w:val="003151C3"/>
    <w:rsid w:val="003159B3"/>
    <w:rsid w:val="00316610"/>
    <w:rsid w:val="00316BE9"/>
    <w:rsid w:val="00316E14"/>
    <w:rsid w:val="00316EA4"/>
    <w:rsid w:val="00316EB5"/>
    <w:rsid w:val="003176E0"/>
    <w:rsid w:val="00317F70"/>
    <w:rsid w:val="00317FBD"/>
    <w:rsid w:val="00320295"/>
    <w:rsid w:val="0032074A"/>
    <w:rsid w:val="003208AC"/>
    <w:rsid w:val="00320A26"/>
    <w:rsid w:val="00320DB8"/>
    <w:rsid w:val="003214A4"/>
    <w:rsid w:val="00321541"/>
    <w:rsid w:val="003215B4"/>
    <w:rsid w:val="00321697"/>
    <w:rsid w:val="003225A5"/>
    <w:rsid w:val="00322924"/>
    <w:rsid w:val="00322B84"/>
    <w:rsid w:val="003233E1"/>
    <w:rsid w:val="00323413"/>
    <w:rsid w:val="00323849"/>
    <w:rsid w:val="0032461A"/>
    <w:rsid w:val="0032463B"/>
    <w:rsid w:val="0032466F"/>
    <w:rsid w:val="00324A03"/>
    <w:rsid w:val="00324FA0"/>
    <w:rsid w:val="00325204"/>
    <w:rsid w:val="003256FD"/>
    <w:rsid w:val="00326261"/>
    <w:rsid w:val="003263F0"/>
    <w:rsid w:val="003264D7"/>
    <w:rsid w:val="00326AB2"/>
    <w:rsid w:val="0032752C"/>
    <w:rsid w:val="0032795B"/>
    <w:rsid w:val="00330EA1"/>
    <w:rsid w:val="00331214"/>
    <w:rsid w:val="00331413"/>
    <w:rsid w:val="003317B4"/>
    <w:rsid w:val="00331843"/>
    <w:rsid w:val="0033230F"/>
    <w:rsid w:val="00332669"/>
    <w:rsid w:val="00332D1C"/>
    <w:rsid w:val="00332D62"/>
    <w:rsid w:val="00332E05"/>
    <w:rsid w:val="00333062"/>
    <w:rsid w:val="0033308D"/>
    <w:rsid w:val="003330CE"/>
    <w:rsid w:val="00333FE6"/>
    <w:rsid w:val="0033411F"/>
    <w:rsid w:val="0033454E"/>
    <w:rsid w:val="003346EF"/>
    <w:rsid w:val="003349E9"/>
    <w:rsid w:val="00334EEA"/>
    <w:rsid w:val="00335039"/>
    <w:rsid w:val="00335607"/>
    <w:rsid w:val="003358CC"/>
    <w:rsid w:val="00336AD9"/>
    <w:rsid w:val="00336E7F"/>
    <w:rsid w:val="00337926"/>
    <w:rsid w:val="00337D5B"/>
    <w:rsid w:val="00340004"/>
    <w:rsid w:val="003404B2"/>
    <w:rsid w:val="003407D6"/>
    <w:rsid w:val="00340C45"/>
    <w:rsid w:val="00340C73"/>
    <w:rsid w:val="00340DCB"/>
    <w:rsid w:val="00341D2C"/>
    <w:rsid w:val="00342505"/>
    <w:rsid w:val="003426B6"/>
    <w:rsid w:val="003427CF"/>
    <w:rsid w:val="00342E02"/>
    <w:rsid w:val="00343314"/>
    <w:rsid w:val="00343D05"/>
    <w:rsid w:val="003443CB"/>
    <w:rsid w:val="00344CEB"/>
    <w:rsid w:val="00344D56"/>
    <w:rsid w:val="00344F45"/>
    <w:rsid w:val="003450DF"/>
    <w:rsid w:val="003454BA"/>
    <w:rsid w:val="00345854"/>
    <w:rsid w:val="00345ADD"/>
    <w:rsid w:val="003467B8"/>
    <w:rsid w:val="00346DAE"/>
    <w:rsid w:val="003474F4"/>
    <w:rsid w:val="00350358"/>
    <w:rsid w:val="00350A8C"/>
    <w:rsid w:val="003510CD"/>
    <w:rsid w:val="0035110D"/>
    <w:rsid w:val="00351676"/>
    <w:rsid w:val="00351C67"/>
    <w:rsid w:val="00351FB1"/>
    <w:rsid w:val="003520EF"/>
    <w:rsid w:val="00352266"/>
    <w:rsid w:val="0035256F"/>
    <w:rsid w:val="0035292B"/>
    <w:rsid w:val="00352AC9"/>
    <w:rsid w:val="00352B50"/>
    <w:rsid w:val="00352C79"/>
    <w:rsid w:val="00352D4E"/>
    <w:rsid w:val="00352E11"/>
    <w:rsid w:val="00352E85"/>
    <w:rsid w:val="003538BF"/>
    <w:rsid w:val="00353920"/>
    <w:rsid w:val="00353C1A"/>
    <w:rsid w:val="00354129"/>
    <w:rsid w:val="00354585"/>
    <w:rsid w:val="00355929"/>
    <w:rsid w:val="00356562"/>
    <w:rsid w:val="00356DEE"/>
    <w:rsid w:val="00357352"/>
    <w:rsid w:val="0035768E"/>
    <w:rsid w:val="00361363"/>
    <w:rsid w:val="003618EC"/>
    <w:rsid w:val="0036245B"/>
    <w:rsid w:val="00362926"/>
    <w:rsid w:val="00362B57"/>
    <w:rsid w:val="00362D59"/>
    <w:rsid w:val="00363320"/>
    <w:rsid w:val="00363383"/>
    <w:rsid w:val="00363606"/>
    <w:rsid w:val="00364509"/>
    <w:rsid w:val="003648C4"/>
    <w:rsid w:val="00364E51"/>
    <w:rsid w:val="00365153"/>
    <w:rsid w:val="0036522F"/>
    <w:rsid w:val="0036525C"/>
    <w:rsid w:val="0036611F"/>
    <w:rsid w:val="00367DFA"/>
    <w:rsid w:val="00367EA1"/>
    <w:rsid w:val="003708B4"/>
    <w:rsid w:val="00371405"/>
    <w:rsid w:val="00371466"/>
    <w:rsid w:val="00372499"/>
    <w:rsid w:val="00372885"/>
    <w:rsid w:val="00372C88"/>
    <w:rsid w:val="003742B6"/>
    <w:rsid w:val="003746A9"/>
    <w:rsid w:val="00375415"/>
    <w:rsid w:val="0037576D"/>
    <w:rsid w:val="0037584B"/>
    <w:rsid w:val="00375BB8"/>
    <w:rsid w:val="00375D01"/>
    <w:rsid w:val="00376315"/>
    <w:rsid w:val="003768B3"/>
    <w:rsid w:val="00376ADB"/>
    <w:rsid w:val="00376AE9"/>
    <w:rsid w:val="0037786C"/>
    <w:rsid w:val="00377BC4"/>
    <w:rsid w:val="00377FF0"/>
    <w:rsid w:val="00380386"/>
    <w:rsid w:val="00381124"/>
    <w:rsid w:val="0038134D"/>
    <w:rsid w:val="00381889"/>
    <w:rsid w:val="0038224B"/>
    <w:rsid w:val="00382430"/>
    <w:rsid w:val="00382777"/>
    <w:rsid w:val="00382D81"/>
    <w:rsid w:val="00382DFC"/>
    <w:rsid w:val="00383039"/>
    <w:rsid w:val="00384888"/>
    <w:rsid w:val="003856FE"/>
    <w:rsid w:val="00385FA9"/>
    <w:rsid w:val="0038754A"/>
    <w:rsid w:val="0038798D"/>
    <w:rsid w:val="00387B14"/>
    <w:rsid w:val="00387CE8"/>
    <w:rsid w:val="00387F57"/>
    <w:rsid w:val="00390195"/>
    <w:rsid w:val="003903D5"/>
    <w:rsid w:val="00390903"/>
    <w:rsid w:val="00390E26"/>
    <w:rsid w:val="00390E61"/>
    <w:rsid w:val="00390EEA"/>
    <w:rsid w:val="0039105F"/>
    <w:rsid w:val="0039168D"/>
    <w:rsid w:val="00392CD3"/>
    <w:rsid w:val="00394B8E"/>
    <w:rsid w:val="00394D89"/>
    <w:rsid w:val="00395353"/>
    <w:rsid w:val="00395463"/>
    <w:rsid w:val="0039547B"/>
    <w:rsid w:val="00395666"/>
    <w:rsid w:val="00395716"/>
    <w:rsid w:val="00395892"/>
    <w:rsid w:val="00395B0F"/>
    <w:rsid w:val="00395B6F"/>
    <w:rsid w:val="00396C4C"/>
    <w:rsid w:val="00396F7F"/>
    <w:rsid w:val="00397422"/>
    <w:rsid w:val="003974E4"/>
    <w:rsid w:val="00397681"/>
    <w:rsid w:val="003978BB"/>
    <w:rsid w:val="003A073A"/>
    <w:rsid w:val="003A0CC2"/>
    <w:rsid w:val="003A0D05"/>
    <w:rsid w:val="003A0FC6"/>
    <w:rsid w:val="003A102D"/>
    <w:rsid w:val="003A1044"/>
    <w:rsid w:val="003A16B5"/>
    <w:rsid w:val="003A1D74"/>
    <w:rsid w:val="003A201F"/>
    <w:rsid w:val="003A2409"/>
    <w:rsid w:val="003A3188"/>
    <w:rsid w:val="003A3854"/>
    <w:rsid w:val="003A3882"/>
    <w:rsid w:val="003A4591"/>
    <w:rsid w:val="003A4D77"/>
    <w:rsid w:val="003A50D5"/>
    <w:rsid w:val="003A554D"/>
    <w:rsid w:val="003A578F"/>
    <w:rsid w:val="003A617F"/>
    <w:rsid w:val="003A641B"/>
    <w:rsid w:val="003A6439"/>
    <w:rsid w:val="003A667B"/>
    <w:rsid w:val="003A669C"/>
    <w:rsid w:val="003A7AA6"/>
    <w:rsid w:val="003A7CCB"/>
    <w:rsid w:val="003B01C5"/>
    <w:rsid w:val="003B023A"/>
    <w:rsid w:val="003B079A"/>
    <w:rsid w:val="003B0854"/>
    <w:rsid w:val="003B0939"/>
    <w:rsid w:val="003B09D1"/>
    <w:rsid w:val="003B0CB2"/>
    <w:rsid w:val="003B14BC"/>
    <w:rsid w:val="003B17F7"/>
    <w:rsid w:val="003B2116"/>
    <w:rsid w:val="003B2622"/>
    <w:rsid w:val="003B38AD"/>
    <w:rsid w:val="003B3CF4"/>
    <w:rsid w:val="003B44FA"/>
    <w:rsid w:val="003B4E59"/>
    <w:rsid w:val="003B548D"/>
    <w:rsid w:val="003B599B"/>
    <w:rsid w:val="003B59BA"/>
    <w:rsid w:val="003B62B6"/>
    <w:rsid w:val="003B6E48"/>
    <w:rsid w:val="003B6FC6"/>
    <w:rsid w:val="003B714E"/>
    <w:rsid w:val="003B72EB"/>
    <w:rsid w:val="003B731C"/>
    <w:rsid w:val="003B74A1"/>
    <w:rsid w:val="003B77AF"/>
    <w:rsid w:val="003C098A"/>
    <w:rsid w:val="003C1044"/>
    <w:rsid w:val="003C10E3"/>
    <w:rsid w:val="003C1533"/>
    <w:rsid w:val="003C1645"/>
    <w:rsid w:val="003C191D"/>
    <w:rsid w:val="003C1EA5"/>
    <w:rsid w:val="003C1F26"/>
    <w:rsid w:val="003C26DA"/>
    <w:rsid w:val="003C2C02"/>
    <w:rsid w:val="003C2FC8"/>
    <w:rsid w:val="003C310B"/>
    <w:rsid w:val="003C34C7"/>
    <w:rsid w:val="003C3B7C"/>
    <w:rsid w:val="003C3F5E"/>
    <w:rsid w:val="003C44C3"/>
    <w:rsid w:val="003C45A9"/>
    <w:rsid w:val="003C4A2F"/>
    <w:rsid w:val="003C4BE8"/>
    <w:rsid w:val="003C501C"/>
    <w:rsid w:val="003C5329"/>
    <w:rsid w:val="003C534F"/>
    <w:rsid w:val="003C54EE"/>
    <w:rsid w:val="003C5A20"/>
    <w:rsid w:val="003C6AA0"/>
    <w:rsid w:val="003C768C"/>
    <w:rsid w:val="003C7831"/>
    <w:rsid w:val="003D0972"/>
    <w:rsid w:val="003D099B"/>
    <w:rsid w:val="003D0DB2"/>
    <w:rsid w:val="003D1DC4"/>
    <w:rsid w:val="003D1EC4"/>
    <w:rsid w:val="003D1FF9"/>
    <w:rsid w:val="003D2268"/>
    <w:rsid w:val="003D3C30"/>
    <w:rsid w:val="003D4AC8"/>
    <w:rsid w:val="003D559F"/>
    <w:rsid w:val="003D58A8"/>
    <w:rsid w:val="003D5BD8"/>
    <w:rsid w:val="003D5C2F"/>
    <w:rsid w:val="003D667B"/>
    <w:rsid w:val="003D66C3"/>
    <w:rsid w:val="003D7420"/>
    <w:rsid w:val="003D7EC6"/>
    <w:rsid w:val="003E06D4"/>
    <w:rsid w:val="003E085D"/>
    <w:rsid w:val="003E0DEB"/>
    <w:rsid w:val="003E0EB3"/>
    <w:rsid w:val="003E1170"/>
    <w:rsid w:val="003E120A"/>
    <w:rsid w:val="003E1696"/>
    <w:rsid w:val="003E1903"/>
    <w:rsid w:val="003E1C84"/>
    <w:rsid w:val="003E1CC7"/>
    <w:rsid w:val="003E1DF5"/>
    <w:rsid w:val="003E1EFB"/>
    <w:rsid w:val="003E1FBC"/>
    <w:rsid w:val="003E217B"/>
    <w:rsid w:val="003E2802"/>
    <w:rsid w:val="003E3A86"/>
    <w:rsid w:val="003E49FF"/>
    <w:rsid w:val="003E4D13"/>
    <w:rsid w:val="003E5010"/>
    <w:rsid w:val="003E545D"/>
    <w:rsid w:val="003E551F"/>
    <w:rsid w:val="003E5922"/>
    <w:rsid w:val="003E59BA"/>
    <w:rsid w:val="003E59CB"/>
    <w:rsid w:val="003E59FA"/>
    <w:rsid w:val="003E5FCC"/>
    <w:rsid w:val="003E6681"/>
    <w:rsid w:val="003E69B5"/>
    <w:rsid w:val="003E74DB"/>
    <w:rsid w:val="003E79B7"/>
    <w:rsid w:val="003E7FA0"/>
    <w:rsid w:val="003F018C"/>
    <w:rsid w:val="003F0197"/>
    <w:rsid w:val="003F059E"/>
    <w:rsid w:val="003F05DB"/>
    <w:rsid w:val="003F2A9F"/>
    <w:rsid w:val="003F394F"/>
    <w:rsid w:val="003F3995"/>
    <w:rsid w:val="003F3B8D"/>
    <w:rsid w:val="003F3EA6"/>
    <w:rsid w:val="003F434A"/>
    <w:rsid w:val="003F43F8"/>
    <w:rsid w:val="003F4455"/>
    <w:rsid w:val="003F44CD"/>
    <w:rsid w:val="003F456A"/>
    <w:rsid w:val="003F47A7"/>
    <w:rsid w:val="003F5037"/>
    <w:rsid w:val="003F50A3"/>
    <w:rsid w:val="003F596E"/>
    <w:rsid w:val="003F6C4C"/>
    <w:rsid w:val="003F7A7C"/>
    <w:rsid w:val="003F7B3D"/>
    <w:rsid w:val="003F7E05"/>
    <w:rsid w:val="004002CE"/>
    <w:rsid w:val="00400322"/>
    <w:rsid w:val="004009B1"/>
    <w:rsid w:val="00400DA8"/>
    <w:rsid w:val="00400DCA"/>
    <w:rsid w:val="00400F85"/>
    <w:rsid w:val="00400FDF"/>
    <w:rsid w:val="00401561"/>
    <w:rsid w:val="004015FF"/>
    <w:rsid w:val="004017DE"/>
    <w:rsid w:val="00401840"/>
    <w:rsid w:val="00401C3C"/>
    <w:rsid w:val="004021A7"/>
    <w:rsid w:val="00402A2E"/>
    <w:rsid w:val="00403155"/>
    <w:rsid w:val="00403273"/>
    <w:rsid w:val="004033DA"/>
    <w:rsid w:val="00403566"/>
    <w:rsid w:val="00403A2B"/>
    <w:rsid w:val="00403C8A"/>
    <w:rsid w:val="00405883"/>
    <w:rsid w:val="00405A95"/>
    <w:rsid w:val="00405BBA"/>
    <w:rsid w:val="00405BF8"/>
    <w:rsid w:val="004068BC"/>
    <w:rsid w:val="00406CDC"/>
    <w:rsid w:val="00406ECA"/>
    <w:rsid w:val="0040751B"/>
    <w:rsid w:val="004076AA"/>
    <w:rsid w:val="00407C8C"/>
    <w:rsid w:val="0041002A"/>
    <w:rsid w:val="0041047B"/>
    <w:rsid w:val="0041094F"/>
    <w:rsid w:val="004110A3"/>
    <w:rsid w:val="00412021"/>
    <w:rsid w:val="00412157"/>
    <w:rsid w:val="004126C3"/>
    <w:rsid w:val="00412A53"/>
    <w:rsid w:val="00412C47"/>
    <w:rsid w:val="00412DBE"/>
    <w:rsid w:val="00412F3D"/>
    <w:rsid w:val="004131E1"/>
    <w:rsid w:val="00413D1C"/>
    <w:rsid w:val="00414DF6"/>
    <w:rsid w:val="004150A3"/>
    <w:rsid w:val="0041531C"/>
    <w:rsid w:val="0041551A"/>
    <w:rsid w:val="00417189"/>
    <w:rsid w:val="004177B6"/>
    <w:rsid w:val="00417E57"/>
    <w:rsid w:val="0042061F"/>
    <w:rsid w:val="004214DB"/>
    <w:rsid w:val="0042165C"/>
    <w:rsid w:val="00421A4E"/>
    <w:rsid w:val="00421DA0"/>
    <w:rsid w:val="00422161"/>
    <w:rsid w:val="00422A09"/>
    <w:rsid w:val="00422C4F"/>
    <w:rsid w:val="00422E5A"/>
    <w:rsid w:val="004232C3"/>
    <w:rsid w:val="004233D7"/>
    <w:rsid w:val="0042362F"/>
    <w:rsid w:val="00423AD3"/>
    <w:rsid w:val="00423AFE"/>
    <w:rsid w:val="004242EC"/>
    <w:rsid w:val="004244CF"/>
    <w:rsid w:val="00424C6A"/>
    <w:rsid w:val="00424DDD"/>
    <w:rsid w:val="00424EFF"/>
    <w:rsid w:val="0042506C"/>
    <w:rsid w:val="00425265"/>
    <w:rsid w:val="00425574"/>
    <w:rsid w:val="004255C0"/>
    <w:rsid w:val="0042663A"/>
    <w:rsid w:val="004270C6"/>
    <w:rsid w:val="00430527"/>
    <w:rsid w:val="004318A2"/>
    <w:rsid w:val="00432967"/>
    <w:rsid w:val="00432E2B"/>
    <w:rsid w:val="004334A6"/>
    <w:rsid w:val="004334A8"/>
    <w:rsid w:val="0043370B"/>
    <w:rsid w:val="00433FF6"/>
    <w:rsid w:val="00434414"/>
    <w:rsid w:val="0043443E"/>
    <w:rsid w:val="00434504"/>
    <w:rsid w:val="004345AA"/>
    <w:rsid w:val="004350B5"/>
    <w:rsid w:val="0043516A"/>
    <w:rsid w:val="00435637"/>
    <w:rsid w:val="004362A5"/>
    <w:rsid w:val="004366A4"/>
    <w:rsid w:val="00436768"/>
    <w:rsid w:val="0043699C"/>
    <w:rsid w:val="00436B4C"/>
    <w:rsid w:val="00436BDC"/>
    <w:rsid w:val="00437926"/>
    <w:rsid w:val="00437ABF"/>
    <w:rsid w:val="00437CCF"/>
    <w:rsid w:val="004406E7"/>
    <w:rsid w:val="00440C71"/>
    <w:rsid w:val="0044106D"/>
    <w:rsid w:val="0044202B"/>
    <w:rsid w:val="00442216"/>
    <w:rsid w:val="0044236D"/>
    <w:rsid w:val="004437D2"/>
    <w:rsid w:val="00443C6D"/>
    <w:rsid w:val="00443D5A"/>
    <w:rsid w:val="00443E13"/>
    <w:rsid w:val="0044487F"/>
    <w:rsid w:val="004452F6"/>
    <w:rsid w:val="00445574"/>
    <w:rsid w:val="004458A5"/>
    <w:rsid w:val="00445CBF"/>
    <w:rsid w:val="00445D39"/>
    <w:rsid w:val="004464D1"/>
    <w:rsid w:val="00446761"/>
    <w:rsid w:val="004467C1"/>
    <w:rsid w:val="00446F16"/>
    <w:rsid w:val="004471CB"/>
    <w:rsid w:val="0044739F"/>
    <w:rsid w:val="00447795"/>
    <w:rsid w:val="00447B5A"/>
    <w:rsid w:val="00450284"/>
    <w:rsid w:val="00450807"/>
    <w:rsid w:val="004510F8"/>
    <w:rsid w:val="0045187B"/>
    <w:rsid w:val="00451903"/>
    <w:rsid w:val="00451BBF"/>
    <w:rsid w:val="00452040"/>
    <w:rsid w:val="00452113"/>
    <w:rsid w:val="004524E3"/>
    <w:rsid w:val="00452506"/>
    <w:rsid w:val="00452605"/>
    <w:rsid w:val="00453019"/>
    <w:rsid w:val="004531F5"/>
    <w:rsid w:val="0045398A"/>
    <w:rsid w:val="00453A1E"/>
    <w:rsid w:val="00454468"/>
    <w:rsid w:val="00454761"/>
    <w:rsid w:val="00455057"/>
    <w:rsid w:val="00455154"/>
    <w:rsid w:val="004559CF"/>
    <w:rsid w:val="004559ED"/>
    <w:rsid w:val="00455A4E"/>
    <w:rsid w:val="004561B5"/>
    <w:rsid w:val="00456831"/>
    <w:rsid w:val="00456977"/>
    <w:rsid w:val="00456C0A"/>
    <w:rsid w:val="00456D46"/>
    <w:rsid w:val="00456D73"/>
    <w:rsid w:val="00460289"/>
    <w:rsid w:val="004609F6"/>
    <w:rsid w:val="00460E35"/>
    <w:rsid w:val="004613C1"/>
    <w:rsid w:val="00461BAB"/>
    <w:rsid w:val="00461EF5"/>
    <w:rsid w:val="00462332"/>
    <w:rsid w:val="004623AE"/>
    <w:rsid w:val="0046256E"/>
    <w:rsid w:val="00462A62"/>
    <w:rsid w:val="00462D82"/>
    <w:rsid w:val="00462F38"/>
    <w:rsid w:val="00462FEF"/>
    <w:rsid w:val="004638AD"/>
    <w:rsid w:val="0046412E"/>
    <w:rsid w:val="00464198"/>
    <w:rsid w:val="004647E0"/>
    <w:rsid w:val="00464D7F"/>
    <w:rsid w:val="00465ACE"/>
    <w:rsid w:val="004660E7"/>
    <w:rsid w:val="0046619D"/>
    <w:rsid w:val="004661B6"/>
    <w:rsid w:val="00466251"/>
    <w:rsid w:val="00466559"/>
    <w:rsid w:val="00466BA6"/>
    <w:rsid w:val="004678B7"/>
    <w:rsid w:val="00467D5C"/>
    <w:rsid w:val="004707FC"/>
    <w:rsid w:val="00471345"/>
    <w:rsid w:val="0047163B"/>
    <w:rsid w:val="0047166A"/>
    <w:rsid w:val="00471F77"/>
    <w:rsid w:val="0047206C"/>
    <w:rsid w:val="00472080"/>
    <w:rsid w:val="0047258B"/>
    <w:rsid w:val="00472657"/>
    <w:rsid w:val="00472684"/>
    <w:rsid w:val="00472AEF"/>
    <w:rsid w:val="004730A0"/>
    <w:rsid w:val="00473844"/>
    <w:rsid w:val="00473DD8"/>
    <w:rsid w:val="004746B2"/>
    <w:rsid w:val="00475034"/>
    <w:rsid w:val="004750E3"/>
    <w:rsid w:val="0047558B"/>
    <w:rsid w:val="004765C0"/>
    <w:rsid w:val="004765F7"/>
    <w:rsid w:val="004766F9"/>
    <w:rsid w:val="00476702"/>
    <w:rsid w:val="00476AE0"/>
    <w:rsid w:val="00476D38"/>
    <w:rsid w:val="004770CB"/>
    <w:rsid w:val="00477273"/>
    <w:rsid w:val="0048024C"/>
    <w:rsid w:val="004803FA"/>
    <w:rsid w:val="00480A77"/>
    <w:rsid w:val="00480D7B"/>
    <w:rsid w:val="00481413"/>
    <w:rsid w:val="00481989"/>
    <w:rsid w:val="00481C2D"/>
    <w:rsid w:val="004824B5"/>
    <w:rsid w:val="0048284C"/>
    <w:rsid w:val="00482CF2"/>
    <w:rsid w:val="004833A1"/>
    <w:rsid w:val="00483570"/>
    <w:rsid w:val="00483686"/>
    <w:rsid w:val="00483F48"/>
    <w:rsid w:val="004842CD"/>
    <w:rsid w:val="00484506"/>
    <w:rsid w:val="00484D53"/>
    <w:rsid w:val="00484E4F"/>
    <w:rsid w:val="00485528"/>
    <w:rsid w:val="004858B2"/>
    <w:rsid w:val="00485C8F"/>
    <w:rsid w:val="004867D9"/>
    <w:rsid w:val="0048683E"/>
    <w:rsid w:val="00486C65"/>
    <w:rsid w:val="0048723D"/>
    <w:rsid w:val="00487BD7"/>
    <w:rsid w:val="0049027F"/>
    <w:rsid w:val="0049060D"/>
    <w:rsid w:val="00490841"/>
    <w:rsid w:val="004909BB"/>
    <w:rsid w:val="004916B8"/>
    <w:rsid w:val="004919B7"/>
    <w:rsid w:val="004920C9"/>
    <w:rsid w:val="00492494"/>
    <w:rsid w:val="004929C6"/>
    <w:rsid w:val="00494427"/>
    <w:rsid w:val="0049490C"/>
    <w:rsid w:val="00494EBB"/>
    <w:rsid w:val="0049602C"/>
    <w:rsid w:val="00496D98"/>
    <w:rsid w:val="00496DF4"/>
    <w:rsid w:val="00496F4B"/>
    <w:rsid w:val="00497642"/>
    <w:rsid w:val="00497A59"/>
    <w:rsid w:val="00497D6E"/>
    <w:rsid w:val="004A0057"/>
    <w:rsid w:val="004A01D3"/>
    <w:rsid w:val="004A0A42"/>
    <w:rsid w:val="004A0C34"/>
    <w:rsid w:val="004A1349"/>
    <w:rsid w:val="004A1702"/>
    <w:rsid w:val="004A23FB"/>
    <w:rsid w:val="004A24AA"/>
    <w:rsid w:val="004A3377"/>
    <w:rsid w:val="004A378B"/>
    <w:rsid w:val="004A3AD4"/>
    <w:rsid w:val="004A3C37"/>
    <w:rsid w:val="004A4233"/>
    <w:rsid w:val="004A43CA"/>
    <w:rsid w:val="004A4491"/>
    <w:rsid w:val="004A4556"/>
    <w:rsid w:val="004A5881"/>
    <w:rsid w:val="004A5A74"/>
    <w:rsid w:val="004A5FC8"/>
    <w:rsid w:val="004A63BE"/>
    <w:rsid w:val="004A65F1"/>
    <w:rsid w:val="004A6FC1"/>
    <w:rsid w:val="004B03DE"/>
    <w:rsid w:val="004B1C83"/>
    <w:rsid w:val="004B1CA5"/>
    <w:rsid w:val="004B21E8"/>
    <w:rsid w:val="004B2286"/>
    <w:rsid w:val="004B357E"/>
    <w:rsid w:val="004B386E"/>
    <w:rsid w:val="004B47EE"/>
    <w:rsid w:val="004B5053"/>
    <w:rsid w:val="004B598B"/>
    <w:rsid w:val="004B5C6C"/>
    <w:rsid w:val="004B6812"/>
    <w:rsid w:val="004B6976"/>
    <w:rsid w:val="004B69C5"/>
    <w:rsid w:val="004B6BB2"/>
    <w:rsid w:val="004C0FD8"/>
    <w:rsid w:val="004C10C1"/>
    <w:rsid w:val="004C1AA7"/>
    <w:rsid w:val="004C1BC2"/>
    <w:rsid w:val="004C1F2B"/>
    <w:rsid w:val="004C245A"/>
    <w:rsid w:val="004C248F"/>
    <w:rsid w:val="004C25AE"/>
    <w:rsid w:val="004C2721"/>
    <w:rsid w:val="004C288B"/>
    <w:rsid w:val="004C2EBE"/>
    <w:rsid w:val="004C2ECB"/>
    <w:rsid w:val="004C30FD"/>
    <w:rsid w:val="004C3175"/>
    <w:rsid w:val="004C3205"/>
    <w:rsid w:val="004C34D7"/>
    <w:rsid w:val="004C3867"/>
    <w:rsid w:val="004C3D0C"/>
    <w:rsid w:val="004C3DD0"/>
    <w:rsid w:val="004C524F"/>
    <w:rsid w:val="004C557D"/>
    <w:rsid w:val="004C572D"/>
    <w:rsid w:val="004C5753"/>
    <w:rsid w:val="004C6912"/>
    <w:rsid w:val="004C6B20"/>
    <w:rsid w:val="004C6FD0"/>
    <w:rsid w:val="004C7221"/>
    <w:rsid w:val="004C755E"/>
    <w:rsid w:val="004D015D"/>
    <w:rsid w:val="004D0454"/>
    <w:rsid w:val="004D073D"/>
    <w:rsid w:val="004D1150"/>
    <w:rsid w:val="004D180E"/>
    <w:rsid w:val="004D1B98"/>
    <w:rsid w:val="004D1ED4"/>
    <w:rsid w:val="004D24C9"/>
    <w:rsid w:val="004D26E1"/>
    <w:rsid w:val="004D2EB1"/>
    <w:rsid w:val="004D3003"/>
    <w:rsid w:val="004D31EE"/>
    <w:rsid w:val="004D3328"/>
    <w:rsid w:val="004D477B"/>
    <w:rsid w:val="004D4C80"/>
    <w:rsid w:val="004D4D2B"/>
    <w:rsid w:val="004D4DEA"/>
    <w:rsid w:val="004D4EF4"/>
    <w:rsid w:val="004D5076"/>
    <w:rsid w:val="004D5896"/>
    <w:rsid w:val="004D6075"/>
    <w:rsid w:val="004D618A"/>
    <w:rsid w:val="004D62BC"/>
    <w:rsid w:val="004D7329"/>
    <w:rsid w:val="004D7456"/>
    <w:rsid w:val="004D7605"/>
    <w:rsid w:val="004D7E10"/>
    <w:rsid w:val="004E0ABB"/>
    <w:rsid w:val="004E0D14"/>
    <w:rsid w:val="004E0E62"/>
    <w:rsid w:val="004E251B"/>
    <w:rsid w:val="004E2D28"/>
    <w:rsid w:val="004E3226"/>
    <w:rsid w:val="004E334B"/>
    <w:rsid w:val="004E36B7"/>
    <w:rsid w:val="004E3A35"/>
    <w:rsid w:val="004E4095"/>
    <w:rsid w:val="004E431D"/>
    <w:rsid w:val="004E4F1D"/>
    <w:rsid w:val="004E4F91"/>
    <w:rsid w:val="004E50DD"/>
    <w:rsid w:val="004E5769"/>
    <w:rsid w:val="004E6040"/>
    <w:rsid w:val="004E63B8"/>
    <w:rsid w:val="004E644A"/>
    <w:rsid w:val="004E7706"/>
    <w:rsid w:val="004E7AF7"/>
    <w:rsid w:val="004F0259"/>
    <w:rsid w:val="004F0906"/>
    <w:rsid w:val="004F1D78"/>
    <w:rsid w:val="004F24C7"/>
    <w:rsid w:val="004F2B7B"/>
    <w:rsid w:val="004F30A2"/>
    <w:rsid w:val="004F34DC"/>
    <w:rsid w:val="004F3A42"/>
    <w:rsid w:val="004F3B1F"/>
    <w:rsid w:val="004F3D35"/>
    <w:rsid w:val="004F4006"/>
    <w:rsid w:val="004F430E"/>
    <w:rsid w:val="004F4A36"/>
    <w:rsid w:val="004F4FDA"/>
    <w:rsid w:val="004F5475"/>
    <w:rsid w:val="004F552B"/>
    <w:rsid w:val="004F5618"/>
    <w:rsid w:val="004F6049"/>
    <w:rsid w:val="004F660C"/>
    <w:rsid w:val="004F6FB0"/>
    <w:rsid w:val="004F7BA5"/>
    <w:rsid w:val="004F7F3B"/>
    <w:rsid w:val="005014BE"/>
    <w:rsid w:val="00501757"/>
    <w:rsid w:val="00501DE9"/>
    <w:rsid w:val="00502E21"/>
    <w:rsid w:val="0050344C"/>
    <w:rsid w:val="00503706"/>
    <w:rsid w:val="005047C6"/>
    <w:rsid w:val="00505A00"/>
    <w:rsid w:val="00506683"/>
    <w:rsid w:val="0050671D"/>
    <w:rsid w:val="00506904"/>
    <w:rsid w:val="00506DB9"/>
    <w:rsid w:val="00506E07"/>
    <w:rsid w:val="00507389"/>
    <w:rsid w:val="00507512"/>
    <w:rsid w:val="005076B7"/>
    <w:rsid w:val="0051033B"/>
    <w:rsid w:val="00510903"/>
    <w:rsid w:val="00511357"/>
    <w:rsid w:val="00511AC7"/>
    <w:rsid w:val="00511B4C"/>
    <w:rsid w:val="00511DF1"/>
    <w:rsid w:val="005122AC"/>
    <w:rsid w:val="005122DB"/>
    <w:rsid w:val="0051259F"/>
    <w:rsid w:val="005129C1"/>
    <w:rsid w:val="00513213"/>
    <w:rsid w:val="00513E04"/>
    <w:rsid w:val="00513F3F"/>
    <w:rsid w:val="005140DD"/>
    <w:rsid w:val="00514F95"/>
    <w:rsid w:val="00515095"/>
    <w:rsid w:val="00515546"/>
    <w:rsid w:val="00516765"/>
    <w:rsid w:val="00516E5C"/>
    <w:rsid w:val="00516FB2"/>
    <w:rsid w:val="0051720D"/>
    <w:rsid w:val="00517B88"/>
    <w:rsid w:val="00520202"/>
    <w:rsid w:val="00520305"/>
    <w:rsid w:val="00520D48"/>
    <w:rsid w:val="005216D3"/>
    <w:rsid w:val="00522014"/>
    <w:rsid w:val="005220A0"/>
    <w:rsid w:val="00522631"/>
    <w:rsid w:val="00522692"/>
    <w:rsid w:val="00522AE9"/>
    <w:rsid w:val="005237CD"/>
    <w:rsid w:val="00523A76"/>
    <w:rsid w:val="00524276"/>
    <w:rsid w:val="0052490E"/>
    <w:rsid w:val="00524C17"/>
    <w:rsid w:val="00525182"/>
    <w:rsid w:val="005252DE"/>
    <w:rsid w:val="0052530C"/>
    <w:rsid w:val="005253D2"/>
    <w:rsid w:val="005256A6"/>
    <w:rsid w:val="005271EA"/>
    <w:rsid w:val="0052753C"/>
    <w:rsid w:val="0052759E"/>
    <w:rsid w:val="005277BF"/>
    <w:rsid w:val="005278A9"/>
    <w:rsid w:val="00527A71"/>
    <w:rsid w:val="005300FE"/>
    <w:rsid w:val="00530AED"/>
    <w:rsid w:val="005318C2"/>
    <w:rsid w:val="00532502"/>
    <w:rsid w:val="00532A98"/>
    <w:rsid w:val="00532BB2"/>
    <w:rsid w:val="00533505"/>
    <w:rsid w:val="00533F7F"/>
    <w:rsid w:val="005348B7"/>
    <w:rsid w:val="00534AAC"/>
    <w:rsid w:val="00534D12"/>
    <w:rsid w:val="00534F41"/>
    <w:rsid w:val="00536970"/>
    <w:rsid w:val="00537292"/>
    <w:rsid w:val="00537C87"/>
    <w:rsid w:val="0054013F"/>
    <w:rsid w:val="00540667"/>
    <w:rsid w:val="00540CA2"/>
    <w:rsid w:val="00540DE4"/>
    <w:rsid w:val="0054130A"/>
    <w:rsid w:val="00541C9F"/>
    <w:rsid w:val="00542CA2"/>
    <w:rsid w:val="00543E12"/>
    <w:rsid w:val="00543E67"/>
    <w:rsid w:val="00543F32"/>
    <w:rsid w:val="00544A6E"/>
    <w:rsid w:val="00544EE5"/>
    <w:rsid w:val="00544F73"/>
    <w:rsid w:val="005457A5"/>
    <w:rsid w:val="00545969"/>
    <w:rsid w:val="00545CB6"/>
    <w:rsid w:val="00545DAF"/>
    <w:rsid w:val="00546184"/>
    <w:rsid w:val="005468FD"/>
    <w:rsid w:val="005474A9"/>
    <w:rsid w:val="00547B31"/>
    <w:rsid w:val="0055089A"/>
    <w:rsid w:val="00550BDF"/>
    <w:rsid w:val="0055144C"/>
    <w:rsid w:val="00551E1B"/>
    <w:rsid w:val="00552406"/>
    <w:rsid w:val="00552775"/>
    <w:rsid w:val="00552F3F"/>
    <w:rsid w:val="005531CE"/>
    <w:rsid w:val="0055381D"/>
    <w:rsid w:val="005538A5"/>
    <w:rsid w:val="00553C60"/>
    <w:rsid w:val="00553CF0"/>
    <w:rsid w:val="00553D2A"/>
    <w:rsid w:val="00553D4E"/>
    <w:rsid w:val="00553DC7"/>
    <w:rsid w:val="0055486E"/>
    <w:rsid w:val="0055515E"/>
    <w:rsid w:val="005552F5"/>
    <w:rsid w:val="005569E6"/>
    <w:rsid w:val="00556CE6"/>
    <w:rsid w:val="00556D8B"/>
    <w:rsid w:val="00557115"/>
    <w:rsid w:val="00557218"/>
    <w:rsid w:val="00557AED"/>
    <w:rsid w:val="00560308"/>
    <w:rsid w:val="0056068D"/>
    <w:rsid w:val="005615CB"/>
    <w:rsid w:val="00561910"/>
    <w:rsid w:val="0056210B"/>
    <w:rsid w:val="0056216C"/>
    <w:rsid w:val="00562821"/>
    <w:rsid w:val="00562ADD"/>
    <w:rsid w:val="00562B19"/>
    <w:rsid w:val="005630FE"/>
    <w:rsid w:val="005637E7"/>
    <w:rsid w:val="005638BF"/>
    <w:rsid w:val="00563B51"/>
    <w:rsid w:val="00564817"/>
    <w:rsid w:val="00564C1E"/>
    <w:rsid w:val="005654A5"/>
    <w:rsid w:val="005659E0"/>
    <w:rsid w:val="00565C2F"/>
    <w:rsid w:val="00565D33"/>
    <w:rsid w:val="00565EB9"/>
    <w:rsid w:val="00566393"/>
    <w:rsid w:val="00567067"/>
    <w:rsid w:val="00567F70"/>
    <w:rsid w:val="00570243"/>
    <w:rsid w:val="00570329"/>
    <w:rsid w:val="00570A49"/>
    <w:rsid w:val="00570AE3"/>
    <w:rsid w:val="00570FED"/>
    <w:rsid w:val="00571D57"/>
    <w:rsid w:val="00572670"/>
    <w:rsid w:val="00572DD9"/>
    <w:rsid w:val="00572E4B"/>
    <w:rsid w:val="00572F75"/>
    <w:rsid w:val="00573DDA"/>
    <w:rsid w:val="00574CE9"/>
    <w:rsid w:val="00575320"/>
    <w:rsid w:val="005754DD"/>
    <w:rsid w:val="00575F5C"/>
    <w:rsid w:val="005760B5"/>
    <w:rsid w:val="00576219"/>
    <w:rsid w:val="00576C03"/>
    <w:rsid w:val="00576C59"/>
    <w:rsid w:val="00576F78"/>
    <w:rsid w:val="005808ED"/>
    <w:rsid w:val="0058095A"/>
    <w:rsid w:val="00580C72"/>
    <w:rsid w:val="00581C0C"/>
    <w:rsid w:val="00581C1B"/>
    <w:rsid w:val="00581D15"/>
    <w:rsid w:val="00582D8D"/>
    <w:rsid w:val="0058300D"/>
    <w:rsid w:val="00583943"/>
    <w:rsid w:val="00583DC5"/>
    <w:rsid w:val="00584406"/>
    <w:rsid w:val="00584EAF"/>
    <w:rsid w:val="00585335"/>
    <w:rsid w:val="00585494"/>
    <w:rsid w:val="00585E9B"/>
    <w:rsid w:val="0058615C"/>
    <w:rsid w:val="0058660C"/>
    <w:rsid w:val="00587185"/>
    <w:rsid w:val="0058731B"/>
    <w:rsid w:val="00587487"/>
    <w:rsid w:val="00587610"/>
    <w:rsid w:val="00587AB0"/>
    <w:rsid w:val="0059007F"/>
    <w:rsid w:val="0059009B"/>
    <w:rsid w:val="0059039E"/>
    <w:rsid w:val="00590656"/>
    <w:rsid w:val="00590D1D"/>
    <w:rsid w:val="00590EAB"/>
    <w:rsid w:val="00591259"/>
    <w:rsid w:val="0059129C"/>
    <w:rsid w:val="0059168B"/>
    <w:rsid w:val="0059312C"/>
    <w:rsid w:val="00593337"/>
    <w:rsid w:val="00593408"/>
    <w:rsid w:val="0059348D"/>
    <w:rsid w:val="00593818"/>
    <w:rsid w:val="00594AA7"/>
    <w:rsid w:val="00594BED"/>
    <w:rsid w:val="00595955"/>
    <w:rsid w:val="00596142"/>
    <w:rsid w:val="00596597"/>
    <w:rsid w:val="00596EAE"/>
    <w:rsid w:val="005976F7"/>
    <w:rsid w:val="0059772F"/>
    <w:rsid w:val="00597B42"/>
    <w:rsid w:val="00597E98"/>
    <w:rsid w:val="005A0060"/>
    <w:rsid w:val="005A00EE"/>
    <w:rsid w:val="005A139B"/>
    <w:rsid w:val="005A163D"/>
    <w:rsid w:val="005A1AAB"/>
    <w:rsid w:val="005A1F5A"/>
    <w:rsid w:val="005A20C2"/>
    <w:rsid w:val="005A2375"/>
    <w:rsid w:val="005A322E"/>
    <w:rsid w:val="005A3A41"/>
    <w:rsid w:val="005A3AE9"/>
    <w:rsid w:val="005A3B71"/>
    <w:rsid w:val="005A41BC"/>
    <w:rsid w:val="005A4C6B"/>
    <w:rsid w:val="005A4FF6"/>
    <w:rsid w:val="005A51A4"/>
    <w:rsid w:val="005A537C"/>
    <w:rsid w:val="005A5EBD"/>
    <w:rsid w:val="005A5ED2"/>
    <w:rsid w:val="005A655D"/>
    <w:rsid w:val="005A6F08"/>
    <w:rsid w:val="005A7063"/>
    <w:rsid w:val="005A7ADF"/>
    <w:rsid w:val="005A7F0E"/>
    <w:rsid w:val="005B072C"/>
    <w:rsid w:val="005B0779"/>
    <w:rsid w:val="005B133C"/>
    <w:rsid w:val="005B1CF5"/>
    <w:rsid w:val="005B2231"/>
    <w:rsid w:val="005B261B"/>
    <w:rsid w:val="005B295A"/>
    <w:rsid w:val="005B2B51"/>
    <w:rsid w:val="005B2DE4"/>
    <w:rsid w:val="005B3CEE"/>
    <w:rsid w:val="005B426A"/>
    <w:rsid w:val="005B43B0"/>
    <w:rsid w:val="005B4450"/>
    <w:rsid w:val="005B4D1A"/>
    <w:rsid w:val="005B5A58"/>
    <w:rsid w:val="005B5C64"/>
    <w:rsid w:val="005B5E8D"/>
    <w:rsid w:val="005B65DC"/>
    <w:rsid w:val="005B67C8"/>
    <w:rsid w:val="005B6E6A"/>
    <w:rsid w:val="005B730E"/>
    <w:rsid w:val="005C003D"/>
    <w:rsid w:val="005C02EB"/>
    <w:rsid w:val="005C0D2D"/>
    <w:rsid w:val="005C18BF"/>
    <w:rsid w:val="005C1A8E"/>
    <w:rsid w:val="005C1E2F"/>
    <w:rsid w:val="005C1F5F"/>
    <w:rsid w:val="005C2EDB"/>
    <w:rsid w:val="005C30E1"/>
    <w:rsid w:val="005C356E"/>
    <w:rsid w:val="005C3663"/>
    <w:rsid w:val="005C429C"/>
    <w:rsid w:val="005C49C7"/>
    <w:rsid w:val="005C4B7B"/>
    <w:rsid w:val="005C524A"/>
    <w:rsid w:val="005C5A02"/>
    <w:rsid w:val="005C5DBA"/>
    <w:rsid w:val="005C5FFE"/>
    <w:rsid w:val="005C6703"/>
    <w:rsid w:val="005C68A1"/>
    <w:rsid w:val="005C7AFA"/>
    <w:rsid w:val="005C7E1B"/>
    <w:rsid w:val="005C7F31"/>
    <w:rsid w:val="005D0652"/>
    <w:rsid w:val="005D076E"/>
    <w:rsid w:val="005D0AFA"/>
    <w:rsid w:val="005D0CC7"/>
    <w:rsid w:val="005D0D45"/>
    <w:rsid w:val="005D1115"/>
    <w:rsid w:val="005D13A0"/>
    <w:rsid w:val="005D1751"/>
    <w:rsid w:val="005D1A75"/>
    <w:rsid w:val="005D2357"/>
    <w:rsid w:val="005D2B58"/>
    <w:rsid w:val="005D37C8"/>
    <w:rsid w:val="005D37EC"/>
    <w:rsid w:val="005D47BE"/>
    <w:rsid w:val="005D4A20"/>
    <w:rsid w:val="005D508C"/>
    <w:rsid w:val="005D59CB"/>
    <w:rsid w:val="005D69C5"/>
    <w:rsid w:val="005D7476"/>
    <w:rsid w:val="005E019C"/>
    <w:rsid w:val="005E08EF"/>
    <w:rsid w:val="005E0A96"/>
    <w:rsid w:val="005E1410"/>
    <w:rsid w:val="005E1553"/>
    <w:rsid w:val="005E1A06"/>
    <w:rsid w:val="005E1D5F"/>
    <w:rsid w:val="005E205A"/>
    <w:rsid w:val="005E2B5E"/>
    <w:rsid w:val="005E38C6"/>
    <w:rsid w:val="005E3BE5"/>
    <w:rsid w:val="005E3E03"/>
    <w:rsid w:val="005E417C"/>
    <w:rsid w:val="005E4F16"/>
    <w:rsid w:val="005E56AD"/>
    <w:rsid w:val="005E5C5A"/>
    <w:rsid w:val="005E65E9"/>
    <w:rsid w:val="005E6F03"/>
    <w:rsid w:val="005E7110"/>
    <w:rsid w:val="005E71E2"/>
    <w:rsid w:val="005E7265"/>
    <w:rsid w:val="005E7C0E"/>
    <w:rsid w:val="005E7FB3"/>
    <w:rsid w:val="005F00B4"/>
    <w:rsid w:val="005F02B7"/>
    <w:rsid w:val="005F1EB7"/>
    <w:rsid w:val="005F1F9B"/>
    <w:rsid w:val="005F2AEC"/>
    <w:rsid w:val="005F2C1D"/>
    <w:rsid w:val="005F2E3C"/>
    <w:rsid w:val="005F3346"/>
    <w:rsid w:val="005F3509"/>
    <w:rsid w:val="005F36E3"/>
    <w:rsid w:val="005F3D68"/>
    <w:rsid w:val="005F4669"/>
    <w:rsid w:val="005F4ABE"/>
    <w:rsid w:val="005F4E96"/>
    <w:rsid w:val="005F4F71"/>
    <w:rsid w:val="005F5178"/>
    <w:rsid w:val="005F5A4E"/>
    <w:rsid w:val="005F5D1C"/>
    <w:rsid w:val="005F6216"/>
    <w:rsid w:val="005F65AC"/>
    <w:rsid w:val="005F6807"/>
    <w:rsid w:val="005F6842"/>
    <w:rsid w:val="005F70E4"/>
    <w:rsid w:val="005F72EF"/>
    <w:rsid w:val="005F73E3"/>
    <w:rsid w:val="005F77C0"/>
    <w:rsid w:val="005F77D8"/>
    <w:rsid w:val="006000F6"/>
    <w:rsid w:val="0060094E"/>
    <w:rsid w:val="00601415"/>
    <w:rsid w:val="00601519"/>
    <w:rsid w:val="00601634"/>
    <w:rsid w:val="00601DA1"/>
    <w:rsid w:val="00601FBC"/>
    <w:rsid w:val="00602BE7"/>
    <w:rsid w:val="00602F28"/>
    <w:rsid w:val="00603554"/>
    <w:rsid w:val="0060371E"/>
    <w:rsid w:val="00603E26"/>
    <w:rsid w:val="00604F6F"/>
    <w:rsid w:val="0060506F"/>
    <w:rsid w:val="006056DB"/>
    <w:rsid w:val="0060588E"/>
    <w:rsid w:val="00606050"/>
    <w:rsid w:val="00606132"/>
    <w:rsid w:val="0060616E"/>
    <w:rsid w:val="006065D4"/>
    <w:rsid w:val="006067E6"/>
    <w:rsid w:val="006076B4"/>
    <w:rsid w:val="006078F1"/>
    <w:rsid w:val="00607C3C"/>
    <w:rsid w:val="006102D7"/>
    <w:rsid w:val="00612BC1"/>
    <w:rsid w:val="00613639"/>
    <w:rsid w:val="00613963"/>
    <w:rsid w:val="00613AAA"/>
    <w:rsid w:val="00613BB5"/>
    <w:rsid w:val="00614BCD"/>
    <w:rsid w:val="0061559B"/>
    <w:rsid w:val="0061595D"/>
    <w:rsid w:val="00615EB5"/>
    <w:rsid w:val="00616E00"/>
    <w:rsid w:val="0061722A"/>
    <w:rsid w:val="00620E9F"/>
    <w:rsid w:val="00621862"/>
    <w:rsid w:val="0062262B"/>
    <w:rsid w:val="00622ACE"/>
    <w:rsid w:val="00622CC0"/>
    <w:rsid w:val="00622D58"/>
    <w:rsid w:val="00623293"/>
    <w:rsid w:val="00623509"/>
    <w:rsid w:val="006235A1"/>
    <w:rsid w:val="006237B7"/>
    <w:rsid w:val="00623F0B"/>
    <w:rsid w:val="00624A73"/>
    <w:rsid w:val="00624C32"/>
    <w:rsid w:val="006251C5"/>
    <w:rsid w:val="0062555E"/>
    <w:rsid w:val="00625B11"/>
    <w:rsid w:val="006261B2"/>
    <w:rsid w:val="006267FB"/>
    <w:rsid w:val="00626877"/>
    <w:rsid w:val="006275CC"/>
    <w:rsid w:val="00627DB9"/>
    <w:rsid w:val="00627E6A"/>
    <w:rsid w:val="00631159"/>
    <w:rsid w:val="006312DB"/>
    <w:rsid w:val="00631CA1"/>
    <w:rsid w:val="00631D6A"/>
    <w:rsid w:val="006328E8"/>
    <w:rsid w:val="00633195"/>
    <w:rsid w:val="00633B91"/>
    <w:rsid w:val="00634237"/>
    <w:rsid w:val="006349D2"/>
    <w:rsid w:val="00634A23"/>
    <w:rsid w:val="00634BD8"/>
    <w:rsid w:val="00635481"/>
    <w:rsid w:val="0063572D"/>
    <w:rsid w:val="00636667"/>
    <w:rsid w:val="00636D2F"/>
    <w:rsid w:val="0063701D"/>
    <w:rsid w:val="00637223"/>
    <w:rsid w:val="006373D7"/>
    <w:rsid w:val="00637B1C"/>
    <w:rsid w:val="006415BE"/>
    <w:rsid w:val="00641AC8"/>
    <w:rsid w:val="00641EF2"/>
    <w:rsid w:val="006420A3"/>
    <w:rsid w:val="006420A7"/>
    <w:rsid w:val="00642290"/>
    <w:rsid w:val="00642306"/>
    <w:rsid w:val="006425D3"/>
    <w:rsid w:val="00642B28"/>
    <w:rsid w:val="00642DD0"/>
    <w:rsid w:val="0064325D"/>
    <w:rsid w:val="00643584"/>
    <w:rsid w:val="00643B3D"/>
    <w:rsid w:val="00644E5C"/>
    <w:rsid w:val="00644F25"/>
    <w:rsid w:val="00645FCD"/>
    <w:rsid w:val="00645FFF"/>
    <w:rsid w:val="00646727"/>
    <w:rsid w:val="00646A5A"/>
    <w:rsid w:val="00646E14"/>
    <w:rsid w:val="00646F01"/>
    <w:rsid w:val="00646F4D"/>
    <w:rsid w:val="00647765"/>
    <w:rsid w:val="0064795A"/>
    <w:rsid w:val="00647983"/>
    <w:rsid w:val="00650980"/>
    <w:rsid w:val="00650C89"/>
    <w:rsid w:val="00651195"/>
    <w:rsid w:val="00651CE8"/>
    <w:rsid w:val="00652581"/>
    <w:rsid w:val="00652798"/>
    <w:rsid w:val="00652B1D"/>
    <w:rsid w:val="00652F72"/>
    <w:rsid w:val="0065420E"/>
    <w:rsid w:val="00654548"/>
    <w:rsid w:val="006545CC"/>
    <w:rsid w:val="006549E0"/>
    <w:rsid w:val="00654C6B"/>
    <w:rsid w:val="00655351"/>
    <w:rsid w:val="006553D0"/>
    <w:rsid w:val="00655454"/>
    <w:rsid w:val="00655515"/>
    <w:rsid w:val="00655DAE"/>
    <w:rsid w:val="00656B22"/>
    <w:rsid w:val="00657058"/>
    <w:rsid w:val="006575B3"/>
    <w:rsid w:val="00657A20"/>
    <w:rsid w:val="00657B45"/>
    <w:rsid w:val="006601E5"/>
    <w:rsid w:val="006603ED"/>
    <w:rsid w:val="00660422"/>
    <w:rsid w:val="0066062E"/>
    <w:rsid w:val="00661EC5"/>
    <w:rsid w:val="00661F7E"/>
    <w:rsid w:val="0066206A"/>
    <w:rsid w:val="006622DB"/>
    <w:rsid w:val="0066250B"/>
    <w:rsid w:val="00662519"/>
    <w:rsid w:val="006628B0"/>
    <w:rsid w:val="006629C3"/>
    <w:rsid w:val="006629C8"/>
    <w:rsid w:val="00663333"/>
    <w:rsid w:val="00663AF2"/>
    <w:rsid w:val="00663C40"/>
    <w:rsid w:val="00663E94"/>
    <w:rsid w:val="006660E3"/>
    <w:rsid w:val="006665DB"/>
    <w:rsid w:val="00666992"/>
    <w:rsid w:val="00666B10"/>
    <w:rsid w:val="00667270"/>
    <w:rsid w:val="00667BCF"/>
    <w:rsid w:val="00670CA6"/>
    <w:rsid w:val="0067169D"/>
    <w:rsid w:val="006718E5"/>
    <w:rsid w:val="00671EEE"/>
    <w:rsid w:val="0067233F"/>
    <w:rsid w:val="00672497"/>
    <w:rsid w:val="00672D04"/>
    <w:rsid w:val="00672E71"/>
    <w:rsid w:val="006731CE"/>
    <w:rsid w:val="0067367E"/>
    <w:rsid w:val="0067396F"/>
    <w:rsid w:val="00674640"/>
    <w:rsid w:val="00674A6A"/>
    <w:rsid w:val="00674C56"/>
    <w:rsid w:val="00675202"/>
    <w:rsid w:val="0067546D"/>
    <w:rsid w:val="00675D6C"/>
    <w:rsid w:val="00676FA4"/>
    <w:rsid w:val="00676FF4"/>
    <w:rsid w:val="00677556"/>
    <w:rsid w:val="006776D3"/>
    <w:rsid w:val="00677B8A"/>
    <w:rsid w:val="00677C45"/>
    <w:rsid w:val="0068054B"/>
    <w:rsid w:val="0068061A"/>
    <w:rsid w:val="00682C43"/>
    <w:rsid w:val="00683440"/>
    <w:rsid w:val="0068349B"/>
    <w:rsid w:val="006839F3"/>
    <w:rsid w:val="00684291"/>
    <w:rsid w:val="0068453B"/>
    <w:rsid w:val="00684B55"/>
    <w:rsid w:val="00684D56"/>
    <w:rsid w:val="00685064"/>
    <w:rsid w:val="006851C5"/>
    <w:rsid w:val="0068533C"/>
    <w:rsid w:val="00685340"/>
    <w:rsid w:val="0068544F"/>
    <w:rsid w:val="00686211"/>
    <w:rsid w:val="00686883"/>
    <w:rsid w:val="006869C2"/>
    <w:rsid w:val="0068705B"/>
    <w:rsid w:val="006879B2"/>
    <w:rsid w:val="00687A8D"/>
    <w:rsid w:val="006903A1"/>
    <w:rsid w:val="00690552"/>
    <w:rsid w:val="0069067E"/>
    <w:rsid w:val="00690CD1"/>
    <w:rsid w:val="00690FCC"/>
    <w:rsid w:val="006920CF"/>
    <w:rsid w:val="006929CC"/>
    <w:rsid w:val="00692C84"/>
    <w:rsid w:val="006935FC"/>
    <w:rsid w:val="006937AB"/>
    <w:rsid w:val="00693C79"/>
    <w:rsid w:val="00694AE9"/>
    <w:rsid w:val="0069555C"/>
    <w:rsid w:val="00695854"/>
    <w:rsid w:val="006958E9"/>
    <w:rsid w:val="00696015"/>
    <w:rsid w:val="00696D8E"/>
    <w:rsid w:val="006974FA"/>
    <w:rsid w:val="00697D4A"/>
    <w:rsid w:val="006A0392"/>
    <w:rsid w:val="006A03E0"/>
    <w:rsid w:val="006A081D"/>
    <w:rsid w:val="006A08E0"/>
    <w:rsid w:val="006A0CE0"/>
    <w:rsid w:val="006A12D7"/>
    <w:rsid w:val="006A2513"/>
    <w:rsid w:val="006A27D3"/>
    <w:rsid w:val="006A2849"/>
    <w:rsid w:val="006A3126"/>
    <w:rsid w:val="006A363C"/>
    <w:rsid w:val="006A44D5"/>
    <w:rsid w:val="006A4AAF"/>
    <w:rsid w:val="006A4EF6"/>
    <w:rsid w:val="006A4F6B"/>
    <w:rsid w:val="006A5115"/>
    <w:rsid w:val="006A5211"/>
    <w:rsid w:val="006A56CD"/>
    <w:rsid w:val="006A6000"/>
    <w:rsid w:val="006A6381"/>
    <w:rsid w:val="006A6F11"/>
    <w:rsid w:val="006A75AB"/>
    <w:rsid w:val="006B007E"/>
    <w:rsid w:val="006B05A9"/>
    <w:rsid w:val="006B0ECF"/>
    <w:rsid w:val="006B1537"/>
    <w:rsid w:val="006B1A4C"/>
    <w:rsid w:val="006B22AB"/>
    <w:rsid w:val="006B2949"/>
    <w:rsid w:val="006B3775"/>
    <w:rsid w:val="006B3A5E"/>
    <w:rsid w:val="006B3D26"/>
    <w:rsid w:val="006B477C"/>
    <w:rsid w:val="006B555E"/>
    <w:rsid w:val="006B5CCC"/>
    <w:rsid w:val="006B6628"/>
    <w:rsid w:val="006B6657"/>
    <w:rsid w:val="006B6A13"/>
    <w:rsid w:val="006B6F29"/>
    <w:rsid w:val="006B70EB"/>
    <w:rsid w:val="006C0336"/>
    <w:rsid w:val="006C0979"/>
    <w:rsid w:val="006C14E8"/>
    <w:rsid w:val="006C15DA"/>
    <w:rsid w:val="006C1BE9"/>
    <w:rsid w:val="006C204B"/>
    <w:rsid w:val="006C22C8"/>
    <w:rsid w:val="006C23A1"/>
    <w:rsid w:val="006C23C0"/>
    <w:rsid w:val="006C248C"/>
    <w:rsid w:val="006C2635"/>
    <w:rsid w:val="006C2D03"/>
    <w:rsid w:val="006C356E"/>
    <w:rsid w:val="006C3A20"/>
    <w:rsid w:val="006C3AC1"/>
    <w:rsid w:val="006C3FF2"/>
    <w:rsid w:val="006C4479"/>
    <w:rsid w:val="006C452C"/>
    <w:rsid w:val="006C4810"/>
    <w:rsid w:val="006C48E0"/>
    <w:rsid w:val="006C4DBC"/>
    <w:rsid w:val="006C4F2B"/>
    <w:rsid w:val="006C5602"/>
    <w:rsid w:val="006C5BBA"/>
    <w:rsid w:val="006C5EA2"/>
    <w:rsid w:val="006C6098"/>
    <w:rsid w:val="006C60EB"/>
    <w:rsid w:val="006C7963"/>
    <w:rsid w:val="006C7E41"/>
    <w:rsid w:val="006D060A"/>
    <w:rsid w:val="006D0FBA"/>
    <w:rsid w:val="006D11F0"/>
    <w:rsid w:val="006D1845"/>
    <w:rsid w:val="006D1EC2"/>
    <w:rsid w:val="006D2088"/>
    <w:rsid w:val="006D2433"/>
    <w:rsid w:val="006D24A8"/>
    <w:rsid w:val="006D24B1"/>
    <w:rsid w:val="006D2A67"/>
    <w:rsid w:val="006D36A1"/>
    <w:rsid w:val="006D39EF"/>
    <w:rsid w:val="006D5027"/>
    <w:rsid w:val="006D5D2E"/>
    <w:rsid w:val="006D63FB"/>
    <w:rsid w:val="006D649D"/>
    <w:rsid w:val="006D677B"/>
    <w:rsid w:val="006D7852"/>
    <w:rsid w:val="006D78D9"/>
    <w:rsid w:val="006D7930"/>
    <w:rsid w:val="006E089C"/>
    <w:rsid w:val="006E0B79"/>
    <w:rsid w:val="006E0CD7"/>
    <w:rsid w:val="006E0D9F"/>
    <w:rsid w:val="006E1587"/>
    <w:rsid w:val="006E18BE"/>
    <w:rsid w:val="006E24DE"/>
    <w:rsid w:val="006E287A"/>
    <w:rsid w:val="006E2EB6"/>
    <w:rsid w:val="006E3569"/>
    <w:rsid w:val="006E365C"/>
    <w:rsid w:val="006E38FA"/>
    <w:rsid w:val="006E3DC3"/>
    <w:rsid w:val="006E41E6"/>
    <w:rsid w:val="006E4682"/>
    <w:rsid w:val="006E5095"/>
    <w:rsid w:val="006E52EE"/>
    <w:rsid w:val="006E5BE4"/>
    <w:rsid w:val="006E5E7A"/>
    <w:rsid w:val="006E61CE"/>
    <w:rsid w:val="006E6EE4"/>
    <w:rsid w:val="006E6FEF"/>
    <w:rsid w:val="006E7174"/>
    <w:rsid w:val="006F067F"/>
    <w:rsid w:val="006F07DC"/>
    <w:rsid w:val="006F0BD8"/>
    <w:rsid w:val="006F156A"/>
    <w:rsid w:val="006F1912"/>
    <w:rsid w:val="006F1A2E"/>
    <w:rsid w:val="006F26FC"/>
    <w:rsid w:val="006F2A50"/>
    <w:rsid w:val="006F2D3E"/>
    <w:rsid w:val="006F309A"/>
    <w:rsid w:val="006F3BC4"/>
    <w:rsid w:val="006F3DCF"/>
    <w:rsid w:val="006F3F79"/>
    <w:rsid w:val="006F4246"/>
    <w:rsid w:val="006F4704"/>
    <w:rsid w:val="006F4E97"/>
    <w:rsid w:val="006F588F"/>
    <w:rsid w:val="006F59F3"/>
    <w:rsid w:val="006F675A"/>
    <w:rsid w:val="006F6D99"/>
    <w:rsid w:val="006F6E0B"/>
    <w:rsid w:val="006F6EE4"/>
    <w:rsid w:val="006F7DE9"/>
    <w:rsid w:val="007010C5"/>
    <w:rsid w:val="007010DA"/>
    <w:rsid w:val="00701183"/>
    <w:rsid w:val="00701230"/>
    <w:rsid w:val="00701404"/>
    <w:rsid w:val="00701CED"/>
    <w:rsid w:val="00701D35"/>
    <w:rsid w:val="00702550"/>
    <w:rsid w:val="00702684"/>
    <w:rsid w:val="00702B8F"/>
    <w:rsid w:val="00703192"/>
    <w:rsid w:val="00703433"/>
    <w:rsid w:val="0070366D"/>
    <w:rsid w:val="00703861"/>
    <w:rsid w:val="007038C2"/>
    <w:rsid w:val="00704155"/>
    <w:rsid w:val="00704478"/>
    <w:rsid w:val="0070518A"/>
    <w:rsid w:val="007056BE"/>
    <w:rsid w:val="007057AD"/>
    <w:rsid w:val="00705C93"/>
    <w:rsid w:val="00705F56"/>
    <w:rsid w:val="0070611E"/>
    <w:rsid w:val="0070741C"/>
    <w:rsid w:val="00707A66"/>
    <w:rsid w:val="00707ACE"/>
    <w:rsid w:val="00707BB1"/>
    <w:rsid w:val="00710137"/>
    <w:rsid w:val="007103C9"/>
    <w:rsid w:val="00710C77"/>
    <w:rsid w:val="0071175A"/>
    <w:rsid w:val="00711A00"/>
    <w:rsid w:val="007122DA"/>
    <w:rsid w:val="00712336"/>
    <w:rsid w:val="00713FEA"/>
    <w:rsid w:val="007140BC"/>
    <w:rsid w:val="00714160"/>
    <w:rsid w:val="00714B9F"/>
    <w:rsid w:val="00715634"/>
    <w:rsid w:val="0071686A"/>
    <w:rsid w:val="00716C0C"/>
    <w:rsid w:val="00716FE5"/>
    <w:rsid w:val="0071737C"/>
    <w:rsid w:val="00717F73"/>
    <w:rsid w:val="00717FD6"/>
    <w:rsid w:val="0072047A"/>
    <w:rsid w:val="007206DE"/>
    <w:rsid w:val="007207BF"/>
    <w:rsid w:val="00721621"/>
    <w:rsid w:val="00721CF2"/>
    <w:rsid w:val="00722117"/>
    <w:rsid w:val="00722737"/>
    <w:rsid w:val="007227F6"/>
    <w:rsid w:val="00722B47"/>
    <w:rsid w:val="00722CA1"/>
    <w:rsid w:val="007237B4"/>
    <w:rsid w:val="0072380A"/>
    <w:rsid w:val="00723868"/>
    <w:rsid w:val="00724304"/>
    <w:rsid w:val="0072454D"/>
    <w:rsid w:val="007249D9"/>
    <w:rsid w:val="00724A38"/>
    <w:rsid w:val="00724E96"/>
    <w:rsid w:val="007255B2"/>
    <w:rsid w:val="00725DDF"/>
    <w:rsid w:val="00726192"/>
    <w:rsid w:val="00726F91"/>
    <w:rsid w:val="007276F1"/>
    <w:rsid w:val="007279F9"/>
    <w:rsid w:val="00727BF6"/>
    <w:rsid w:val="0073037A"/>
    <w:rsid w:val="007307EF"/>
    <w:rsid w:val="00730B9D"/>
    <w:rsid w:val="00731BDC"/>
    <w:rsid w:val="00731E61"/>
    <w:rsid w:val="00732FD7"/>
    <w:rsid w:val="00733B86"/>
    <w:rsid w:val="007340E5"/>
    <w:rsid w:val="00734686"/>
    <w:rsid w:val="00734922"/>
    <w:rsid w:val="00734BC8"/>
    <w:rsid w:val="00735054"/>
    <w:rsid w:val="00735150"/>
    <w:rsid w:val="0073538F"/>
    <w:rsid w:val="007358EE"/>
    <w:rsid w:val="007365BB"/>
    <w:rsid w:val="00736C0D"/>
    <w:rsid w:val="00737204"/>
    <w:rsid w:val="007373B7"/>
    <w:rsid w:val="00737477"/>
    <w:rsid w:val="007407EC"/>
    <w:rsid w:val="00740805"/>
    <w:rsid w:val="00740D0D"/>
    <w:rsid w:val="00740D29"/>
    <w:rsid w:val="0074177E"/>
    <w:rsid w:val="007418F7"/>
    <w:rsid w:val="00741BF5"/>
    <w:rsid w:val="0074277B"/>
    <w:rsid w:val="007433D6"/>
    <w:rsid w:val="00743A24"/>
    <w:rsid w:val="00743D00"/>
    <w:rsid w:val="007443CE"/>
    <w:rsid w:val="007444EA"/>
    <w:rsid w:val="0074463B"/>
    <w:rsid w:val="00744CB1"/>
    <w:rsid w:val="00744F8E"/>
    <w:rsid w:val="00745B58"/>
    <w:rsid w:val="00745F18"/>
    <w:rsid w:val="007463BA"/>
    <w:rsid w:val="007463E4"/>
    <w:rsid w:val="007477E5"/>
    <w:rsid w:val="00750D0E"/>
    <w:rsid w:val="007518CE"/>
    <w:rsid w:val="00751D2E"/>
    <w:rsid w:val="00752615"/>
    <w:rsid w:val="00753046"/>
    <w:rsid w:val="007531D9"/>
    <w:rsid w:val="0075348E"/>
    <w:rsid w:val="00753779"/>
    <w:rsid w:val="00753946"/>
    <w:rsid w:val="00753ACD"/>
    <w:rsid w:val="00753DE0"/>
    <w:rsid w:val="007540ED"/>
    <w:rsid w:val="0075489C"/>
    <w:rsid w:val="0075496F"/>
    <w:rsid w:val="00754D85"/>
    <w:rsid w:val="007554AF"/>
    <w:rsid w:val="007556FB"/>
    <w:rsid w:val="0075596C"/>
    <w:rsid w:val="00755A83"/>
    <w:rsid w:val="00756404"/>
    <w:rsid w:val="00756A40"/>
    <w:rsid w:val="00756AC4"/>
    <w:rsid w:val="00757CC0"/>
    <w:rsid w:val="00757F11"/>
    <w:rsid w:val="00760161"/>
    <w:rsid w:val="007615B3"/>
    <w:rsid w:val="0076180B"/>
    <w:rsid w:val="00761999"/>
    <w:rsid w:val="00761F80"/>
    <w:rsid w:val="00762528"/>
    <w:rsid w:val="00762899"/>
    <w:rsid w:val="00762D03"/>
    <w:rsid w:val="00762E64"/>
    <w:rsid w:val="0076325C"/>
    <w:rsid w:val="00764076"/>
    <w:rsid w:val="0076441F"/>
    <w:rsid w:val="007646FD"/>
    <w:rsid w:val="0076484D"/>
    <w:rsid w:val="00764FAA"/>
    <w:rsid w:val="0076600D"/>
    <w:rsid w:val="00766EDF"/>
    <w:rsid w:val="0076732E"/>
    <w:rsid w:val="0076793D"/>
    <w:rsid w:val="007700A5"/>
    <w:rsid w:val="00770116"/>
    <w:rsid w:val="007703F0"/>
    <w:rsid w:val="0077046B"/>
    <w:rsid w:val="00770960"/>
    <w:rsid w:val="00770AE1"/>
    <w:rsid w:val="00770F1E"/>
    <w:rsid w:val="00771054"/>
    <w:rsid w:val="007716B5"/>
    <w:rsid w:val="0077212F"/>
    <w:rsid w:val="00772D92"/>
    <w:rsid w:val="00772E65"/>
    <w:rsid w:val="00773248"/>
    <w:rsid w:val="00773424"/>
    <w:rsid w:val="007734CB"/>
    <w:rsid w:val="00773555"/>
    <w:rsid w:val="00773731"/>
    <w:rsid w:val="007746F3"/>
    <w:rsid w:val="00775203"/>
    <w:rsid w:val="007759D5"/>
    <w:rsid w:val="00776047"/>
    <w:rsid w:val="00776089"/>
    <w:rsid w:val="00777195"/>
    <w:rsid w:val="007771C3"/>
    <w:rsid w:val="007773DC"/>
    <w:rsid w:val="007775E1"/>
    <w:rsid w:val="00777A50"/>
    <w:rsid w:val="007802F6"/>
    <w:rsid w:val="007804F3"/>
    <w:rsid w:val="00780E4E"/>
    <w:rsid w:val="00782843"/>
    <w:rsid w:val="00782A7A"/>
    <w:rsid w:val="00782B49"/>
    <w:rsid w:val="00782BEF"/>
    <w:rsid w:val="00783181"/>
    <w:rsid w:val="007840F9"/>
    <w:rsid w:val="00785044"/>
    <w:rsid w:val="007856C6"/>
    <w:rsid w:val="0078585A"/>
    <w:rsid w:val="00785B4C"/>
    <w:rsid w:val="00785B84"/>
    <w:rsid w:val="00785DD7"/>
    <w:rsid w:val="00786062"/>
    <w:rsid w:val="007864E4"/>
    <w:rsid w:val="00786640"/>
    <w:rsid w:val="00786782"/>
    <w:rsid w:val="00786DA8"/>
    <w:rsid w:val="00787789"/>
    <w:rsid w:val="007903AD"/>
    <w:rsid w:val="0079086F"/>
    <w:rsid w:val="00790F14"/>
    <w:rsid w:val="00790F41"/>
    <w:rsid w:val="00791204"/>
    <w:rsid w:val="007912FA"/>
    <w:rsid w:val="007923B9"/>
    <w:rsid w:val="00792D18"/>
    <w:rsid w:val="007931EA"/>
    <w:rsid w:val="00793FB3"/>
    <w:rsid w:val="007954B2"/>
    <w:rsid w:val="00795A51"/>
    <w:rsid w:val="00795CA0"/>
    <w:rsid w:val="0079656A"/>
    <w:rsid w:val="0079674A"/>
    <w:rsid w:val="00797133"/>
    <w:rsid w:val="00797237"/>
    <w:rsid w:val="00797553"/>
    <w:rsid w:val="007975F8"/>
    <w:rsid w:val="007A19C2"/>
    <w:rsid w:val="007A1B76"/>
    <w:rsid w:val="007A23F9"/>
    <w:rsid w:val="007A24B9"/>
    <w:rsid w:val="007A29CF"/>
    <w:rsid w:val="007A2A0A"/>
    <w:rsid w:val="007A2AF2"/>
    <w:rsid w:val="007A2B35"/>
    <w:rsid w:val="007A2D40"/>
    <w:rsid w:val="007A3370"/>
    <w:rsid w:val="007A3649"/>
    <w:rsid w:val="007A430E"/>
    <w:rsid w:val="007A4691"/>
    <w:rsid w:val="007A4739"/>
    <w:rsid w:val="007A5805"/>
    <w:rsid w:val="007A59DE"/>
    <w:rsid w:val="007A59FE"/>
    <w:rsid w:val="007A5CD2"/>
    <w:rsid w:val="007A5FB4"/>
    <w:rsid w:val="007A6204"/>
    <w:rsid w:val="007A685B"/>
    <w:rsid w:val="007A6A81"/>
    <w:rsid w:val="007A7122"/>
    <w:rsid w:val="007A71E6"/>
    <w:rsid w:val="007A7461"/>
    <w:rsid w:val="007A751E"/>
    <w:rsid w:val="007B0C48"/>
    <w:rsid w:val="007B1234"/>
    <w:rsid w:val="007B16BE"/>
    <w:rsid w:val="007B2937"/>
    <w:rsid w:val="007B2A96"/>
    <w:rsid w:val="007B2C01"/>
    <w:rsid w:val="007B2D34"/>
    <w:rsid w:val="007B2E23"/>
    <w:rsid w:val="007B31A1"/>
    <w:rsid w:val="007B3761"/>
    <w:rsid w:val="007B3921"/>
    <w:rsid w:val="007B4431"/>
    <w:rsid w:val="007B4DF5"/>
    <w:rsid w:val="007B5A37"/>
    <w:rsid w:val="007B6445"/>
    <w:rsid w:val="007B666D"/>
    <w:rsid w:val="007B717C"/>
    <w:rsid w:val="007B7308"/>
    <w:rsid w:val="007B7AA5"/>
    <w:rsid w:val="007B7E52"/>
    <w:rsid w:val="007C034D"/>
    <w:rsid w:val="007C0527"/>
    <w:rsid w:val="007C08C2"/>
    <w:rsid w:val="007C161B"/>
    <w:rsid w:val="007C214C"/>
    <w:rsid w:val="007C2745"/>
    <w:rsid w:val="007C2B83"/>
    <w:rsid w:val="007C3692"/>
    <w:rsid w:val="007C40F5"/>
    <w:rsid w:val="007C52CC"/>
    <w:rsid w:val="007C550F"/>
    <w:rsid w:val="007C56B7"/>
    <w:rsid w:val="007C5AC2"/>
    <w:rsid w:val="007C60ED"/>
    <w:rsid w:val="007C655A"/>
    <w:rsid w:val="007C6884"/>
    <w:rsid w:val="007C70BA"/>
    <w:rsid w:val="007C739B"/>
    <w:rsid w:val="007D033A"/>
    <w:rsid w:val="007D039B"/>
    <w:rsid w:val="007D0B04"/>
    <w:rsid w:val="007D0B05"/>
    <w:rsid w:val="007D0B1C"/>
    <w:rsid w:val="007D140A"/>
    <w:rsid w:val="007D1423"/>
    <w:rsid w:val="007D2A4A"/>
    <w:rsid w:val="007D3017"/>
    <w:rsid w:val="007D389D"/>
    <w:rsid w:val="007D3E6C"/>
    <w:rsid w:val="007D4B9F"/>
    <w:rsid w:val="007D4D20"/>
    <w:rsid w:val="007D57FD"/>
    <w:rsid w:val="007D5978"/>
    <w:rsid w:val="007D5ACC"/>
    <w:rsid w:val="007D6033"/>
    <w:rsid w:val="007D730B"/>
    <w:rsid w:val="007D7E20"/>
    <w:rsid w:val="007E0119"/>
    <w:rsid w:val="007E038C"/>
    <w:rsid w:val="007E0A85"/>
    <w:rsid w:val="007E0AB4"/>
    <w:rsid w:val="007E0E5C"/>
    <w:rsid w:val="007E14DB"/>
    <w:rsid w:val="007E1579"/>
    <w:rsid w:val="007E1F30"/>
    <w:rsid w:val="007E2038"/>
    <w:rsid w:val="007E2A26"/>
    <w:rsid w:val="007E2C38"/>
    <w:rsid w:val="007E2E9B"/>
    <w:rsid w:val="007E3A87"/>
    <w:rsid w:val="007E40BC"/>
    <w:rsid w:val="007E43FA"/>
    <w:rsid w:val="007E469A"/>
    <w:rsid w:val="007E4B21"/>
    <w:rsid w:val="007E5166"/>
    <w:rsid w:val="007E5506"/>
    <w:rsid w:val="007E70D8"/>
    <w:rsid w:val="007E7154"/>
    <w:rsid w:val="007E740C"/>
    <w:rsid w:val="007E7A24"/>
    <w:rsid w:val="007E7AF4"/>
    <w:rsid w:val="007E7DD3"/>
    <w:rsid w:val="007F0029"/>
    <w:rsid w:val="007F1095"/>
    <w:rsid w:val="007F1424"/>
    <w:rsid w:val="007F1C37"/>
    <w:rsid w:val="007F231D"/>
    <w:rsid w:val="007F243A"/>
    <w:rsid w:val="007F27CB"/>
    <w:rsid w:val="007F28EC"/>
    <w:rsid w:val="007F3E02"/>
    <w:rsid w:val="007F46B5"/>
    <w:rsid w:val="007F49B7"/>
    <w:rsid w:val="007F5665"/>
    <w:rsid w:val="007F5B32"/>
    <w:rsid w:val="007F5CD5"/>
    <w:rsid w:val="007F5EBF"/>
    <w:rsid w:val="007F71A5"/>
    <w:rsid w:val="007F7C9B"/>
    <w:rsid w:val="0080070E"/>
    <w:rsid w:val="00800812"/>
    <w:rsid w:val="00800B9C"/>
    <w:rsid w:val="00800E73"/>
    <w:rsid w:val="00801260"/>
    <w:rsid w:val="00801429"/>
    <w:rsid w:val="00801575"/>
    <w:rsid w:val="0080197D"/>
    <w:rsid w:val="00801B07"/>
    <w:rsid w:val="00801F91"/>
    <w:rsid w:val="008026ED"/>
    <w:rsid w:val="008032E6"/>
    <w:rsid w:val="008034FC"/>
    <w:rsid w:val="0080360A"/>
    <w:rsid w:val="00803B81"/>
    <w:rsid w:val="00803F90"/>
    <w:rsid w:val="00804490"/>
    <w:rsid w:val="008045D9"/>
    <w:rsid w:val="00804963"/>
    <w:rsid w:val="00804C24"/>
    <w:rsid w:val="00804C30"/>
    <w:rsid w:val="00804D38"/>
    <w:rsid w:val="00805643"/>
    <w:rsid w:val="00805F48"/>
    <w:rsid w:val="0080605D"/>
    <w:rsid w:val="00806744"/>
    <w:rsid w:val="008069A6"/>
    <w:rsid w:val="00806B80"/>
    <w:rsid w:val="00806DF2"/>
    <w:rsid w:val="00806E92"/>
    <w:rsid w:val="008072DC"/>
    <w:rsid w:val="00807B75"/>
    <w:rsid w:val="00807EDA"/>
    <w:rsid w:val="008103DC"/>
    <w:rsid w:val="00810BB3"/>
    <w:rsid w:val="00810FA1"/>
    <w:rsid w:val="00810FB1"/>
    <w:rsid w:val="0081104A"/>
    <w:rsid w:val="0081196E"/>
    <w:rsid w:val="00811C57"/>
    <w:rsid w:val="008124BD"/>
    <w:rsid w:val="008130B2"/>
    <w:rsid w:val="008130C4"/>
    <w:rsid w:val="00813674"/>
    <w:rsid w:val="00813F92"/>
    <w:rsid w:val="008142E9"/>
    <w:rsid w:val="0081458F"/>
    <w:rsid w:val="00814601"/>
    <w:rsid w:val="00814834"/>
    <w:rsid w:val="00814DD9"/>
    <w:rsid w:val="008156B8"/>
    <w:rsid w:val="008157F2"/>
    <w:rsid w:val="008158B3"/>
    <w:rsid w:val="00815F6C"/>
    <w:rsid w:val="00816B55"/>
    <w:rsid w:val="0081721B"/>
    <w:rsid w:val="008174BB"/>
    <w:rsid w:val="008208E1"/>
    <w:rsid w:val="00820CF1"/>
    <w:rsid w:val="00821016"/>
    <w:rsid w:val="00821FB0"/>
    <w:rsid w:val="00822679"/>
    <w:rsid w:val="00822761"/>
    <w:rsid w:val="00822A41"/>
    <w:rsid w:val="008230F2"/>
    <w:rsid w:val="008232B2"/>
    <w:rsid w:val="0082336B"/>
    <w:rsid w:val="00823D63"/>
    <w:rsid w:val="008243E3"/>
    <w:rsid w:val="0082453B"/>
    <w:rsid w:val="0082479B"/>
    <w:rsid w:val="008247B1"/>
    <w:rsid w:val="008253DA"/>
    <w:rsid w:val="00825CDC"/>
    <w:rsid w:val="0082602C"/>
    <w:rsid w:val="00826328"/>
    <w:rsid w:val="00827080"/>
    <w:rsid w:val="008308AB"/>
    <w:rsid w:val="00830E86"/>
    <w:rsid w:val="00830F98"/>
    <w:rsid w:val="008310E7"/>
    <w:rsid w:val="00831363"/>
    <w:rsid w:val="008315E4"/>
    <w:rsid w:val="00831C89"/>
    <w:rsid w:val="00831F98"/>
    <w:rsid w:val="00832532"/>
    <w:rsid w:val="008328CF"/>
    <w:rsid w:val="00832D7A"/>
    <w:rsid w:val="0083344E"/>
    <w:rsid w:val="0083413E"/>
    <w:rsid w:val="00834F10"/>
    <w:rsid w:val="008354AD"/>
    <w:rsid w:val="00835B7F"/>
    <w:rsid w:val="00836CAC"/>
    <w:rsid w:val="00840E7E"/>
    <w:rsid w:val="008412BA"/>
    <w:rsid w:val="00841525"/>
    <w:rsid w:val="008417E6"/>
    <w:rsid w:val="00841F6A"/>
    <w:rsid w:val="00842113"/>
    <w:rsid w:val="00842737"/>
    <w:rsid w:val="00842B74"/>
    <w:rsid w:val="00842EEC"/>
    <w:rsid w:val="00842F76"/>
    <w:rsid w:val="008431DC"/>
    <w:rsid w:val="008435E7"/>
    <w:rsid w:val="008442CC"/>
    <w:rsid w:val="00844A77"/>
    <w:rsid w:val="00844AA3"/>
    <w:rsid w:val="00844AEE"/>
    <w:rsid w:val="00844C42"/>
    <w:rsid w:val="008453B7"/>
    <w:rsid w:val="00845547"/>
    <w:rsid w:val="0084602C"/>
    <w:rsid w:val="00847910"/>
    <w:rsid w:val="008501DF"/>
    <w:rsid w:val="008518F5"/>
    <w:rsid w:val="0085192B"/>
    <w:rsid w:val="00851A90"/>
    <w:rsid w:val="0085219A"/>
    <w:rsid w:val="008529A7"/>
    <w:rsid w:val="008532FC"/>
    <w:rsid w:val="0085412A"/>
    <w:rsid w:val="00854791"/>
    <w:rsid w:val="008548EA"/>
    <w:rsid w:val="00854D8D"/>
    <w:rsid w:val="00854F9E"/>
    <w:rsid w:val="0085578B"/>
    <w:rsid w:val="0085669E"/>
    <w:rsid w:val="00857297"/>
    <w:rsid w:val="00857700"/>
    <w:rsid w:val="008601D7"/>
    <w:rsid w:val="0086058E"/>
    <w:rsid w:val="00860A9C"/>
    <w:rsid w:val="00860AC5"/>
    <w:rsid w:val="00860F91"/>
    <w:rsid w:val="008614FC"/>
    <w:rsid w:val="00861C41"/>
    <w:rsid w:val="00862557"/>
    <w:rsid w:val="008625E9"/>
    <w:rsid w:val="00862954"/>
    <w:rsid w:val="00862BB9"/>
    <w:rsid w:val="008632A4"/>
    <w:rsid w:val="008632DC"/>
    <w:rsid w:val="0086368A"/>
    <w:rsid w:val="00863707"/>
    <w:rsid w:val="00863E2D"/>
    <w:rsid w:val="00864284"/>
    <w:rsid w:val="008645DE"/>
    <w:rsid w:val="00865834"/>
    <w:rsid w:val="00865FD5"/>
    <w:rsid w:val="0086641F"/>
    <w:rsid w:val="00866C35"/>
    <w:rsid w:val="00866F08"/>
    <w:rsid w:val="00867053"/>
    <w:rsid w:val="00867212"/>
    <w:rsid w:val="00867C2B"/>
    <w:rsid w:val="00867CC7"/>
    <w:rsid w:val="008705A3"/>
    <w:rsid w:val="0087165C"/>
    <w:rsid w:val="00872162"/>
    <w:rsid w:val="0087270D"/>
    <w:rsid w:val="00872C95"/>
    <w:rsid w:val="00873512"/>
    <w:rsid w:val="00873B5D"/>
    <w:rsid w:val="00873B5E"/>
    <w:rsid w:val="00873CFD"/>
    <w:rsid w:val="0087407E"/>
    <w:rsid w:val="0087489E"/>
    <w:rsid w:val="00874C88"/>
    <w:rsid w:val="0087554C"/>
    <w:rsid w:val="0087612B"/>
    <w:rsid w:val="008762E6"/>
    <w:rsid w:val="008763AC"/>
    <w:rsid w:val="00876E21"/>
    <w:rsid w:val="00876E3D"/>
    <w:rsid w:val="00877381"/>
    <w:rsid w:val="00877614"/>
    <w:rsid w:val="00877970"/>
    <w:rsid w:val="008779AC"/>
    <w:rsid w:val="0088020E"/>
    <w:rsid w:val="00880902"/>
    <w:rsid w:val="00880BF8"/>
    <w:rsid w:val="00880E86"/>
    <w:rsid w:val="00881167"/>
    <w:rsid w:val="008816F9"/>
    <w:rsid w:val="0088174E"/>
    <w:rsid w:val="00881ABD"/>
    <w:rsid w:val="00882019"/>
    <w:rsid w:val="00882C45"/>
    <w:rsid w:val="008832A7"/>
    <w:rsid w:val="0088332C"/>
    <w:rsid w:val="0088422F"/>
    <w:rsid w:val="00884478"/>
    <w:rsid w:val="008846A9"/>
    <w:rsid w:val="008848DC"/>
    <w:rsid w:val="008848FB"/>
    <w:rsid w:val="0088529C"/>
    <w:rsid w:val="008858D5"/>
    <w:rsid w:val="008858F7"/>
    <w:rsid w:val="00885C06"/>
    <w:rsid w:val="00886431"/>
    <w:rsid w:val="008867A3"/>
    <w:rsid w:val="008878F2"/>
    <w:rsid w:val="0089002A"/>
    <w:rsid w:val="00890845"/>
    <w:rsid w:val="00890CB1"/>
    <w:rsid w:val="00890E85"/>
    <w:rsid w:val="00891AEC"/>
    <w:rsid w:val="00892B4A"/>
    <w:rsid w:val="008938CE"/>
    <w:rsid w:val="00894806"/>
    <w:rsid w:val="00894904"/>
    <w:rsid w:val="00895241"/>
    <w:rsid w:val="0089532F"/>
    <w:rsid w:val="008954C4"/>
    <w:rsid w:val="008958C2"/>
    <w:rsid w:val="00895D48"/>
    <w:rsid w:val="00896BB9"/>
    <w:rsid w:val="008970C0"/>
    <w:rsid w:val="00897FD6"/>
    <w:rsid w:val="008A03DD"/>
    <w:rsid w:val="008A05F3"/>
    <w:rsid w:val="008A0794"/>
    <w:rsid w:val="008A0B30"/>
    <w:rsid w:val="008A0C76"/>
    <w:rsid w:val="008A0C8E"/>
    <w:rsid w:val="008A0F2D"/>
    <w:rsid w:val="008A1568"/>
    <w:rsid w:val="008A179B"/>
    <w:rsid w:val="008A1C7B"/>
    <w:rsid w:val="008A2001"/>
    <w:rsid w:val="008A220A"/>
    <w:rsid w:val="008A29AA"/>
    <w:rsid w:val="008A32F0"/>
    <w:rsid w:val="008A36C4"/>
    <w:rsid w:val="008A3ADD"/>
    <w:rsid w:val="008A4B65"/>
    <w:rsid w:val="008A4BD2"/>
    <w:rsid w:val="008A5279"/>
    <w:rsid w:val="008A5B4C"/>
    <w:rsid w:val="008A621F"/>
    <w:rsid w:val="008A6604"/>
    <w:rsid w:val="008A75C2"/>
    <w:rsid w:val="008A76D3"/>
    <w:rsid w:val="008A7E16"/>
    <w:rsid w:val="008A7F5A"/>
    <w:rsid w:val="008B11D1"/>
    <w:rsid w:val="008B1427"/>
    <w:rsid w:val="008B1E9C"/>
    <w:rsid w:val="008B1ED6"/>
    <w:rsid w:val="008B2066"/>
    <w:rsid w:val="008B2155"/>
    <w:rsid w:val="008B22C1"/>
    <w:rsid w:val="008B2660"/>
    <w:rsid w:val="008B2F64"/>
    <w:rsid w:val="008B34D3"/>
    <w:rsid w:val="008B38D8"/>
    <w:rsid w:val="008B3A76"/>
    <w:rsid w:val="008B4226"/>
    <w:rsid w:val="008B4E8F"/>
    <w:rsid w:val="008B54CD"/>
    <w:rsid w:val="008B5AEC"/>
    <w:rsid w:val="008B5AFE"/>
    <w:rsid w:val="008B5F75"/>
    <w:rsid w:val="008B666F"/>
    <w:rsid w:val="008B6C89"/>
    <w:rsid w:val="008B703F"/>
    <w:rsid w:val="008C0261"/>
    <w:rsid w:val="008C02F7"/>
    <w:rsid w:val="008C08CF"/>
    <w:rsid w:val="008C0DFA"/>
    <w:rsid w:val="008C11CB"/>
    <w:rsid w:val="008C1463"/>
    <w:rsid w:val="008C19E3"/>
    <w:rsid w:val="008C1DAD"/>
    <w:rsid w:val="008C2D2A"/>
    <w:rsid w:val="008C2DAC"/>
    <w:rsid w:val="008C3E26"/>
    <w:rsid w:val="008C4171"/>
    <w:rsid w:val="008C4B73"/>
    <w:rsid w:val="008C4E99"/>
    <w:rsid w:val="008C4EBF"/>
    <w:rsid w:val="008C598F"/>
    <w:rsid w:val="008C5ABC"/>
    <w:rsid w:val="008C64C1"/>
    <w:rsid w:val="008C6501"/>
    <w:rsid w:val="008C6DFB"/>
    <w:rsid w:val="008C6F25"/>
    <w:rsid w:val="008C6FB9"/>
    <w:rsid w:val="008C7723"/>
    <w:rsid w:val="008C7853"/>
    <w:rsid w:val="008D0011"/>
    <w:rsid w:val="008D0462"/>
    <w:rsid w:val="008D0490"/>
    <w:rsid w:val="008D0EBA"/>
    <w:rsid w:val="008D16B5"/>
    <w:rsid w:val="008D1A7C"/>
    <w:rsid w:val="008D1D9A"/>
    <w:rsid w:val="008D291E"/>
    <w:rsid w:val="008D2A16"/>
    <w:rsid w:val="008D2A30"/>
    <w:rsid w:val="008D2E9F"/>
    <w:rsid w:val="008D3C85"/>
    <w:rsid w:val="008D48B4"/>
    <w:rsid w:val="008D4974"/>
    <w:rsid w:val="008D6187"/>
    <w:rsid w:val="008D655F"/>
    <w:rsid w:val="008D694A"/>
    <w:rsid w:val="008D70DA"/>
    <w:rsid w:val="008E03DF"/>
    <w:rsid w:val="008E0582"/>
    <w:rsid w:val="008E06CB"/>
    <w:rsid w:val="008E098A"/>
    <w:rsid w:val="008E0C59"/>
    <w:rsid w:val="008E0EBB"/>
    <w:rsid w:val="008E1444"/>
    <w:rsid w:val="008E1B36"/>
    <w:rsid w:val="008E1D99"/>
    <w:rsid w:val="008E2B63"/>
    <w:rsid w:val="008E2C8E"/>
    <w:rsid w:val="008E3BA7"/>
    <w:rsid w:val="008E40A0"/>
    <w:rsid w:val="008E4BFF"/>
    <w:rsid w:val="008E4FAB"/>
    <w:rsid w:val="008E53AD"/>
    <w:rsid w:val="008E5814"/>
    <w:rsid w:val="008E5E92"/>
    <w:rsid w:val="008E61AA"/>
    <w:rsid w:val="008E62E1"/>
    <w:rsid w:val="008E6C1A"/>
    <w:rsid w:val="008E7490"/>
    <w:rsid w:val="008E76C2"/>
    <w:rsid w:val="008E77DA"/>
    <w:rsid w:val="008E7865"/>
    <w:rsid w:val="008E78AA"/>
    <w:rsid w:val="008E7A02"/>
    <w:rsid w:val="008E7C54"/>
    <w:rsid w:val="008E7CAB"/>
    <w:rsid w:val="008E7D79"/>
    <w:rsid w:val="008E7EA9"/>
    <w:rsid w:val="008E7FCC"/>
    <w:rsid w:val="008F0252"/>
    <w:rsid w:val="008F0529"/>
    <w:rsid w:val="008F1247"/>
    <w:rsid w:val="008F1257"/>
    <w:rsid w:val="008F1701"/>
    <w:rsid w:val="008F1827"/>
    <w:rsid w:val="008F28B1"/>
    <w:rsid w:val="008F2966"/>
    <w:rsid w:val="008F2B6D"/>
    <w:rsid w:val="008F2D5E"/>
    <w:rsid w:val="008F36BA"/>
    <w:rsid w:val="008F39E4"/>
    <w:rsid w:val="008F3BA2"/>
    <w:rsid w:val="008F3ED2"/>
    <w:rsid w:val="008F469D"/>
    <w:rsid w:val="008F46FC"/>
    <w:rsid w:val="008F4B97"/>
    <w:rsid w:val="008F5D2D"/>
    <w:rsid w:val="008F5F41"/>
    <w:rsid w:val="008F66B9"/>
    <w:rsid w:val="008F6914"/>
    <w:rsid w:val="008F7728"/>
    <w:rsid w:val="00900356"/>
    <w:rsid w:val="009004E4"/>
    <w:rsid w:val="00900A69"/>
    <w:rsid w:val="00901125"/>
    <w:rsid w:val="009018EF"/>
    <w:rsid w:val="00901999"/>
    <w:rsid w:val="00901EC0"/>
    <w:rsid w:val="009023D7"/>
    <w:rsid w:val="009024CF"/>
    <w:rsid w:val="0090264E"/>
    <w:rsid w:val="00902971"/>
    <w:rsid w:val="00902DA5"/>
    <w:rsid w:val="0090343B"/>
    <w:rsid w:val="00903789"/>
    <w:rsid w:val="00903B0B"/>
    <w:rsid w:val="00903DA8"/>
    <w:rsid w:val="009042C2"/>
    <w:rsid w:val="009047FC"/>
    <w:rsid w:val="00904A8F"/>
    <w:rsid w:val="00904B74"/>
    <w:rsid w:val="00904E8C"/>
    <w:rsid w:val="009051D8"/>
    <w:rsid w:val="00905A71"/>
    <w:rsid w:val="00906B1C"/>
    <w:rsid w:val="009075FC"/>
    <w:rsid w:val="009076CA"/>
    <w:rsid w:val="009079CF"/>
    <w:rsid w:val="00907C19"/>
    <w:rsid w:val="009101ED"/>
    <w:rsid w:val="009105A2"/>
    <w:rsid w:val="00910B63"/>
    <w:rsid w:val="0091156F"/>
    <w:rsid w:val="009117E7"/>
    <w:rsid w:val="00911B21"/>
    <w:rsid w:val="00911E74"/>
    <w:rsid w:val="00913296"/>
    <w:rsid w:val="009137A9"/>
    <w:rsid w:val="00913EAD"/>
    <w:rsid w:val="00914A5D"/>
    <w:rsid w:val="00914D5C"/>
    <w:rsid w:val="00915CD6"/>
    <w:rsid w:val="00915CF7"/>
    <w:rsid w:val="00915E34"/>
    <w:rsid w:val="0091658E"/>
    <w:rsid w:val="00917137"/>
    <w:rsid w:val="00917191"/>
    <w:rsid w:val="00920C04"/>
    <w:rsid w:val="00921093"/>
    <w:rsid w:val="00921751"/>
    <w:rsid w:val="00921844"/>
    <w:rsid w:val="00921A07"/>
    <w:rsid w:val="00922E85"/>
    <w:rsid w:val="009231ED"/>
    <w:rsid w:val="00923280"/>
    <w:rsid w:val="00923528"/>
    <w:rsid w:val="009236DF"/>
    <w:rsid w:val="00923ABF"/>
    <w:rsid w:val="00923CD4"/>
    <w:rsid w:val="00923EB4"/>
    <w:rsid w:val="009240B6"/>
    <w:rsid w:val="0092421C"/>
    <w:rsid w:val="009248C2"/>
    <w:rsid w:val="00924F9D"/>
    <w:rsid w:val="00926094"/>
    <w:rsid w:val="0092701E"/>
    <w:rsid w:val="0092748D"/>
    <w:rsid w:val="009276D7"/>
    <w:rsid w:val="00927ADD"/>
    <w:rsid w:val="00927E42"/>
    <w:rsid w:val="00930064"/>
    <w:rsid w:val="00930D68"/>
    <w:rsid w:val="00931AE6"/>
    <w:rsid w:val="00931E2B"/>
    <w:rsid w:val="0093240F"/>
    <w:rsid w:val="00932A5C"/>
    <w:rsid w:val="00932F53"/>
    <w:rsid w:val="009332A7"/>
    <w:rsid w:val="0093333C"/>
    <w:rsid w:val="009338A8"/>
    <w:rsid w:val="00935AC4"/>
    <w:rsid w:val="00935F8F"/>
    <w:rsid w:val="00936098"/>
    <w:rsid w:val="00937470"/>
    <w:rsid w:val="00937F04"/>
    <w:rsid w:val="00937FF0"/>
    <w:rsid w:val="00940C26"/>
    <w:rsid w:val="009418ED"/>
    <w:rsid w:val="00942D9D"/>
    <w:rsid w:val="00942EC7"/>
    <w:rsid w:val="00942F0A"/>
    <w:rsid w:val="00942FBE"/>
    <w:rsid w:val="00943601"/>
    <w:rsid w:val="00943638"/>
    <w:rsid w:val="00943A8C"/>
    <w:rsid w:val="00943B90"/>
    <w:rsid w:val="00943FF7"/>
    <w:rsid w:val="0094442D"/>
    <w:rsid w:val="009445FE"/>
    <w:rsid w:val="00944A09"/>
    <w:rsid w:val="00945EF5"/>
    <w:rsid w:val="009462AE"/>
    <w:rsid w:val="00946A53"/>
    <w:rsid w:val="00946ADA"/>
    <w:rsid w:val="0094708C"/>
    <w:rsid w:val="009475F1"/>
    <w:rsid w:val="0094762F"/>
    <w:rsid w:val="00947EFB"/>
    <w:rsid w:val="00950622"/>
    <w:rsid w:val="00950A9B"/>
    <w:rsid w:val="00950E80"/>
    <w:rsid w:val="00952E9F"/>
    <w:rsid w:val="00952F0B"/>
    <w:rsid w:val="00953185"/>
    <w:rsid w:val="009535EC"/>
    <w:rsid w:val="0095375C"/>
    <w:rsid w:val="0095384E"/>
    <w:rsid w:val="0095385E"/>
    <w:rsid w:val="00955CE0"/>
    <w:rsid w:val="009561A7"/>
    <w:rsid w:val="00956479"/>
    <w:rsid w:val="009568BE"/>
    <w:rsid w:val="00957212"/>
    <w:rsid w:val="00957A98"/>
    <w:rsid w:val="00957CE9"/>
    <w:rsid w:val="00957DA5"/>
    <w:rsid w:val="00960B40"/>
    <w:rsid w:val="00960B67"/>
    <w:rsid w:val="0096147E"/>
    <w:rsid w:val="0096168C"/>
    <w:rsid w:val="00961A69"/>
    <w:rsid w:val="0096213A"/>
    <w:rsid w:val="00963102"/>
    <w:rsid w:val="009632B4"/>
    <w:rsid w:val="009633D5"/>
    <w:rsid w:val="0096353B"/>
    <w:rsid w:val="0096354C"/>
    <w:rsid w:val="0096358B"/>
    <w:rsid w:val="00963666"/>
    <w:rsid w:val="009639B9"/>
    <w:rsid w:val="00964A73"/>
    <w:rsid w:val="00965232"/>
    <w:rsid w:val="00965266"/>
    <w:rsid w:val="00965937"/>
    <w:rsid w:val="00965ACE"/>
    <w:rsid w:val="00965CEC"/>
    <w:rsid w:val="009663C1"/>
    <w:rsid w:val="00966C40"/>
    <w:rsid w:val="00966EB7"/>
    <w:rsid w:val="009670CF"/>
    <w:rsid w:val="0096729D"/>
    <w:rsid w:val="00967343"/>
    <w:rsid w:val="00967B19"/>
    <w:rsid w:val="00967C56"/>
    <w:rsid w:val="009700EA"/>
    <w:rsid w:val="0097069A"/>
    <w:rsid w:val="0097114D"/>
    <w:rsid w:val="00971595"/>
    <w:rsid w:val="00971F4C"/>
    <w:rsid w:val="0097242D"/>
    <w:rsid w:val="00972705"/>
    <w:rsid w:val="00973AC4"/>
    <w:rsid w:val="00973C39"/>
    <w:rsid w:val="009742EC"/>
    <w:rsid w:val="00974AD1"/>
    <w:rsid w:val="00975320"/>
    <w:rsid w:val="00975CB4"/>
    <w:rsid w:val="0097682F"/>
    <w:rsid w:val="00977910"/>
    <w:rsid w:val="0098073E"/>
    <w:rsid w:val="00980A10"/>
    <w:rsid w:val="00980E9C"/>
    <w:rsid w:val="009814F1"/>
    <w:rsid w:val="00982082"/>
    <w:rsid w:val="009839D1"/>
    <w:rsid w:val="00983B49"/>
    <w:rsid w:val="009844F6"/>
    <w:rsid w:val="0098464F"/>
    <w:rsid w:val="00984D00"/>
    <w:rsid w:val="009853D8"/>
    <w:rsid w:val="00985D98"/>
    <w:rsid w:val="00986DFE"/>
    <w:rsid w:val="00987006"/>
    <w:rsid w:val="00987867"/>
    <w:rsid w:val="00987CCD"/>
    <w:rsid w:val="00987EF3"/>
    <w:rsid w:val="00990B78"/>
    <w:rsid w:val="00990D0E"/>
    <w:rsid w:val="00991386"/>
    <w:rsid w:val="0099388F"/>
    <w:rsid w:val="0099477A"/>
    <w:rsid w:val="0099498B"/>
    <w:rsid w:val="00994F92"/>
    <w:rsid w:val="009953D1"/>
    <w:rsid w:val="00996705"/>
    <w:rsid w:val="009967A0"/>
    <w:rsid w:val="00996FD5"/>
    <w:rsid w:val="009A08A9"/>
    <w:rsid w:val="009A0D22"/>
    <w:rsid w:val="009A0F0B"/>
    <w:rsid w:val="009A1133"/>
    <w:rsid w:val="009A16C9"/>
    <w:rsid w:val="009A1BE4"/>
    <w:rsid w:val="009A1F0D"/>
    <w:rsid w:val="009A2126"/>
    <w:rsid w:val="009A279F"/>
    <w:rsid w:val="009A3724"/>
    <w:rsid w:val="009A43E4"/>
    <w:rsid w:val="009A46E4"/>
    <w:rsid w:val="009A48E8"/>
    <w:rsid w:val="009A4CC6"/>
    <w:rsid w:val="009A50BE"/>
    <w:rsid w:val="009A608B"/>
    <w:rsid w:val="009A70FF"/>
    <w:rsid w:val="009A7964"/>
    <w:rsid w:val="009A7C27"/>
    <w:rsid w:val="009B029B"/>
    <w:rsid w:val="009B07A1"/>
    <w:rsid w:val="009B0C96"/>
    <w:rsid w:val="009B1AE8"/>
    <w:rsid w:val="009B1D00"/>
    <w:rsid w:val="009B2061"/>
    <w:rsid w:val="009B2D9C"/>
    <w:rsid w:val="009B34BA"/>
    <w:rsid w:val="009B36F4"/>
    <w:rsid w:val="009B3D17"/>
    <w:rsid w:val="009B3E70"/>
    <w:rsid w:val="009B416F"/>
    <w:rsid w:val="009B4214"/>
    <w:rsid w:val="009B4376"/>
    <w:rsid w:val="009B46D6"/>
    <w:rsid w:val="009B4D3A"/>
    <w:rsid w:val="009B511B"/>
    <w:rsid w:val="009B5427"/>
    <w:rsid w:val="009B5C09"/>
    <w:rsid w:val="009B6608"/>
    <w:rsid w:val="009B727A"/>
    <w:rsid w:val="009B756C"/>
    <w:rsid w:val="009B76B9"/>
    <w:rsid w:val="009B7740"/>
    <w:rsid w:val="009B79C5"/>
    <w:rsid w:val="009C0374"/>
    <w:rsid w:val="009C0BF8"/>
    <w:rsid w:val="009C0E5F"/>
    <w:rsid w:val="009C139E"/>
    <w:rsid w:val="009C26DD"/>
    <w:rsid w:val="009C273E"/>
    <w:rsid w:val="009C2B37"/>
    <w:rsid w:val="009C3072"/>
    <w:rsid w:val="009C3B94"/>
    <w:rsid w:val="009C40BA"/>
    <w:rsid w:val="009C41E7"/>
    <w:rsid w:val="009C4B0C"/>
    <w:rsid w:val="009C4DCB"/>
    <w:rsid w:val="009C4FA4"/>
    <w:rsid w:val="009C579C"/>
    <w:rsid w:val="009C60B3"/>
    <w:rsid w:val="009C614B"/>
    <w:rsid w:val="009C6169"/>
    <w:rsid w:val="009C63B2"/>
    <w:rsid w:val="009C6A83"/>
    <w:rsid w:val="009C6DFF"/>
    <w:rsid w:val="009C756E"/>
    <w:rsid w:val="009C7B6E"/>
    <w:rsid w:val="009D02AD"/>
    <w:rsid w:val="009D03F0"/>
    <w:rsid w:val="009D05DD"/>
    <w:rsid w:val="009D0AD2"/>
    <w:rsid w:val="009D0CAB"/>
    <w:rsid w:val="009D0E6A"/>
    <w:rsid w:val="009D102B"/>
    <w:rsid w:val="009D14EF"/>
    <w:rsid w:val="009D1FCE"/>
    <w:rsid w:val="009D2108"/>
    <w:rsid w:val="009D2903"/>
    <w:rsid w:val="009D2CB6"/>
    <w:rsid w:val="009D3559"/>
    <w:rsid w:val="009D3B13"/>
    <w:rsid w:val="009D3B58"/>
    <w:rsid w:val="009D3C6E"/>
    <w:rsid w:val="009D5C7C"/>
    <w:rsid w:val="009D6144"/>
    <w:rsid w:val="009D614D"/>
    <w:rsid w:val="009D65ED"/>
    <w:rsid w:val="009D6E3E"/>
    <w:rsid w:val="009D6EBF"/>
    <w:rsid w:val="009D7069"/>
    <w:rsid w:val="009D71A0"/>
    <w:rsid w:val="009D7C04"/>
    <w:rsid w:val="009E1418"/>
    <w:rsid w:val="009E17EE"/>
    <w:rsid w:val="009E19B8"/>
    <w:rsid w:val="009E1A16"/>
    <w:rsid w:val="009E1D70"/>
    <w:rsid w:val="009E1DA3"/>
    <w:rsid w:val="009E1EBF"/>
    <w:rsid w:val="009E23B1"/>
    <w:rsid w:val="009E24C4"/>
    <w:rsid w:val="009E2D09"/>
    <w:rsid w:val="009E3B4A"/>
    <w:rsid w:val="009E3CBC"/>
    <w:rsid w:val="009E49A5"/>
    <w:rsid w:val="009E4F7F"/>
    <w:rsid w:val="009E5205"/>
    <w:rsid w:val="009E5B0C"/>
    <w:rsid w:val="009E5C53"/>
    <w:rsid w:val="009E68B0"/>
    <w:rsid w:val="009E7021"/>
    <w:rsid w:val="009E7214"/>
    <w:rsid w:val="009E74FF"/>
    <w:rsid w:val="009E7E6B"/>
    <w:rsid w:val="009F06F6"/>
    <w:rsid w:val="009F08F3"/>
    <w:rsid w:val="009F0909"/>
    <w:rsid w:val="009F09AE"/>
    <w:rsid w:val="009F2D45"/>
    <w:rsid w:val="009F2F5C"/>
    <w:rsid w:val="009F2FA5"/>
    <w:rsid w:val="009F31B4"/>
    <w:rsid w:val="009F34A1"/>
    <w:rsid w:val="009F49FD"/>
    <w:rsid w:val="009F4A18"/>
    <w:rsid w:val="009F4FC4"/>
    <w:rsid w:val="009F5274"/>
    <w:rsid w:val="009F5293"/>
    <w:rsid w:val="009F5D54"/>
    <w:rsid w:val="009F5D87"/>
    <w:rsid w:val="009F60F7"/>
    <w:rsid w:val="009F6917"/>
    <w:rsid w:val="009F6BEC"/>
    <w:rsid w:val="009F71B9"/>
    <w:rsid w:val="009F7379"/>
    <w:rsid w:val="009F76BB"/>
    <w:rsid w:val="009F7A49"/>
    <w:rsid w:val="009F7E72"/>
    <w:rsid w:val="00A000E0"/>
    <w:rsid w:val="00A001A4"/>
    <w:rsid w:val="00A00241"/>
    <w:rsid w:val="00A00BC9"/>
    <w:rsid w:val="00A0114E"/>
    <w:rsid w:val="00A0199B"/>
    <w:rsid w:val="00A01C2A"/>
    <w:rsid w:val="00A0258E"/>
    <w:rsid w:val="00A032EA"/>
    <w:rsid w:val="00A03A3D"/>
    <w:rsid w:val="00A03CB1"/>
    <w:rsid w:val="00A04278"/>
    <w:rsid w:val="00A04640"/>
    <w:rsid w:val="00A05439"/>
    <w:rsid w:val="00A05636"/>
    <w:rsid w:val="00A0570C"/>
    <w:rsid w:val="00A060F7"/>
    <w:rsid w:val="00A063B6"/>
    <w:rsid w:val="00A064A1"/>
    <w:rsid w:val="00A06553"/>
    <w:rsid w:val="00A06AB8"/>
    <w:rsid w:val="00A06F25"/>
    <w:rsid w:val="00A070C8"/>
    <w:rsid w:val="00A070F3"/>
    <w:rsid w:val="00A072A8"/>
    <w:rsid w:val="00A0761C"/>
    <w:rsid w:val="00A07A8F"/>
    <w:rsid w:val="00A1025D"/>
    <w:rsid w:val="00A10EFB"/>
    <w:rsid w:val="00A11688"/>
    <w:rsid w:val="00A1359C"/>
    <w:rsid w:val="00A13ABC"/>
    <w:rsid w:val="00A13B06"/>
    <w:rsid w:val="00A14565"/>
    <w:rsid w:val="00A15218"/>
    <w:rsid w:val="00A1530B"/>
    <w:rsid w:val="00A1547C"/>
    <w:rsid w:val="00A15527"/>
    <w:rsid w:val="00A16269"/>
    <w:rsid w:val="00A16578"/>
    <w:rsid w:val="00A16587"/>
    <w:rsid w:val="00A16A1F"/>
    <w:rsid w:val="00A17008"/>
    <w:rsid w:val="00A200E5"/>
    <w:rsid w:val="00A20649"/>
    <w:rsid w:val="00A20DB9"/>
    <w:rsid w:val="00A210E9"/>
    <w:rsid w:val="00A218A0"/>
    <w:rsid w:val="00A22177"/>
    <w:rsid w:val="00A227B6"/>
    <w:rsid w:val="00A22A71"/>
    <w:rsid w:val="00A22D29"/>
    <w:rsid w:val="00A22DFF"/>
    <w:rsid w:val="00A23A2D"/>
    <w:rsid w:val="00A23E14"/>
    <w:rsid w:val="00A23E6E"/>
    <w:rsid w:val="00A242FA"/>
    <w:rsid w:val="00A24455"/>
    <w:rsid w:val="00A24514"/>
    <w:rsid w:val="00A249A1"/>
    <w:rsid w:val="00A24B5C"/>
    <w:rsid w:val="00A25603"/>
    <w:rsid w:val="00A25769"/>
    <w:rsid w:val="00A25AC5"/>
    <w:rsid w:val="00A25C57"/>
    <w:rsid w:val="00A25EFE"/>
    <w:rsid w:val="00A260C5"/>
    <w:rsid w:val="00A2611F"/>
    <w:rsid w:val="00A26607"/>
    <w:rsid w:val="00A26C1B"/>
    <w:rsid w:val="00A274B1"/>
    <w:rsid w:val="00A275E6"/>
    <w:rsid w:val="00A27A9C"/>
    <w:rsid w:val="00A27B25"/>
    <w:rsid w:val="00A27EE3"/>
    <w:rsid w:val="00A3059C"/>
    <w:rsid w:val="00A30633"/>
    <w:rsid w:val="00A307EE"/>
    <w:rsid w:val="00A31082"/>
    <w:rsid w:val="00A31089"/>
    <w:rsid w:val="00A3170D"/>
    <w:rsid w:val="00A319E1"/>
    <w:rsid w:val="00A32331"/>
    <w:rsid w:val="00A3249C"/>
    <w:rsid w:val="00A32B55"/>
    <w:rsid w:val="00A32D66"/>
    <w:rsid w:val="00A3375B"/>
    <w:rsid w:val="00A33809"/>
    <w:rsid w:val="00A3407D"/>
    <w:rsid w:val="00A34329"/>
    <w:rsid w:val="00A354CD"/>
    <w:rsid w:val="00A35B1F"/>
    <w:rsid w:val="00A35DCC"/>
    <w:rsid w:val="00A3677F"/>
    <w:rsid w:val="00A36896"/>
    <w:rsid w:val="00A36C50"/>
    <w:rsid w:val="00A36FC7"/>
    <w:rsid w:val="00A37CEA"/>
    <w:rsid w:val="00A40A5D"/>
    <w:rsid w:val="00A40AD5"/>
    <w:rsid w:val="00A40CF2"/>
    <w:rsid w:val="00A40F1F"/>
    <w:rsid w:val="00A41758"/>
    <w:rsid w:val="00A41EB6"/>
    <w:rsid w:val="00A41F77"/>
    <w:rsid w:val="00A423BF"/>
    <w:rsid w:val="00A42C63"/>
    <w:rsid w:val="00A444C2"/>
    <w:rsid w:val="00A44887"/>
    <w:rsid w:val="00A44FD5"/>
    <w:rsid w:val="00A46B03"/>
    <w:rsid w:val="00A46D81"/>
    <w:rsid w:val="00A47528"/>
    <w:rsid w:val="00A47629"/>
    <w:rsid w:val="00A477CC"/>
    <w:rsid w:val="00A47EBF"/>
    <w:rsid w:val="00A50F38"/>
    <w:rsid w:val="00A51138"/>
    <w:rsid w:val="00A514BB"/>
    <w:rsid w:val="00A516D6"/>
    <w:rsid w:val="00A53AD9"/>
    <w:rsid w:val="00A53E9B"/>
    <w:rsid w:val="00A53EFF"/>
    <w:rsid w:val="00A543DB"/>
    <w:rsid w:val="00A5483A"/>
    <w:rsid w:val="00A54943"/>
    <w:rsid w:val="00A54BE8"/>
    <w:rsid w:val="00A54D93"/>
    <w:rsid w:val="00A54FBD"/>
    <w:rsid w:val="00A553C3"/>
    <w:rsid w:val="00A555F1"/>
    <w:rsid w:val="00A55831"/>
    <w:rsid w:val="00A55B94"/>
    <w:rsid w:val="00A55DED"/>
    <w:rsid w:val="00A55FB7"/>
    <w:rsid w:val="00A56222"/>
    <w:rsid w:val="00A56A3E"/>
    <w:rsid w:val="00A56A64"/>
    <w:rsid w:val="00A57896"/>
    <w:rsid w:val="00A57C77"/>
    <w:rsid w:val="00A57C9D"/>
    <w:rsid w:val="00A601A5"/>
    <w:rsid w:val="00A62290"/>
    <w:rsid w:val="00A62811"/>
    <w:rsid w:val="00A62CB6"/>
    <w:rsid w:val="00A632F0"/>
    <w:rsid w:val="00A634B5"/>
    <w:rsid w:val="00A63525"/>
    <w:rsid w:val="00A63637"/>
    <w:rsid w:val="00A63C07"/>
    <w:rsid w:val="00A63FBC"/>
    <w:rsid w:val="00A64036"/>
    <w:rsid w:val="00A640C2"/>
    <w:rsid w:val="00A6491D"/>
    <w:rsid w:val="00A65655"/>
    <w:rsid w:val="00A66052"/>
    <w:rsid w:val="00A66CBE"/>
    <w:rsid w:val="00A66D51"/>
    <w:rsid w:val="00A67CE7"/>
    <w:rsid w:val="00A67FA2"/>
    <w:rsid w:val="00A70EB3"/>
    <w:rsid w:val="00A71208"/>
    <w:rsid w:val="00A721AC"/>
    <w:rsid w:val="00A725E4"/>
    <w:rsid w:val="00A72776"/>
    <w:rsid w:val="00A72A5A"/>
    <w:rsid w:val="00A72E66"/>
    <w:rsid w:val="00A7338D"/>
    <w:rsid w:val="00A733B5"/>
    <w:rsid w:val="00A73AFC"/>
    <w:rsid w:val="00A73EDD"/>
    <w:rsid w:val="00A7473F"/>
    <w:rsid w:val="00A74F38"/>
    <w:rsid w:val="00A750DD"/>
    <w:rsid w:val="00A75448"/>
    <w:rsid w:val="00A75A6D"/>
    <w:rsid w:val="00A76BEB"/>
    <w:rsid w:val="00A76FCC"/>
    <w:rsid w:val="00A77D67"/>
    <w:rsid w:val="00A80EBA"/>
    <w:rsid w:val="00A81471"/>
    <w:rsid w:val="00A81596"/>
    <w:rsid w:val="00A819D8"/>
    <w:rsid w:val="00A81BD2"/>
    <w:rsid w:val="00A81DC9"/>
    <w:rsid w:val="00A8269E"/>
    <w:rsid w:val="00A826BD"/>
    <w:rsid w:val="00A82AA8"/>
    <w:rsid w:val="00A82B7C"/>
    <w:rsid w:val="00A82F6B"/>
    <w:rsid w:val="00A831C4"/>
    <w:rsid w:val="00A839B0"/>
    <w:rsid w:val="00A83B7B"/>
    <w:rsid w:val="00A83BAF"/>
    <w:rsid w:val="00A8404E"/>
    <w:rsid w:val="00A8434B"/>
    <w:rsid w:val="00A84428"/>
    <w:rsid w:val="00A86CE1"/>
    <w:rsid w:val="00A86D4E"/>
    <w:rsid w:val="00A86F1A"/>
    <w:rsid w:val="00A87432"/>
    <w:rsid w:val="00A87AF5"/>
    <w:rsid w:val="00A87AFB"/>
    <w:rsid w:val="00A87C38"/>
    <w:rsid w:val="00A90A72"/>
    <w:rsid w:val="00A91956"/>
    <w:rsid w:val="00A91C09"/>
    <w:rsid w:val="00A927AA"/>
    <w:rsid w:val="00A92D70"/>
    <w:rsid w:val="00A935C9"/>
    <w:rsid w:val="00A93916"/>
    <w:rsid w:val="00A9424F"/>
    <w:rsid w:val="00A95015"/>
    <w:rsid w:val="00A9584E"/>
    <w:rsid w:val="00A95CA7"/>
    <w:rsid w:val="00A96619"/>
    <w:rsid w:val="00A96E99"/>
    <w:rsid w:val="00A979BB"/>
    <w:rsid w:val="00AA0074"/>
    <w:rsid w:val="00AA0946"/>
    <w:rsid w:val="00AA12EC"/>
    <w:rsid w:val="00AA1442"/>
    <w:rsid w:val="00AA148A"/>
    <w:rsid w:val="00AA1789"/>
    <w:rsid w:val="00AA1C49"/>
    <w:rsid w:val="00AA226E"/>
    <w:rsid w:val="00AA2616"/>
    <w:rsid w:val="00AA2AD2"/>
    <w:rsid w:val="00AA3E0C"/>
    <w:rsid w:val="00AA42AA"/>
    <w:rsid w:val="00AA4379"/>
    <w:rsid w:val="00AA50D3"/>
    <w:rsid w:val="00AA59D7"/>
    <w:rsid w:val="00AA5AC7"/>
    <w:rsid w:val="00AA5AF0"/>
    <w:rsid w:val="00AA5BEB"/>
    <w:rsid w:val="00AA6639"/>
    <w:rsid w:val="00AA6F85"/>
    <w:rsid w:val="00AA7473"/>
    <w:rsid w:val="00AA7E4E"/>
    <w:rsid w:val="00AB00DA"/>
    <w:rsid w:val="00AB0B3A"/>
    <w:rsid w:val="00AB0C49"/>
    <w:rsid w:val="00AB0DD0"/>
    <w:rsid w:val="00AB108E"/>
    <w:rsid w:val="00AB15D7"/>
    <w:rsid w:val="00AB1877"/>
    <w:rsid w:val="00AB24F3"/>
    <w:rsid w:val="00AB267D"/>
    <w:rsid w:val="00AB2823"/>
    <w:rsid w:val="00AB28F5"/>
    <w:rsid w:val="00AB2EDD"/>
    <w:rsid w:val="00AB31F2"/>
    <w:rsid w:val="00AB4DC8"/>
    <w:rsid w:val="00AB53BA"/>
    <w:rsid w:val="00AB5A59"/>
    <w:rsid w:val="00AB6034"/>
    <w:rsid w:val="00AB6A6D"/>
    <w:rsid w:val="00AB7793"/>
    <w:rsid w:val="00AC0ADA"/>
    <w:rsid w:val="00AC0D37"/>
    <w:rsid w:val="00AC18A1"/>
    <w:rsid w:val="00AC21AF"/>
    <w:rsid w:val="00AC2B39"/>
    <w:rsid w:val="00AC2F13"/>
    <w:rsid w:val="00AC3295"/>
    <w:rsid w:val="00AC370B"/>
    <w:rsid w:val="00AC387D"/>
    <w:rsid w:val="00AC399B"/>
    <w:rsid w:val="00AC3E9F"/>
    <w:rsid w:val="00AC41FC"/>
    <w:rsid w:val="00AC44E4"/>
    <w:rsid w:val="00AC478D"/>
    <w:rsid w:val="00AC47F1"/>
    <w:rsid w:val="00AC4F0C"/>
    <w:rsid w:val="00AC54F8"/>
    <w:rsid w:val="00AC5DBA"/>
    <w:rsid w:val="00AC601B"/>
    <w:rsid w:val="00AC69F1"/>
    <w:rsid w:val="00AC69F4"/>
    <w:rsid w:val="00AC7822"/>
    <w:rsid w:val="00AD0077"/>
    <w:rsid w:val="00AD06E6"/>
    <w:rsid w:val="00AD17B3"/>
    <w:rsid w:val="00AD3700"/>
    <w:rsid w:val="00AD38B9"/>
    <w:rsid w:val="00AD3E4D"/>
    <w:rsid w:val="00AD3F2C"/>
    <w:rsid w:val="00AD4410"/>
    <w:rsid w:val="00AD52F8"/>
    <w:rsid w:val="00AD5D13"/>
    <w:rsid w:val="00AD65AD"/>
    <w:rsid w:val="00AD6CA0"/>
    <w:rsid w:val="00AD6D42"/>
    <w:rsid w:val="00AD7136"/>
    <w:rsid w:val="00AD7901"/>
    <w:rsid w:val="00AE067B"/>
    <w:rsid w:val="00AE0F92"/>
    <w:rsid w:val="00AE0FAB"/>
    <w:rsid w:val="00AE1283"/>
    <w:rsid w:val="00AE18F5"/>
    <w:rsid w:val="00AE1AD1"/>
    <w:rsid w:val="00AE1B47"/>
    <w:rsid w:val="00AE1EA0"/>
    <w:rsid w:val="00AE21FF"/>
    <w:rsid w:val="00AE2907"/>
    <w:rsid w:val="00AE2AFD"/>
    <w:rsid w:val="00AE3021"/>
    <w:rsid w:val="00AE3279"/>
    <w:rsid w:val="00AE3DDF"/>
    <w:rsid w:val="00AE4A9E"/>
    <w:rsid w:val="00AE5410"/>
    <w:rsid w:val="00AE55D2"/>
    <w:rsid w:val="00AE5E68"/>
    <w:rsid w:val="00AE6882"/>
    <w:rsid w:val="00AE6888"/>
    <w:rsid w:val="00AE6A16"/>
    <w:rsid w:val="00AE719C"/>
    <w:rsid w:val="00AE71D1"/>
    <w:rsid w:val="00AE748E"/>
    <w:rsid w:val="00AE79A1"/>
    <w:rsid w:val="00AF061A"/>
    <w:rsid w:val="00AF0DF2"/>
    <w:rsid w:val="00AF0F06"/>
    <w:rsid w:val="00AF15B1"/>
    <w:rsid w:val="00AF1FE8"/>
    <w:rsid w:val="00AF2023"/>
    <w:rsid w:val="00AF2289"/>
    <w:rsid w:val="00AF2D48"/>
    <w:rsid w:val="00AF399E"/>
    <w:rsid w:val="00AF42B3"/>
    <w:rsid w:val="00AF4C37"/>
    <w:rsid w:val="00AF4CDA"/>
    <w:rsid w:val="00AF4D6A"/>
    <w:rsid w:val="00AF5331"/>
    <w:rsid w:val="00AF6A50"/>
    <w:rsid w:val="00AF74F7"/>
    <w:rsid w:val="00B0050B"/>
    <w:rsid w:val="00B00776"/>
    <w:rsid w:val="00B00C6C"/>
    <w:rsid w:val="00B01D20"/>
    <w:rsid w:val="00B03234"/>
    <w:rsid w:val="00B03361"/>
    <w:rsid w:val="00B03408"/>
    <w:rsid w:val="00B039F6"/>
    <w:rsid w:val="00B03C4A"/>
    <w:rsid w:val="00B03FEB"/>
    <w:rsid w:val="00B04356"/>
    <w:rsid w:val="00B047F8"/>
    <w:rsid w:val="00B04F5E"/>
    <w:rsid w:val="00B05AC6"/>
    <w:rsid w:val="00B06472"/>
    <w:rsid w:val="00B06547"/>
    <w:rsid w:val="00B06FD0"/>
    <w:rsid w:val="00B076C8"/>
    <w:rsid w:val="00B0799A"/>
    <w:rsid w:val="00B07BD7"/>
    <w:rsid w:val="00B07D18"/>
    <w:rsid w:val="00B10310"/>
    <w:rsid w:val="00B107E2"/>
    <w:rsid w:val="00B1096C"/>
    <w:rsid w:val="00B10AA1"/>
    <w:rsid w:val="00B10ECE"/>
    <w:rsid w:val="00B11128"/>
    <w:rsid w:val="00B11C32"/>
    <w:rsid w:val="00B12420"/>
    <w:rsid w:val="00B125F7"/>
    <w:rsid w:val="00B12805"/>
    <w:rsid w:val="00B12C72"/>
    <w:rsid w:val="00B12E19"/>
    <w:rsid w:val="00B138ED"/>
    <w:rsid w:val="00B13EDA"/>
    <w:rsid w:val="00B14200"/>
    <w:rsid w:val="00B14208"/>
    <w:rsid w:val="00B14263"/>
    <w:rsid w:val="00B14720"/>
    <w:rsid w:val="00B14A0E"/>
    <w:rsid w:val="00B15112"/>
    <w:rsid w:val="00B15F0C"/>
    <w:rsid w:val="00B15FE7"/>
    <w:rsid w:val="00B177F3"/>
    <w:rsid w:val="00B20022"/>
    <w:rsid w:val="00B20925"/>
    <w:rsid w:val="00B20A7F"/>
    <w:rsid w:val="00B20FD1"/>
    <w:rsid w:val="00B21557"/>
    <w:rsid w:val="00B2254D"/>
    <w:rsid w:val="00B2292D"/>
    <w:rsid w:val="00B22930"/>
    <w:rsid w:val="00B22FD0"/>
    <w:rsid w:val="00B23193"/>
    <w:rsid w:val="00B23282"/>
    <w:rsid w:val="00B235B4"/>
    <w:rsid w:val="00B235FF"/>
    <w:rsid w:val="00B23CE3"/>
    <w:rsid w:val="00B245F9"/>
    <w:rsid w:val="00B24AD3"/>
    <w:rsid w:val="00B24EA9"/>
    <w:rsid w:val="00B24FE6"/>
    <w:rsid w:val="00B253D5"/>
    <w:rsid w:val="00B25E1A"/>
    <w:rsid w:val="00B261B5"/>
    <w:rsid w:val="00B26419"/>
    <w:rsid w:val="00B269F7"/>
    <w:rsid w:val="00B26E58"/>
    <w:rsid w:val="00B27096"/>
    <w:rsid w:val="00B2756B"/>
    <w:rsid w:val="00B27748"/>
    <w:rsid w:val="00B2798F"/>
    <w:rsid w:val="00B27BF7"/>
    <w:rsid w:val="00B30626"/>
    <w:rsid w:val="00B30639"/>
    <w:rsid w:val="00B30E23"/>
    <w:rsid w:val="00B30EE3"/>
    <w:rsid w:val="00B316F2"/>
    <w:rsid w:val="00B31FEE"/>
    <w:rsid w:val="00B32168"/>
    <w:rsid w:val="00B3232E"/>
    <w:rsid w:val="00B3334D"/>
    <w:rsid w:val="00B3349B"/>
    <w:rsid w:val="00B34596"/>
    <w:rsid w:val="00B346FD"/>
    <w:rsid w:val="00B34A5F"/>
    <w:rsid w:val="00B3532D"/>
    <w:rsid w:val="00B35679"/>
    <w:rsid w:val="00B360FA"/>
    <w:rsid w:val="00B361D0"/>
    <w:rsid w:val="00B36A50"/>
    <w:rsid w:val="00B37005"/>
    <w:rsid w:val="00B3726C"/>
    <w:rsid w:val="00B37B03"/>
    <w:rsid w:val="00B37C38"/>
    <w:rsid w:val="00B40A87"/>
    <w:rsid w:val="00B41230"/>
    <w:rsid w:val="00B419B8"/>
    <w:rsid w:val="00B41DC6"/>
    <w:rsid w:val="00B424A1"/>
    <w:rsid w:val="00B42A75"/>
    <w:rsid w:val="00B4304A"/>
    <w:rsid w:val="00B430ED"/>
    <w:rsid w:val="00B43269"/>
    <w:rsid w:val="00B450B0"/>
    <w:rsid w:val="00B45237"/>
    <w:rsid w:val="00B45456"/>
    <w:rsid w:val="00B456D4"/>
    <w:rsid w:val="00B46EC1"/>
    <w:rsid w:val="00B46F3C"/>
    <w:rsid w:val="00B46F8E"/>
    <w:rsid w:val="00B46FAB"/>
    <w:rsid w:val="00B47F57"/>
    <w:rsid w:val="00B504EF"/>
    <w:rsid w:val="00B50B39"/>
    <w:rsid w:val="00B51135"/>
    <w:rsid w:val="00B5119C"/>
    <w:rsid w:val="00B514F7"/>
    <w:rsid w:val="00B5197F"/>
    <w:rsid w:val="00B51BAA"/>
    <w:rsid w:val="00B52592"/>
    <w:rsid w:val="00B525E5"/>
    <w:rsid w:val="00B553CF"/>
    <w:rsid w:val="00B55F1D"/>
    <w:rsid w:val="00B563E1"/>
    <w:rsid w:val="00B56CC2"/>
    <w:rsid w:val="00B56F47"/>
    <w:rsid w:val="00B5735F"/>
    <w:rsid w:val="00B5771C"/>
    <w:rsid w:val="00B57FAD"/>
    <w:rsid w:val="00B6012B"/>
    <w:rsid w:val="00B61A1F"/>
    <w:rsid w:val="00B61EF0"/>
    <w:rsid w:val="00B623E1"/>
    <w:rsid w:val="00B6281F"/>
    <w:rsid w:val="00B631A0"/>
    <w:rsid w:val="00B631F7"/>
    <w:rsid w:val="00B63362"/>
    <w:rsid w:val="00B63522"/>
    <w:rsid w:val="00B63AF3"/>
    <w:rsid w:val="00B63C56"/>
    <w:rsid w:val="00B6457D"/>
    <w:rsid w:val="00B64708"/>
    <w:rsid w:val="00B64B10"/>
    <w:rsid w:val="00B65380"/>
    <w:rsid w:val="00B653F7"/>
    <w:rsid w:val="00B65C6D"/>
    <w:rsid w:val="00B66594"/>
    <w:rsid w:val="00B6662E"/>
    <w:rsid w:val="00B66691"/>
    <w:rsid w:val="00B670AA"/>
    <w:rsid w:val="00B71369"/>
    <w:rsid w:val="00B716E3"/>
    <w:rsid w:val="00B71832"/>
    <w:rsid w:val="00B71D27"/>
    <w:rsid w:val="00B7202E"/>
    <w:rsid w:val="00B72351"/>
    <w:rsid w:val="00B729BE"/>
    <w:rsid w:val="00B72BE2"/>
    <w:rsid w:val="00B732DD"/>
    <w:rsid w:val="00B73767"/>
    <w:rsid w:val="00B7386B"/>
    <w:rsid w:val="00B74BAB"/>
    <w:rsid w:val="00B74EEF"/>
    <w:rsid w:val="00B75CAF"/>
    <w:rsid w:val="00B75D14"/>
    <w:rsid w:val="00B76D8D"/>
    <w:rsid w:val="00B77217"/>
    <w:rsid w:val="00B7780B"/>
    <w:rsid w:val="00B8006F"/>
    <w:rsid w:val="00B80CAC"/>
    <w:rsid w:val="00B80DE1"/>
    <w:rsid w:val="00B813DD"/>
    <w:rsid w:val="00B81408"/>
    <w:rsid w:val="00B826E1"/>
    <w:rsid w:val="00B82CD5"/>
    <w:rsid w:val="00B82D1E"/>
    <w:rsid w:val="00B83682"/>
    <w:rsid w:val="00B83835"/>
    <w:rsid w:val="00B83CED"/>
    <w:rsid w:val="00B84D9C"/>
    <w:rsid w:val="00B85BED"/>
    <w:rsid w:val="00B864D3"/>
    <w:rsid w:val="00B86B97"/>
    <w:rsid w:val="00B86F8C"/>
    <w:rsid w:val="00B86FA5"/>
    <w:rsid w:val="00B87FEF"/>
    <w:rsid w:val="00B9011D"/>
    <w:rsid w:val="00B90CE0"/>
    <w:rsid w:val="00B90F6F"/>
    <w:rsid w:val="00B913DA"/>
    <w:rsid w:val="00B9199F"/>
    <w:rsid w:val="00B91C82"/>
    <w:rsid w:val="00B92C2F"/>
    <w:rsid w:val="00B92FC0"/>
    <w:rsid w:val="00B932E3"/>
    <w:rsid w:val="00B94F39"/>
    <w:rsid w:val="00B95117"/>
    <w:rsid w:val="00B9577A"/>
    <w:rsid w:val="00B964F5"/>
    <w:rsid w:val="00B976B8"/>
    <w:rsid w:val="00B97A0D"/>
    <w:rsid w:val="00B97DFE"/>
    <w:rsid w:val="00B97ED7"/>
    <w:rsid w:val="00BA0047"/>
    <w:rsid w:val="00BA028D"/>
    <w:rsid w:val="00BA071A"/>
    <w:rsid w:val="00BA0AE4"/>
    <w:rsid w:val="00BA10B5"/>
    <w:rsid w:val="00BA1A40"/>
    <w:rsid w:val="00BA24E5"/>
    <w:rsid w:val="00BA26DE"/>
    <w:rsid w:val="00BA2942"/>
    <w:rsid w:val="00BA3250"/>
    <w:rsid w:val="00BA3EF2"/>
    <w:rsid w:val="00BA4716"/>
    <w:rsid w:val="00BA47BB"/>
    <w:rsid w:val="00BA4846"/>
    <w:rsid w:val="00BA557E"/>
    <w:rsid w:val="00BA5B22"/>
    <w:rsid w:val="00BA5B24"/>
    <w:rsid w:val="00BA61C7"/>
    <w:rsid w:val="00BA626B"/>
    <w:rsid w:val="00BA62F7"/>
    <w:rsid w:val="00BA6D32"/>
    <w:rsid w:val="00BA6D3A"/>
    <w:rsid w:val="00BA6F33"/>
    <w:rsid w:val="00BA6FC8"/>
    <w:rsid w:val="00BA6FCD"/>
    <w:rsid w:val="00BA71B4"/>
    <w:rsid w:val="00BA755E"/>
    <w:rsid w:val="00BA7B60"/>
    <w:rsid w:val="00BA7D0C"/>
    <w:rsid w:val="00BB0B51"/>
    <w:rsid w:val="00BB13B7"/>
    <w:rsid w:val="00BB183D"/>
    <w:rsid w:val="00BB1DB1"/>
    <w:rsid w:val="00BB2079"/>
    <w:rsid w:val="00BB2DA2"/>
    <w:rsid w:val="00BB2E6E"/>
    <w:rsid w:val="00BB2EA0"/>
    <w:rsid w:val="00BB3248"/>
    <w:rsid w:val="00BB36EF"/>
    <w:rsid w:val="00BB37F7"/>
    <w:rsid w:val="00BB3CA9"/>
    <w:rsid w:val="00BB3E70"/>
    <w:rsid w:val="00BB3F1F"/>
    <w:rsid w:val="00BB40A3"/>
    <w:rsid w:val="00BB4486"/>
    <w:rsid w:val="00BB4857"/>
    <w:rsid w:val="00BB4C49"/>
    <w:rsid w:val="00BB55E9"/>
    <w:rsid w:val="00BB56FF"/>
    <w:rsid w:val="00BB78F9"/>
    <w:rsid w:val="00BB7945"/>
    <w:rsid w:val="00BC0FEA"/>
    <w:rsid w:val="00BC132E"/>
    <w:rsid w:val="00BC18FD"/>
    <w:rsid w:val="00BC1F0B"/>
    <w:rsid w:val="00BC2977"/>
    <w:rsid w:val="00BC2FFE"/>
    <w:rsid w:val="00BC3521"/>
    <w:rsid w:val="00BC398A"/>
    <w:rsid w:val="00BC39ED"/>
    <w:rsid w:val="00BC3DF1"/>
    <w:rsid w:val="00BC46C4"/>
    <w:rsid w:val="00BC55FE"/>
    <w:rsid w:val="00BC561E"/>
    <w:rsid w:val="00BC5811"/>
    <w:rsid w:val="00BC5839"/>
    <w:rsid w:val="00BC5B11"/>
    <w:rsid w:val="00BC5C2D"/>
    <w:rsid w:val="00BC5C9B"/>
    <w:rsid w:val="00BC5E4F"/>
    <w:rsid w:val="00BC5E98"/>
    <w:rsid w:val="00BC6406"/>
    <w:rsid w:val="00BC6508"/>
    <w:rsid w:val="00BC6F28"/>
    <w:rsid w:val="00BC7078"/>
    <w:rsid w:val="00BC752C"/>
    <w:rsid w:val="00BC7CB8"/>
    <w:rsid w:val="00BC7FA3"/>
    <w:rsid w:val="00BC7FFD"/>
    <w:rsid w:val="00BD0BA2"/>
    <w:rsid w:val="00BD0BD1"/>
    <w:rsid w:val="00BD0DDD"/>
    <w:rsid w:val="00BD1223"/>
    <w:rsid w:val="00BD1859"/>
    <w:rsid w:val="00BD1975"/>
    <w:rsid w:val="00BD1F1F"/>
    <w:rsid w:val="00BD2281"/>
    <w:rsid w:val="00BD236D"/>
    <w:rsid w:val="00BD2BDC"/>
    <w:rsid w:val="00BD32D2"/>
    <w:rsid w:val="00BD3499"/>
    <w:rsid w:val="00BD3F51"/>
    <w:rsid w:val="00BD41AC"/>
    <w:rsid w:val="00BD4A27"/>
    <w:rsid w:val="00BD4D70"/>
    <w:rsid w:val="00BD53F3"/>
    <w:rsid w:val="00BD55D0"/>
    <w:rsid w:val="00BD5C39"/>
    <w:rsid w:val="00BD6DB0"/>
    <w:rsid w:val="00BD7792"/>
    <w:rsid w:val="00BD795C"/>
    <w:rsid w:val="00BD7AC0"/>
    <w:rsid w:val="00BE00FB"/>
    <w:rsid w:val="00BE06CC"/>
    <w:rsid w:val="00BE0BB2"/>
    <w:rsid w:val="00BE173F"/>
    <w:rsid w:val="00BE1DAF"/>
    <w:rsid w:val="00BE21A2"/>
    <w:rsid w:val="00BE22D7"/>
    <w:rsid w:val="00BE263A"/>
    <w:rsid w:val="00BE27DA"/>
    <w:rsid w:val="00BE2A4D"/>
    <w:rsid w:val="00BE2AE1"/>
    <w:rsid w:val="00BE350A"/>
    <w:rsid w:val="00BE3FDD"/>
    <w:rsid w:val="00BE4085"/>
    <w:rsid w:val="00BE4191"/>
    <w:rsid w:val="00BE58C0"/>
    <w:rsid w:val="00BE5FAD"/>
    <w:rsid w:val="00BE70C1"/>
    <w:rsid w:val="00BE7900"/>
    <w:rsid w:val="00BE7904"/>
    <w:rsid w:val="00BE7B8D"/>
    <w:rsid w:val="00BF0600"/>
    <w:rsid w:val="00BF0C38"/>
    <w:rsid w:val="00BF0C84"/>
    <w:rsid w:val="00BF2708"/>
    <w:rsid w:val="00BF2C54"/>
    <w:rsid w:val="00BF3E81"/>
    <w:rsid w:val="00BF48E0"/>
    <w:rsid w:val="00BF4990"/>
    <w:rsid w:val="00BF52E6"/>
    <w:rsid w:val="00BF564D"/>
    <w:rsid w:val="00BF60CC"/>
    <w:rsid w:val="00BF6128"/>
    <w:rsid w:val="00BF79FC"/>
    <w:rsid w:val="00C0012C"/>
    <w:rsid w:val="00C00512"/>
    <w:rsid w:val="00C0062A"/>
    <w:rsid w:val="00C00BA1"/>
    <w:rsid w:val="00C02069"/>
    <w:rsid w:val="00C022BA"/>
    <w:rsid w:val="00C02A97"/>
    <w:rsid w:val="00C02BE8"/>
    <w:rsid w:val="00C02CE1"/>
    <w:rsid w:val="00C0300D"/>
    <w:rsid w:val="00C03114"/>
    <w:rsid w:val="00C039F9"/>
    <w:rsid w:val="00C0413A"/>
    <w:rsid w:val="00C04170"/>
    <w:rsid w:val="00C041B0"/>
    <w:rsid w:val="00C04315"/>
    <w:rsid w:val="00C04FE9"/>
    <w:rsid w:val="00C05033"/>
    <w:rsid w:val="00C05118"/>
    <w:rsid w:val="00C058EE"/>
    <w:rsid w:val="00C06431"/>
    <w:rsid w:val="00C065AD"/>
    <w:rsid w:val="00C06A84"/>
    <w:rsid w:val="00C07C72"/>
    <w:rsid w:val="00C07F9B"/>
    <w:rsid w:val="00C100A0"/>
    <w:rsid w:val="00C10165"/>
    <w:rsid w:val="00C10543"/>
    <w:rsid w:val="00C10712"/>
    <w:rsid w:val="00C10A24"/>
    <w:rsid w:val="00C10B72"/>
    <w:rsid w:val="00C10C5C"/>
    <w:rsid w:val="00C113CF"/>
    <w:rsid w:val="00C11CDF"/>
    <w:rsid w:val="00C11DA8"/>
    <w:rsid w:val="00C11DD1"/>
    <w:rsid w:val="00C12051"/>
    <w:rsid w:val="00C12195"/>
    <w:rsid w:val="00C12322"/>
    <w:rsid w:val="00C12403"/>
    <w:rsid w:val="00C1280D"/>
    <w:rsid w:val="00C12D4C"/>
    <w:rsid w:val="00C131C8"/>
    <w:rsid w:val="00C13CDB"/>
    <w:rsid w:val="00C14367"/>
    <w:rsid w:val="00C144D4"/>
    <w:rsid w:val="00C147B6"/>
    <w:rsid w:val="00C1487D"/>
    <w:rsid w:val="00C149D0"/>
    <w:rsid w:val="00C15518"/>
    <w:rsid w:val="00C155E3"/>
    <w:rsid w:val="00C1591E"/>
    <w:rsid w:val="00C15F68"/>
    <w:rsid w:val="00C1668F"/>
    <w:rsid w:val="00C17071"/>
    <w:rsid w:val="00C17330"/>
    <w:rsid w:val="00C173D0"/>
    <w:rsid w:val="00C17DA9"/>
    <w:rsid w:val="00C20961"/>
    <w:rsid w:val="00C20B0E"/>
    <w:rsid w:val="00C20B7A"/>
    <w:rsid w:val="00C212D6"/>
    <w:rsid w:val="00C22F85"/>
    <w:rsid w:val="00C23A8B"/>
    <w:rsid w:val="00C24087"/>
    <w:rsid w:val="00C24F4E"/>
    <w:rsid w:val="00C2551B"/>
    <w:rsid w:val="00C2566F"/>
    <w:rsid w:val="00C2595F"/>
    <w:rsid w:val="00C26161"/>
    <w:rsid w:val="00C27614"/>
    <w:rsid w:val="00C27CE0"/>
    <w:rsid w:val="00C27D2A"/>
    <w:rsid w:val="00C30315"/>
    <w:rsid w:val="00C317F5"/>
    <w:rsid w:val="00C31BEE"/>
    <w:rsid w:val="00C320D5"/>
    <w:rsid w:val="00C32178"/>
    <w:rsid w:val="00C32A37"/>
    <w:rsid w:val="00C33CB3"/>
    <w:rsid w:val="00C33F94"/>
    <w:rsid w:val="00C3438D"/>
    <w:rsid w:val="00C34833"/>
    <w:rsid w:val="00C348FF"/>
    <w:rsid w:val="00C350F2"/>
    <w:rsid w:val="00C359C4"/>
    <w:rsid w:val="00C36177"/>
    <w:rsid w:val="00C361B6"/>
    <w:rsid w:val="00C36373"/>
    <w:rsid w:val="00C366F8"/>
    <w:rsid w:val="00C36F7C"/>
    <w:rsid w:val="00C3776D"/>
    <w:rsid w:val="00C37BAD"/>
    <w:rsid w:val="00C40223"/>
    <w:rsid w:val="00C408D0"/>
    <w:rsid w:val="00C414B6"/>
    <w:rsid w:val="00C41E12"/>
    <w:rsid w:val="00C41E66"/>
    <w:rsid w:val="00C4205B"/>
    <w:rsid w:val="00C42341"/>
    <w:rsid w:val="00C426DF"/>
    <w:rsid w:val="00C42CAC"/>
    <w:rsid w:val="00C42CD4"/>
    <w:rsid w:val="00C43278"/>
    <w:rsid w:val="00C43F82"/>
    <w:rsid w:val="00C4406F"/>
    <w:rsid w:val="00C44235"/>
    <w:rsid w:val="00C44682"/>
    <w:rsid w:val="00C4479E"/>
    <w:rsid w:val="00C44D6A"/>
    <w:rsid w:val="00C44F43"/>
    <w:rsid w:val="00C45350"/>
    <w:rsid w:val="00C45680"/>
    <w:rsid w:val="00C46388"/>
    <w:rsid w:val="00C465B7"/>
    <w:rsid w:val="00C46654"/>
    <w:rsid w:val="00C46825"/>
    <w:rsid w:val="00C46909"/>
    <w:rsid w:val="00C46CCB"/>
    <w:rsid w:val="00C50519"/>
    <w:rsid w:val="00C50656"/>
    <w:rsid w:val="00C508F0"/>
    <w:rsid w:val="00C5096E"/>
    <w:rsid w:val="00C51C8D"/>
    <w:rsid w:val="00C5231C"/>
    <w:rsid w:val="00C52377"/>
    <w:rsid w:val="00C523F2"/>
    <w:rsid w:val="00C54390"/>
    <w:rsid w:val="00C54E6F"/>
    <w:rsid w:val="00C55371"/>
    <w:rsid w:val="00C55659"/>
    <w:rsid w:val="00C55FFC"/>
    <w:rsid w:val="00C56781"/>
    <w:rsid w:val="00C56D38"/>
    <w:rsid w:val="00C5722D"/>
    <w:rsid w:val="00C575E2"/>
    <w:rsid w:val="00C57B3F"/>
    <w:rsid w:val="00C57D16"/>
    <w:rsid w:val="00C60458"/>
    <w:rsid w:val="00C60479"/>
    <w:rsid w:val="00C60A66"/>
    <w:rsid w:val="00C60C56"/>
    <w:rsid w:val="00C60E41"/>
    <w:rsid w:val="00C61399"/>
    <w:rsid w:val="00C61AF8"/>
    <w:rsid w:val="00C63AF4"/>
    <w:rsid w:val="00C64303"/>
    <w:rsid w:val="00C64EC0"/>
    <w:rsid w:val="00C64FD8"/>
    <w:rsid w:val="00C6517E"/>
    <w:rsid w:val="00C65EA3"/>
    <w:rsid w:val="00C66085"/>
    <w:rsid w:val="00C66661"/>
    <w:rsid w:val="00C66D4D"/>
    <w:rsid w:val="00C66DA9"/>
    <w:rsid w:val="00C67190"/>
    <w:rsid w:val="00C704B8"/>
    <w:rsid w:val="00C70719"/>
    <w:rsid w:val="00C70C27"/>
    <w:rsid w:val="00C70E29"/>
    <w:rsid w:val="00C71502"/>
    <w:rsid w:val="00C72672"/>
    <w:rsid w:val="00C726E0"/>
    <w:rsid w:val="00C72A65"/>
    <w:rsid w:val="00C72B5C"/>
    <w:rsid w:val="00C72CB1"/>
    <w:rsid w:val="00C72ECB"/>
    <w:rsid w:val="00C72FD7"/>
    <w:rsid w:val="00C73135"/>
    <w:rsid w:val="00C73409"/>
    <w:rsid w:val="00C734D1"/>
    <w:rsid w:val="00C73558"/>
    <w:rsid w:val="00C73C98"/>
    <w:rsid w:val="00C74621"/>
    <w:rsid w:val="00C74643"/>
    <w:rsid w:val="00C7566F"/>
    <w:rsid w:val="00C758F7"/>
    <w:rsid w:val="00C75916"/>
    <w:rsid w:val="00C75B84"/>
    <w:rsid w:val="00C76271"/>
    <w:rsid w:val="00C76387"/>
    <w:rsid w:val="00C80110"/>
    <w:rsid w:val="00C80523"/>
    <w:rsid w:val="00C80AA0"/>
    <w:rsid w:val="00C80CC0"/>
    <w:rsid w:val="00C811E9"/>
    <w:rsid w:val="00C8197E"/>
    <w:rsid w:val="00C81C98"/>
    <w:rsid w:val="00C826B8"/>
    <w:rsid w:val="00C82EC7"/>
    <w:rsid w:val="00C832B2"/>
    <w:rsid w:val="00C83857"/>
    <w:rsid w:val="00C839D2"/>
    <w:rsid w:val="00C83C43"/>
    <w:rsid w:val="00C83E4B"/>
    <w:rsid w:val="00C85840"/>
    <w:rsid w:val="00C85A27"/>
    <w:rsid w:val="00C85B56"/>
    <w:rsid w:val="00C8653A"/>
    <w:rsid w:val="00C86CD2"/>
    <w:rsid w:val="00C86FE2"/>
    <w:rsid w:val="00C8798A"/>
    <w:rsid w:val="00C87D6F"/>
    <w:rsid w:val="00C90005"/>
    <w:rsid w:val="00C903FE"/>
    <w:rsid w:val="00C9059F"/>
    <w:rsid w:val="00C90D94"/>
    <w:rsid w:val="00C911CD"/>
    <w:rsid w:val="00C911FA"/>
    <w:rsid w:val="00C9182D"/>
    <w:rsid w:val="00C91D17"/>
    <w:rsid w:val="00C9363A"/>
    <w:rsid w:val="00C9519F"/>
    <w:rsid w:val="00C95632"/>
    <w:rsid w:val="00C96B26"/>
    <w:rsid w:val="00C96D6A"/>
    <w:rsid w:val="00C979B7"/>
    <w:rsid w:val="00CA0F03"/>
    <w:rsid w:val="00CA12C4"/>
    <w:rsid w:val="00CA13E3"/>
    <w:rsid w:val="00CA1D30"/>
    <w:rsid w:val="00CA2291"/>
    <w:rsid w:val="00CA29DC"/>
    <w:rsid w:val="00CA2EC2"/>
    <w:rsid w:val="00CA34A3"/>
    <w:rsid w:val="00CA3A4D"/>
    <w:rsid w:val="00CA4131"/>
    <w:rsid w:val="00CA49C9"/>
    <w:rsid w:val="00CA4A3B"/>
    <w:rsid w:val="00CA5287"/>
    <w:rsid w:val="00CA5335"/>
    <w:rsid w:val="00CA5498"/>
    <w:rsid w:val="00CA5ADF"/>
    <w:rsid w:val="00CA63B0"/>
    <w:rsid w:val="00CA6B33"/>
    <w:rsid w:val="00CA73DA"/>
    <w:rsid w:val="00CB12B4"/>
    <w:rsid w:val="00CB1354"/>
    <w:rsid w:val="00CB1496"/>
    <w:rsid w:val="00CB190D"/>
    <w:rsid w:val="00CB23C3"/>
    <w:rsid w:val="00CB2472"/>
    <w:rsid w:val="00CB269A"/>
    <w:rsid w:val="00CB2CA1"/>
    <w:rsid w:val="00CB37F2"/>
    <w:rsid w:val="00CB3BA5"/>
    <w:rsid w:val="00CB3FD3"/>
    <w:rsid w:val="00CB4025"/>
    <w:rsid w:val="00CB4250"/>
    <w:rsid w:val="00CB4514"/>
    <w:rsid w:val="00CB49AB"/>
    <w:rsid w:val="00CB4DA9"/>
    <w:rsid w:val="00CB5129"/>
    <w:rsid w:val="00CB5F7F"/>
    <w:rsid w:val="00CB6545"/>
    <w:rsid w:val="00CB6D96"/>
    <w:rsid w:val="00CB74FB"/>
    <w:rsid w:val="00CC04C0"/>
    <w:rsid w:val="00CC088A"/>
    <w:rsid w:val="00CC0B41"/>
    <w:rsid w:val="00CC0EC5"/>
    <w:rsid w:val="00CC124E"/>
    <w:rsid w:val="00CC1361"/>
    <w:rsid w:val="00CC1E78"/>
    <w:rsid w:val="00CC23DE"/>
    <w:rsid w:val="00CC2FC5"/>
    <w:rsid w:val="00CC356C"/>
    <w:rsid w:val="00CC373B"/>
    <w:rsid w:val="00CC45F1"/>
    <w:rsid w:val="00CC4B83"/>
    <w:rsid w:val="00CC4D1E"/>
    <w:rsid w:val="00CC54D2"/>
    <w:rsid w:val="00CC686C"/>
    <w:rsid w:val="00CC6D02"/>
    <w:rsid w:val="00CC762D"/>
    <w:rsid w:val="00CC7844"/>
    <w:rsid w:val="00CC7B19"/>
    <w:rsid w:val="00CC7D5E"/>
    <w:rsid w:val="00CC7F1B"/>
    <w:rsid w:val="00CD09C7"/>
    <w:rsid w:val="00CD0B65"/>
    <w:rsid w:val="00CD10F3"/>
    <w:rsid w:val="00CD1347"/>
    <w:rsid w:val="00CD2177"/>
    <w:rsid w:val="00CD21F5"/>
    <w:rsid w:val="00CD2771"/>
    <w:rsid w:val="00CD2B78"/>
    <w:rsid w:val="00CD3996"/>
    <w:rsid w:val="00CD3D38"/>
    <w:rsid w:val="00CD43DF"/>
    <w:rsid w:val="00CD4D29"/>
    <w:rsid w:val="00CD5602"/>
    <w:rsid w:val="00CD58E5"/>
    <w:rsid w:val="00CD66AD"/>
    <w:rsid w:val="00CD686F"/>
    <w:rsid w:val="00CD687F"/>
    <w:rsid w:val="00CD6BD3"/>
    <w:rsid w:val="00CD6E5A"/>
    <w:rsid w:val="00CD7266"/>
    <w:rsid w:val="00CD73C4"/>
    <w:rsid w:val="00CD7705"/>
    <w:rsid w:val="00CD7FE4"/>
    <w:rsid w:val="00CE0179"/>
    <w:rsid w:val="00CE07B9"/>
    <w:rsid w:val="00CE099C"/>
    <w:rsid w:val="00CE0FD9"/>
    <w:rsid w:val="00CE10CC"/>
    <w:rsid w:val="00CE1492"/>
    <w:rsid w:val="00CE1BDB"/>
    <w:rsid w:val="00CE2ED3"/>
    <w:rsid w:val="00CE31D6"/>
    <w:rsid w:val="00CE3419"/>
    <w:rsid w:val="00CE34A8"/>
    <w:rsid w:val="00CE3521"/>
    <w:rsid w:val="00CE3797"/>
    <w:rsid w:val="00CE3C1E"/>
    <w:rsid w:val="00CE48A1"/>
    <w:rsid w:val="00CE5575"/>
    <w:rsid w:val="00CE62FE"/>
    <w:rsid w:val="00CE69D0"/>
    <w:rsid w:val="00CE6BBD"/>
    <w:rsid w:val="00CE6C81"/>
    <w:rsid w:val="00CE76BC"/>
    <w:rsid w:val="00CE7B10"/>
    <w:rsid w:val="00CE7DB6"/>
    <w:rsid w:val="00CF03EE"/>
    <w:rsid w:val="00CF056B"/>
    <w:rsid w:val="00CF0FCF"/>
    <w:rsid w:val="00CF149C"/>
    <w:rsid w:val="00CF2473"/>
    <w:rsid w:val="00CF2D9E"/>
    <w:rsid w:val="00CF2F3B"/>
    <w:rsid w:val="00CF30B9"/>
    <w:rsid w:val="00CF3202"/>
    <w:rsid w:val="00CF3589"/>
    <w:rsid w:val="00CF48FD"/>
    <w:rsid w:val="00CF4EA3"/>
    <w:rsid w:val="00CF58C4"/>
    <w:rsid w:val="00CF5C22"/>
    <w:rsid w:val="00CF6C2E"/>
    <w:rsid w:val="00CF7164"/>
    <w:rsid w:val="00D0009B"/>
    <w:rsid w:val="00D019A5"/>
    <w:rsid w:val="00D01B85"/>
    <w:rsid w:val="00D01BE3"/>
    <w:rsid w:val="00D01DD0"/>
    <w:rsid w:val="00D02417"/>
    <w:rsid w:val="00D03866"/>
    <w:rsid w:val="00D03DF8"/>
    <w:rsid w:val="00D04CBD"/>
    <w:rsid w:val="00D053A9"/>
    <w:rsid w:val="00D05524"/>
    <w:rsid w:val="00D05A3C"/>
    <w:rsid w:val="00D05BEF"/>
    <w:rsid w:val="00D05DFE"/>
    <w:rsid w:val="00D06C08"/>
    <w:rsid w:val="00D074D6"/>
    <w:rsid w:val="00D07846"/>
    <w:rsid w:val="00D07C13"/>
    <w:rsid w:val="00D1005D"/>
    <w:rsid w:val="00D10779"/>
    <w:rsid w:val="00D112B3"/>
    <w:rsid w:val="00D125AC"/>
    <w:rsid w:val="00D125E0"/>
    <w:rsid w:val="00D12E02"/>
    <w:rsid w:val="00D13A1E"/>
    <w:rsid w:val="00D13E0B"/>
    <w:rsid w:val="00D14108"/>
    <w:rsid w:val="00D14433"/>
    <w:rsid w:val="00D144E7"/>
    <w:rsid w:val="00D1454D"/>
    <w:rsid w:val="00D147CE"/>
    <w:rsid w:val="00D14F88"/>
    <w:rsid w:val="00D156CD"/>
    <w:rsid w:val="00D15CA4"/>
    <w:rsid w:val="00D16CA6"/>
    <w:rsid w:val="00D20005"/>
    <w:rsid w:val="00D2030B"/>
    <w:rsid w:val="00D20AA7"/>
    <w:rsid w:val="00D20BAD"/>
    <w:rsid w:val="00D20BEB"/>
    <w:rsid w:val="00D20E43"/>
    <w:rsid w:val="00D20F45"/>
    <w:rsid w:val="00D21528"/>
    <w:rsid w:val="00D21BD9"/>
    <w:rsid w:val="00D21C07"/>
    <w:rsid w:val="00D21E15"/>
    <w:rsid w:val="00D226BA"/>
    <w:rsid w:val="00D2283C"/>
    <w:rsid w:val="00D22BA9"/>
    <w:rsid w:val="00D233FD"/>
    <w:rsid w:val="00D236C0"/>
    <w:rsid w:val="00D23996"/>
    <w:rsid w:val="00D23C8D"/>
    <w:rsid w:val="00D2409E"/>
    <w:rsid w:val="00D24256"/>
    <w:rsid w:val="00D2435B"/>
    <w:rsid w:val="00D24557"/>
    <w:rsid w:val="00D24D74"/>
    <w:rsid w:val="00D2530D"/>
    <w:rsid w:val="00D26A57"/>
    <w:rsid w:val="00D26C08"/>
    <w:rsid w:val="00D27575"/>
    <w:rsid w:val="00D303F9"/>
    <w:rsid w:val="00D309D8"/>
    <w:rsid w:val="00D30DCA"/>
    <w:rsid w:val="00D312FE"/>
    <w:rsid w:val="00D3142D"/>
    <w:rsid w:val="00D31A09"/>
    <w:rsid w:val="00D31FA3"/>
    <w:rsid w:val="00D32623"/>
    <w:rsid w:val="00D32F60"/>
    <w:rsid w:val="00D32F98"/>
    <w:rsid w:val="00D33910"/>
    <w:rsid w:val="00D339E2"/>
    <w:rsid w:val="00D34A60"/>
    <w:rsid w:val="00D34B3E"/>
    <w:rsid w:val="00D34F1F"/>
    <w:rsid w:val="00D3511A"/>
    <w:rsid w:val="00D35677"/>
    <w:rsid w:val="00D35BAC"/>
    <w:rsid w:val="00D367C6"/>
    <w:rsid w:val="00D36A91"/>
    <w:rsid w:val="00D404D5"/>
    <w:rsid w:val="00D4089E"/>
    <w:rsid w:val="00D4125A"/>
    <w:rsid w:val="00D416D2"/>
    <w:rsid w:val="00D41D45"/>
    <w:rsid w:val="00D432E0"/>
    <w:rsid w:val="00D432F3"/>
    <w:rsid w:val="00D43987"/>
    <w:rsid w:val="00D439C0"/>
    <w:rsid w:val="00D439DD"/>
    <w:rsid w:val="00D44194"/>
    <w:rsid w:val="00D44369"/>
    <w:rsid w:val="00D443A7"/>
    <w:rsid w:val="00D44B64"/>
    <w:rsid w:val="00D4570A"/>
    <w:rsid w:val="00D464DA"/>
    <w:rsid w:val="00D46EBE"/>
    <w:rsid w:val="00D473BA"/>
    <w:rsid w:val="00D47F0C"/>
    <w:rsid w:val="00D5014E"/>
    <w:rsid w:val="00D501CC"/>
    <w:rsid w:val="00D51500"/>
    <w:rsid w:val="00D51715"/>
    <w:rsid w:val="00D52595"/>
    <w:rsid w:val="00D5276E"/>
    <w:rsid w:val="00D53BD5"/>
    <w:rsid w:val="00D54AD6"/>
    <w:rsid w:val="00D54F32"/>
    <w:rsid w:val="00D55172"/>
    <w:rsid w:val="00D55573"/>
    <w:rsid w:val="00D55A39"/>
    <w:rsid w:val="00D56436"/>
    <w:rsid w:val="00D56817"/>
    <w:rsid w:val="00D56860"/>
    <w:rsid w:val="00D569EA"/>
    <w:rsid w:val="00D57178"/>
    <w:rsid w:val="00D574AB"/>
    <w:rsid w:val="00D576DF"/>
    <w:rsid w:val="00D605AC"/>
    <w:rsid w:val="00D60C95"/>
    <w:rsid w:val="00D6124F"/>
    <w:rsid w:val="00D61453"/>
    <w:rsid w:val="00D622EE"/>
    <w:rsid w:val="00D62911"/>
    <w:rsid w:val="00D62A6D"/>
    <w:rsid w:val="00D62B6E"/>
    <w:rsid w:val="00D62EE9"/>
    <w:rsid w:val="00D62EEB"/>
    <w:rsid w:val="00D633E0"/>
    <w:rsid w:val="00D640CF"/>
    <w:rsid w:val="00D64719"/>
    <w:rsid w:val="00D64C7E"/>
    <w:rsid w:val="00D65A50"/>
    <w:rsid w:val="00D66076"/>
    <w:rsid w:val="00D666CF"/>
    <w:rsid w:val="00D67667"/>
    <w:rsid w:val="00D67D5B"/>
    <w:rsid w:val="00D701FC"/>
    <w:rsid w:val="00D71943"/>
    <w:rsid w:val="00D721C4"/>
    <w:rsid w:val="00D72240"/>
    <w:rsid w:val="00D72FC3"/>
    <w:rsid w:val="00D73316"/>
    <w:rsid w:val="00D7384D"/>
    <w:rsid w:val="00D73CDE"/>
    <w:rsid w:val="00D73DA1"/>
    <w:rsid w:val="00D74A95"/>
    <w:rsid w:val="00D74C87"/>
    <w:rsid w:val="00D74EF9"/>
    <w:rsid w:val="00D756C8"/>
    <w:rsid w:val="00D75967"/>
    <w:rsid w:val="00D75DA6"/>
    <w:rsid w:val="00D76032"/>
    <w:rsid w:val="00D76445"/>
    <w:rsid w:val="00D7694A"/>
    <w:rsid w:val="00D77031"/>
    <w:rsid w:val="00D77105"/>
    <w:rsid w:val="00D771C7"/>
    <w:rsid w:val="00D7734F"/>
    <w:rsid w:val="00D775F2"/>
    <w:rsid w:val="00D7798A"/>
    <w:rsid w:val="00D8045E"/>
    <w:rsid w:val="00D8076D"/>
    <w:rsid w:val="00D80811"/>
    <w:rsid w:val="00D80D3C"/>
    <w:rsid w:val="00D8118E"/>
    <w:rsid w:val="00D81F8C"/>
    <w:rsid w:val="00D82280"/>
    <w:rsid w:val="00D82459"/>
    <w:rsid w:val="00D8252F"/>
    <w:rsid w:val="00D82BB9"/>
    <w:rsid w:val="00D833C1"/>
    <w:rsid w:val="00D8391A"/>
    <w:rsid w:val="00D83FA9"/>
    <w:rsid w:val="00D8404F"/>
    <w:rsid w:val="00D842FF"/>
    <w:rsid w:val="00D84BF0"/>
    <w:rsid w:val="00D85140"/>
    <w:rsid w:val="00D8532F"/>
    <w:rsid w:val="00D85921"/>
    <w:rsid w:val="00D860D9"/>
    <w:rsid w:val="00D868E8"/>
    <w:rsid w:val="00D87194"/>
    <w:rsid w:val="00D87392"/>
    <w:rsid w:val="00D90423"/>
    <w:rsid w:val="00D90AB9"/>
    <w:rsid w:val="00D90EBD"/>
    <w:rsid w:val="00D91358"/>
    <w:rsid w:val="00D91454"/>
    <w:rsid w:val="00D91770"/>
    <w:rsid w:val="00D91878"/>
    <w:rsid w:val="00D91BD3"/>
    <w:rsid w:val="00D9227A"/>
    <w:rsid w:val="00D9278B"/>
    <w:rsid w:val="00D927DD"/>
    <w:rsid w:val="00D92BB6"/>
    <w:rsid w:val="00D92EE7"/>
    <w:rsid w:val="00D9306F"/>
    <w:rsid w:val="00D933F6"/>
    <w:rsid w:val="00D93747"/>
    <w:rsid w:val="00D9406D"/>
    <w:rsid w:val="00D946D9"/>
    <w:rsid w:val="00D94A54"/>
    <w:rsid w:val="00D94D0A"/>
    <w:rsid w:val="00D94F69"/>
    <w:rsid w:val="00D958D8"/>
    <w:rsid w:val="00D95B98"/>
    <w:rsid w:val="00D962E3"/>
    <w:rsid w:val="00D969E3"/>
    <w:rsid w:val="00D96B57"/>
    <w:rsid w:val="00D97149"/>
    <w:rsid w:val="00DA0111"/>
    <w:rsid w:val="00DA039B"/>
    <w:rsid w:val="00DA05D1"/>
    <w:rsid w:val="00DA198C"/>
    <w:rsid w:val="00DA24F4"/>
    <w:rsid w:val="00DA2CC4"/>
    <w:rsid w:val="00DA2D05"/>
    <w:rsid w:val="00DA2D60"/>
    <w:rsid w:val="00DA2FC6"/>
    <w:rsid w:val="00DA3439"/>
    <w:rsid w:val="00DA3B2B"/>
    <w:rsid w:val="00DA4988"/>
    <w:rsid w:val="00DA49DE"/>
    <w:rsid w:val="00DA5640"/>
    <w:rsid w:val="00DA60F2"/>
    <w:rsid w:val="00DA6321"/>
    <w:rsid w:val="00DA6503"/>
    <w:rsid w:val="00DA6597"/>
    <w:rsid w:val="00DA65F0"/>
    <w:rsid w:val="00DA69BB"/>
    <w:rsid w:val="00DA713C"/>
    <w:rsid w:val="00DA761A"/>
    <w:rsid w:val="00DA772E"/>
    <w:rsid w:val="00DB01B0"/>
    <w:rsid w:val="00DB04B1"/>
    <w:rsid w:val="00DB0BFC"/>
    <w:rsid w:val="00DB0E9B"/>
    <w:rsid w:val="00DB0EC4"/>
    <w:rsid w:val="00DB1976"/>
    <w:rsid w:val="00DB1A8B"/>
    <w:rsid w:val="00DB3224"/>
    <w:rsid w:val="00DB3275"/>
    <w:rsid w:val="00DB3648"/>
    <w:rsid w:val="00DB3B34"/>
    <w:rsid w:val="00DB447B"/>
    <w:rsid w:val="00DB4A94"/>
    <w:rsid w:val="00DB4F34"/>
    <w:rsid w:val="00DB4FD1"/>
    <w:rsid w:val="00DB548B"/>
    <w:rsid w:val="00DB5583"/>
    <w:rsid w:val="00DB5E96"/>
    <w:rsid w:val="00DB625C"/>
    <w:rsid w:val="00DB7424"/>
    <w:rsid w:val="00DB7D2E"/>
    <w:rsid w:val="00DC004F"/>
    <w:rsid w:val="00DC0C3D"/>
    <w:rsid w:val="00DC0F0E"/>
    <w:rsid w:val="00DC1BA5"/>
    <w:rsid w:val="00DC1BE0"/>
    <w:rsid w:val="00DC26D7"/>
    <w:rsid w:val="00DC288F"/>
    <w:rsid w:val="00DC2A27"/>
    <w:rsid w:val="00DC2B24"/>
    <w:rsid w:val="00DC2DA0"/>
    <w:rsid w:val="00DC2EAE"/>
    <w:rsid w:val="00DC3048"/>
    <w:rsid w:val="00DC3267"/>
    <w:rsid w:val="00DC3781"/>
    <w:rsid w:val="00DC384E"/>
    <w:rsid w:val="00DC4095"/>
    <w:rsid w:val="00DC4C37"/>
    <w:rsid w:val="00DC4CCC"/>
    <w:rsid w:val="00DC553C"/>
    <w:rsid w:val="00DC58CC"/>
    <w:rsid w:val="00DC5B8C"/>
    <w:rsid w:val="00DC5EBC"/>
    <w:rsid w:val="00DC6182"/>
    <w:rsid w:val="00DC637A"/>
    <w:rsid w:val="00DC6C14"/>
    <w:rsid w:val="00DC73D1"/>
    <w:rsid w:val="00DC7660"/>
    <w:rsid w:val="00DC79CD"/>
    <w:rsid w:val="00DC7D1E"/>
    <w:rsid w:val="00DD0010"/>
    <w:rsid w:val="00DD05CF"/>
    <w:rsid w:val="00DD0739"/>
    <w:rsid w:val="00DD0A6C"/>
    <w:rsid w:val="00DD0D44"/>
    <w:rsid w:val="00DD1317"/>
    <w:rsid w:val="00DD1402"/>
    <w:rsid w:val="00DD1A12"/>
    <w:rsid w:val="00DD1B69"/>
    <w:rsid w:val="00DD2149"/>
    <w:rsid w:val="00DD254A"/>
    <w:rsid w:val="00DD27F5"/>
    <w:rsid w:val="00DD287E"/>
    <w:rsid w:val="00DD2DA1"/>
    <w:rsid w:val="00DD3516"/>
    <w:rsid w:val="00DD369A"/>
    <w:rsid w:val="00DD391F"/>
    <w:rsid w:val="00DD4192"/>
    <w:rsid w:val="00DD4751"/>
    <w:rsid w:val="00DD5635"/>
    <w:rsid w:val="00DD597F"/>
    <w:rsid w:val="00DD5CBB"/>
    <w:rsid w:val="00DD634F"/>
    <w:rsid w:val="00DD67E1"/>
    <w:rsid w:val="00DD6957"/>
    <w:rsid w:val="00DD72A6"/>
    <w:rsid w:val="00DD748C"/>
    <w:rsid w:val="00DD7559"/>
    <w:rsid w:val="00DD762D"/>
    <w:rsid w:val="00DD76AD"/>
    <w:rsid w:val="00DD78D4"/>
    <w:rsid w:val="00DE0B19"/>
    <w:rsid w:val="00DE0BA2"/>
    <w:rsid w:val="00DE0BE2"/>
    <w:rsid w:val="00DE12FA"/>
    <w:rsid w:val="00DE13BC"/>
    <w:rsid w:val="00DE1608"/>
    <w:rsid w:val="00DE1BC1"/>
    <w:rsid w:val="00DE1CA3"/>
    <w:rsid w:val="00DE29DA"/>
    <w:rsid w:val="00DE2FC0"/>
    <w:rsid w:val="00DE32A8"/>
    <w:rsid w:val="00DE3B26"/>
    <w:rsid w:val="00DE3E99"/>
    <w:rsid w:val="00DE4372"/>
    <w:rsid w:val="00DE4747"/>
    <w:rsid w:val="00DE4A44"/>
    <w:rsid w:val="00DE4DF0"/>
    <w:rsid w:val="00DE539E"/>
    <w:rsid w:val="00DE540B"/>
    <w:rsid w:val="00DE5773"/>
    <w:rsid w:val="00DE6B5F"/>
    <w:rsid w:val="00DE6D08"/>
    <w:rsid w:val="00DE7DC2"/>
    <w:rsid w:val="00DF005D"/>
    <w:rsid w:val="00DF0388"/>
    <w:rsid w:val="00DF03EC"/>
    <w:rsid w:val="00DF1B87"/>
    <w:rsid w:val="00DF34AB"/>
    <w:rsid w:val="00DF3672"/>
    <w:rsid w:val="00DF40BC"/>
    <w:rsid w:val="00DF4440"/>
    <w:rsid w:val="00DF537A"/>
    <w:rsid w:val="00DF5A3B"/>
    <w:rsid w:val="00DF5CAE"/>
    <w:rsid w:val="00DF5FDF"/>
    <w:rsid w:val="00DF6496"/>
    <w:rsid w:val="00DF707B"/>
    <w:rsid w:val="00DF7376"/>
    <w:rsid w:val="00DF7760"/>
    <w:rsid w:val="00E00BBA"/>
    <w:rsid w:val="00E019EC"/>
    <w:rsid w:val="00E01E9B"/>
    <w:rsid w:val="00E02F67"/>
    <w:rsid w:val="00E03AC7"/>
    <w:rsid w:val="00E040DC"/>
    <w:rsid w:val="00E0447D"/>
    <w:rsid w:val="00E04ABE"/>
    <w:rsid w:val="00E05294"/>
    <w:rsid w:val="00E05C15"/>
    <w:rsid w:val="00E05FDF"/>
    <w:rsid w:val="00E06047"/>
    <w:rsid w:val="00E0624F"/>
    <w:rsid w:val="00E062D7"/>
    <w:rsid w:val="00E069A1"/>
    <w:rsid w:val="00E074DC"/>
    <w:rsid w:val="00E1021A"/>
    <w:rsid w:val="00E111BC"/>
    <w:rsid w:val="00E11C52"/>
    <w:rsid w:val="00E1278C"/>
    <w:rsid w:val="00E12AAB"/>
    <w:rsid w:val="00E12CE1"/>
    <w:rsid w:val="00E13254"/>
    <w:rsid w:val="00E134DA"/>
    <w:rsid w:val="00E1350B"/>
    <w:rsid w:val="00E135AA"/>
    <w:rsid w:val="00E151DD"/>
    <w:rsid w:val="00E157E7"/>
    <w:rsid w:val="00E15C9C"/>
    <w:rsid w:val="00E164E3"/>
    <w:rsid w:val="00E16923"/>
    <w:rsid w:val="00E16D06"/>
    <w:rsid w:val="00E2051E"/>
    <w:rsid w:val="00E20598"/>
    <w:rsid w:val="00E20E04"/>
    <w:rsid w:val="00E20ED1"/>
    <w:rsid w:val="00E2159B"/>
    <w:rsid w:val="00E21682"/>
    <w:rsid w:val="00E21ABE"/>
    <w:rsid w:val="00E2214B"/>
    <w:rsid w:val="00E22196"/>
    <w:rsid w:val="00E227A2"/>
    <w:rsid w:val="00E22A64"/>
    <w:rsid w:val="00E23872"/>
    <w:rsid w:val="00E238B5"/>
    <w:rsid w:val="00E23BE6"/>
    <w:rsid w:val="00E23C6D"/>
    <w:rsid w:val="00E241FB"/>
    <w:rsid w:val="00E25357"/>
    <w:rsid w:val="00E258A6"/>
    <w:rsid w:val="00E25B81"/>
    <w:rsid w:val="00E25E97"/>
    <w:rsid w:val="00E265E7"/>
    <w:rsid w:val="00E268A6"/>
    <w:rsid w:val="00E27305"/>
    <w:rsid w:val="00E27EBB"/>
    <w:rsid w:val="00E30416"/>
    <w:rsid w:val="00E3153F"/>
    <w:rsid w:val="00E320FA"/>
    <w:rsid w:val="00E3252C"/>
    <w:rsid w:val="00E33CCB"/>
    <w:rsid w:val="00E345C1"/>
    <w:rsid w:val="00E348D0"/>
    <w:rsid w:val="00E34B40"/>
    <w:rsid w:val="00E350A4"/>
    <w:rsid w:val="00E3586A"/>
    <w:rsid w:val="00E35C32"/>
    <w:rsid w:val="00E35ED9"/>
    <w:rsid w:val="00E35F4A"/>
    <w:rsid w:val="00E3644C"/>
    <w:rsid w:val="00E36906"/>
    <w:rsid w:val="00E36D19"/>
    <w:rsid w:val="00E36D28"/>
    <w:rsid w:val="00E37564"/>
    <w:rsid w:val="00E37DED"/>
    <w:rsid w:val="00E40003"/>
    <w:rsid w:val="00E40580"/>
    <w:rsid w:val="00E40880"/>
    <w:rsid w:val="00E40993"/>
    <w:rsid w:val="00E40998"/>
    <w:rsid w:val="00E40F79"/>
    <w:rsid w:val="00E4159F"/>
    <w:rsid w:val="00E41E49"/>
    <w:rsid w:val="00E42645"/>
    <w:rsid w:val="00E427C9"/>
    <w:rsid w:val="00E42B09"/>
    <w:rsid w:val="00E42DEE"/>
    <w:rsid w:val="00E43095"/>
    <w:rsid w:val="00E43420"/>
    <w:rsid w:val="00E43B30"/>
    <w:rsid w:val="00E43BDA"/>
    <w:rsid w:val="00E445FA"/>
    <w:rsid w:val="00E447E4"/>
    <w:rsid w:val="00E44B55"/>
    <w:rsid w:val="00E459E0"/>
    <w:rsid w:val="00E45BE8"/>
    <w:rsid w:val="00E462CA"/>
    <w:rsid w:val="00E4633B"/>
    <w:rsid w:val="00E46382"/>
    <w:rsid w:val="00E464A8"/>
    <w:rsid w:val="00E4698A"/>
    <w:rsid w:val="00E469AC"/>
    <w:rsid w:val="00E50542"/>
    <w:rsid w:val="00E505B2"/>
    <w:rsid w:val="00E50B34"/>
    <w:rsid w:val="00E51C6F"/>
    <w:rsid w:val="00E5221F"/>
    <w:rsid w:val="00E52B54"/>
    <w:rsid w:val="00E52EC0"/>
    <w:rsid w:val="00E53BF1"/>
    <w:rsid w:val="00E53E76"/>
    <w:rsid w:val="00E54098"/>
    <w:rsid w:val="00E5461B"/>
    <w:rsid w:val="00E5591D"/>
    <w:rsid w:val="00E56A80"/>
    <w:rsid w:val="00E56B26"/>
    <w:rsid w:val="00E56DB1"/>
    <w:rsid w:val="00E573D6"/>
    <w:rsid w:val="00E57BA6"/>
    <w:rsid w:val="00E57D61"/>
    <w:rsid w:val="00E57FA6"/>
    <w:rsid w:val="00E60945"/>
    <w:rsid w:val="00E60C75"/>
    <w:rsid w:val="00E613D6"/>
    <w:rsid w:val="00E619E6"/>
    <w:rsid w:val="00E62773"/>
    <w:rsid w:val="00E62CE6"/>
    <w:rsid w:val="00E62E7B"/>
    <w:rsid w:val="00E63336"/>
    <w:rsid w:val="00E63B85"/>
    <w:rsid w:val="00E63D93"/>
    <w:rsid w:val="00E63FCC"/>
    <w:rsid w:val="00E6400A"/>
    <w:rsid w:val="00E6482C"/>
    <w:rsid w:val="00E648E7"/>
    <w:rsid w:val="00E64E89"/>
    <w:rsid w:val="00E65137"/>
    <w:rsid w:val="00E6551F"/>
    <w:rsid w:val="00E65A5C"/>
    <w:rsid w:val="00E66432"/>
    <w:rsid w:val="00E6687C"/>
    <w:rsid w:val="00E6692C"/>
    <w:rsid w:val="00E66B35"/>
    <w:rsid w:val="00E66FDF"/>
    <w:rsid w:val="00E67335"/>
    <w:rsid w:val="00E6744B"/>
    <w:rsid w:val="00E678E5"/>
    <w:rsid w:val="00E67903"/>
    <w:rsid w:val="00E70C13"/>
    <w:rsid w:val="00E7102E"/>
    <w:rsid w:val="00E71C2E"/>
    <w:rsid w:val="00E71E30"/>
    <w:rsid w:val="00E71FBE"/>
    <w:rsid w:val="00E7246D"/>
    <w:rsid w:val="00E727FA"/>
    <w:rsid w:val="00E72C2E"/>
    <w:rsid w:val="00E730A5"/>
    <w:rsid w:val="00E736BA"/>
    <w:rsid w:val="00E73779"/>
    <w:rsid w:val="00E73A08"/>
    <w:rsid w:val="00E7442F"/>
    <w:rsid w:val="00E74C53"/>
    <w:rsid w:val="00E74EEE"/>
    <w:rsid w:val="00E75B89"/>
    <w:rsid w:val="00E75BED"/>
    <w:rsid w:val="00E75F92"/>
    <w:rsid w:val="00E764F8"/>
    <w:rsid w:val="00E7666E"/>
    <w:rsid w:val="00E77190"/>
    <w:rsid w:val="00E772E1"/>
    <w:rsid w:val="00E77B28"/>
    <w:rsid w:val="00E8055A"/>
    <w:rsid w:val="00E805DC"/>
    <w:rsid w:val="00E806E1"/>
    <w:rsid w:val="00E80920"/>
    <w:rsid w:val="00E80AC0"/>
    <w:rsid w:val="00E81D08"/>
    <w:rsid w:val="00E82256"/>
    <w:rsid w:val="00E82736"/>
    <w:rsid w:val="00E82920"/>
    <w:rsid w:val="00E82DCA"/>
    <w:rsid w:val="00E845EB"/>
    <w:rsid w:val="00E8465D"/>
    <w:rsid w:val="00E8544C"/>
    <w:rsid w:val="00E855F5"/>
    <w:rsid w:val="00E856B9"/>
    <w:rsid w:val="00E85ACB"/>
    <w:rsid w:val="00E85CB2"/>
    <w:rsid w:val="00E85F39"/>
    <w:rsid w:val="00E86EC0"/>
    <w:rsid w:val="00E87493"/>
    <w:rsid w:val="00E87677"/>
    <w:rsid w:val="00E90674"/>
    <w:rsid w:val="00E90C01"/>
    <w:rsid w:val="00E90FFC"/>
    <w:rsid w:val="00E9133C"/>
    <w:rsid w:val="00E91918"/>
    <w:rsid w:val="00E92C95"/>
    <w:rsid w:val="00E92FE2"/>
    <w:rsid w:val="00E92FF2"/>
    <w:rsid w:val="00E93824"/>
    <w:rsid w:val="00E93A6A"/>
    <w:rsid w:val="00E9560B"/>
    <w:rsid w:val="00E95650"/>
    <w:rsid w:val="00E95C68"/>
    <w:rsid w:val="00E95E69"/>
    <w:rsid w:val="00E9674E"/>
    <w:rsid w:val="00E96E36"/>
    <w:rsid w:val="00E970F9"/>
    <w:rsid w:val="00E97557"/>
    <w:rsid w:val="00E97904"/>
    <w:rsid w:val="00E97A05"/>
    <w:rsid w:val="00EA0119"/>
    <w:rsid w:val="00EA0202"/>
    <w:rsid w:val="00EA04C8"/>
    <w:rsid w:val="00EA0AB1"/>
    <w:rsid w:val="00EA118B"/>
    <w:rsid w:val="00EA147A"/>
    <w:rsid w:val="00EA1860"/>
    <w:rsid w:val="00EA1F1D"/>
    <w:rsid w:val="00EA207C"/>
    <w:rsid w:val="00EA2224"/>
    <w:rsid w:val="00EA321F"/>
    <w:rsid w:val="00EA3364"/>
    <w:rsid w:val="00EA3386"/>
    <w:rsid w:val="00EA3ABC"/>
    <w:rsid w:val="00EA4B0F"/>
    <w:rsid w:val="00EA4D6F"/>
    <w:rsid w:val="00EA4DC9"/>
    <w:rsid w:val="00EA529A"/>
    <w:rsid w:val="00EA6695"/>
    <w:rsid w:val="00EA6BAC"/>
    <w:rsid w:val="00EA6D07"/>
    <w:rsid w:val="00EA6E8B"/>
    <w:rsid w:val="00EA7001"/>
    <w:rsid w:val="00EA738B"/>
    <w:rsid w:val="00EA7610"/>
    <w:rsid w:val="00EA77C9"/>
    <w:rsid w:val="00EA791E"/>
    <w:rsid w:val="00EA7A89"/>
    <w:rsid w:val="00EB027C"/>
    <w:rsid w:val="00EB04EB"/>
    <w:rsid w:val="00EB088E"/>
    <w:rsid w:val="00EB08A5"/>
    <w:rsid w:val="00EB15E3"/>
    <w:rsid w:val="00EB18E4"/>
    <w:rsid w:val="00EB1960"/>
    <w:rsid w:val="00EB1EBE"/>
    <w:rsid w:val="00EB23B3"/>
    <w:rsid w:val="00EB2665"/>
    <w:rsid w:val="00EB2895"/>
    <w:rsid w:val="00EB2E1D"/>
    <w:rsid w:val="00EB357F"/>
    <w:rsid w:val="00EB3650"/>
    <w:rsid w:val="00EB36D4"/>
    <w:rsid w:val="00EB3799"/>
    <w:rsid w:val="00EB3DAF"/>
    <w:rsid w:val="00EB4689"/>
    <w:rsid w:val="00EB5B0E"/>
    <w:rsid w:val="00EB5F09"/>
    <w:rsid w:val="00EB5F1C"/>
    <w:rsid w:val="00EB63B3"/>
    <w:rsid w:val="00EB6A14"/>
    <w:rsid w:val="00EB6F14"/>
    <w:rsid w:val="00EB7BA7"/>
    <w:rsid w:val="00EC0BD8"/>
    <w:rsid w:val="00EC1047"/>
    <w:rsid w:val="00EC10FB"/>
    <w:rsid w:val="00EC1896"/>
    <w:rsid w:val="00EC1DCE"/>
    <w:rsid w:val="00EC25F6"/>
    <w:rsid w:val="00EC345E"/>
    <w:rsid w:val="00EC3770"/>
    <w:rsid w:val="00EC37DA"/>
    <w:rsid w:val="00EC38E9"/>
    <w:rsid w:val="00EC3D7E"/>
    <w:rsid w:val="00EC3E04"/>
    <w:rsid w:val="00EC4516"/>
    <w:rsid w:val="00EC4853"/>
    <w:rsid w:val="00EC4EDA"/>
    <w:rsid w:val="00EC57BC"/>
    <w:rsid w:val="00EC594A"/>
    <w:rsid w:val="00EC6E16"/>
    <w:rsid w:val="00EC7356"/>
    <w:rsid w:val="00EC7744"/>
    <w:rsid w:val="00EC7B76"/>
    <w:rsid w:val="00EC7D0F"/>
    <w:rsid w:val="00EC7D8B"/>
    <w:rsid w:val="00ED014E"/>
    <w:rsid w:val="00ED0196"/>
    <w:rsid w:val="00ED0FB0"/>
    <w:rsid w:val="00ED106A"/>
    <w:rsid w:val="00ED135E"/>
    <w:rsid w:val="00ED1B2D"/>
    <w:rsid w:val="00ED2109"/>
    <w:rsid w:val="00ED283E"/>
    <w:rsid w:val="00ED2B98"/>
    <w:rsid w:val="00ED2BE4"/>
    <w:rsid w:val="00ED2E24"/>
    <w:rsid w:val="00ED34E8"/>
    <w:rsid w:val="00ED46EE"/>
    <w:rsid w:val="00ED58BF"/>
    <w:rsid w:val="00ED58CE"/>
    <w:rsid w:val="00ED5EEE"/>
    <w:rsid w:val="00ED5FBB"/>
    <w:rsid w:val="00ED62C6"/>
    <w:rsid w:val="00ED6769"/>
    <w:rsid w:val="00ED69C0"/>
    <w:rsid w:val="00ED6D14"/>
    <w:rsid w:val="00ED7040"/>
    <w:rsid w:val="00ED75A8"/>
    <w:rsid w:val="00ED7637"/>
    <w:rsid w:val="00ED7C67"/>
    <w:rsid w:val="00EE101B"/>
    <w:rsid w:val="00EE14D5"/>
    <w:rsid w:val="00EE1B3F"/>
    <w:rsid w:val="00EE26F1"/>
    <w:rsid w:val="00EE289A"/>
    <w:rsid w:val="00EE300C"/>
    <w:rsid w:val="00EE3701"/>
    <w:rsid w:val="00EE3927"/>
    <w:rsid w:val="00EE4342"/>
    <w:rsid w:val="00EE4EF2"/>
    <w:rsid w:val="00EE54DB"/>
    <w:rsid w:val="00EE582E"/>
    <w:rsid w:val="00EE5B43"/>
    <w:rsid w:val="00EE66CA"/>
    <w:rsid w:val="00EE691B"/>
    <w:rsid w:val="00EE6E49"/>
    <w:rsid w:val="00EE6EC5"/>
    <w:rsid w:val="00EE72C0"/>
    <w:rsid w:val="00EE7890"/>
    <w:rsid w:val="00EE7F7E"/>
    <w:rsid w:val="00EF00C5"/>
    <w:rsid w:val="00EF03A5"/>
    <w:rsid w:val="00EF063C"/>
    <w:rsid w:val="00EF0BF2"/>
    <w:rsid w:val="00EF0C09"/>
    <w:rsid w:val="00EF1140"/>
    <w:rsid w:val="00EF18D8"/>
    <w:rsid w:val="00EF192F"/>
    <w:rsid w:val="00EF1F98"/>
    <w:rsid w:val="00EF2126"/>
    <w:rsid w:val="00EF2E17"/>
    <w:rsid w:val="00EF327A"/>
    <w:rsid w:val="00EF3819"/>
    <w:rsid w:val="00EF3A2C"/>
    <w:rsid w:val="00EF46B0"/>
    <w:rsid w:val="00EF4D69"/>
    <w:rsid w:val="00EF5324"/>
    <w:rsid w:val="00EF593B"/>
    <w:rsid w:val="00EF5B52"/>
    <w:rsid w:val="00EF6748"/>
    <w:rsid w:val="00EF6D74"/>
    <w:rsid w:val="00EF7084"/>
    <w:rsid w:val="00EF749E"/>
    <w:rsid w:val="00EF7545"/>
    <w:rsid w:val="00EF7B35"/>
    <w:rsid w:val="00F00583"/>
    <w:rsid w:val="00F00720"/>
    <w:rsid w:val="00F00B84"/>
    <w:rsid w:val="00F013DF"/>
    <w:rsid w:val="00F0197F"/>
    <w:rsid w:val="00F0315F"/>
    <w:rsid w:val="00F0349F"/>
    <w:rsid w:val="00F0391E"/>
    <w:rsid w:val="00F03A6C"/>
    <w:rsid w:val="00F03F56"/>
    <w:rsid w:val="00F04190"/>
    <w:rsid w:val="00F046AD"/>
    <w:rsid w:val="00F04F37"/>
    <w:rsid w:val="00F04FF4"/>
    <w:rsid w:val="00F05124"/>
    <w:rsid w:val="00F06EDA"/>
    <w:rsid w:val="00F07545"/>
    <w:rsid w:val="00F07601"/>
    <w:rsid w:val="00F0789F"/>
    <w:rsid w:val="00F078BC"/>
    <w:rsid w:val="00F07C1F"/>
    <w:rsid w:val="00F07E81"/>
    <w:rsid w:val="00F10147"/>
    <w:rsid w:val="00F1094A"/>
    <w:rsid w:val="00F109C4"/>
    <w:rsid w:val="00F10D0F"/>
    <w:rsid w:val="00F11AF1"/>
    <w:rsid w:val="00F11D79"/>
    <w:rsid w:val="00F1271F"/>
    <w:rsid w:val="00F12C99"/>
    <w:rsid w:val="00F12CD7"/>
    <w:rsid w:val="00F1415E"/>
    <w:rsid w:val="00F147E5"/>
    <w:rsid w:val="00F148AC"/>
    <w:rsid w:val="00F14D09"/>
    <w:rsid w:val="00F1525B"/>
    <w:rsid w:val="00F15A67"/>
    <w:rsid w:val="00F15BBC"/>
    <w:rsid w:val="00F160FE"/>
    <w:rsid w:val="00F16219"/>
    <w:rsid w:val="00F16334"/>
    <w:rsid w:val="00F16377"/>
    <w:rsid w:val="00F1676C"/>
    <w:rsid w:val="00F168F3"/>
    <w:rsid w:val="00F16A5B"/>
    <w:rsid w:val="00F16DDF"/>
    <w:rsid w:val="00F17AA8"/>
    <w:rsid w:val="00F17E32"/>
    <w:rsid w:val="00F20147"/>
    <w:rsid w:val="00F2084E"/>
    <w:rsid w:val="00F221FA"/>
    <w:rsid w:val="00F224CF"/>
    <w:rsid w:val="00F22A21"/>
    <w:rsid w:val="00F2400D"/>
    <w:rsid w:val="00F24854"/>
    <w:rsid w:val="00F24C0C"/>
    <w:rsid w:val="00F25095"/>
    <w:rsid w:val="00F25E65"/>
    <w:rsid w:val="00F263A9"/>
    <w:rsid w:val="00F26C1E"/>
    <w:rsid w:val="00F272D3"/>
    <w:rsid w:val="00F272F1"/>
    <w:rsid w:val="00F27330"/>
    <w:rsid w:val="00F30654"/>
    <w:rsid w:val="00F30B7E"/>
    <w:rsid w:val="00F32438"/>
    <w:rsid w:val="00F33457"/>
    <w:rsid w:val="00F33A01"/>
    <w:rsid w:val="00F33AF9"/>
    <w:rsid w:val="00F3456B"/>
    <w:rsid w:val="00F348BC"/>
    <w:rsid w:val="00F34B59"/>
    <w:rsid w:val="00F35503"/>
    <w:rsid w:val="00F3581D"/>
    <w:rsid w:val="00F36352"/>
    <w:rsid w:val="00F36A10"/>
    <w:rsid w:val="00F37B13"/>
    <w:rsid w:val="00F37B18"/>
    <w:rsid w:val="00F37EE7"/>
    <w:rsid w:val="00F40869"/>
    <w:rsid w:val="00F409AC"/>
    <w:rsid w:val="00F41014"/>
    <w:rsid w:val="00F419D1"/>
    <w:rsid w:val="00F41D5C"/>
    <w:rsid w:val="00F41F93"/>
    <w:rsid w:val="00F42855"/>
    <w:rsid w:val="00F42CB7"/>
    <w:rsid w:val="00F43810"/>
    <w:rsid w:val="00F441FC"/>
    <w:rsid w:val="00F44CC8"/>
    <w:rsid w:val="00F44E51"/>
    <w:rsid w:val="00F450EB"/>
    <w:rsid w:val="00F4537D"/>
    <w:rsid w:val="00F45AC8"/>
    <w:rsid w:val="00F45ACD"/>
    <w:rsid w:val="00F45EDF"/>
    <w:rsid w:val="00F4701C"/>
    <w:rsid w:val="00F47B5A"/>
    <w:rsid w:val="00F504E5"/>
    <w:rsid w:val="00F51345"/>
    <w:rsid w:val="00F51BC4"/>
    <w:rsid w:val="00F51E89"/>
    <w:rsid w:val="00F527B9"/>
    <w:rsid w:val="00F52CCD"/>
    <w:rsid w:val="00F52F37"/>
    <w:rsid w:val="00F53D4E"/>
    <w:rsid w:val="00F5425D"/>
    <w:rsid w:val="00F547AF"/>
    <w:rsid w:val="00F54A87"/>
    <w:rsid w:val="00F54B26"/>
    <w:rsid w:val="00F54D73"/>
    <w:rsid w:val="00F55221"/>
    <w:rsid w:val="00F56348"/>
    <w:rsid w:val="00F566E7"/>
    <w:rsid w:val="00F56FC0"/>
    <w:rsid w:val="00F57822"/>
    <w:rsid w:val="00F57AA7"/>
    <w:rsid w:val="00F57D24"/>
    <w:rsid w:val="00F60611"/>
    <w:rsid w:val="00F61038"/>
    <w:rsid w:val="00F61B52"/>
    <w:rsid w:val="00F61BE9"/>
    <w:rsid w:val="00F61ED5"/>
    <w:rsid w:val="00F62461"/>
    <w:rsid w:val="00F625B7"/>
    <w:rsid w:val="00F62CE5"/>
    <w:rsid w:val="00F64A42"/>
    <w:rsid w:val="00F64B5B"/>
    <w:rsid w:val="00F64F92"/>
    <w:rsid w:val="00F65780"/>
    <w:rsid w:val="00F6584D"/>
    <w:rsid w:val="00F65973"/>
    <w:rsid w:val="00F66A6C"/>
    <w:rsid w:val="00F66D93"/>
    <w:rsid w:val="00F6713B"/>
    <w:rsid w:val="00F673AF"/>
    <w:rsid w:val="00F67D22"/>
    <w:rsid w:val="00F707EE"/>
    <w:rsid w:val="00F71134"/>
    <w:rsid w:val="00F724B7"/>
    <w:rsid w:val="00F72B61"/>
    <w:rsid w:val="00F739CD"/>
    <w:rsid w:val="00F739D7"/>
    <w:rsid w:val="00F73C26"/>
    <w:rsid w:val="00F74969"/>
    <w:rsid w:val="00F75078"/>
    <w:rsid w:val="00F75E16"/>
    <w:rsid w:val="00F76031"/>
    <w:rsid w:val="00F76656"/>
    <w:rsid w:val="00F76721"/>
    <w:rsid w:val="00F76E5C"/>
    <w:rsid w:val="00F80231"/>
    <w:rsid w:val="00F8023C"/>
    <w:rsid w:val="00F8105C"/>
    <w:rsid w:val="00F818CA"/>
    <w:rsid w:val="00F81ECE"/>
    <w:rsid w:val="00F82E7A"/>
    <w:rsid w:val="00F83B55"/>
    <w:rsid w:val="00F83E53"/>
    <w:rsid w:val="00F8490F"/>
    <w:rsid w:val="00F84A6F"/>
    <w:rsid w:val="00F854F6"/>
    <w:rsid w:val="00F85C0F"/>
    <w:rsid w:val="00F85C3C"/>
    <w:rsid w:val="00F87862"/>
    <w:rsid w:val="00F905AF"/>
    <w:rsid w:val="00F9079C"/>
    <w:rsid w:val="00F9084D"/>
    <w:rsid w:val="00F90A5E"/>
    <w:rsid w:val="00F9109E"/>
    <w:rsid w:val="00F91BC8"/>
    <w:rsid w:val="00F91FFB"/>
    <w:rsid w:val="00F92117"/>
    <w:rsid w:val="00F922DC"/>
    <w:rsid w:val="00F92DA3"/>
    <w:rsid w:val="00F932A6"/>
    <w:rsid w:val="00F932E2"/>
    <w:rsid w:val="00F94998"/>
    <w:rsid w:val="00F94AD8"/>
    <w:rsid w:val="00F94D2E"/>
    <w:rsid w:val="00F94ECD"/>
    <w:rsid w:val="00F94ECE"/>
    <w:rsid w:val="00F951EB"/>
    <w:rsid w:val="00F95B6C"/>
    <w:rsid w:val="00F960E9"/>
    <w:rsid w:val="00F9661B"/>
    <w:rsid w:val="00F97520"/>
    <w:rsid w:val="00F97B1F"/>
    <w:rsid w:val="00FA0167"/>
    <w:rsid w:val="00FA0440"/>
    <w:rsid w:val="00FA0AAE"/>
    <w:rsid w:val="00FA17A3"/>
    <w:rsid w:val="00FA1960"/>
    <w:rsid w:val="00FA1AD3"/>
    <w:rsid w:val="00FA1BF4"/>
    <w:rsid w:val="00FA230A"/>
    <w:rsid w:val="00FA271A"/>
    <w:rsid w:val="00FA27EF"/>
    <w:rsid w:val="00FA3115"/>
    <w:rsid w:val="00FA3766"/>
    <w:rsid w:val="00FA3B57"/>
    <w:rsid w:val="00FA4864"/>
    <w:rsid w:val="00FA4A86"/>
    <w:rsid w:val="00FA4EAA"/>
    <w:rsid w:val="00FA5084"/>
    <w:rsid w:val="00FA509B"/>
    <w:rsid w:val="00FA5543"/>
    <w:rsid w:val="00FA576B"/>
    <w:rsid w:val="00FA5E42"/>
    <w:rsid w:val="00FA6039"/>
    <w:rsid w:val="00FA6277"/>
    <w:rsid w:val="00FA6529"/>
    <w:rsid w:val="00FA658C"/>
    <w:rsid w:val="00FA6DA9"/>
    <w:rsid w:val="00FA73E7"/>
    <w:rsid w:val="00FA747A"/>
    <w:rsid w:val="00FA777E"/>
    <w:rsid w:val="00FA7D1D"/>
    <w:rsid w:val="00FB050F"/>
    <w:rsid w:val="00FB0782"/>
    <w:rsid w:val="00FB0898"/>
    <w:rsid w:val="00FB0FA7"/>
    <w:rsid w:val="00FB1056"/>
    <w:rsid w:val="00FB1120"/>
    <w:rsid w:val="00FB1A88"/>
    <w:rsid w:val="00FB1F6A"/>
    <w:rsid w:val="00FB23F0"/>
    <w:rsid w:val="00FB251F"/>
    <w:rsid w:val="00FB2F41"/>
    <w:rsid w:val="00FB35D4"/>
    <w:rsid w:val="00FB3DA3"/>
    <w:rsid w:val="00FB44BF"/>
    <w:rsid w:val="00FB4F58"/>
    <w:rsid w:val="00FB576E"/>
    <w:rsid w:val="00FB5AC7"/>
    <w:rsid w:val="00FB5D42"/>
    <w:rsid w:val="00FB5DB2"/>
    <w:rsid w:val="00FB6322"/>
    <w:rsid w:val="00FB6B01"/>
    <w:rsid w:val="00FB6C65"/>
    <w:rsid w:val="00FB6D17"/>
    <w:rsid w:val="00FB6FF2"/>
    <w:rsid w:val="00FB709E"/>
    <w:rsid w:val="00FB73A3"/>
    <w:rsid w:val="00FB76D5"/>
    <w:rsid w:val="00FB783E"/>
    <w:rsid w:val="00FB7D35"/>
    <w:rsid w:val="00FC02FD"/>
    <w:rsid w:val="00FC085F"/>
    <w:rsid w:val="00FC0B1C"/>
    <w:rsid w:val="00FC1360"/>
    <w:rsid w:val="00FC15DC"/>
    <w:rsid w:val="00FC17F5"/>
    <w:rsid w:val="00FC1D92"/>
    <w:rsid w:val="00FC32BB"/>
    <w:rsid w:val="00FC3392"/>
    <w:rsid w:val="00FC369A"/>
    <w:rsid w:val="00FC409D"/>
    <w:rsid w:val="00FC512C"/>
    <w:rsid w:val="00FC5644"/>
    <w:rsid w:val="00FC581A"/>
    <w:rsid w:val="00FC712E"/>
    <w:rsid w:val="00FC73E2"/>
    <w:rsid w:val="00FD0116"/>
    <w:rsid w:val="00FD018F"/>
    <w:rsid w:val="00FD0778"/>
    <w:rsid w:val="00FD0A25"/>
    <w:rsid w:val="00FD0C7C"/>
    <w:rsid w:val="00FD14C4"/>
    <w:rsid w:val="00FD150A"/>
    <w:rsid w:val="00FD151C"/>
    <w:rsid w:val="00FD1C4A"/>
    <w:rsid w:val="00FD2336"/>
    <w:rsid w:val="00FD2517"/>
    <w:rsid w:val="00FD280A"/>
    <w:rsid w:val="00FD2837"/>
    <w:rsid w:val="00FD306B"/>
    <w:rsid w:val="00FD33B7"/>
    <w:rsid w:val="00FD34D5"/>
    <w:rsid w:val="00FD3BAC"/>
    <w:rsid w:val="00FD441C"/>
    <w:rsid w:val="00FD4664"/>
    <w:rsid w:val="00FD4B10"/>
    <w:rsid w:val="00FD4DE6"/>
    <w:rsid w:val="00FD524E"/>
    <w:rsid w:val="00FD5643"/>
    <w:rsid w:val="00FD5AF9"/>
    <w:rsid w:val="00FD5D78"/>
    <w:rsid w:val="00FD74E8"/>
    <w:rsid w:val="00FD7E54"/>
    <w:rsid w:val="00FE040E"/>
    <w:rsid w:val="00FE049B"/>
    <w:rsid w:val="00FE1B34"/>
    <w:rsid w:val="00FE1F68"/>
    <w:rsid w:val="00FE2442"/>
    <w:rsid w:val="00FE251B"/>
    <w:rsid w:val="00FE27B6"/>
    <w:rsid w:val="00FE2A4E"/>
    <w:rsid w:val="00FE2A57"/>
    <w:rsid w:val="00FE358F"/>
    <w:rsid w:val="00FE4100"/>
    <w:rsid w:val="00FE454B"/>
    <w:rsid w:val="00FE4C4D"/>
    <w:rsid w:val="00FE4E8E"/>
    <w:rsid w:val="00FE5248"/>
    <w:rsid w:val="00FE5538"/>
    <w:rsid w:val="00FE61BC"/>
    <w:rsid w:val="00FE6472"/>
    <w:rsid w:val="00FE664C"/>
    <w:rsid w:val="00FE73CF"/>
    <w:rsid w:val="00FE78AF"/>
    <w:rsid w:val="00FE7C03"/>
    <w:rsid w:val="00FF04B9"/>
    <w:rsid w:val="00FF1049"/>
    <w:rsid w:val="00FF17BE"/>
    <w:rsid w:val="00FF1E90"/>
    <w:rsid w:val="00FF212F"/>
    <w:rsid w:val="00FF2190"/>
    <w:rsid w:val="00FF27A8"/>
    <w:rsid w:val="00FF284A"/>
    <w:rsid w:val="00FF319A"/>
    <w:rsid w:val="00FF32FA"/>
    <w:rsid w:val="00FF35A6"/>
    <w:rsid w:val="00FF3667"/>
    <w:rsid w:val="00FF3721"/>
    <w:rsid w:val="00FF429F"/>
    <w:rsid w:val="00FF4348"/>
    <w:rsid w:val="00FF4826"/>
    <w:rsid w:val="00FF4EC0"/>
    <w:rsid w:val="00FF56B2"/>
    <w:rsid w:val="00FF5A65"/>
    <w:rsid w:val="00FF5AF7"/>
    <w:rsid w:val="00FF5BB9"/>
    <w:rsid w:val="00FF621B"/>
    <w:rsid w:val="00FF69F4"/>
    <w:rsid w:val="00FF6AE9"/>
    <w:rsid w:val="00FF7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78105A"/>
  <w15:docId w15:val="{1EE9FB30-E850-4B1C-82D0-7F2DD4377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2"/>
        <w:szCs w:val="22"/>
        <w:lang w:val="en-GB"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qFormat="1"/>
    <w:lsdException w:name="index 2" w:semiHidden="1" w:unhideWhenUsed="1"/>
    <w:lsdException w:name="index 3" w:semiHidden="1" w:unhideWhenUsed="1"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3" w:unhideWhenUsed="1"/>
    <w:lsdException w:name="Body Text 3" w:semiHidden="1" w:uiPriority="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3D0"/>
    <w:pPr>
      <w:spacing w:line="276" w:lineRule="auto"/>
    </w:pPr>
    <w:rPr>
      <w:rFonts w:ascii="Gill Sans MT" w:hAnsi="Gill Sans MT"/>
      <w:color w:val="1C1C1C"/>
    </w:rPr>
  </w:style>
  <w:style w:type="paragraph" w:styleId="Heading1">
    <w:name w:val="heading 1"/>
    <w:aliases w:val="Headline,ARTICULO 1º,h1,FIAS"/>
    <w:next w:val="BodyText"/>
    <w:link w:val="Heading1Char"/>
    <w:uiPriority w:val="1"/>
    <w:qFormat/>
    <w:rsid w:val="00A40A5D"/>
    <w:pPr>
      <w:keepNext/>
      <w:numPr>
        <w:numId w:val="22"/>
      </w:numPr>
      <w:tabs>
        <w:tab w:val="left" w:pos="1985"/>
      </w:tabs>
      <w:spacing w:before="480" w:line="276" w:lineRule="auto"/>
      <w:jc w:val="left"/>
      <w:outlineLvl w:val="0"/>
    </w:pPr>
    <w:rPr>
      <w:rFonts w:ascii="Gill Sans MT" w:eastAsiaTheme="majorEastAsia" w:hAnsi="Gill Sans MT" w:cstheme="majorBidi"/>
      <w:b/>
      <w:bCs/>
      <w:smallCaps/>
      <w:color w:val="C2113A"/>
      <w:sz w:val="28"/>
      <w:szCs w:val="28"/>
    </w:rPr>
  </w:style>
  <w:style w:type="paragraph" w:styleId="Heading2">
    <w:name w:val="heading 2"/>
    <w:aliases w:val="2 headline,h,h2,Subchapter 1.1,1.1 HEADING 2,2,Major"/>
    <w:next w:val="BodyText"/>
    <w:link w:val="Heading2Char"/>
    <w:autoRedefine/>
    <w:uiPriority w:val="1"/>
    <w:qFormat/>
    <w:rsid w:val="00C173D0"/>
    <w:pPr>
      <w:keepNext/>
      <w:keepLines/>
      <w:numPr>
        <w:ilvl w:val="1"/>
        <w:numId w:val="22"/>
      </w:numPr>
      <w:spacing w:before="400" w:after="200"/>
      <w:outlineLvl w:val="1"/>
    </w:pPr>
    <w:rPr>
      <w:rFonts w:ascii="Gill Sans MT" w:eastAsiaTheme="majorEastAsia" w:hAnsi="Gill Sans MT" w:cstheme="majorBidi"/>
      <w:b/>
      <w:bCs/>
      <w:smallCaps/>
      <w:sz w:val="24"/>
      <w:szCs w:val="24"/>
      <w:u w:val="single"/>
    </w:rPr>
  </w:style>
  <w:style w:type="paragraph" w:styleId="Heading3">
    <w:name w:val="heading 3"/>
    <w:aliases w:val="No Indent,Newshead1,C Heading,Half Space,h3,3,Minor"/>
    <w:next w:val="BodyText"/>
    <w:link w:val="Heading3Char"/>
    <w:uiPriority w:val="1"/>
    <w:qFormat/>
    <w:rsid w:val="00C173D0"/>
    <w:pPr>
      <w:keepNext/>
      <w:keepLines/>
      <w:numPr>
        <w:ilvl w:val="2"/>
        <w:numId w:val="22"/>
      </w:numPr>
      <w:spacing w:before="320" w:after="200"/>
      <w:outlineLvl w:val="2"/>
    </w:pPr>
    <w:rPr>
      <w:rFonts w:ascii="Gill Sans MT" w:eastAsiaTheme="majorEastAsia" w:hAnsi="Gill Sans MT" w:cstheme="majorBidi"/>
      <w:smallCaps/>
      <w:sz w:val="24"/>
      <w:szCs w:val="24"/>
    </w:rPr>
  </w:style>
  <w:style w:type="paragraph" w:styleId="Heading4">
    <w:name w:val="heading 4"/>
    <w:aliases w:val="o,Título 4B,( i ),4"/>
    <w:next w:val="BodyText"/>
    <w:link w:val="Heading4Char"/>
    <w:uiPriority w:val="1"/>
    <w:qFormat/>
    <w:rsid w:val="005B295A"/>
    <w:pPr>
      <w:keepLines/>
      <w:numPr>
        <w:ilvl w:val="3"/>
        <w:numId w:val="22"/>
      </w:numPr>
      <w:spacing w:before="240"/>
      <w:ind w:left="1418"/>
      <w:outlineLvl w:val="3"/>
    </w:pPr>
    <w:rPr>
      <w:rFonts w:ascii="Gill Sans MT" w:eastAsiaTheme="majorEastAsia" w:hAnsi="Gill Sans MT" w:cstheme="majorBidi"/>
      <w:bCs/>
      <w:iCs/>
      <w:color w:val="000000" w:themeColor="text1"/>
      <w:szCs w:val="24"/>
    </w:rPr>
  </w:style>
  <w:style w:type="paragraph" w:styleId="Heading5">
    <w:name w:val="heading 5"/>
    <w:aliases w:val="h5,Block Label,op"/>
    <w:next w:val="BodyText"/>
    <w:link w:val="Heading5Char"/>
    <w:uiPriority w:val="1"/>
    <w:qFormat/>
    <w:rsid w:val="00B03234"/>
    <w:pPr>
      <w:widowControl w:val="0"/>
      <w:numPr>
        <w:ilvl w:val="4"/>
        <w:numId w:val="22"/>
      </w:numPr>
      <w:spacing w:before="0"/>
      <w:outlineLvl w:val="4"/>
    </w:pPr>
    <w:rPr>
      <w:rFonts w:ascii="Gill Sans MT" w:eastAsiaTheme="majorEastAsia" w:hAnsi="Gill Sans MT" w:cstheme="majorBidi"/>
      <w:color w:val="000000" w:themeColor="text1"/>
      <w:szCs w:val="24"/>
    </w:rPr>
  </w:style>
  <w:style w:type="paragraph" w:styleId="Heading6">
    <w:name w:val="heading 6"/>
    <w:aliases w:val="h6"/>
    <w:basedOn w:val="Normal"/>
    <w:next w:val="Normal"/>
    <w:link w:val="Heading6Char"/>
    <w:qFormat/>
    <w:rsid w:val="00CF7164"/>
    <w:pPr>
      <w:numPr>
        <w:ilvl w:val="5"/>
        <w:numId w:val="22"/>
      </w:numPr>
      <w:spacing w:before="0" w:line="240" w:lineRule="auto"/>
      <w:ind w:left="2410" w:hanging="424"/>
      <w:outlineLvl w:val="5"/>
    </w:pPr>
    <w:rPr>
      <w:rFonts w:eastAsia="Times New Roman" w:cs="Times New Roman"/>
      <w:color w:val="auto"/>
      <w:lang w:eastAsia="es-ES"/>
    </w:rPr>
  </w:style>
  <w:style w:type="paragraph" w:styleId="Heading7">
    <w:name w:val="heading 7"/>
    <w:aliases w:val="Note"/>
    <w:basedOn w:val="Heading6"/>
    <w:next w:val="Normal"/>
    <w:link w:val="Heading7Char"/>
    <w:qFormat/>
    <w:rsid w:val="00971595"/>
    <w:pPr>
      <w:tabs>
        <w:tab w:val="num" w:pos="2268"/>
      </w:tabs>
      <w:ind w:hanging="850"/>
      <w:outlineLvl w:val="6"/>
    </w:pPr>
  </w:style>
  <w:style w:type="paragraph" w:styleId="Heading8">
    <w:name w:val="heading 8"/>
    <w:aliases w:val="Discussion"/>
    <w:basedOn w:val="Normal"/>
    <w:next w:val="Normal"/>
    <w:link w:val="Heading8Char"/>
    <w:qFormat/>
    <w:rsid w:val="00971595"/>
    <w:pPr>
      <w:tabs>
        <w:tab w:val="num" w:pos="2421"/>
      </w:tabs>
      <w:spacing w:before="0"/>
      <w:ind w:left="2126" w:hanging="425"/>
      <w:outlineLvl w:val="7"/>
    </w:pPr>
    <w:rPr>
      <w:rFonts w:ascii="Times New Roman" w:eastAsia="Times New Roman" w:hAnsi="Times New Roman" w:cs="Times New Roman"/>
      <w:color w:val="auto"/>
      <w:szCs w:val="20"/>
      <w:lang w:val="es-AR" w:eastAsia="es-ES"/>
    </w:rPr>
  </w:style>
  <w:style w:type="paragraph" w:styleId="Heading9">
    <w:name w:val="heading 9"/>
    <w:basedOn w:val="Normal"/>
    <w:next w:val="Normal"/>
    <w:link w:val="Heading9Char"/>
    <w:qFormat/>
    <w:rsid w:val="00971595"/>
    <w:pPr>
      <w:tabs>
        <w:tab w:val="num" w:pos="2591"/>
      </w:tabs>
      <w:spacing w:before="0"/>
      <w:ind w:left="2495" w:hanging="624"/>
      <w:outlineLvl w:val="8"/>
    </w:pPr>
    <w:rPr>
      <w:rFonts w:ascii="Times New Roman" w:eastAsia="Times New Roman" w:hAnsi="Times New Roman" w:cs="Times New Roman"/>
      <w:color w:val="auto"/>
      <w:szCs w:val="20"/>
      <w:lang w:val="es-AR"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line Char,ARTICULO 1º Char,h1 Char,FIAS Char"/>
    <w:basedOn w:val="DefaultParagraphFont"/>
    <w:link w:val="Heading1"/>
    <w:uiPriority w:val="1"/>
    <w:rsid w:val="00A40A5D"/>
    <w:rPr>
      <w:rFonts w:ascii="Gill Sans MT" w:eastAsiaTheme="majorEastAsia" w:hAnsi="Gill Sans MT" w:cstheme="majorBidi"/>
      <w:b/>
      <w:bCs/>
      <w:smallCaps/>
      <w:color w:val="C2113A"/>
      <w:sz w:val="28"/>
      <w:szCs w:val="28"/>
    </w:rPr>
  </w:style>
  <w:style w:type="character" w:customStyle="1" w:styleId="Heading2Char">
    <w:name w:val="Heading 2 Char"/>
    <w:aliases w:val="2 headline Char,h Char,h2 Char,Subchapter 1.1 Char,1.1 HEADING 2 Char,2 Char,Major Char"/>
    <w:basedOn w:val="DefaultParagraphFont"/>
    <w:link w:val="Heading2"/>
    <w:uiPriority w:val="1"/>
    <w:rsid w:val="00C173D0"/>
    <w:rPr>
      <w:rFonts w:ascii="Gill Sans MT" w:eastAsiaTheme="majorEastAsia" w:hAnsi="Gill Sans MT" w:cstheme="majorBidi"/>
      <w:b/>
      <w:bCs/>
      <w:smallCaps/>
      <w:sz w:val="24"/>
      <w:szCs w:val="24"/>
      <w:u w:val="single"/>
    </w:rPr>
  </w:style>
  <w:style w:type="character" w:customStyle="1" w:styleId="Heading3Char">
    <w:name w:val="Heading 3 Char"/>
    <w:aliases w:val="No Indent Char,Newshead1 Char,C Heading Char,Half Space Char,h3 Char,3 Char,Minor Char"/>
    <w:basedOn w:val="DefaultParagraphFont"/>
    <w:link w:val="Heading3"/>
    <w:uiPriority w:val="1"/>
    <w:rsid w:val="00C173D0"/>
    <w:rPr>
      <w:rFonts w:ascii="Gill Sans MT" w:eastAsiaTheme="majorEastAsia" w:hAnsi="Gill Sans MT" w:cstheme="majorBidi"/>
      <w:smallCaps/>
      <w:sz w:val="24"/>
      <w:szCs w:val="24"/>
    </w:rPr>
  </w:style>
  <w:style w:type="character" w:customStyle="1" w:styleId="Heading4Char">
    <w:name w:val="Heading 4 Char"/>
    <w:aliases w:val="o Char,Título 4B Char,( i ) Char,4 Char"/>
    <w:basedOn w:val="DefaultParagraphFont"/>
    <w:link w:val="Heading4"/>
    <w:uiPriority w:val="1"/>
    <w:rsid w:val="005B295A"/>
    <w:rPr>
      <w:rFonts w:ascii="Gill Sans MT" w:eastAsiaTheme="majorEastAsia" w:hAnsi="Gill Sans MT" w:cstheme="majorBidi"/>
      <w:bCs/>
      <w:iCs/>
      <w:color w:val="000000" w:themeColor="text1"/>
      <w:szCs w:val="24"/>
    </w:rPr>
  </w:style>
  <w:style w:type="character" w:customStyle="1" w:styleId="Heading5Char">
    <w:name w:val="Heading 5 Char"/>
    <w:aliases w:val="h5 Char,Block Label Char,op Char"/>
    <w:basedOn w:val="DefaultParagraphFont"/>
    <w:link w:val="Heading5"/>
    <w:uiPriority w:val="1"/>
    <w:rsid w:val="00B03234"/>
    <w:rPr>
      <w:rFonts w:ascii="Gill Sans MT" w:eastAsiaTheme="majorEastAsia" w:hAnsi="Gill Sans MT" w:cstheme="majorBidi"/>
      <w:color w:val="000000" w:themeColor="text1"/>
      <w:szCs w:val="24"/>
    </w:rPr>
  </w:style>
  <w:style w:type="paragraph" w:styleId="BodyText">
    <w:name w:val="Body Text"/>
    <w:link w:val="BodyTextChar"/>
    <w:uiPriority w:val="1"/>
    <w:qFormat/>
    <w:rsid w:val="00A22D29"/>
    <w:pPr>
      <w:spacing w:before="0" w:after="140"/>
      <w:ind w:left="1701"/>
    </w:pPr>
    <w:rPr>
      <w:rFonts w:ascii="Gill Sans MT" w:hAnsi="Gill Sans MT"/>
      <w:color w:val="1C1C1C"/>
    </w:rPr>
  </w:style>
  <w:style w:type="character" w:customStyle="1" w:styleId="BodyTextChar">
    <w:name w:val="Body Text Char"/>
    <w:basedOn w:val="DefaultParagraphFont"/>
    <w:link w:val="BodyText"/>
    <w:uiPriority w:val="1"/>
    <w:rsid w:val="00A22D29"/>
    <w:rPr>
      <w:rFonts w:ascii="Gill Sans MT" w:hAnsi="Gill Sans MT"/>
      <w:color w:val="1C1C1C"/>
    </w:rPr>
  </w:style>
  <w:style w:type="paragraph" w:styleId="BodyText2">
    <w:name w:val="Body Text 2"/>
    <w:basedOn w:val="BodyText"/>
    <w:link w:val="BodyText2Char"/>
    <w:uiPriority w:val="3"/>
    <w:rsid w:val="00A83B7B"/>
    <w:pPr>
      <w:spacing w:line="480" w:lineRule="auto"/>
    </w:pPr>
  </w:style>
  <w:style w:type="character" w:customStyle="1" w:styleId="BodyText2Char">
    <w:name w:val="Body Text 2 Char"/>
    <w:basedOn w:val="DefaultParagraphFont"/>
    <w:link w:val="BodyText2"/>
    <w:uiPriority w:val="3"/>
    <w:rsid w:val="006A75AB"/>
  </w:style>
  <w:style w:type="paragraph" w:styleId="BodyText3">
    <w:name w:val="Body Text 3"/>
    <w:basedOn w:val="BodyText"/>
    <w:link w:val="BodyText3Char"/>
    <w:uiPriority w:val="3"/>
    <w:rsid w:val="00A83B7B"/>
    <w:rPr>
      <w:sz w:val="16"/>
      <w:szCs w:val="16"/>
    </w:rPr>
  </w:style>
  <w:style w:type="character" w:customStyle="1" w:styleId="BodyText3Char">
    <w:name w:val="Body Text 3 Char"/>
    <w:basedOn w:val="DefaultParagraphFont"/>
    <w:link w:val="BodyText3"/>
    <w:uiPriority w:val="3"/>
    <w:rsid w:val="006A75AB"/>
    <w:rPr>
      <w:sz w:val="16"/>
      <w:szCs w:val="16"/>
    </w:rPr>
  </w:style>
  <w:style w:type="paragraph" w:styleId="ListBullet">
    <w:name w:val="List Bullet"/>
    <w:basedOn w:val="Normal"/>
    <w:uiPriority w:val="99"/>
    <w:qFormat/>
    <w:rsid w:val="00230CFC"/>
    <w:pPr>
      <w:numPr>
        <w:numId w:val="16"/>
      </w:numPr>
    </w:pPr>
    <w:rPr>
      <w:lang w:val="en-US"/>
    </w:rPr>
  </w:style>
  <w:style w:type="paragraph" w:styleId="ListBullet2">
    <w:name w:val="List Bullet 2"/>
    <w:basedOn w:val="Normal"/>
    <w:uiPriority w:val="99"/>
    <w:qFormat/>
    <w:rsid w:val="00E66FDF"/>
    <w:pPr>
      <w:numPr>
        <w:numId w:val="15"/>
      </w:numPr>
      <w:ind w:left="1134" w:hanging="351"/>
    </w:pPr>
  </w:style>
  <w:style w:type="paragraph" w:styleId="BlockText">
    <w:name w:val="Block Text"/>
    <w:basedOn w:val="Normal"/>
    <w:uiPriority w:val="99"/>
    <w:semiHidden/>
    <w:unhideWhenUsed/>
    <w:rsid w:val="006D0FBA"/>
    <w:pPr>
      <w:pBdr>
        <w:top w:val="single" w:sz="2" w:space="10" w:color="002B7F" w:themeColor="accent1"/>
        <w:left w:val="single" w:sz="2" w:space="10" w:color="002B7F" w:themeColor="accent1"/>
        <w:bottom w:val="single" w:sz="2" w:space="10" w:color="002B7F" w:themeColor="accent1"/>
        <w:right w:val="single" w:sz="2" w:space="10" w:color="002B7F" w:themeColor="accent1"/>
      </w:pBdr>
      <w:ind w:left="1152" w:right="1152"/>
    </w:pPr>
    <w:rPr>
      <w:rFonts w:asciiTheme="minorHAnsi" w:eastAsiaTheme="minorEastAsia" w:hAnsiTheme="minorHAnsi"/>
      <w:i/>
      <w:iCs/>
      <w:color w:val="002B7F" w:themeColor="accent1"/>
    </w:rPr>
  </w:style>
  <w:style w:type="paragraph" w:styleId="ListBullet3">
    <w:name w:val="List Bullet 3"/>
    <w:basedOn w:val="BodyText"/>
    <w:uiPriority w:val="99"/>
    <w:qFormat/>
    <w:rsid w:val="00613BB5"/>
    <w:pPr>
      <w:numPr>
        <w:numId w:val="1"/>
      </w:numPr>
      <w:spacing w:after="60"/>
    </w:pPr>
  </w:style>
  <w:style w:type="paragraph" w:styleId="Header">
    <w:name w:val="header"/>
    <w:basedOn w:val="BodyText"/>
    <w:link w:val="HeaderChar"/>
    <w:uiPriority w:val="99"/>
    <w:rsid w:val="00516FB2"/>
    <w:pPr>
      <w:pBdr>
        <w:bottom w:val="single" w:sz="4" w:space="1" w:color="A6A6A6" w:themeColor="background1" w:themeShade="A6"/>
      </w:pBdr>
      <w:tabs>
        <w:tab w:val="center" w:pos="4252"/>
        <w:tab w:val="right" w:pos="8504"/>
      </w:tabs>
      <w:spacing w:after="60"/>
    </w:pPr>
    <w:rPr>
      <w:color w:val="002B7F" w:themeColor="accent1"/>
      <w:sz w:val="18"/>
    </w:rPr>
  </w:style>
  <w:style w:type="character" w:customStyle="1" w:styleId="HeaderChar">
    <w:name w:val="Header Char"/>
    <w:basedOn w:val="DefaultParagraphFont"/>
    <w:link w:val="Header"/>
    <w:uiPriority w:val="99"/>
    <w:rsid w:val="00516FB2"/>
    <w:rPr>
      <w:color w:val="002B7F" w:themeColor="accent1"/>
      <w:sz w:val="18"/>
    </w:rPr>
  </w:style>
  <w:style w:type="paragraph" w:styleId="Footer">
    <w:name w:val="footer"/>
    <w:basedOn w:val="Header"/>
    <w:link w:val="FooterChar"/>
    <w:uiPriority w:val="99"/>
    <w:rsid w:val="00A063B6"/>
    <w:pPr>
      <w:pBdr>
        <w:top w:val="single" w:sz="4" w:space="1" w:color="A6A6A6" w:themeColor="background1" w:themeShade="A6"/>
        <w:bottom w:val="none" w:sz="0" w:space="0" w:color="auto"/>
      </w:pBdr>
      <w:spacing w:before="60" w:after="0"/>
    </w:pPr>
  </w:style>
  <w:style w:type="character" w:customStyle="1" w:styleId="FooterChar">
    <w:name w:val="Footer Char"/>
    <w:basedOn w:val="DefaultParagraphFont"/>
    <w:link w:val="Footer"/>
    <w:uiPriority w:val="99"/>
    <w:rsid w:val="00A063B6"/>
    <w:rPr>
      <w:sz w:val="18"/>
    </w:rPr>
  </w:style>
  <w:style w:type="paragraph" w:styleId="TOC1">
    <w:name w:val="toc 1"/>
    <w:next w:val="Normal"/>
    <w:uiPriority w:val="39"/>
    <w:rsid w:val="00C173D0"/>
    <w:pPr>
      <w:spacing w:before="0" w:after="200"/>
    </w:pPr>
    <w:rPr>
      <w:rFonts w:ascii="Gill Sans MT" w:hAnsi="Gill Sans MT"/>
      <w:b/>
      <w:smallCaps/>
      <w:color w:val="C2113A"/>
    </w:rPr>
  </w:style>
  <w:style w:type="paragraph" w:styleId="TOC2">
    <w:name w:val="toc 2"/>
    <w:next w:val="Normal"/>
    <w:uiPriority w:val="39"/>
    <w:rsid w:val="00C173D0"/>
    <w:pPr>
      <w:spacing w:after="100"/>
      <w:ind w:left="284"/>
    </w:pPr>
    <w:rPr>
      <w:rFonts w:ascii="Gill Sans MT" w:hAnsi="Gill Sans MT"/>
      <w:b/>
      <w:color w:val="555555" w:themeColor="accent4"/>
      <w:u w:val="single"/>
    </w:rPr>
  </w:style>
  <w:style w:type="paragraph" w:styleId="TOC3">
    <w:name w:val="toc 3"/>
    <w:basedOn w:val="TOC2"/>
    <w:next w:val="Normal"/>
    <w:uiPriority w:val="39"/>
    <w:rsid w:val="00C173D0"/>
    <w:pPr>
      <w:ind w:left="425"/>
    </w:pPr>
    <w:rPr>
      <w:b w:val="0"/>
      <w:u w:val="none"/>
    </w:rPr>
  </w:style>
  <w:style w:type="paragraph" w:styleId="TOC4">
    <w:name w:val="toc 4"/>
    <w:basedOn w:val="TOC3"/>
    <w:next w:val="Normal"/>
    <w:uiPriority w:val="39"/>
    <w:rsid w:val="00F739D7"/>
    <w:pPr>
      <w:ind w:left="567"/>
    </w:pPr>
  </w:style>
  <w:style w:type="paragraph" w:styleId="TOC5">
    <w:name w:val="toc 5"/>
    <w:basedOn w:val="TOC4"/>
    <w:next w:val="Normal"/>
    <w:uiPriority w:val="39"/>
    <w:rsid w:val="00F739D7"/>
    <w:pPr>
      <w:ind w:left="709"/>
    </w:pPr>
    <w:rPr>
      <w:i/>
    </w:rPr>
  </w:style>
  <w:style w:type="paragraph" w:styleId="Index1">
    <w:name w:val="index 1"/>
    <w:basedOn w:val="BodyText"/>
    <w:next w:val="Normal"/>
    <w:uiPriority w:val="99"/>
    <w:qFormat/>
    <w:rsid w:val="008D4974"/>
    <w:pPr>
      <w:spacing w:after="0"/>
      <w:ind w:left="113"/>
    </w:pPr>
  </w:style>
  <w:style w:type="paragraph" w:styleId="Index2">
    <w:name w:val="index 2"/>
    <w:basedOn w:val="Index1"/>
    <w:next w:val="Normal"/>
    <w:uiPriority w:val="99"/>
    <w:rsid w:val="008D4974"/>
    <w:pPr>
      <w:ind w:left="221"/>
    </w:pPr>
  </w:style>
  <w:style w:type="paragraph" w:styleId="Index3">
    <w:name w:val="index 3"/>
    <w:basedOn w:val="Index2"/>
    <w:next w:val="Normal"/>
    <w:uiPriority w:val="99"/>
    <w:qFormat/>
    <w:rsid w:val="008D4974"/>
    <w:pPr>
      <w:ind w:left="442"/>
    </w:pPr>
  </w:style>
  <w:style w:type="paragraph" w:styleId="Index4">
    <w:name w:val="index 4"/>
    <w:basedOn w:val="Index3"/>
    <w:next w:val="Normal"/>
    <w:uiPriority w:val="99"/>
    <w:rsid w:val="008D4974"/>
    <w:pPr>
      <w:ind w:left="658"/>
    </w:pPr>
  </w:style>
  <w:style w:type="paragraph" w:styleId="Index5">
    <w:name w:val="index 5"/>
    <w:basedOn w:val="Index4"/>
    <w:next w:val="Normal"/>
    <w:uiPriority w:val="99"/>
    <w:rsid w:val="008D4974"/>
    <w:pPr>
      <w:ind w:left="879"/>
    </w:pPr>
  </w:style>
  <w:style w:type="paragraph" w:customStyle="1" w:styleId="Figure">
    <w:name w:val="Figure"/>
    <w:uiPriority w:val="2"/>
    <w:qFormat/>
    <w:rsid w:val="005754DD"/>
    <w:pPr>
      <w:spacing w:after="200"/>
      <w:jc w:val="center"/>
    </w:pPr>
    <w:rPr>
      <w:color w:val="002B7F" w:themeColor="accent1"/>
    </w:rPr>
  </w:style>
  <w:style w:type="paragraph" w:styleId="ListNumber">
    <w:name w:val="List Number"/>
    <w:basedOn w:val="Normal"/>
    <w:uiPriority w:val="99"/>
    <w:qFormat/>
    <w:rsid w:val="00AF2D48"/>
    <w:pPr>
      <w:numPr>
        <w:numId w:val="14"/>
      </w:numPr>
      <w:spacing w:before="60" w:after="60"/>
    </w:pPr>
  </w:style>
  <w:style w:type="table" w:styleId="TableGrid">
    <w:name w:val="Table Grid"/>
    <w:uiPriority w:val="59"/>
    <w:rsid w:val="00B653F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styleId="TableTheme">
    <w:name w:val="Table Theme"/>
    <w:basedOn w:val="TableNormal"/>
    <w:uiPriority w:val="99"/>
    <w:semiHidden/>
    <w:unhideWhenUsed/>
    <w:rsid w:val="00B653F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uiPriority w:val="99"/>
    <w:semiHidden/>
    <w:unhideWhenUsed/>
    <w:rsid w:val="00B653F7"/>
    <w:pPr>
      <w:spacing w:before="0"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ableofFigures">
    <w:name w:val="table of figures"/>
    <w:basedOn w:val="Normal"/>
    <w:next w:val="Normal"/>
    <w:uiPriority w:val="99"/>
    <w:unhideWhenUsed/>
    <w:rsid w:val="00B653F7"/>
    <w:pPr>
      <w:spacing w:after="0"/>
    </w:pPr>
  </w:style>
  <w:style w:type="table" w:styleId="TableList1">
    <w:name w:val="Table List 1"/>
    <w:basedOn w:val="TableNormal"/>
    <w:uiPriority w:val="99"/>
    <w:semiHidden/>
    <w:unhideWhenUsed/>
    <w:rsid w:val="00B653F7"/>
    <w:pPr>
      <w:spacing w:before="0"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B653F7"/>
    <w:pPr>
      <w:spacing w:before="0"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Elegant">
    <w:name w:val="Table Elegant"/>
    <w:basedOn w:val="TableNormal"/>
    <w:uiPriority w:val="99"/>
    <w:semiHidden/>
    <w:unhideWhenUsed/>
    <w:rsid w:val="00B653F7"/>
    <w:pPr>
      <w:spacing w:before="0"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uiPriority w:val="99"/>
    <w:semiHidden/>
    <w:unhideWhenUsed/>
    <w:rsid w:val="00B653F7"/>
    <w:pPr>
      <w:spacing w:before="0"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olumns1">
    <w:name w:val="Table Columns 1"/>
    <w:basedOn w:val="TableNormal"/>
    <w:uiPriority w:val="99"/>
    <w:semiHidden/>
    <w:unhideWhenUsed/>
    <w:rsid w:val="00B653F7"/>
    <w:pPr>
      <w:spacing w:before="0"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B653F7"/>
    <w:pPr>
      <w:spacing w:before="0"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B653F7"/>
    <w:pPr>
      <w:spacing w:before="0"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uiPriority w:val="99"/>
    <w:semiHidden/>
    <w:unhideWhenUsed/>
    <w:rsid w:val="00B653F7"/>
    <w:pPr>
      <w:spacing w:before="0"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
    <w:name w:val="List"/>
    <w:basedOn w:val="Normal"/>
    <w:uiPriority w:val="99"/>
    <w:semiHidden/>
    <w:unhideWhenUsed/>
    <w:rsid w:val="00B653F7"/>
    <w:pPr>
      <w:spacing w:before="60" w:after="60"/>
    </w:pPr>
  </w:style>
  <w:style w:type="paragraph" w:styleId="ListNumber2">
    <w:name w:val="List Number 2"/>
    <w:basedOn w:val="ListNumber"/>
    <w:uiPriority w:val="99"/>
    <w:rsid w:val="00AF2D48"/>
    <w:pPr>
      <w:numPr>
        <w:numId w:val="2"/>
      </w:numPr>
      <w:ind w:left="1066" w:hanging="357"/>
    </w:pPr>
  </w:style>
  <w:style w:type="paragraph" w:styleId="ListNumber3">
    <w:name w:val="List Number 3"/>
    <w:basedOn w:val="ListNumber2"/>
    <w:uiPriority w:val="99"/>
    <w:rsid w:val="00AF2D48"/>
    <w:pPr>
      <w:numPr>
        <w:numId w:val="3"/>
      </w:numPr>
      <w:ind w:left="1349" w:hanging="357"/>
    </w:pPr>
  </w:style>
  <w:style w:type="paragraph" w:styleId="ListParagraph">
    <w:name w:val="List Paragraph"/>
    <w:aliases w:val="List Paragraph (numbered (a)),Bullet Styles para,Numbered Para 1,Dot pt,No Spacing1,List Paragraph Char Char Char,Indicator Text,Bullet Points,MAIN CONTENT,List Paragraph12,F5 List Paragraph,OBC Bullet,List Paragraph11,Normal numbered"/>
    <w:basedOn w:val="Normal"/>
    <w:link w:val="ListParagraphChar"/>
    <w:uiPriority w:val="34"/>
    <w:qFormat/>
    <w:rsid w:val="000C3321"/>
    <w:pPr>
      <w:ind w:left="720"/>
      <w:contextualSpacing/>
    </w:pPr>
  </w:style>
  <w:style w:type="character" w:styleId="FootnoteReference">
    <w:name w:val="footnote reference"/>
    <w:aliases w:val="0 PIER Footnote Reference,Ref,de nota al pie,16 Point,Superscript 6 Point,ftref"/>
    <w:basedOn w:val="DefaultParagraphFont"/>
    <w:rsid w:val="00A063B6"/>
    <w:rPr>
      <w:sz w:val="18"/>
      <w:vertAlign w:val="superscript"/>
      <w:lang w:val="en-GB"/>
    </w:rPr>
  </w:style>
  <w:style w:type="paragraph" w:styleId="FootnoteText">
    <w:name w:val="footnote text"/>
    <w:aliases w:val="DTE-Voetnoottekst,DTE-Voetnoottekst Char,Footnote Text1,single space,fn,Fußnotentextf,Footnote Text Char Char,Footnote Text Char1 Char Char,Footnote Text Char Char Char Char,Footnote Text Char1 Char Char Char Char"/>
    <w:basedOn w:val="BodyText"/>
    <w:link w:val="FootnoteTextChar"/>
    <w:qFormat/>
    <w:rsid w:val="00A063B6"/>
    <w:pPr>
      <w:spacing w:after="0"/>
    </w:pPr>
    <w:rPr>
      <w:sz w:val="18"/>
      <w:szCs w:val="20"/>
    </w:rPr>
  </w:style>
  <w:style w:type="character" w:customStyle="1" w:styleId="FootnoteTextChar">
    <w:name w:val="Footnote Text Char"/>
    <w:aliases w:val="DTE-Voetnoottekst Char1,DTE-Voetnoottekst Char Char,Footnote Text1 Char,single space Char,fn Char,Fußnotentextf Char,Footnote Text Char Char Char,Footnote Text Char1 Char Char Char,Footnote Text Char Char Char Char Char"/>
    <w:basedOn w:val="DefaultParagraphFont"/>
    <w:link w:val="FootnoteText"/>
    <w:rsid w:val="00A063B6"/>
    <w:rPr>
      <w:sz w:val="18"/>
      <w:szCs w:val="20"/>
    </w:rPr>
  </w:style>
  <w:style w:type="paragraph" w:styleId="Caption">
    <w:name w:val="caption"/>
    <w:aliases w:val="EX Caption,~Caption,Char1,Tabellen,Exr,Figure Caption,Caption Char1 Char1 Char Char,Caption Char Char2 Char1 Char Char,Caption Char Char Char Char Char1 Char1 Char Char1 Char,Caption Char Char Char Char Char Char Char Char Char Char"/>
    <w:basedOn w:val="BodyText"/>
    <w:next w:val="Normal"/>
    <w:link w:val="CaptionChar"/>
    <w:uiPriority w:val="2"/>
    <w:qFormat/>
    <w:rsid w:val="0005549E"/>
    <w:pPr>
      <w:keepNext/>
      <w:spacing w:after="120"/>
      <w:jc w:val="center"/>
    </w:pPr>
    <w:rPr>
      <w:b/>
      <w:iCs/>
      <w:color w:val="000000" w:themeColor="text1"/>
      <w:sz w:val="24"/>
      <w:szCs w:val="24"/>
    </w:rPr>
  </w:style>
  <w:style w:type="paragraph" w:styleId="NoSpacing">
    <w:name w:val="No Spacing"/>
    <w:link w:val="NoSpacingChar"/>
    <w:uiPriority w:val="1"/>
    <w:unhideWhenUsed/>
    <w:qFormat/>
    <w:rsid w:val="000E78BB"/>
    <w:pPr>
      <w:spacing w:before="0" w:after="0"/>
      <w:jc w:val="left"/>
    </w:pPr>
    <w:rPr>
      <w:rFonts w:asciiTheme="minorHAnsi" w:eastAsiaTheme="minorEastAsia" w:hAnsiTheme="minorHAnsi"/>
      <w:lang w:val="en-US"/>
    </w:rPr>
  </w:style>
  <w:style w:type="character" w:customStyle="1" w:styleId="NoSpacingChar">
    <w:name w:val="No Spacing Char"/>
    <w:basedOn w:val="DefaultParagraphFont"/>
    <w:link w:val="NoSpacing"/>
    <w:uiPriority w:val="1"/>
    <w:rsid w:val="002F4FA1"/>
    <w:rPr>
      <w:rFonts w:asciiTheme="minorHAnsi" w:eastAsiaTheme="minorEastAsia" w:hAnsiTheme="minorHAnsi"/>
      <w:lang w:val="en-US"/>
    </w:rPr>
  </w:style>
  <w:style w:type="character" w:styleId="Emphasis">
    <w:name w:val="Emphasis"/>
    <w:basedOn w:val="DefaultParagraphFont"/>
    <w:uiPriority w:val="20"/>
    <w:qFormat/>
    <w:rsid w:val="006A75AB"/>
    <w:rPr>
      <w:i/>
      <w:iCs/>
    </w:rPr>
  </w:style>
  <w:style w:type="paragraph" w:customStyle="1" w:styleId="Sourcefooter">
    <w:name w:val="Source_footer"/>
    <w:basedOn w:val="BodyText"/>
    <w:next w:val="BodyText"/>
    <w:link w:val="SourcefooterChar"/>
    <w:uiPriority w:val="2"/>
    <w:qFormat/>
    <w:rsid w:val="00A063B6"/>
    <w:pPr>
      <w:keepNext/>
      <w:keepLines/>
    </w:pPr>
    <w:rPr>
      <w:i/>
      <w:sz w:val="18"/>
    </w:rPr>
  </w:style>
  <w:style w:type="table" w:customStyle="1" w:styleId="PlainTable11">
    <w:name w:val="Plain Table 11"/>
    <w:basedOn w:val="TableNormal"/>
    <w:uiPriority w:val="41"/>
    <w:rsid w:val="002F4FA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ourcefooterChar">
    <w:name w:val="Source_footer Char"/>
    <w:basedOn w:val="BodyTextChar"/>
    <w:link w:val="Sourcefooter"/>
    <w:uiPriority w:val="2"/>
    <w:rsid w:val="00A063B6"/>
    <w:rPr>
      <w:rFonts w:ascii="Gill Sans MT" w:hAnsi="Gill Sans MT"/>
      <w:i/>
      <w:color w:val="555555" w:themeColor="accent4"/>
      <w:sz w:val="18"/>
    </w:rPr>
  </w:style>
  <w:style w:type="table" w:customStyle="1" w:styleId="GridTable6Colorful-Accent21">
    <w:name w:val="Grid Table 6 Colorful - Accent 21"/>
    <w:basedOn w:val="TableNormal"/>
    <w:uiPriority w:val="51"/>
    <w:rsid w:val="002F4FA1"/>
    <w:pPr>
      <w:spacing w:after="0"/>
    </w:pPr>
    <w:rPr>
      <w:color w:val="648300" w:themeColor="accent2" w:themeShade="BF"/>
    </w:rPr>
    <w:tblPr>
      <w:tblStyleRowBandSize w:val="1"/>
      <w:tblStyleColBandSize w:val="1"/>
      <w:tblBorders>
        <w:top w:val="single" w:sz="4" w:space="0" w:color="D0FF36" w:themeColor="accent2" w:themeTint="99"/>
        <w:left w:val="single" w:sz="4" w:space="0" w:color="D0FF36" w:themeColor="accent2" w:themeTint="99"/>
        <w:bottom w:val="single" w:sz="4" w:space="0" w:color="D0FF36" w:themeColor="accent2" w:themeTint="99"/>
        <w:right w:val="single" w:sz="4" w:space="0" w:color="D0FF36" w:themeColor="accent2" w:themeTint="99"/>
        <w:insideH w:val="single" w:sz="4" w:space="0" w:color="D0FF36" w:themeColor="accent2" w:themeTint="99"/>
        <w:insideV w:val="single" w:sz="4" w:space="0" w:color="D0FF36" w:themeColor="accent2" w:themeTint="99"/>
      </w:tblBorders>
    </w:tblPr>
    <w:tblStylePr w:type="firstRow">
      <w:rPr>
        <w:b/>
        <w:bCs/>
      </w:rPr>
      <w:tblPr/>
      <w:tcPr>
        <w:tcBorders>
          <w:bottom w:val="single" w:sz="12" w:space="0" w:color="D0FF36" w:themeColor="accent2" w:themeTint="99"/>
        </w:tcBorders>
      </w:tcPr>
    </w:tblStylePr>
    <w:tblStylePr w:type="lastRow">
      <w:rPr>
        <w:b/>
        <w:bCs/>
      </w:rPr>
      <w:tblPr/>
      <w:tcPr>
        <w:tcBorders>
          <w:top w:val="double" w:sz="4" w:space="0" w:color="D0FF36" w:themeColor="accent2" w:themeTint="99"/>
        </w:tcBorders>
      </w:tcPr>
    </w:tblStylePr>
    <w:tblStylePr w:type="firstCol">
      <w:rPr>
        <w:b/>
        <w:bCs/>
      </w:rPr>
    </w:tblStylePr>
    <w:tblStylePr w:type="lastCol">
      <w:rPr>
        <w:b/>
        <w:bCs/>
      </w:rPr>
    </w:tblStylePr>
    <w:tblStylePr w:type="band1Vert">
      <w:tblPr/>
      <w:tcPr>
        <w:shd w:val="clear" w:color="auto" w:fill="EFFFBC" w:themeFill="accent2" w:themeFillTint="33"/>
      </w:tcPr>
    </w:tblStylePr>
    <w:tblStylePr w:type="band1Horz">
      <w:tblPr/>
      <w:tcPr>
        <w:shd w:val="clear" w:color="auto" w:fill="EFFFBC" w:themeFill="accent2" w:themeFillTint="33"/>
      </w:tcPr>
    </w:tblStylePr>
  </w:style>
  <w:style w:type="table" w:customStyle="1" w:styleId="MRCTable">
    <w:name w:val="MRC Table"/>
    <w:basedOn w:val="TableNormal"/>
    <w:uiPriority w:val="99"/>
    <w:rsid w:val="00892B4A"/>
    <w:pPr>
      <w:keepNext/>
      <w:keepLines/>
      <w:spacing w:before="0" w:after="0"/>
      <w:jc w:val="left"/>
    </w:pPr>
    <w:tblPr>
      <w:tblStyleRowBandSize w:val="1"/>
      <w:tblBorders>
        <w:top w:val="single" w:sz="4" w:space="0" w:color="555555" w:themeColor="accent4"/>
        <w:left w:val="single" w:sz="4" w:space="0" w:color="555555" w:themeColor="accent4"/>
        <w:bottom w:val="single" w:sz="4" w:space="0" w:color="555555" w:themeColor="accent4"/>
        <w:right w:val="single" w:sz="4" w:space="0" w:color="555555" w:themeColor="accent4"/>
        <w:insideH w:val="single" w:sz="4" w:space="0" w:color="555555" w:themeColor="accent4"/>
      </w:tblBorders>
      <w:tblCellMar>
        <w:left w:w="57" w:type="dxa"/>
        <w:right w:w="57" w:type="dxa"/>
      </w:tblCellMar>
    </w:tblPr>
    <w:tblStylePr w:type="firstRow">
      <w:pPr>
        <w:keepNext/>
        <w:keepLines/>
        <w:widowControl/>
        <w:wordWrap/>
        <w:spacing w:beforeLines="0" w:beforeAutospacing="0" w:afterLines="0" w:afterAutospacing="0"/>
        <w:jc w:val="center"/>
      </w:pPr>
      <w:rPr>
        <w:b/>
        <w:i w:val="0"/>
      </w:rPr>
      <w:tblPr/>
      <w:tcPr>
        <w:tcBorders>
          <w:top w:val="single" w:sz="4" w:space="0" w:color="555555" w:themeColor="accent4"/>
          <w:left w:val="single" w:sz="4" w:space="0" w:color="555555" w:themeColor="accent4"/>
          <w:bottom w:val="double" w:sz="4" w:space="0" w:color="555555" w:themeColor="accent4"/>
          <w:right w:val="single" w:sz="4" w:space="0" w:color="555555" w:themeColor="accent4"/>
          <w:insideH w:val="nil"/>
          <w:insideV w:val="nil"/>
          <w:tl2br w:val="nil"/>
          <w:tr2bl w:val="nil"/>
        </w:tcBorders>
      </w:tcPr>
    </w:tblStylePr>
    <w:tblStylePr w:type="lastRow">
      <w:pPr>
        <w:wordWrap/>
        <w:jc w:val="center"/>
      </w:pPr>
      <w:rPr>
        <w:b/>
        <w:i w:val="0"/>
      </w:rPr>
      <w:tblPr/>
      <w:tcPr>
        <w:tcBorders>
          <w:top w:val="double" w:sz="4" w:space="0" w:color="555555" w:themeColor="accent4"/>
          <w:left w:val="single" w:sz="4" w:space="0" w:color="555555" w:themeColor="accent4"/>
          <w:bottom w:val="single" w:sz="4" w:space="0" w:color="555555" w:themeColor="accent4"/>
          <w:right w:val="single" w:sz="4" w:space="0" w:color="555555" w:themeColor="accent4"/>
          <w:insideH w:val="nil"/>
          <w:insideV w:val="nil"/>
          <w:tl2br w:val="nil"/>
          <w:tr2bl w:val="nil"/>
        </w:tcBorders>
      </w:tcPr>
    </w:tblStylePr>
    <w:tblStylePr w:type="firstCol">
      <w:pPr>
        <w:wordWrap/>
        <w:jc w:val="left"/>
      </w:pPr>
      <w:rPr>
        <w:b/>
        <w:i w:val="0"/>
      </w:rPr>
    </w:tblStylePr>
    <w:tblStylePr w:type="lastCol">
      <w:rPr>
        <w:b/>
        <w:i w:val="0"/>
      </w:rPr>
    </w:tblStylePr>
    <w:tblStylePr w:type="band1Horz">
      <w:pPr>
        <w:wordWrap/>
        <w:jc w:val="center"/>
      </w:pPr>
      <w:tblPr/>
      <w:tcPr>
        <w:tcBorders>
          <w:top w:val="single" w:sz="4" w:space="0" w:color="555555" w:themeColor="accent4"/>
          <w:left w:val="single" w:sz="4" w:space="0" w:color="555555" w:themeColor="accent4"/>
          <w:bottom w:val="single" w:sz="4" w:space="0" w:color="555555" w:themeColor="accent4"/>
          <w:right w:val="single" w:sz="4" w:space="0" w:color="555555" w:themeColor="accent4"/>
          <w:insideH w:val="nil"/>
          <w:insideV w:val="nil"/>
          <w:tl2br w:val="nil"/>
          <w:tr2bl w:val="nil"/>
        </w:tcBorders>
      </w:tcPr>
    </w:tblStylePr>
    <w:tblStylePr w:type="band2Horz">
      <w:pPr>
        <w:wordWrap/>
        <w:jc w:val="center"/>
      </w:pPr>
      <w:tblPr/>
      <w:tcPr>
        <w:tcBorders>
          <w:top w:val="single" w:sz="4" w:space="0" w:color="555555" w:themeColor="accent4"/>
          <w:left w:val="single" w:sz="4" w:space="0" w:color="555555" w:themeColor="accent4"/>
          <w:bottom w:val="single" w:sz="4" w:space="0" w:color="555555" w:themeColor="accent4"/>
          <w:right w:val="single" w:sz="4" w:space="0" w:color="555555" w:themeColor="accent4"/>
          <w:insideH w:val="nil"/>
          <w:insideV w:val="nil"/>
          <w:tl2br w:val="nil"/>
          <w:tr2bl w:val="nil"/>
        </w:tcBorders>
        <w:shd w:val="solid" w:color="D8D8D8" w:themeColor="background2" w:fill="F2F2F2" w:themeFill="background1" w:themeFillShade="F2"/>
      </w:tcPr>
    </w:tblStylePr>
  </w:style>
  <w:style w:type="table" w:customStyle="1" w:styleId="MRCTable2">
    <w:name w:val="MRC Table 2"/>
    <w:basedOn w:val="MRCTable"/>
    <w:uiPriority w:val="99"/>
    <w:rsid w:val="00892B4A"/>
    <w:tblPr>
      <w:tblBorders>
        <w:top w:val="none" w:sz="0" w:space="0" w:color="auto"/>
        <w:left w:val="none" w:sz="0" w:space="0" w:color="auto"/>
        <w:bottom w:val="none" w:sz="0" w:space="0" w:color="auto"/>
        <w:right w:val="none" w:sz="0" w:space="0" w:color="auto"/>
        <w:insideH w:val="none" w:sz="0" w:space="0" w:color="auto"/>
        <w:insideV w:val="single" w:sz="4" w:space="0" w:color="555555" w:themeColor="accent4"/>
      </w:tblBorders>
    </w:tblPr>
    <w:tblStylePr w:type="firstRow">
      <w:pPr>
        <w:keepNext/>
        <w:keepLines/>
        <w:widowControl/>
        <w:wordWrap/>
        <w:spacing w:beforeLines="0" w:beforeAutospacing="0" w:afterLines="0" w:afterAutospacing="0"/>
        <w:jc w:val="center"/>
      </w:pPr>
      <w:rPr>
        <w:b/>
        <w:i w:val="0"/>
      </w:rPr>
      <w:tblPr/>
      <w:tcPr>
        <w:tcBorders>
          <w:top w:val="single" w:sz="4" w:space="0" w:color="555555" w:themeColor="accent4"/>
          <w:left w:val="single" w:sz="4" w:space="0" w:color="555555" w:themeColor="accent4"/>
          <w:bottom w:val="double" w:sz="4" w:space="0" w:color="555555" w:themeColor="accent4"/>
          <w:right w:val="single" w:sz="4" w:space="0" w:color="555555" w:themeColor="accent4"/>
          <w:insideH w:val="nil"/>
          <w:insideV w:val="single" w:sz="4" w:space="0" w:color="555555" w:themeColor="accent4"/>
          <w:tl2br w:val="nil"/>
          <w:tr2bl w:val="nil"/>
        </w:tcBorders>
      </w:tcPr>
    </w:tblStylePr>
    <w:tblStylePr w:type="lastRow">
      <w:pPr>
        <w:wordWrap/>
        <w:jc w:val="center"/>
      </w:pPr>
      <w:rPr>
        <w:b/>
        <w:i w:val="0"/>
      </w:rPr>
      <w:tblPr/>
      <w:tcPr>
        <w:tcBorders>
          <w:top w:val="double" w:sz="4" w:space="0" w:color="555555" w:themeColor="accent4"/>
          <w:left w:val="single" w:sz="4" w:space="0" w:color="555555" w:themeColor="accent4"/>
          <w:bottom w:val="single" w:sz="4" w:space="0" w:color="555555" w:themeColor="accent4"/>
          <w:right w:val="single" w:sz="4" w:space="0" w:color="555555" w:themeColor="accent4"/>
          <w:insideH w:val="nil"/>
          <w:insideV w:val="single" w:sz="4" w:space="0" w:color="555555" w:themeColor="accent4"/>
          <w:tl2br w:val="nil"/>
          <w:tr2bl w:val="nil"/>
        </w:tcBorders>
      </w:tcPr>
    </w:tblStylePr>
    <w:tblStylePr w:type="firstCol">
      <w:pPr>
        <w:wordWrap/>
        <w:jc w:val="left"/>
      </w:pPr>
      <w:rPr>
        <w:b/>
        <w:i w:val="0"/>
      </w:rPr>
    </w:tblStylePr>
    <w:tblStylePr w:type="lastCol">
      <w:rPr>
        <w:b/>
        <w:i w:val="0"/>
      </w:rPr>
    </w:tblStylePr>
    <w:tblStylePr w:type="band1Horz">
      <w:pPr>
        <w:wordWrap/>
        <w:jc w:val="center"/>
      </w:pPr>
      <w:tblPr/>
      <w:tcPr>
        <w:tcBorders>
          <w:top w:val="single" w:sz="4" w:space="0" w:color="555555" w:themeColor="accent4"/>
          <w:left w:val="single" w:sz="4" w:space="0" w:color="555555" w:themeColor="accent4"/>
          <w:bottom w:val="single" w:sz="4" w:space="0" w:color="555555" w:themeColor="accent4"/>
          <w:right w:val="single" w:sz="4" w:space="0" w:color="555555" w:themeColor="accent4"/>
          <w:insideH w:val="single" w:sz="4" w:space="0" w:color="555555" w:themeColor="accent4"/>
          <w:insideV w:val="single" w:sz="4" w:space="0" w:color="555555" w:themeColor="accent4"/>
          <w:tl2br w:val="nil"/>
          <w:tr2bl w:val="nil"/>
        </w:tcBorders>
      </w:tcPr>
    </w:tblStylePr>
    <w:tblStylePr w:type="band2Horz">
      <w:pPr>
        <w:wordWrap/>
        <w:jc w:val="center"/>
      </w:pPr>
      <w:tblPr/>
      <w:tcPr>
        <w:tcBorders>
          <w:top w:val="single" w:sz="4" w:space="0" w:color="555555" w:themeColor="accent4"/>
          <w:left w:val="single" w:sz="4" w:space="0" w:color="555555" w:themeColor="accent4"/>
          <w:bottom w:val="single" w:sz="4" w:space="0" w:color="555555" w:themeColor="accent4"/>
          <w:right w:val="single" w:sz="4" w:space="0" w:color="555555" w:themeColor="accent4"/>
          <w:insideH w:val="single" w:sz="4" w:space="0" w:color="555555" w:themeColor="accent4"/>
          <w:insideV w:val="single" w:sz="4" w:space="0" w:color="555555" w:themeColor="accent4"/>
          <w:tl2br w:val="nil"/>
          <w:tr2bl w:val="nil"/>
        </w:tcBorders>
        <w:shd w:val="solid" w:color="D8D8D8" w:themeColor="background2" w:fill="F2F2F2" w:themeFill="background1" w:themeFillShade="F2"/>
      </w:tcPr>
    </w:tblStylePr>
  </w:style>
  <w:style w:type="paragraph" w:styleId="Title">
    <w:name w:val="Title"/>
    <w:next w:val="Normal"/>
    <w:link w:val="TitleChar"/>
    <w:qFormat/>
    <w:rsid w:val="009E17EE"/>
    <w:pPr>
      <w:spacing w:before="0" w:after="0"/>
      <w:contextualSpacing/>
    </w:pPr>
    <w:rPr>
      <w:rFonts w:asciiTheme="majorHAnsi" w:eastAsiaTheme="majorEastAsia" w:hAnsiTheme="majorHAnsi" w:cstheme="majorBidi"/>
      <w:color w:val="002B7F" w:themeColor="accent1"/>
      <w:spacing w:val="-10"/>
      <w:kern w:val="28"/>
      <w:sz w:val="56"/>
      <w:szCs w:val="56"/>
    </w:rPr>
  </w:style>
  <w:style w:type="character" w:customStyle="1" w:styleId="TitleChar">
    <w:name w:val="Title Char"/>
    <w:basedOn w:val="DefaultParagraphFont"/>
    <w:link w:val="Title"/>
    <w:rsid w:val="009E17EE"/>
    <w:rPr>
      <w:rFonts w:asciiTheme="majorHAnsi" w:eastAsiaTheme="majorEastAsia" w:hAnsiTheme="majorHAnsi" w:cstheme="majorBidi"/>
      <w:color w:val="002B7F" w:themeColor="accent1"/>
      <w:spacing w:val="-10"/>
      <w:kern w:val="28"/>
      <w:sz w:val="56"/>
      <w:szCs w:val="56"/>
    </w:rPr>
  </w:style>
  <w:style w:type="character" w:styleId="Hyperlink">
    <w:name w:val="Hyperlink"/>
    <w:basedOn w:val="DefaultParagraphFont"/>
    <w:uiPriority w:val="99"/>
    <w:unhideWhenUsed/>
    <w:rsid w:val="00F739D7"/>
    <w:rPr>
      <w:color w:val="0563C1" w:themeColor="hyperlink"/>
      <w:u w:val="single"/>
    </w:rPr>
  </w:style>
  <w:style w:type="paragraph" w:styleId="BalloonText">
    <w:name w:val="Balloon Text"/>
    <w:basedOn w:val="Normal"/>
    <w:link w:val="BalloonTextChar"/>
    <w:uiPriority w:val="99"/>
    <w:semiHidden/>
    <w:unhideWhenUsed/>
    <w:rsid w:val="00AF061A"/>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61A"/>
    <w:rPr>
      <w:rFonts w:ascii="Segoe UI" w:hAnsi="Segoe UI" w:cs="Segoe UI"/>
      <w:color w:val="555555" w:themeColor="accent4"/>
      <w:sz w:val="18"/>
      <w:szCs w:val="18"/>
    </w:rPr>
  </w:style>
  <w:style w:type="character" w:customStyle="1" w:styleId="ListParagraphChar">
    <w:name w:val="List Paragraph Char"/>
    <w:aliases w:val="List Paragraph (numbered (a)) Char,Bullet Styles para Char,Numbered Para 1 Char,Dot pt Char,No Spacing1 Char,List Paragraph Char Char Char Char,Indicator Text Char,Bullet Points Char,MAIN CONTENT Char,List Paragraph12 Char"/>
    <w:basedOn w:val="DefaultParagraphFont"/>
    <w:link w:val="ListParagraph"/>
    <w:uiPriority w:val="34"/>
    <w:rsid w:val="00AE5E68"/>
    <w:rPr>
      <w:color w:val="1C1C1C"/>
    </w:rPr>
  </w:style>
  <w:style w:type="paragraph" w:customStyle="1" w:styleId="Default">
    <w:name w:val="Default"/>
    <w:rsid w:val="00B976B8"/>
    <w:pPr>
      <w:autoSpaceDE w:val="0"/>
      <w:autoSpaceDN w:val="0"/>
      <w:adjustRightInd w:val="0"/>
      <w:spacing w:before="0" w:after="0"/>
      <w:jc w:val="left"/>
    </w:pPr>
    <w:rPr>
      <w:rFonts w:cs="Calibri"/>
      <w:color w:val="000000"/>
      <w:sz w:val="24"/>
      <w:szCs w:val="24"/>
      <w:lang w:val="en-US"/>
    </w:rPr>
  </w:style>
  <w:style w:type="paragraph" w:customStyle="1" w:styleId="Indent2">
    <w:name w:val="Indent 2"/>
    <w:basedOn w:val="Normal"/>
    <w:autoRedefine/>
    <w:qFormat/>
    <w:rsid w:val="002D4C44"/>
    <w:pPr>
      <w:numPr>
        <w:numId w:val="5"/>
      </w:numPr>
      <w:spacing w:before="0"/>
      <w:jc w:val="left"/>
    </w:pPr>
    <w:rPr>
      <w:rFonts w:ascii="Times New Roman" w:eastAsia="Times New Roman" w:hAnsi="Times New Roman" w:cs="Times New Roman"/>
      <w:color w:val="auto"/>
      <w:sz w:val="24"/>
      <w:szCs w:val="24"/>
      <w:lang w:val="en-US"/>
    </w:rPr>
  </w:style>
  <w:style w:type="numbering" w:customStyle="1" w:styleId="HeadingsBea">
    <w:name w:val="HeadingsBea"/>
    <w:uiPriority w:val="99"/>
    <w:rsid w:val="002D4C44"/>
    <w:pPr>
      <w:numPr>
        <w:numId w:val="4"/>
      </w:numPr>
    </w:pPr>
  </w:style>
  <w:style w:type="paragraph" w:customStyle="1" w:styleId="Recomend">
    <w:name w:val="Recomend"/>
    <w:basedOn w:val="Normal"/>
    <w:qFormat/>
    <w:rsid w:val="00C44D6A"/>
    <w:pPr>
      <w:pBdr>
        <w:top w:val="single" w:sz="8" w:space="1" w:color="auto" w:shadow="1"/>
        <w:left w:val="single" w:sz="8" w:space="4" w:color="auto" w:shadow="1"/>
        <w:bottom w:val="single" w:sz="8" w:space="1" w:color="auto" w:shadow="1"/>
        <w:right w:val="single" w:sz="8" w:space="4" w:color="auto" w:shadow="1"/>
      </w:pBdr>
      <w:spacing w:line="240" w:lineRule="auto"/>
      <w:ind w:left="720"/>
      <w:jc w:val="left"/>
    </w:pPr>
    <w:rPr>
      <w:rFonts w:asciiTheme="minorHAnsi" w:eastAsia="Times New Roman" w:hAnsiTheme="minorHAnsi" w:cs="Times New Roman"/>
      <w:i/>
      <w:color w:val="auto"/>
      <w:szCs w:val="24"/>
      <w:lang w:val="en-US" w:eastAsia="es-ES"/>
    </w:rPr>
  </w:style>
  <w:style w:type="character" w:styleId="CommentReference">
    <w:name w:val="annotation reference"/>
    <w:basedOn w:val="DefaultParagraphFont"/>
    <w:uiPriority w:val="99"/>
    <w:semiHidden/>
    <w:unhideWhenUsed/>
    <w:rsid w:val="000304EA"/>
    <w:rPr>
      <w:sz w:val="16"/>
      <w:szCs w:val="16"/>
    </w:rPr>
  </w:style>
  <w:style w:type="paragraph" w:styleId="CommentText">
    <w:name w:val="annotation text"/>
    <w:basedOn w:val="Normal"/>
    <w:link w:val="CommentTextChar"/>
    <w:uiPriority w:val="99"/>
    <w:unhideWhenUsed/>
    <w:rsid w:val="000304EA"/>
    <w:rPr>
      <w:sz w:val="20"/>
      <w:szCs w:val="20"/>
    </w:rPr>
  </w:style>
  <w:style w:type="character" w:customStyle="1" w:styleId="CommentTextChar">
    <w:name w:val="Comment Text Char"/>
    <w:basedOn w:val="DefaultParagraphFont"/>
    <w:link w:val="CommentText"/>
    <w:uiPriority w:val="99"/>
    <w:rsid w:val="000304EA"/>
    <w:rPr>
      <w:color w:val="1C1C1C"/>
      <w:sz w:val="20"/>
      <w:szCs w:val="20"/>
    </w:rPr>
  </w:style>
  <w:style w:type="paragraph" w:styleId="CommentSubject">
    <w:name w:val="annotation subject"/>
    <w:basedOn w:val="CommentText"/>
    <w:next w:val="CommentText"/>
    <w:link w:val="CommentSubjectChar"/>
    <w:uiPriority w:val="99"/>
    <w:semiHidden/>
    <w:unhideWhenUsed/>
    <w:rsid w:val="000304EA"/>
    <w:rPr>
      <w:b/>
      <w:bCs/>
    </w:rPr>
  </w:style>
  <w:style w:type="character" w:customStyle="1" w:styleId="CommentSubjectChar">
    <w:name w:val="Comment Subject Char"/>
    <w:basedOn w:val="CommentTextChar"/>
    <w:link w:val="CommentSubject"/>
    <w:uiPriority w:val="99"/>
    <w:semiHidden/>
    <w:rsid w:val="000304EA"/>
    <w:rPr>
      <w:b/>
      <w:bCs/>
      <w:color w:val="1C1C1C"/>
      <w:sz w:val="20"/>
      <w:szCs w:val="20"/>
    </w:rPr>
  </w:style>
  <w:style w:type="paragraph" w:styleId="Revision">
    <w:name w:val="Revision"/>
    <w:hidden/>
    <w:uiPriority w:val="99"/>
    <w:semiHidden/>
    <w:rsid w:val="00324A03"/>
    <w:pPr>
      <w:spacing w:before="0" w:after="0"/>
      <w:jc w:val="left"/>
    </w:pPr>
    <w:rPr>
      <w:color w:val="1C1C1C"/>
    </w:rPr>
  </w:style>
  <w:style w:type="character" w:customStyle="1" w:styleId="Heading6Char">
    <w:name w:val="Heading 6 Char"/>
    <w:aliases w:val="h6 Char"/>
    <w:basedOn w:val="DefaultParagraphFont"/>
    <w:link w:val="Heading6"/>
    <w:rsid w:val="00CF7164"/>
    <w:rPr>
      <w:rFonts w:ascii="Gill Sans MT" w:eastAsia="Times New Roman" w:hAnsi="Gill Sans MT" w:cs="Times New Roman"/>
      <w:lang w:eastAsia="es-ES"/>
    </w:rPr>
  </w:style>
  <w:style w:type="character" w:customStyle="1" w:styleId="Heading7Char">
    <w:name w:val="Heading 7 Char"/>
    <w:aliases w:val="Note Char"/>
    <w:basedOn w:val="DefaultParagraphFont"/>
    <w:link w:val="Heading7"/>
    <w:rsid w:val="00971595"/>
    <w:rPr>
      <w:rFonts w:ascii="Gill Sans MT" w:eastAsia="Times New Roman" w:hAnsi="Gill Sans MT" w:cs="Times New Roman"/>
      <w:lang w:eastAsia="es-ES"/>
    </w:rPr>
  </w:style>
  <w:style w:type="character" w:customStyle="1" w:styleId="Heading8Char">
    <w:name w:val="Heading 8 Char"/>
    <w:aliases w:val="Discussion Char"/>
    <w:basedOn w:val="DefaultParagraphFont"/>
    <w:link w:val="Heading8"/>
    <w:rsid w:val="00971595"/>
    <w:rPr>
      <w:rFonts w:ascii="Times New Roman" w:eastAsia="Times New Roman" w:hAnsi="Times New Roman" w:cs="Times New Roman"/>
      <w:szCs w:val="20"/>
      <w:lang w:val="es-AR" w:eastAsia="es-ES"/>
    </w:rPr>
  </w:style>
  <w:style w:type="character" w:customStyle="1" w:styleId="Heading9Char">
    <w:name w:val="Heading 9 Char"/>
    <w:basedOn w:val="DefaultParagraphFont"/>
    <w:link w:val="Heading9"/>
    <w:rsid w:val="00971595"/>
    <w:rPr>
      <w:rFonts w:ascii="Times New Roman" w:eastAsia="Times New Roman" w:hAnsi="Times New Roman" w:cs="Times New Roman"/>
      <w:szCs w:val="20"/>
      <w:lang w:val="es-AR" w:eastAsia="es-ES"/>
    </w:rPr>
  </w:style>
  <w:style w:type="paragraph" w:customStyle="1" w:styleId="Heading21">
    <w:name w:val="Heading 21"/>
    <w:next w:val="Normal"/>
    <w:qFormat/>
    <w:rsid w:val="009B0C96"/>
    <w:pPr>
      <w:keepNext/>
      <w:numPr>
        <w:ilvl w:val="1"/>
        <w:numId w:val="6"/>
      </w:numPr>
      <w:spacing w:before="240"/>
      <w:jc w:val="left"/>
      <w:outlineLvl w:val="1"/>
    </w:pPr>
    <w:rPr>
      <w:rFonts w:ascii="Times New Roman" w:eastAsia="ヒラギノ角ゴ Pro W3" w:hAnsi="Times New Roman" w:cs="Times New Roman"/>
      <w:b/>
      <w:color w:val="000000"/>
      <w:sz w:val="24"/>
      <w:szCs w:val="20"/>
      <w:lang w:val="en-US"/>
    </w:rPr>
  </w:style>
  <w:style w:type="paragraph" w:customStyle="1" w:styleId="Heading31">
    <w:name w:val="Heading 31"/>
    <w:next w:val="Normal"/>
    <w:autoRedefine/>
    <w:qFormat/>
    <w:rsid w:val="00971595"/>
    <w:pPr>
      <w:keepNext/>
      <w:numPr>
        <w:ilvl w:val="2"/>
        <w:numId w:val="6"/>
      </w:numPr>
      <w:jc w:val="left"/>
      <w:outlineLvl w:val="2"/>
    </w:pPr>
    <w:rPr>
      <w:rFonts w:ascii="Times New Roman" w:eastAsia="ヒラギノ角ゴ Pro W3" w:hAnsi="Times New Roman" w:cs="Times New Roman"/>
      <w:b/>
      <w:i/>
      <w:color w:val="000000"/>
      <w:sz w:val="24"/>
      <w:szCs w:val="20"/>
      <w:lang w:val="en-US"/>
    </w:rPr>
  </w:style>
  <w:style w:type="paragraph" w:customStyle="1" w:styleId="NormalSp">
    <w:name w:val="Normal Sp"/>
    <w:basedOn w:val="Normal"/>
    <w:qFormat/>
    <w:rsid w:val="00971595"/>
    <w:rPr>
      <w:lang w:val="es-ES_tradnl" w:eastAsia="es-ES"/>
    </w:rPr>
  </w:style>
  <w:style w:type="paragraph" w:styleId="Subtitle">
    <w:name w:val="Subtitle"/>
    <w:basedOn w:val="Normal"/>
    <w:next w:val="Normal"/>
    <w:link w:val="SubtitleChar"/>
    <w:uiPriority w:val="11"/>
    <w:qFormat/>
    <w:rsid w:val="00971595"/>
    <w:pPr>
      <w:keepNext/>
      <w:widowControl w:val="0"/>
      <w:numPr>
        <w:ilvl w:val="1"/>
      </w:numPr>
    </w:pPr>
    <w:rPr>
      <w:rFonts w:eastAsiaTheme="majorEastAsia" w:cstheme="majorBidi"/>
      <w:b/>
      <w:bCs/>
      <w:spacing w:val="15"/>
      <w:lang w:eastAsia="ja-JP"/>
    </w:rPr>
  </w:style>
  <w:style w:type="character" w:customStyle="1" w:styleId="SubtitleChar">
    <w:name w:val="Subtitle Char"/>
    <w:basedOn w:val="DefaultParagraphFont"/>
    <w:link w:val="Subtitle"/>
    <w:uiPriority w:val="11"/>
    <w:rsid w:val="00971595"/>
    <w:rPr>
      <w:rFonts w:eastAsiaTheme="majorEastAsia" w:cstheme="majorBidi"/>
      <w:b/>
      <w:bCs/>
      <w:color w:val="1C1C1C"/>
      <w:spacing w:val="15"/>
      <w:lang w:eastAsia="ja-JP"/>
    </w:rPr>
  </w:style>
  <w:style w:type="paragraph" w:customStyle="1" w:styleId="Ind1Sp">
    <w:name w:val="Ind 1 Sp"/>
    <w:basedOn w:val="Index1"/>
    <w:qFormat/>
    <w:rsid w:val="00113BD5"/>
    <w:pPr>
      <w:numPr>
        <w:numId w:val="8"/>
      </w:numPr>
      <w:spacing w:before="120" w:after="120" w:line="276" w:lineRule="auto"/>
    </w:pPr>
    <w:rPr>
      <w:lang w:val="es-ES_tradnl"/>
    </w:rPr>
  </w:style>
  <w:style w:type="paragraph" w:customStyle="1" w:styleId="NormalPDF">
    <w:name w:val="Normal PDF"/>
    <w:basedOn w:val="Normal"/>
    <w:autoRedefine/>
    <w:qFormat/>
    <w:rsid w:val="00971595"/>
    <w:pPr>
      <w:widowControl w:val="0"/>
      <w:ind w:left="62"/>
    </w:pPr>
    <w:rPr>
      <w:rFonts w:ascii="Sylfaen" w:eastAsiaTheme="minorEastAsia" w:hAnsi="Sylfaen" w:cs="Sylfaen"/>
      <w:color w:val="000000"/>
      <w:w w:val="91"/>
      <w:kern w:val="2"/>
      <w:lang w:eastAsia="zh-CN"/>
    </w:rPr>
  </w:style>
  <w:style w:type="paragraph" w:customStyle="1" w:styleId="CommentBox">
    <w:name w:val="Comment Box"/>
    <w:basedOn w:val="Normal"/>
    <w:next w:val="Normal"/>
    <w:link w:val="CommentBoxChar"/>
    <w:qFormat/>
    <w:rsid w:val="00971595"/>
    <w:pPr>
      <w:widowControl w:val="0"/>
      <w:pBdr>
        <w:top w:val="single" w:sz="4" w:space="1" w:color="auto"/>
        <w:left w:val="single" w:sz="4" w:space="4" w:color="auto"/>
        <w:bottom w:val="single" w:sz="4" w:space="1" w:color="auto"/>
        <w:right w:val="single" w:sz="4" w:space="4" w:color="auto"/>
      </w:pBdr>
      <w:shd w:val="clear" w:color="auto" w:fill="FFFF99"/>
      <w:ind w:left="340"/>
    </w:pPr>
    <w:rPr>
      <w:rFonts w:eastAsiaTheme="minorEastAsia"/>
      <w:i/>
      <w:iCs/>
      <w:kern w:val="2"/>
      <w:lang w:eastAsia="zh-CN"/>
    </w:rPr>
  </w:style>
  <w:style w:type="character" w:customStyle="1" w:styleId="CommentBoxChar">
    <w:name w:val="Comment Box Char"/>
    <w:basedOn w:val="DefaultParagraphFont"/>
    <w:link w:val="CommentBox"/>
    <w:rsid w:val="00971595"/>
    <w:rPr>
      <w:rFonts w:eastAsiaTheme="minorEastAsia"/>
      <w:i/>
      <w:iCs/>
      <w:color w:val="1C1C1C"/>
      <w:kern w:val="2"/>
      <w:shd w:val="clear" w:color="auto" w:fill="FFFF99"/>
      <w:lang w:eastAsia="zh-CN"/>
    </w:rPr>
  </w:style>
  <w:style w:type="paragraph" w:customStyle="1" w:styleId="Cuadro">
    <w:name w:val="Cuadro"/>
    <w:basedOn w:val="Quote"/>
    <w:next w:val="NormalSp"/>
    <w:qFormat/>
    <w:rsid w:val="009B0C96"/>
    <w:pPr>
      <w:keepLines/>
      <w:pBdr>
        <w:top w:val="single" w:sz="18" w:space="1" w:color="auto"/>
        <w:left w:val="single" w:sz="18" w:space="4" w:color="auto"/>
        <w:bottom w:val="single" w:sz="18" w:space="1" w:color="auto"/>
        <w:right w:val="single" w:sz="18" w:space="4" w:color="auto"/>
      </w:pBdr>
      <w:spacing w:before="360" w:after="360"/>
      <w:ind w:left="720"/>
    </w:pPr>
  </w:style>
  <w:style w:type="paragraph" w:styleId="Quote">
    <w:name w:val="Quote"/>
    <w:basedOn w:val="Normal"/>
    <w:next w:val="Normal"/>
    <w:link w:val="QuoteChar"/>
    <w:uiPriority w:val="29"/>
    <w:qFormat/>
    <w:rsid w:val="00971595"/>
    <w:rPr>
      <w:i/>
      <w:iCs/>
      <w:color w:val="000000" w:themeColor="text1"/>
    </w:rPr>
  </w:style>
  <w:style w:type="character" w:customStyle="1" w:styleId="QuoteChar">
    <w:name w:val="Quote Char"/>
    <w:basedOn w:val="DefaultParagraphFont"/>
    <w:link w:val="Quote"/>
    <w:uiPriority w:val="29"/>
    <w:rsid w:val="00971595"/>
    <w:rPr>
      <w:i/>
      <w:iCs/>
      <w:color w:val="000000" w:themeColor="text1"/>
    </w:rPr>
  </w:style>
  <w:style w:type="numbering" w:styleId="111111">
    <w:name w:val="Outline List 2"/>
    <w:aliases w:val="Head 1 / 1.1 / 1.1.1"/>
    <w:basedOn w:val="NoList"/>
    <w:semiHidden/>
    <w:unhideWhenUsed/>
    <w:rsid w:val="00971595"/>
    <w:pPr>
      <w:numPr>
        <w:numId w:val="7"/>
      </w:numPr>
    </w:pPr>
  </w:style>
  <w:style w:type="paragraph" w:customStyle="1" w:styleId="Ind2Sp">
    <w:name w:val="Ind 2 Sp"/>
    <w:basedOn w:val="Ind1Sp"/>
    <w:next w:val="Ind1Sp"/>
    <w:qFormat/>
    <w:rsid w:val="00113BD5"/>
    <w:pPr>
      <w:numPr>
        <w:numId w:val="10"/>
      </w:numPr>
    </w:pPr>
    <w:rPr>
      <w:rFonts w:eastAsiaTheme="minorEastAsia" w:cs="Arial"/>
      <w:lang w:eastAsia="ja-JP"/>
    </w:rPr>
  </w:style>
  <w:style w:type="paragraph" w:customStyle="1" w:styleId="Modulo">
    <w:name w:val="Modulo"/>
    <w:basedOn w:val="NormalSp"/>
    <w:next w:val="NormalSp"/>
    <w:rsid w:val="00971595"/>
    <w:pPr>
      <w:numPr>
        <w:numId w:val="9"/>
      </w:numPr>
    </w:pPr>
  </w:style>
  <w:style w:type="paragraph" w:customStyle="1" w:styleId="Listavietas2">
    <w:name w:val="Lista viñetas 2"/>
    <w:basedOn w:val="Normal"/>
    <w:rsid w:val="00971595"/>
    <w:pPr>
      <w:numPr>
        <w:numId w:val="11"/>
      </w:numPr>
      <w:spacing w:before="0" w:after="240"/>
    </w:pPr>
    <w:rPr>
      <w:rFonts w:ascii="Times New Roman" w:eastAsia="Times New Roman" w:hAnsi="Times New Roman" w:cs="Times New Roman"/>
      <w:color w:val="auto"/>
      <w:sz w:val="24"/>
      <w:szCs w:val="20"/>
      <w:lang w:val="en-US" w:eastAsia="es-ES"/>
    </w:rPr>
  </w:style>
  <w:style w:type="paragraph" w:customStyle="1" w:styleId="Listaletra1">
    <w:name w:val="Lista letra 1"/>
    <w:basedOn w:val="Normal"/>
    <w:rsid w:val="00971595"/>
    <w:pPr>
      <w:numPr>
        <w:numId w:val="12"/>
      </w:numPr>
      <w:spacing w:before="0" w:after="240"/>
    </w:pPr>
    <w:rPr>
      <w:rFonts w:ascii="Times New Roman" w:eastAsia="Times New Roman" w:hAnsi="Times New Roman" w:cs="Times New Roman"/>
      <w:color w:val="auto"/>
      <w:sz w:val="24"/>
      <w:szCs w:val="20"/>
      <w:lang w:val="en-US" w:eastAsia="es-ES"/>
    </w:rPr>
  </w:style>
  <w:style w:type="paragraph" w:customStyle="1" w:styleId="Resalt">
    <w:name w:val="Resalt"/>
    <w:basedOn w:val="Normal"/>
    <w:next w:val="Normal"/>
    <w:rsid w:val="00971595"/>
    <w:pPr>
      <w:spacing w:before="0" w:after="240"/>
      <w:ind w:left="284" w:right="567"/>
    </w:pPr>
    <w:rPr>
      <w:rFonts w:ascii="Times New Roman" w:eastAsia="Times New Roman" w:hAnsi="Times New Roman" w:cs="Times New Roman"/>
      <w:b/>
      <w:i/>
      <w:color w:val="auto"/>
      <w:sz w:val="24"/>
      <w:szCs w:val="20"/>
      <w:lang w:eastAsia="es-ES"/>
    </w:rPr>
  </w:style>
  <w:style w:type="paragraph" w:customStyle="1" w:styleId="TitleCPPAreports">
    <w:name w:val="Title CPPA reports"/>
    <w:basedOn w:val="Title"/>
    <w:link w:val="TitleCPPAreportsChar"/>
    <w:qFormat/>
    <w:rsid w:val="00253F32"/>
    <w:pPr>
      <w:spacing w:line="276" w:lineRule="auto"/>
    </w:pPr>
  </w:style>
  <w:style w:type="numbering" w:customStyle="1" w:styleId="Style1">
    <w:name w:val="Style1"/>
    <w:uiPriority w:val="99"/>
    <w:rsid w:val="00551E1B"/>
    <w:pPr>
      <w:numPr>
        <w:numId w:val="13"/>
      </w:numPr>
    </w:pPr>
  </w:style>
  <w:style w:type="character" w:customStyle="1" w:styleId="TitleCPPAreportsChar">
    <w:name w:val="Title CPPA reports Char"/>
    <w:basedOn w:val="TitleChar"/>
    <w:link w:val="TitleCPPAreports"/>
    <w:rsid w:val="00551E1B"/>
    <w:rPr>
      <w:rFonts w:asciiTheme="majorHAnsi" w:eastAsiaTheme="majorEastAsia" w:hAnsiTheme="majorHAnsi" w:cstheme="majorBidi"/>
      <w:color w:val="002B7F" w:themeColor="accent1"/>
      <w:spacing w:val="-10"/>
      <w:kern w:val="28"/>
      <w:sz w:val="56"/>
      <w:szCs w:val="56"/>
    </w:rPr>
  </w:style>
  <w:style w:type="paragraph" w:styleId="EndnoteText">
    <w:name w:val="endnote text"/>
    <w:basedOn w:val="Normal"/>
    <w:link w:val="EndnoteTextChar"/>
    <w:uiPriority w:val="99"/>
    <w:unhideWhenUsed/>
    <w:rsid w:val="00297B99"/>
    <w:pPr>
      <w:spacing w:before="0" w:after="0"/>
    </w:pPr>
    <w:rPr>
      <w:sz w:val="24"/>
      <w:szCs w:val="24"/>
    </w:rPr>
  </w:style>
  <w:style w:type="character" w:customStyle="1" w:styleId="EndnoteTextChar">
    <w:name w:val="Endnote Text Char"/>
    <w:basedOn w:val="DefaultParagraphFont"/>
    <w:link w:val="EndnoteText"/>
    <w:uiPriority w:val="99"/>
    <w:rsid w:val="00297B99"/>
    <w:rPr>
      <w:color w:val="1C1C1C"/>
      <w:sz w:val="24"/>
      <w:szCs w:val="24"/>
    </w:rPr>
  </w:style>
  <w:style w:type="character" w:styleId="EndnoteReference">
    <w:name w:val="endnote reference"/>
    <w:basedOn w:val="DefaultParagraphFont"/>
    <w:uiPriority w:val="99"/>
    <w:unhideWhenUsed/>
    <w:rsid w:val="00297B99"/>
    <w:rPr>
      <w:vertAlign w:val="superscript"/>
    </w:rPr>
  </w:style>
  <w:style w:type="paragraph" w:styleId="DocumentMap">
    <w:name w:val="Document Map"/>
    <w:basedOn w:val="Normal"/>
    <w:link w:val="DocumentMapChar"/>
    <w:uiPriority w:val="99"/>
    <w:semiHidden/>
    <w:unhideWhenUsed/>
    <w:rsid w:val="00111869"/>
    <w:pPr>
      <w:spacing w:before="0"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11869"/>
    <w:rPr>
      <w:rFonts w:ascii="Times New Roman" w:hAnsi="Times New Roman" w:cs="Times New Roman"/>
      <w:color w:val="1C1C1C"/>
      <w:sz w:val="24"/>
      <w:szCs w:val="24"/>
    </w:rPr>
  </w:style>
  <w:style w:type="paragraph" w:styleId="TOC6">
    <w:name w:val="toc 6"/>
    <w:basedOn w:val="Normal"/>
    <w:next w:val="Normal"/>
    <w:autoRedefine/>
    <w:uiPriority w:val="39"/>
    <w:unhideWhenUsed/>
    <w:rsid w:val="00745B58"/>
    <w:pPr>
      <w:spacing w:before="0" w:after="100" w:line="259" w:lineRule="auto"/>
      <w:ind w:left="1100"/>
      <w:jc w:val="left"/>
    </w:pPr>
    <w:rPr>
      <w:rFonts w:asciiTheme="minorHAnsi" w:eastAsiaTheme="minorEastAsia" w:hAnsiTheme="minorHAnsi"/>
      <w:color w:val="auto"/>
      <w:lang w:val="en-IN" w:eastAsia="en-IN"/>
    </w:rPr>
  </w:style>
  <w:style w:type="paragraph" w:styleId="TOC7">
    <w:name w:val="toc 7"/>
    <w:basedOn w:val="Normal"/>
    <w:next w:val="Normal"/>
    <w:autoRedefine/>
    <w:uiPriority w:val="39"/>
    <w:unhideWhenUsed/>
    <w:rsid w:val="00745B58"/>
    <w:pPr>
      <w:spacing w:before="0" w:after="100" w:line="259" w:lineRule="auto"/>
      <w:ind w:left="1320"/>
      <w:jc w:val="left"/>
    </w:pPr>
    <w:rPr>
      <w:rFonts w:asciiTheme="minorHAnsi" w:eastAsiaTheme="minorEastAsia" w:hAnsiTheme="minorHAnsi"/>
      <w:color w:val="auto"/>
      <w:lang w:val="en-IN" w:eastAsia="en-IN"/>
    </w:rPr>
  </w:style>
  <w:style w:type="paragraph" w:styleId="TOC8">
    <w:name w:val="toc 8"/>
    <w:basedOn w:val="Normal"/>
    <w:next w:val="Normal"/>
    <w:autoRedefine/>
    <w:uiPriority w:val="39"/>
    <w:unhideWhenUsed/>
    <w:rsid w:val="00745B58"/>
    <w:pPr>
      <w:spacing w:before="0" w:after="100" w:line="259" w:lineRule="auto"/>
      <w:ind w:left="1540"/>
      <w:jc w:val="left"/>
    </w:pPr>
    <w:rPr>
      <w:rFonts w:asciiTheme="minorHAnsi" w:eastAsiaTheme="minorEastAsia" w:hAnsiTheme="minorHAnsi"/>
      <w:color w:val="auto"/>
      <w:lang w:val="en-IN" w:eastAsia="en-IN"/>
    </w:rPr>
  </w:style>
  <w:style w:type="paragraph" w:styleId="TOC9">
    <w:name w:val="toc 9"/>
    <w:basedOn w:val="Normal"/>
    <w:next w:val="Normal"/>
    <w:autoRedefine/>
    <w:uiPriority w:val="39"/>
    <w:unhideWhenUsed/>
    <w:rsid w:val="00745B58"/>
    <w:pPr>
      <w:spacing w:before="0" w:after="100" w:line="259" w:lineRule="auto"/>
      <w:ind w:left="1760"/>
      <w:jc w:val="left"/>
    </w:pPr>
    <w:rPr>
      <w:rFonts w:asciiTheme="minorHAnsi" w:eastAsiaTheme="minorEastAsia" w:hAnsiTheme="minorHAnsi"/>
      <w:color w:val="auto"/>
      <w:lang w:val="en-IN" w:eastAsia="en-IN"/>
    </w:rPr>
  </w:style>
  <w:style w:type="character" w:styleId="UnresolvedMention">
    <w:name w:val="Unresolved Mention"/>
    <w:basedOn w:val="DefaultParagraphFont"/>
    <w:uiPriority w:val="99"/>
    <w:semiHidden/>
    <w:unhideWhenUsed/>
    <w:rsid w:val="00745B58"/>
    <w:rPr>
      <w:color w:val="605E5C"/>
      <w:shd w:val="clear" w:color="auto" w:fill="E1DFDD"/>
    </w:rPr>
  </w:style>
  <w:style w:type="character" w:styleId="PlaceholderText">
    <w:name w:val="Placeholder Text"/>
    <w:basedOn w:val="DefaultParagraphFont"/>
    <w:uiPriority w:val="99"/>
    <w:semiHidden/>
    <w:rsid w:val="009D03F0"/>
    <w:rPr>
      <w:color w:val="808080"/>
    </w:rPr>
  </w:style>
  <w:style w:type="character" w:styleId="FollowedHyperlink">
    <w:name w:val="FollowedHyperlink"/>
    <w:basedOn w:val="DefaultParagraphFont"/>
    <w:uiPriority w:val="99"/>
    <w:semiHidden/>
    <w:unhideWhenUsed/>
    <w:rsid w:val="00A17008"/>
    <w:rPr>
      <w:color w:val="954F72" w:themeColor="followedHyperlink"/>
      <w:u w:val="single"/>
    </w:rPr>
  </w:style>
  <w:style w:type="character" w:styleId="Strong">
    <w:name w:val="Strong"/>
    <w:basedOn w:val="DefaultParagraphFont"/>
    <w:uiPriority w:val="22"/>
    <w:qFormat/>
    <w:rsid w:val="00AB2EDD"/>
    <w:rPr>
      <w:b/>
      <w:bCs/>
    </w:rPr>
  </w:style>
  <w:style w:type="character" w:customStyle="1" w:styleId="CaptionChar">
    <w:name w:val="Caption Char"/>
    <w:aliases w:val="EX Caption Char,~Caption Char,Char1 Char,Tabellen Char,Exr Char,Figure Caption Char,Caption Char1 Char1 Char Char Char,Caption Char Char2 Char1 Char Char Char,Caption Char Char Char Char Char1 Char1 Char Char1 Char Char"/>
    <w:link w:val="Caption"/>
    <w:uiPriority w:val="2"/>
    <w:locked/>
    <w:rsid w:val="0005549E"/>
    <w:rPr>
      <w:rFonts w:ascii="Gill Sans MT" w:hAnsi="Gill Sans MT"/>
      <w:b/>
      <w:iCs/>
      <w:color w:val="000000" w:themeColor="text1"/>
      <w:sz w:val="24"/>
      <w:szCs w:val="24"/>
    </w:rPr>
  </w:style>
  <w:style w:type="paragraph" w:styleId="NormalWeb">
    <w:name w:val="Normal (Web)"/>
    <w:basedOn w:val="Normal"/>
    <w:uiPriority w:val="99"/>
    <w:semiHidden/>
    <w:unhideWhenUsed/>
    <w:rsid w:val="008D1D9A"/>
    <w:pPr>
      <w:spacing w:before="100" w:beforeAutospacing="1" w:after="100" w:afterAutospacing="1" w:line="240" w:lineRule="auto"/>
      <w:jc w:val="left"/>
    </w:pPr>
    <w:rPr>
      <w:rFonts w:ascii="Times New Roman" w:eastAsia="Times New Roman" w:hAnsi="Times New Roman" w:cs="Times New Roman"/>
      <w:color w:val="auto"/>
      <w:sz w:val="24"/>
      <w:szCs w:val="24"/>
      <w:lang w:val="en-US"/>
    </w:rPr>
  </w:style>
  <w:style w:type="paragraph" w:styleId="TOCHeading">
    <w:name w:val="TOC Heading"/>
    <w:basedOn w:val="Heading1"/>
    <w:next w:val="Normal"/>
    <w:uiPriority w:val="39"/>
    <w:unhideWhenUsed/>
    <w:qFormat/>
    <w:rsid w:val="008D1D9A"/>
    <w:pPr>
      <w:keepLines/>
      <w:numPr>
        <w:numId w:val="0"/>
      </w:numPr>
      <w:spacing w:before="240" w:after="0" w:line="259" w:lineRule="auto"/>
      <w:outlineLvl w:val="9"/>
    </w:pPr>
    <w:rPr>
      <w:rFonts w:asciiTheme="majorHAnsi" w:hAnsiTheme="majorHAnsi"/>
      <w:smallCaps w:val="0"/>
      <w:color w:val="00205F" w:themeColor="accent1" w:themeShade="BF"/>
      <w:sz w:val="32"/>
      <w:lang w:val="en-US"/>
    </w:rPr>
  </w:style>
  <w:style w:type="table" w:customStyle="1" w:styleId="TableGrid4">
    <w:name w:val="Table Grid4"/>
    <w:basedOn w:val="TableNormal"/>
    <w:next w:val="TableGrid"/>
    <w:uiPriority w:val="39"/>
    <w:rsid w:val="00F1525B"/>
    <w:pPr>
      <w:spacing w:before="0" w:after="0"/>
      <w:jc w:val="left"/>
    </w:pPr>
    <w:rPr>
      <w:rFonts w:eastAsia="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
    <w:name w:val="note"/>
    <w:basedOn w:val="Normal"/>
    <w:next w:val="BodyText"/>
    <w:rsid w:val="000A01BE"/>
    <w:pPr>
      <w:spacing w:before="0" w:line="240" w:lineRule="auto"/>
      <w:ind w:left="720"/>
      <w:jc w:val="left"/>
    </w:pPr>
    <w:rPr>
      <w:rFonts w:ascii="Garamond MT" w:eastAsia="Times New Roman" w:hAnsi="Garamond MT" w:cs="Times New Roman"/>
      <w:i/>
      <w:color w:val="auto"/>
      <w:sz w:val="24"/>
      <w:szCs w:val="20"/>
      <w:lang w:eastAsia="es-ES"/>
    </w:rPr>
  </w:style>
  <w:style w:type="paragraph" w:customStyle="1" w:styleId="Unnumbered">
    <w:name w:val="Unnumbered"/>
    <w:basedOn w:val="Normal"/>
    <w:next w:val="Heading3"/>
    <w:rsid w:val="00FA271A"/>
    <w:pPr>
      <w:spacing w:before="0" w:after="240" w:line="240" w:lineRule="auto"/>
      <w:ind w:left="851" w:hanging="22"/>
      <w:jc w:val="left"/>
    </w:pPr>
    <w:rPr>
      <w:rFonts w:ascii="Garamond MT" w:eastAsia="Times New Roman" w:hAnsi="Garamond MT" w:cs="Times New Roman"/>
      <w:color w:val="auto"/>
      <w:sz w:val="24"/>
      <w:szCs w:val="20"/>
      <w:lang w:eastAsia="es-ES"/>
    </w:rPr>
  </w:style>
  <w:style w:type="paragraph" w:customStyle="1" w:styleId="clauseindent">
    <w:name w:val="clauseindent"/>
    <w:basedOn w:val="Normal"/>
    <w:rsid w:val="00DA4988"/>
    <w:pPr>
      <w:spacing w:before="0" w:after="240" w:line="240" w:lineRule="auto"/>
      <w:ind w:left="851"/>
      <w:jc w:val="left"/>
    </w:pPr>
    <w:rPr>
      <w:rFonts w:ascii="Garamond MT" w:eastAsia="Times New Roman" w:hAnsi="Garamond MT" w:cs="Times New Roman"/>
      <w:color w:val="auto"/>
      <w:sz w:val="24"/>
      <w:szCs w:val="20"/>
      <w:lang w:eastAsia="es-ES"/>
    </w:rPr>
  </w:style>
  <w:style w:type="paragraph" w:customStyle="1" w:styleId="ReportTitle1">
    <w:name w:val="Report Title 1"/>
    <w:basedOn w:val="Normal"/>
    <w:link w:val="ReportTitle1Char"/>
    <w:qFormat/>
    <w:rsid w:val="004F2B7B"/>
    <w:pPr>
      <w:spacing w:before="0" w:after="0" w:line="240" w:lineRule="auto"/>
      <w:jc w:val="left"/>
    </w:pPr>
    <w:rPr>
      <w:rFonts w:eastAsiaTheme="minorEastAsia" w:cs="Times New Roman"/>
      <w:caps/>
      <w:color w:val="FFFFFF" w:themeColor="background1"/>
      <w:sz w:val="48"/>
      <w:szCs w:val="48"/>
      <w:lang w:val="en-US"/>
    </w:rPr>
  </w:style>
  <w:style w:type="paragraph" w:customStyle="1" w:styleId="SEPMainTitle">
    <w:name w:val="SEP Main Title"/>
    <w:basedOn w:val="Normal"/>
    <w:rsid w:val="004F2B7B"/>
    <w:pPr>
      <w:spacing w:before="0" w:after="0" w:line="240" w:lineRule="auto"/>
    </w:pPr>
    <w:rPr>
      <w:rFonts w:eastAsiaTheme="minorEastAsia" w:cs="Times New Roman"/>
      <w:color w:val="FFFFFF" w:themeColor="background1"/>
      <w:sz w:val="40"/>
      <w:szCs w:val="40"/>
      <w:lang w:val="en-US"/>
    </w:rPr>
  </w:style>
  <w:style w:type="character" w:customStyle="1" w:styleId="ReportTitle1Char">
    <w:name w:val="Report Title 1 Char"/>
    <w:basedOn w:val="DefaultParagraphFont"/>
    <w:link w:val="ReportTitle1"/>
    <w:rsid w:val="004F2B7B"/>
    <w:rPr>
      <w:rFonts w:ascii="Gill Sans MT" w:eastAsiaTheme="minorEastAsia" w:hAnsi="Gill Sans MT" w:cs="Times New Roman"/>
      <w:caps/>
      <w:color w:val="FFFFFF" w:themeColor="background1"/>
      <w:sz w:val="48"/>
      <w:szCs w:val="48"/>
      <w:lang w:val="en-US"/>
    </w:rPr>
  </w:style>
  <w:style w:type="paragraph" w:customStyle="1" w:styleId="Right-Credit">
    <w:name w:val="Right-Credit"/>
    <w:basedOn w:val="Normal"/>
    <w:next w:val="Normal"/>
    <w:uiPriority w:val="99"/>
    <w:qFormat/>
    <w:rsid w:val="004F2B7B"/>
    <w:pPr>
      <w:suppressAutoHyphens/>
      <w:spacing w:before="40" w:after="40" w:line="240" w:lineRule="auto"/>
      <w:jc w:val="right"/>
    </w:pPr>
    <w:rPr>
      <w:rFonts w:eastAsiaTheme="minorEastAsia" w:cs="GillSansMTStd-Book"/>
      <w:caps/>
      <w:color w:val="6C6463"/>
      <w:spacing w:val="1"/>
      <w:sz w:val="12"/>
      <w:szCs w:val="12"/>
      <w:lang w:val="en-US"/>
    </w:rPr>
  </w:style>
  <w:style w:type="paragraph" w:customStyle="1" w:styleId="SEPBody">
    <w:name w:val="SEP Body"/>
    <w:rsid w:val="00FC32BB"/>
    <w:pPr>
      <w:suppressAutoHyphens/>
      <w:spacing w:before="0" w:after="200"/>
    </w:pPr>
    <w:rPr>
      <w:rFonts w:ascii="Gill Sans MT" w:eastAsia="Times New Roman" w:hAnsi="Gill Sans MT" w:cs="Times New Roman"/>
      <w:color w:val="6C6463"/>
      <w:szCs w:val="20"/>
      <w:lang w:val="en-US"/>
    </w:rPr>
  </w:style>
  <w:style w:type="paragraph" w:customStyle="1" w:styleId="SEPNumbera">
    <w:name w:val="SEP Number a."/>
    <w:basedOn w:val="SEPBody"/>
    <w:rsid w:val="00FC32BB"/>
    <w:pPr>
      <w:numPr>
        <w:numId w:val="33"/>
      </w:numPr>
    </w:pPr>
  </w:style>
  <w:style w:type="paragraph" w:customStyle="1" w:styleId="SEPTableHeadCenter">
    <w:name w:val="SEP Table Head Center"/>
    <w:rsid w:val="0056068D"/>
    <w:pPr>
      <w:spacing w:before="60" w:after="60"/>
      <w:jc w:val="center"/>
    </w:pPr>
    <w:rPr>
      <w:rFonts w:ascii="Gill Sans MT" w:eastAsia="Times New Roman" w:hAnsi="Gill Sans MT" w:cs="Times New Roman"/>
      <w:bCs/>
      <w:snapToGrid w:val="0"/>
      <w:color w:val="FFFFFF" w:themeColor="background1"/>
      <w:sz w:val="20"/>
      <w:szCs w:val="20"/>
      <w:lang w:val="en-US"/>
    </w:rPr>
  </w:style>
  <w:style w:type="table" w:styleId="ListTable4-Accent3">
    <w:name w:val="List Table 4 Accent 3"/>
    <w:basedOn w:val="TableNormal"/>
    <w:uiPriority w:val="49"/>
    <w:rsid w:val="0056068D"/>
    <w:pPr>
      <w:spacing w:before="0" w:after="0"/>
      <w:jc w:val="left"/>
    </w:pPr>
    <w:rPr>
      <w:rFonts w:asciiTheme="minorHAnsi" w:hAnsiTheme="minorHAnsi"/>
      <w:lang w:val="en-US"/>
    </w:rPr>
    <w:tblPr>
      <w:tblStyleRowBandSize w:val="1"/>
      <w:tblStyleColBandSize w:val="1"/>
      <w:tblBorders>
        <w:top w:val="single" w:sz="4" w:space="0" w:color="FFD966" w:themeColor="accent3" w:themeTint="99"/>
        <w:left w:val="single" w:sz="4" w:space="0" w:color="FFD966" w:themeColor="accent3" w:themeTint="99"/>
        <w:bottom w:val="single" w:sz="4" w:space="0" w:color="FFD966" w:themeColor="accent3" w:themeTint="99"/>
        <w:right w:val="single" w:sz="4" w:space="0" w:color="FFD966" w:themeColor="accent3" w:themeTint="99"/>
        <w:insideH w:val="single" w:sz="4" w:space="0" w:color="FFD966" w:themeColor="accent3" w:themeTint="99"/>
      </w:tblBorders>
    </w:tblPr>
    <w:tblStylePr w:type="firstRow">
      <w:rPr>
        <w:b/>
        <w:bCs/>
        <w:color w:val="FFFFFF" w:themeColor="background1"/>
      </w:rPr>
      <w:tblPr/>
      <w:tcPr>
        <w:tcBorders>
          <w:top w:val="single" w:sz="4" w:space="0" w:color="FFC000" w:themeColor="accent3"/>
          <w:left w:val="single" w:sz="4" w:space="0" w:color="FFC000" w:themeColor="accent3"/>
          <w:bottom w:val="single" w:sz="4" w:space="0" w:color="FFC000" w:themeColor="accent3"/>
          <w:right w:val="single" w:sz="4" w:space="0" w:color="FFC000" w:themeColor="accent3"/>
          <w:insideH w:val="nil"/>
        </w:tcBorders>
        <w:shd w:val="clear" w:color="auto" w:fill="FFC000" w:themeFill="accent3"/>
      </w:tcPr>
    </w:tblStylePr>
    <w:tblStylePr w:type="lastRow">
      <w:rPr>
        <w:b/>
        <w:bCs/>
      </w:rPr>
      <w:tblPr/>
      <w:tcPr>
        <w:tcBorders>
          <w:top w:val="double" w:sz="4" w:space="0" w:color="FFD966" w:themeColor="accent3" w:themeTint="99"/>
        </w:tcBorders>
      </w:tcPr>
    </w:tblStylePr>
    <w:tblStylePr w:type="firstCol">
      <w:rPr>
        <w:b/>
        <w:bCs/>
      </w:rPr>
    </w:tblStylePr>
    <w:tblStylePr w:type="lastCol">
      <w:rPr>
        <w:b/>
        <w:bCs/>
      </w:rPr>
    </w:tblStylePr>
    <w:tblStylePr w:type="band1Vert">
      <w:tblPr/>
      <w:tcPr>
        <w:shd w:val="clear" w:color="auto" w:fill="FFF2CC" w:themeFill="accent3" w:themeFillTint="33"/>
      </w:tcPr>
    </w:tblStylePr>
    <w:tblStylePr w:type="band1Horz">
      <w:tblPr/>
      <w:tcPr>
        <w:shd w:val="clear" w:color="auto" w:fill="FFF2CC"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9363">
      <w:bodyDiv w:val="1"/>
      <w:marLeft w:val="0"/>
      <w:marRight w:val="0"/>
      <w:marTop w:val="0"/>
      <w:marBottom w:val="0"/>
      <w:divBdr>
        <w:top w:val="none" w:sz="0" w:space="0" w:color="auto"/>
        <w:left w:val="none" w:sz="0" w:space="0" w:color="auto"/>
        <w:bottom w:val="none" w:sz="0" w:space="0" w:color="auto"/>
        <w:right w:val="none" w:sz="0" w:space="0" w:color="auto"/>
      </w:divBdr>
    </w:div>
    <w:div w:id="229393139">
      <w:bodyDiv w:val="1"/>
      <w:marLeft w:val="0"/>
      <w:marRight w:val="0"/>
      <w:marTop w:val="0"/>
      <w:marBottom w:val="0"/>
      <w:divBdr>
        <w:top w:val="none" w:sz="0" w:space="0" w:color="auto"/>
        <w:left w:val="none" w:sz="0" w:space="0" w:color="auto"/>
        <w:bottom w:val="none" w:sz="0" w:space="0" w:color="auto"/>
        <w:right w:val="none" w:sz="0" w:space="0" w:color="auto"/>
      </w:divBdr>
    </w:div>
    <w:div w:id="281886340">
      <w:bodyDiv w:val="1"/>
      <w:marLeft w:val="0"/>
      <w:marRight w:val="0"/>
      <w:marTop w:val="0"/>
      <w:marBottom w:val="0"/>
      <w:divBdr>
        <w:top w:val="none" w:sz="0" w:space="0" w:color="auto"/>
        <w:left w:val="none" w:sz="0" w:space="0" w:color="auto"/>
        <w:bottom w:val="none" w:sz="0" w:space="0" w:color="auto"/>
        <w:right w:val="none" w:sz="0" w:space="0" w:color="auto"/>
      </w:divBdr>
    </w:div>
    <w:div w:id="320235348">
      <w:bodyDiv w:val="1"/>
      <w:marLeft w:val="0"/>
      <w:marRight w:val="0"/>
      <w:marTop w:val="0"/>
      <w:marBottom w:val="0"/>
      <w:divBdr>
        <w:top w:val="none" w:sz="0" w:space="0" w:color="auto"/>
        <w:left w:val="none" w:sz="0" w:space="0" w:color="auto"/>
        <w:bottom w:val="none" w:sz="0" w:space="0" w:color="auto"/>
        <w:right w:val="none" w:sz="0" w:space="0" w:color="auto"/>
      </w:divBdr>
    </w:div>
    <w:div w:id="354617475">
      <w:bodyDiv w:val="1"/>
      <w:marLeft w:val="0"/>
      <w:marRight w:val="0"/>
      <w:marTop w:val="0"/>
      <w:marBottom w:val="0"/>
      <w:divBdr>
        <w:top w:val="none" w:sz="0" w:space="0" w:color="auto"/>
        <w:left w:val="none" w:sz="0" w:space="0" w:color="auto"/>
        <w:bottom w:val="none" w:sz="0" w:space="0" w:color="auto"/>
        <w:right w:val="none" w:sz="0" w:space="0" w:color="auto"/>
      </w:divBdr>
    </w:div>
    <w:div w:id="596601861">
      <w:bodyDiv w:val="1"/>
      <w:marLeft w:val="0"/>
      <w:marRight w:val="0"/>
      <w:marTop w:val="0"/>
      <w:marBottom w:val="0"/>
      <w:divBdr>
        <w:top w:val="none" w:sz="0" w:space="0" w:color="auto"/>
        <w:left w:val="none" w:sz="0" w:space="0" w:color="auto"/>
        <w:bottom w:val="none" w:sz="0" w:space="0" w:color="auto"/>
        <w:right w:val="none" w:sz="0" w:space="0" w:color="auto"/>
      </w:divBdr>
    </w:div>
    <w:div w:id="708454366">
      <w:bodyDiv w:val="1"/>
      <w:marLeft w:val="0"/>
      <w:marRight w:val="0"/>
      <w:marTop w:val="0"/>
      <w:marBottom w:val="0"/>
      <w:divBdr>
        <w:top w:val="none" w:sz="0" w:space="0" w:color="auto"/>
        <w:left w:val="none" w:sz="0" w:space="0" w:color="auto"/>
        <w:bottom w:val="none" w:sz="0" w:space="0" w:color="auto"/>
        <w:right w:val="none" w:sz="0" w:space="0" w:color="auto"/>
      </w:divBdr>
    </w:div>
    <w:div w:id="810290002">
      <w:bodyDiv w:val="1"/>
      <w:marLeft w:val="0"/>
      <w:marRight w:val="0"/>
      <w:marTop w:val="0"/>
      <w:marBottom w:val="0"/>
      <w:divBdr>
        <w:top w:val="none" w:sz="0" w:space="0" w:color="auto"/>
        <w:left w:val="none" w:sz="0" w:space="0" w:color="auto"/>
        <w:bottom w:val="none" w:sz="0" w:space="0" w:color="auto"/>
        <w:right w:val="none" w:sz="0" w:space="0" w:color="auto"/>
      </w:divBdr>
    </w:div>
    <w:div w:id="844707202">
      <w:bodyDiv w:val="1"/>
      <w:marLeft w:val="0"/>
      <w:marRight w:val="0"/>
      <w:marTop w:val="0"/>
      <w:marBottom w:val="0"/>
      <w:divBdr>
        <w:top w:val="none" w:sz="0" w:space="0" w:color="auto"/>
        <w:left w:val="none" w:sz="0" w:space="0" w:color="auto"/>
        <w:bottom w:val="none" w:sz="0" w:space="0" w:color="auto"/>
        <w:right w:val="none" w:sz="0" w:space="0" w:color="auto"/>
      </w:divBdr>
    </w:div>
    <w:div w:id="1144540863">
      <w:bodyDiv w:val="1"/>
      <w:marLeft w:val="0"/>
      <w:marRight w:val="0"/>
      <w:marTop w:val="0"/>
      <w:marBottom w:val="0"/>
      <w:divBdr>
        <w:top w:val="none" w:sz="0" w:space="0" w:color="auto"/>
        <w:left w:val="none" w:sz="0" w:space="0" w:color="auto"/>
        <w:bottom w:val="none" w:sz="0" w:space="0" w:color="auto"/>
        <w:right w:val="none" w:sz="0" w:space="0" w:color="auto"/>
      </w:divBdr>
    </w:div>
    <w:div w:id="1246036854">
      <w:bodyDiv w:val="1"/>
      <w:marLeft w:val="0"/>
      <w:marRight w:val="0"/>
      <w:marTop w:val="0"/>
      <w:marBottom w:val="0"/>
      <w:divBdr>
        <w:top w:val="none" w:sz="0" w:space="0" w:color="auto"/>
        <w:left w:val="none" w:sz="0" w:space="0" w:color="auto"/>
        <w:bottom w:val="none" w:sz="0" w:space="0" w:color="auto"/>
        <w:right w:val="none" w:sz="0" w:space="0" w:color="auto"/>
      </w:divBdr>
    </w:div>
    <w:div w:id="1554732983">
      <w:bodyDiv w:val="1"/>
      <w:marLeft w:val="0"/>
      <w:marRight w:val="0"/>
      <w:marTop w:val="0"/>
      <w:marBottom w:val="0"/>
      <w:divBdr>
        <w:top w:val="none" w:sz="0" w:space="0" w:color="auto"/>
        <w:left w:val="none" w:sz="0" w:space="0" w:color="auto"/>
        <w:bottom w:val="none" w:sz="0" w:space="0" w:color="auto"/>
        <w:right w:val="none" w:sz="0" w:space="0" w:color="auto"/>
      </w:divBdr>
    </w:div>
    <w:div w:id="1791433389">
      <w:bodyDiv w:val="1"/>
      <w:marLeft w:val="0"/>
      <w:marRight w:val="0"/>
      <w:marTop w:val="0"/>
      <w:marBottom w:val="0"/>
      <w:divBdr>
        <w:top w:val="none" w:sz="0" w:space="0" w:color="auto"/>
        <w:left w:val="none" w:sz="0" w:space="0" w:color="auto"/>
        <w:bottom w:val="none" w:sz="0" w:space="0" w:color="auto"/>
        <w:right w:val="none" w:sz="0" w:space="0" w:color="auto"/>
      </w:divBdr>
    </w:div>
    <w:div w:id="1818761957">
      <w:bodyDiv w:val="1"/>
      <w:marLeft w:val="0"/>
      <w:marRight w:val="0"/>
      <w:marTop w:val="0"/>
      <w:marBottom w:val="0"/>
      <w:divBdr>
        <w:top w:val="none" w:sz="0" w:space="0" w:color="auto"/>
        <w:left w:val="none" w:sz="0" w:space="0" w:color="auto"/>
        <w:bottom w:val="none" w:sz="0" w:space="0" w:color="auto"/>
        <w:right w:val="none" w:sz="0" w:space="0" w:color="auto"/>
      </w:divBdr>
    </w:div>
    <w:div w:id="1965502300">
      <w:bodyDiv w:val="1"/>
      <w:marLeft w:val="0"/>
      <w:marRight w:val="0"/>
      <w:marTop w:val="0"/>
      <w:marBottom w:val="0"/>
      <w:divBdr>
        <w:top w:val="none" w:sz="0" w:space="0" w:color="auto"/>
        <w:left w:val="none" w:sz="0" w:space="0" w:color="auto"/>
        <w:bottom w:val="none" w:sz="0" w:space="0" w:color="auto"/>
        <w:right w:val="none" w:sz="0" w:space="0" w:color="auto"/>
      </w:divBdr>
    </w:div>
    <w:div w:id="2111200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image" Target="media/image2.emf"/><Relationship Id="rId26" Type="http://schemas.openxmlformats.org/officeDocument/2006/relationships/image" Target="media/image10.emf"/><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1.emf"/><Relationship Id="rId25" Type="http://schemas.openxmlformats.org/officeDocument/2006/relationships/image" Target="media/image9.emf"/><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4.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emf"/><Relationship Id="rId32" Type="http://schemas.openxmlformats.org/officeDocument/2006/relationships/theme" Target="theme/theme1.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image" Target="media/image7.emf"/><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3.emf"/><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o%20D'Addario\Dropbox%20(MRC)\CPPA%20Pakistan\Templates\Report%20template.dotx" TargetMode="External"/></Relationships>
</file>

<file path=word/theme/theme1.xml><?xml version="1.0" encoding="utf-8"?>
<a:theme xmlns:a="http://schemas.openxmlformats.org/drawingml/2006/main" name="Office Theme">
  <a:themeElements>
    <a:clrScheme name="MRC">
      <a:dk1>
        <a:sysClr val="windowText" lastClr="000000"/>
      </a:dk1>
      <a:lt1>
        <a:sysClr val="window" lastClr="FFFFFF"/>
      </a:lt1>
      <a:dk2>
        <a:srgbClr val="003DB8"/>
      </a:dk2>
      <a:lt2>
        <a:srgbClr val="D8D8D8"/>
      </a:lt2>
      <a:accent1>
        <a:srgbClr val="002B7F"/>
      </a:accent1>
      <a:accent2>
        <a:srgbClr val="87AF00"/>
      </a:accent2>
      <a:accent3>
        <a:srgbClr val="FFC000"/>
      </a:accent3>
      <a:accent4>
        <a:srgbClr val="555555"/>
      </a:accent4>
      <a:accent5>
        <a:srgbClr val="4472C4"/>
      </a:accent5>
      <a:accent6>
        <a:srgbClr val="954F72"/>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General Moscardo 32, 1-A, 28020 Madrid (Spain)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0EF46152D2E15498528C59FE558C8C8" ma:contentTypeVersion="9" ma:contentTypeDescription="Create a new document." ma:contentTypeScope="" ma:versionID="9e915a9ea0dc015a3c1633eb81d23a33">
  <xsd:schema xmlns:xsd="http://www.w3.org/2001/XMLSchema" xmlns:xs="http://www.w3.org/2001/XMLSchema" xmlns:p="http://schemas.microsoft.com/office/2006/metadata/properties" xmlns:ns3="653ddef0-bafd-4fed-81eb-9515a1a23876" xmlns:ns4="56807e17-0e3c-4454-91dd-49f4ac75777e" targetNamespace="http://schemas.microsoft.com/office/2006/metadata/properties" ma:root="true" ma:fieldsID="2078dfb35f960ba3fcfafcd378428610" ns3:_="" ns4:_="">
    <xsd:import namespace="653ddef0-bafd-4fed-81eb-9515a1a23876"/>
    <xsd:import namespace="56807e17-0e3c-4454-91dd-49f4ac7577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3ddef0-bafd-4fed-81eb-9515a1a238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807e17-0e3c-4454-91dd-49f4ac7577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F7DCEA-FD12-41D2-869A-AC3C62ADB5DC}">
  <ds:schemaRefs>
    <ds:schemaRef ds:uri="http://schemas.openxmlformats.org/officeDocument/2006/bibliography"/>
  </ds:schemaRefs>
</ds:datastoreItem>
</file>

<file path=customXml/itemProps3.xml><?xml version="1.0" encoding="utf-8"?>
<ds:datastoreItem xmlns:ds="http://schemas.openxmlformats.org/officeDocument/2006/customXml" ds:itemID="{B67371BA-196F-4900-A40E-F8A2CD359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3ddef0-bafd-4fed-81eb-9515a1a23876"/>
    <ds:schemaRef ds:uri="56807e17-0e3c-4454-91dd-49f4ac757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D859BE-39AF-49E6-9193-76DAC0E7B2A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2EBFFD1-7CF5-4E42-A938-1302747772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template</Template>
  <TotalTime>1194</TotalTime>
  <Pages>173</Pages>
  <Words>69462</Words>
  <Characters>395936</Characters>
  <Application>Microsoft Office Word</Application>
  <DocSecurity>0</DocSecurity>
  <Lines>3299</Lines>
  <Paragraphs>928</Paragraphs>
  <ScaleCrop>false</ScaleCrop>
  <HeadingPairs>
    <vt:vector size="2" baseType="variant">
      <vt:variant>
        <vt:lpstr>Title</vt:lpstr>
      </vt:variant>
      <vt:variant>
        <vt:i4>1</vt:i4>
      </vt:variant>
    </vt:vector>
  </HeadingPairs>
  <TitlesOfParts>
    <vt:vector size="1" baseType="lpstr">
      <vt:lpstr>TA-8772 PAK: Strengthening the Central Power Purchasing Agency</vt:lpstr>
    </vt:vector>
  </TitlesOfParts>
  <Company>MRC Consultants and Transaction Advisers</Company>
  <LinksUpToDate>false</LinksUpToDate>
  <CharactersWithSpaces>464470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TA-8772 PAK: Strengthening the Central Power Purchasing Agency</dc:title>
  <dc:subject>tasks and deliverable - draft aaaaaaaaaaaaaaaa</dc:subject>
  <dc:creator>Roberto D'Addario</dc:creator>
  <cp:keywords/>
  <dc:description/>
  <cp:lastModifiedBy>Zeeshan Bashir</cp:lastModifiedBy>
  <cp:revision>6</cp:revision>
  <cp:lastPrinted>2020-02-05T09:14:00Z</cp:lastPrinted>
  <dcterms:created xsi:type="dcterms:W3CDTF">2021-09-01T05:00:00Z</dcterms:created>
  <dcterms:modified xsi:type="dcterms:W3CDTF">2021-10-01T12:16:00Z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0x010100B0EF46152D2E15498528C59FE558C8C8</vt:lpwstr>
  </property>
</Properties>
</file>