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4279" w14:textId="7258FEEF" w:rsidR="00E75A69" w:rsidRPr="00D51061" w:rsidRDefault="00E75A69" w:rsidP="00D51061">
      <w:pPr>
        <w:spacing w:line="240" w:lineRule="auto"/>
        <w:rPr>
          <w:rFonts w:ascii="Times New Roman" w:hAnsi="Times New Roman" w:cs="Times New Roman"/>
          <w:b/>
          <w:bCs/>
          <w:sz w:val="36"/>
          <w:szCs w:val="36"/>
        </w:rPr>
      </w:pPr>
      <w:r w:rsidRPr="00D51061">
        <w:rPr>
          <w:rFonts w:ascii="Times New Roman" w:hAnsi="Times New Roman" w:cs="Times New Roman"/>
          <w:b/>
          <w:bCs/>
          <w:sz w:val="36"/>
          <w:szCs w:val="36"/>
        </w:rPr>
        <w:t>Milestone 2</w:t>
      </w:r>
    </w:p>
    <w:p w14:paraId="3081B66F" w14:textId="4B2764AE" w:rsidR="00E75A69" w:rsidRPr="00D51061" w:rsidRDefault="00E75A69" w:rsidP="00D51061">
      <w:pPr>
        <w:spacing w:line="240" w:lineRule="auto"/>
        <w:rPr>
          <w:rFonts w:ascii="Times New Roman" w:hAnsi="Times New Roman" w:cs="Times New Roman"/>
        </w:rPr>
      </w:pPr>
      <w:r w:rsidRPr="00D51061">
        <w:rPr>
          <w:rFonts w:ascii="Times New Roman" w:hAnsi="Times New Roman" w:cs="Times New Roman"/>
        </w:rPr>
        <w:t>Literature Review, Data Description, and Approach</w:t>
      </w:r>
    </w:p>
    <w:p w14:paraId="29DD3513" w14:textId="0AD535E8" w:rsidR="00E75A69" w:rsidRPr="00D51061" w:rsidRDefault="00E75A69" w:rsidP="00D51061">
      <w:pPr>
        <w:spacing w:line="240" w:lineRule="auto"/>
        <w:rPr>
          <w:rFonts w:ascii="Times New Roman" w:hAnsi="Times New Roman" w:cs="Times New Roman"/>
          <w:b/>
          <w:bCs/>
        </w:rPr>
      </w:pPr>
      <w:r w:rsidRPr="00D51061">
        <w:rPr>
          <w:rFonts w:ascii="Times New Roman" w:hAnsi="Times New Roman" w:cs="Times New Roman"/>
          <w:b/>
          <w:bCs/>
        </w:rPr>
        <w:t>Sadaf Hina</w:t>
      </w:r>
    </w:p>
    <w:p w14:paraId="1FE0101D" w14:textId="5A7E33DD" w:rsidR="00E75A69" w:rsidRPr="00D51061" w:rsidRDefault="00E75A69" w:rsidP="00D51061">
      <w:pPr>
        <w:spacing w:line="240" w:lineRule="auto"/>
        <w:rPr>
          <w:rFonts w:ascii="Times New Roman" w:hAnsi="Times New Roman" w:cs="Times New Roman"/>
          <w:b/>
          <w:bCs/>
        </w:rPr>
      </w:pPr>
      <w:r w:rsidRPr="00D51061">
        <w:rPr>
          <w:rFonts w:ascii="Times New Roman" w:hAnsi="Times New Roman" w:cs="Times New Roman"/>
          <w:b/>
          <w:bCs/>
        </w:rPr>
        <w:t>Student ID :</w:t>
      </w:r>
      <w:r w:rsidRPr="00D51061">
        <w:rPr>
          <w:rFonts w:ascii="Times New Roman" w:hAnsi="Times New Roman" w:cs="Times New Roman"/>
          <w:b/>
          <w:bCs/>
          <w:color w:val="000000"/>
          <w:kern w:val="0"/>
          <w:sz w:val="22"/>
          <w:szCs w:val="22"/>
        </w:rPr>
        <w:t xml:space="preserve"> </w:t>
      </w:r>
      <w:r w:rsidRPr="00D51061">
        <w:rPr>
          <w:rFonts w:ascii="Times New Roman" w:hAnsi="Times New Roman" w:cs="Times New Roman"/>
          <w:b/>
          <w:bCs/>
        </w:rPr>
        <w:t>1351399</w:t>
      </w:r>
    </w:p>
    <w:p w14:paraId="3CBB45C1" w14:textId="5DB190B5" w:rsidR="00E75A69" w:rsidRPr="00D51061" w:rsidRDefault="00E75A69" w:rsidP="00D51061">
      <w:pPr>
        <w:spacing w:line="240" w:lineRule="auto"/>
        <w:rPr>
          <w:rFonts w:ascii="Times New Roman" w:hAnsi="Times New Roman" w:cs="Times New Roman"/>
          <w:b/>
          <w:bCs/>
        </w:rPr>
      </w:pPr>
      <w:r w:rsidRPr="00D51061">
        <w:rPr>
          <w:rFonts w:ascii="Times New Roman" w:hAnsi="Times New Roman" w:cs="Times New Roman"/>
          <w:b/>
          <w:bCs/>
        </w:rPr>
        <w:t>Prof :</w:t>
      </w:r>
      <w:r w:rsidRPr="00D51061">
        <w:rPr>
          <w:rFonts w:ascii="Times New Roman" w:hAnsi="Times New Roman" w:cs="Times New Roman"/>
          <w:color w:val="202122"/>
          <w:spacing w:val="3"/>
          <w:sz w:val="29"/>
          <w:szCs w:val="29"/>
          <w:shd w:val="clear" w:color="auto" w:fill="FFFFFF"/>
        </w:rPr>
        <w:t xml:space="preserve"> </w:t>
      </w:r>
      <w:r w:rsidRPr="00D51061">
        <w:rPr>
          <w:rFonts w:ascii="Times New Roman" w:hAnsi="Times New Roman" w:cs="Times New Roman"/>
          <w:b/>
          <w:bCs/>
        </w:rPr>
        <w:t>Ceni Babaoglu, PhD,</w:t>
      </w:r>
    </w:p>
    <w:p w14:paraId="24DA7FAB" w14:textId="77777777" w:rsidR="00E75A69" w:rsidRPr="00D51061" w:rsidRDefault="00E75A69" w:rsidP="00D51061">
      <w:pPr>
        <w:spacing w:line="240" w:lineRule="auto"/>
        <w:rPr>
          <w:rFonts w:ascii="Times New Roman" w:hAnsi="Times New Roman" w:cs="Times New Roman"/>
          <w:b/>
          <w:bCs/>
          <w:sz w:val="36"/>
          <w:szCs w:val="36"/>
        </w:rPr>
      </w:pPr>
    </w:p>
    <w:p w14:paraId="28C0FC9C" w14:textId="77777777" w:rsidR="00E75A69" w:rsidRPr="00D51061" w:rsidRDefault="00E75A69" w:rsidP="00D51061">
      <w:pPr>
        <w:spacing w:line="240" w:lineRule="auto"/>
        <w:rPr>
          <w:rFonts w:ascii="Times New Roman" w:hAnsi="Times New Roman" w:cs="Times New Roman"/>
          <w:b/>
          <w:bCs/>
          <w:sz w:val="36"/>
          <w:szCs w:val="36"/>
        </w:rPr>
      </w:pPr>
    </w:p>
    <w:p w14:paraId="52528579" w14:textId="77777777" w:rsidR="00E75A69" w:rsidRPr="00D51061" w:rsidRDefault="00E75A69" w:rsidP="00D51061">
      <w:pPr>
        <w:spacing w:line="240" w:lineRule="auto"/>
        <w:rPr>
          <w:rFonts w:ascii="Times New Roman" w:hAnsi="Times New Roman" w:cs="Times New Roman"/>
          <w:b/>
          <w:bCs/>
          <w:sz w:val="36"/>
          <w:szCs w:val="36"/>
        </w:rPr>
      </w:pPr>
    </w:p>
    <w:p w14:paraId="590BBB62" w14:textId="77777777" w:rsidR="00E75A69" w:rsidRPr="00D51061" w:rsidRDefault="00E75A69" w:rsidP="00D51061">
      <w:pPr>
        <w:spacing w:line="240" w:lineRule="auto"/>
        <w:rPr>
          <w:rFonts w:ascii="Times New Roman" w:hAnsi="Times New Roman" w:cs="Times New Roman"/>
          <w:b/>
          <w:bCs/>
          <w:sz w:val="36"/>
          <w:szCs w:val="36"/>
        </w:rPr>
      </w:pPr>
    </w:p>
    <w:p w14:paraId="24A7C27B" w14:textId="77777777" w:rsidR="00E75A69" w:rsidRPr="00D51061" w:rsidRDefault="00E75A69" w:rsidP="00D51061">
      <w:pPr>
        <w:spacing w:line="240" w:lineRule="auto"/>
        <w:rPr>
          <w:rFonts w:ascii="Times New Roman" w:hAnsi="Times New Roman" w:cs="Times New Roman"/>
          <w:b/>
          <w:bCs/>
          <w:sz w:val="36"/>
          <w:szCs w:val="36"/>
        </w:rPr>
      </w:pPr>
    </w:p>
    <w:p w14:paraId="7750C0AE" w14:textId="77777777" w:rsidR="00E75A69" w:rsidRPr="00D51061" w:rsidRDefault="00E75A69" w:rsidP="00D51061">
      <w:pPr>
        <w:spacing w:line="240" w:lineRule="auto"/>
        <w:rPr>
          <w:rFonts w:ascii="Times New Roman" w:hAnsi="Times New Roman" w:cs="Times New Roman"/>
          <w:b/>
          <w:bCs/>
          <w:sz w:val="36"/>
          <w:szCs w:val="36"/>
        </w:rPr>
      </w:pPr>
    </w:p>
    <w:p w14:paraId="5061659A" w14:textId="77777777" w:rsidR="00E75A69" w:rsidRPr="00D51061" w:rsidRDefault="00E75A69" w:rsidP="00D51061">
      <w:pPr>
        <w:spacing w:line="240" w:lineRule="auto"/>
        <w:rPr>
          <w:rFonts w:ascii="Times New Roman" w:hAnsi="Times New Roman" w:cs="Times New Roman"/>
          <w:b/>
          <w:bCs/>
          <w:sz w:val="36"/>
          <w:szCs w:val="36"/>
        </w:rPr>
      </w:pPr>
    </w:p>
    <w:p w14:paraId="2A166636" w14:textId="77777777" w:rsidR="00E75A69" w:rsidRPr="00D51061" w:rsidRDefault="00E75A69" w:rsidP="00D51061">
      <w:pPr>
        <w:spacing w:line="240" w:lineRule="auto"/>
        <w:rPr>
          <w:rFonts w:ascii="Times New Roman" w:hAnsi="Times New Roman" w:cs="Times New Roman"/>
          <w:b/>
          <w:bCs/>
          <w:sz w:val="36"/>
          <w:szCs w:val="36"/>
        </w:rPr>
      </w:pPr>
    </w:p>
    <w:p w14:paraId="3BB1C532" w14:textId="77777777" w:rsidR="00E75A69" w:rsidRPr="00D51061" w:rsidRDefault="00E75A69" w:rsidP="00D51061">
      <w:pPr>
        <w:spacing w:line="240" w:lineRule="auto"/>
        <w:rPr>
          <w:rFonts w:ascii="Times New Roman" w:hAnsi="Times New Roman" w:cs="Times New Roman"/>
          <w:b/>
          <w:bCs/>
          <w:sz w:val="36"/>
          <w:szCs w:val="36"/>
        </w:rPr>
      </w:pPr>
    </w:p>
    <w:p w14:paraId="0C803451" w14:textId="77777777" w:rsidR="00E75A69" w:rsidRPr="00D51061" w:rsidRDefault="00E75A69" w:rsidP="00D51061">
      <w:pPr>
        <w:spacing w:line="240" w:lineRule="auto"/>
        <w:rPr>
          <w:rFonts w:ascii="Times New Roman" w:hAnsi="Times New Roman" w:cs="Times New Roman"/>
          <w:b/>
          <w:bCs/>
          <w:sz w:val="36"/>
          <w:szCs w:val="36"/>
        </w:rPr>
      </w:pPr>
    </w:p>
    <w:p w14:paraId="67E32C1F" w14:textId="77777777" w:rsidR="00E75A69" w:rsidRPr="00D51061" w:rsidRDefault="00E75A69" w:rsidP="00D51061">
      <w:pPr>
        <w:spacing w:line="240" w:lineRule="auto"/>
        <w:rPr>
          <w:rFonts w:ascii="Times New Roman" w:hAnsi="Times New Roman" w:cs="Times New Roman"/>
          <w:b/>
          <w:bCs/>
          <w:sz w:val="36"/>
          <w:szCs w:val="36"/>
        </w:rPr>
      </w:pPr>
    </w:p>
    <w:p w14:paraId="27055BC6" w14:textId="77777777" w:rsidR="00E75A69" w:rsidRPr="00D51061" w:rsidRDefault="00E75A69" w:rsidP="00D51061">
      <w:pPr>
        <w:spacing w:line="240" w:lineRule="auto"/>
        <w:rPr>
          <w:rFonts w:ascii="Times New Roman" w:hAnsi="Times New Roman" w:cs="Times New Roman"/>
          <w:b/>
          <w:bCs/>
          <w:sz w:val="36"/>
          <w:szCs w:val="36"/>
        </w:rPr>
      </w:pPr>
    </w:p>
    <w:p w14:paraId="42430354" w14:textId="77777777" w:rsidR="00E75A69" w:rsidRPr="00D51061" w:rsidRDefault="00E75A69" w:rsidP="00D51061">
      <w:pPr>
        <w:spacing w:line="240" w:lineRule="auto"/>
        <w:rPr>
          <w:rFonts w:ascii="Times New Roman" w:hAnsi="Times New Roman" w:cs="Times New Roman"/>
          <w:b/>
          <w:bCs/>
          <w:sz w:val="36"/>
          <w:szCs w:val="36"/>
        </w:rPr>
      </w:pPr>
    </w:p>
    <w:p w14:paraId="7875EC96" w14:textId="77777777" w:rsidR="00E75A69" w:rsidRPr="00D51061" w:rsidRDefault="00E75A69" w:rsidP="00D51061">
      <w:pPr>
        <w:spacing w:line="240" w:lineRule="auto"/>
        <w:rPr>
          <w:rFonts w:ascii="Times New Roman" w:hAnsi="Times New Roman" w:cs="Times New Roman"/>
          <w:b/>
          <w:bCs/>
          <w:sz w:val="36"/>
          <w:szCs w:val="36"/>
        </w:rPr>
      </w:pPr>
    </w:p>
    <w:p w14:paraId="737D5676" w14:textId="77777777" w:rsidR="00E75A69" w:rsidRPr="00D51061" w:rsidRDefault="00E75A69" w:rsidP="00D51061">
      <w:pPr>
        <w:spacing w:line="240" w:lineRule="auto"/>
        <w:rPr>
          <w:rFonts w:ascii="Times New Roman" w:hAnsi="Times New Roman" w:cs="Times New Roman"/>
          <w:b/>
          <w:bCs/>
          <w:sz w:val="36"/>
          <w:szCs w:val="36"/>
        </w:rPr>
      </w:pPr>
    </w:p>
    <w:p w14:paraId="5EA6304B" w14:textId="77777777" w:rsidR="00E75A69" w:rsidRPr="00D51061" w:rsidRDefault="00E75A69" w:rsidP="00D51061">
      <w:pPr>
        <w:spacing w:line="240" w:lineRule="auto"/>
        <w:rPr>
          <w:rFonts w:ascii="Times New Roman" w:hAnsi="Times New Roman" w:cs="Times New Roman"/>
          <w:b/>
          <w:bCs/>
          <w:sz w:val="36"/>
          <w:szCs w:val="36"/>
        </w:rPr>
      </w:pPr>
    </w:p>
    <w:p w14:paraId="5A902CDC" w14:textId="77777777" w:rsidR="00E75A69" w:rsidRPr="00D51061" w:rsidRDefault="00E75A69" w:rsidP="00D51061">
      <w:pPr>
        <w:spacing w:line="240" w:lineRule="auto"/>
        <w:rPr>
          <w:rFonts w:ascii="Times New Roman" w:hAnsi="Times New Roman" w:cs="Times New Roman"/>
          <w:b/>
          <w:bCs/>
          <w:sz w:val="36"/>
          <w:szCs w:val="36"/>
        </w:rPr>
      </w:pPr>
    </w:p>
    <w:p w14:paraId="43CDD63A" w14:textId="77777777" w:rsidR="00F24149" w:rsidRDefault="00F24149" w:rsidP="00D51061">
      <w:pPr>
        <w:spacing w:line="240" w:lineRule="auto"/>
        <w:rPr>
          <w:rFonts w:ascii="Times New Roman" w:hAnsi="Times New Roman" w:cs="Times New Roman"/>
          <w:b/>
          <w:bCs/>
          <w:sz w:val="36"/>
          <w:szCs w:val="36"/>
        </w:rPr>
      </w:pPr>
    </w:p>
    <w:p w14:paraId="09560BC1" w14:textId="784D2D40" w:rsidR="009F4D5B" w:rsidRPr="00D51061" w:rsidRDefault="009F4D5B" w:rsidP="00D51061">
      <w:pPr>
        <w:spacing w:line="240" w:lineRule="auto"/>
        <w:rPr>
          <w:rFonts w:ascii="Times New Roman" w:hAnsi="Times New Roman" w:cs="Times New Roman"/>
          <w:sz w:val="36"/>
          <w:szCs w:val="36"/>
        </w:rPr>
      </w:pPr>
      <w:r w:rsidRPr="00D51061">
        <w:rPr>
          <w:rFonts w:ascii="Times New Roman" w:hAnsi="Times New Roman" w:cs="Times New Roman"/>
          <w:b/>
          <w:bCs/>
          <w:sz w:val="36"/>
          <w:szCs w:val="36"/>
        </w:rPr>
        <w:lastRenderedPageBreak/>
        <w:t>Forecast Reliability Analysis in PJM Electricity Load Forecasting</w:t>
      </w:r>
    </w:p>
    <w:p w14:paraId="57E89602" w14:textId="7777777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Abstract</w:t>
      </w:r>
    </w:p>
    <w:p w14:paraId="0BAF2068" w14:textId="715C51A9"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Electricity load forecasting plays a vital role in grid reliability, economic dispatch, and system planning. While extensive research has focused on improving predictive accuracy using classical time series and machine learning models, limited attention has been given to forecast reliability under varying operational conditions. This study investigates when electricity load forecasting models become unreliable by decomposing forecast errors across temporal categories (hour, weekday, season) and demand intensity regimes. Using PJM hourly load data, a lag-based benchmark model is evaluated through grouped mean absolute error (MAE) analysis and variance testing. Results demonstrate significant heterogeneity in forecast error distribution, particularly during high-demand and seasonal peak periods. This study contributes a reliability-oriented evaluation framework that extends traditional forecasting assessment beyond aggregate performance metrics.</w:t>
      </w:r>
    </w:p>
    <w:p w14:paraId="587AFAB7" w14:textId="3CF80AB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Introduction &amp; Problem Statement</w:t>
      </w:r>
    </w:p>
    <w:p w14:paraId="3CDFCC38" w14:textId="2427FCFD"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Electricity demand forecasting is essential for maintaining grid stability and optimizing generation scheduling. Forecasting errors can result in economic inefficiencies, reserve misallocation, and system reliability risks. Most existing research evaluates models using global performance metrics such as MAE and RMSE (Hyndman &amp; Athanasopoulos, 2021). However, these metrics obscure conditional performance degradation under operational stress.</w:t>
      </w:r>
    </w:p>
    <w:p w14:paraId="752769D0" w14:textId="77777777" w:rsidR="005B0708" w:rsidRPr="00D51061" w:rsidRDefault="005B0708" w:rsidP="00D51061">
      <w:pPr>
        <w:spacing w:line="240" w:lineRule="auto"/>
        <w:rPr>
          <w:rFonts w:ascii="Times New Roman" w:hAnsi="Times New Roman" w:cs="Times New Roman"/>
          <w:b/>
          <w:bCs/>
          <w:sz w:val="36"/>
          <w:szCs w:val="36"/>
        </w:rPr>
      </w:pPr>
      <w:r w:rsidRPr="00D51061">
        <w:rPr>
          <w:rFonts w:ascii="Times New Roman" w:hAnsi="Times New Roman" w:cs="Times New Roman"/>
          <w:b/>
          <w:bCs/>
          <w:sz w:val="36"/>
          <w:szCs w:val="36"/>
        </w:rPr>
        <w:t>Research Depth &amp; Integration</w:t>
      </w:r>
    </w:p>
    <w:p w14:paraId="16193441" w14:textId="43A5DEA0" w:rsidR="005F0948" w:rsidRPr="005F0948" w:rsidRDefault="005F0948" w:rsidP="00D51061">
      <w:pPr>
        <w:spacing w:line="240" w:lineRule="auto"/>
        <w:rPr>
          <w:rFonts w:ascii="Times New Roman" w:hAnsi="Times New Roman" w:cs="Times New Roman"/>
          <w:b/>
          <w:bCs/>
        </w:rPr>
      </w:pPr>
      <w:r w:rsidRPr="005F0948">
        <w:rPr>
          <w:rFonts w:ascii="Times New Roman" w:hAnsi="Times New Roman" w:cs="Times New Roman"/>
          <w:b/>
          <w:bCs/>
        </w:rPr>
        <w:t>Research Depth &amp; Integration</w:t>
      </w:r>
    </w:p>
    <w:p w14:paraId="5FF65BD5"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Extensive scholarly literature was reviewed to build the theoretical grounding for this study. Classical time series models such as ARIMA and SARIMA rely on modeling autocorrelation and seasonality under stationarity assumptions (Hyndman &amp; Athanasopoulos, 2021). These models remain foundational in electricity demand forecasting due to their interpretability and statistical rigor.</w:t>
      </w:r>
    </w:p>
    <w:p w14:paraId="092DD964"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Hyndman and Athanasopoulos (2021) emphasize that forecasting performance deteriorates when variance increases or when structural breaks occur — conditions frequently observed during peak demand periods.</w:t>
      </w:r>
    </w:p>
    <w:p w14:paraId="3EF99118"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Machine learning approaches such as Gradient Boosting (Chen &amp; Guestrin, 2016) and LSTM networks (Kong et al., 2017) demonstrate improved nonlinear pattern recognition in load forecasting. However, Hong and Fan (2016) highlight that even advanced models experience degraded performance during peak volatility.</w:t>
      </w:r>
    </w:p>
    <w:p w14:paraId="3F97BEAF" w14:textId="1CAFB11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The synthesis of this literature establishes that while predictive accuracy has improved, contextual reliability assessment remains underexplored. This study integrates insights from both classical and machine learning forecasting traditions to evaluate performance under operational stress conditions.</w:t>
      </w:r>
    </w:p>
    <w:p w14:paraId="3B7B24E1" w14:textId="25A94C03" w:rsidR="005F0948" w:rsidRPr="00F24149" w:rsidRDefault="005F0948" w:rsidP="00D51061">
      <w:pPr>
        <w:spacing w:line="240" w:lineRule="auto"/>
        <w:rPr>
          <w:rFonts w:ascii="Times New Roman" w:hAnsi="Times New Roman" w:cs="Times New Roman"/>
          <w:b/>
          <w:bCs/>
          <w:sz w:val="36"/>
          <w:szCs w:val="36"/>
        </w:rPr>
      </w:pPr>
      <w:r w:rsidRPr="00F24149">
        <w:rPr>
          <w:rFonts w:ascii="Times New Roman" w:hAnsi="Times New Roman" w:cs="Times New Roman"/>
          <w:b/>
          <w:bCs/>
          <w:sz w:val="36"/>
          <w:szCs w:val="36"/>
        </w:rPr>
        <w:lastRenderedPageBreak/>
        <w:t>Critical Evaluation of Past Research</w:t>
      </w:r>
    </w:p>
    <w:p w14:paraId="7E429564"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Electricity load forecasting literature has evolved from classical statistical models to advanced machine learning frameworks. While methodological sophistication has increased, conceptual and evaluation-related limitations persist.</w:t>
      </w:r>
    </w:p>
    <w:p w14:paraId="5B6A0C5F" w14:textId="77777777" w:rsidR="005F0948" w:rsidRPr="005F0948" w:rsidRDefault="005F0948" w:rsidP="00D51061">
      <w:pPr>
        <w:spacing w:line="240" w:lineRule="auto"/>
        <w:rPr>
          <w:rFonts w:ascii="Times New Roman" w:hAnsi="Times New Roman" w:cs="Times New Roman"/>
          <w:b/>
          <w:bCs/>
        </w:rPr>
      </w:pPr>
      <w:r w:rsidRPr="005F0948">
        <w:rPr>
          <w:rFonts w:ascii="Times New Roman" w:hAnsi="Times New Roman" w:cs="Times New Roman"/>
          <w:b/>
          <w:bCs/>
        </w:rPr>
        <w:t>Classical Time Series Models</w:t>
      </w:r>
    </w:p>
    <w:p w14:paraId="0E6979D9"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ARIMA and SARIMA models model trend and seasonality effectively under stable variance conditions (Hyndman &amp; Athanasopoulos, 2021). However, these models assume linear relationships and stationarity.</w:t>
      </w:r>
    </w:p>
    <w:p w14:paraId="7F742B6E"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Hyndman and Athanasopoulos (2021) explain that heteroskedasticity and structural change reduce forecast stability. During seasonal peaks or extreme weather conditions, electricity demand variance increases significantly, violating model assumptions.</w:t>
      </w:r>
    </w:p>
    <w:p w14:paraId="41901BB6" w14:textId="20A2C17E"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b/>
          <w:bCs/>
        </w:rPr>
        <w:t>Key Limitation Identified:</w:t>
      </w:r>
      <w:r w:rsidRPr="005F0948">
        <w:rPr>
          <w:rFonts w:ascii="Times New Roman" w:hAnsi="Times New Roman" w:cs="Times New Roman"/>
        </w:rPr>
        <w:br/>
        <w:t>Performance is evaluated using aggregate error metrics, which mask condition-specific reliability breakdown.</w:t>
      </w:r>
    </w:p>
    <w:p w14:paraId="5083E0F2" w14:textId="77777777" w:rsidR="005F0948" w:rsidRPr="005F0948" w:rsidRDefault="005F0948" w:rsidP="00D51061">
      <w:pPr>
        <w:spacing w:line="240" w:lineRule="auto"/>
        <w:rPr>
          <w:rFonts w:ascii="Times New Roman" w:hAnsi="Times New Roman" w:cs="Times New Roman"/>
          <w:b/>
          <w:bCs/>
        </w:rPr>
      </w:pPr>
      <w:r w:rsidRPr="005F0948">
        <w:rPr>
          <w:rFonts w:ascii="Times New Roman" w:hAnsi="Times New Roman" w:cs="Times New Roman"/>
          <w:b/>
          <w:bCs/>
        </w:rPr>
        <w:t>Artificial Neural Networks &amp; Early Machine Learning</w:t>
      </w:r>
    </w:p>
    <w:p w14:paraId="6E5976DB"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Zhang et al. (1998) introduced neural networks as flexible nonlinear forecasting tools. Taylor (2003) demonstrated improved short-term electricity demand forecasting using exponential smoothing and neural approaches.</w:t>
      </w:r>
    </w:p>
    <w:p w14:paraId="7931B2AE"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However, these studies primarily focused on reducing average forecasting error, rather than analyzing variability across operational regimes.</w:t>
      </w:r>
    </w:p>
    <w:p w14:paraId="6AD76587" w14:textId="6F135A7A"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b/>
          <w:bCs/>
        </w:rPr>
        <w:t>Key Limitation Identified:</w:t>
      </w:r>
      <w:r w:rsidRPr="005F0948">
        <w:rPr>
          <w:rFonts w:ascii="Times New Roman" w:hAnsi="Times New Roman" w:cs="Times New Roman"/>
        </w:rPr>
        <w:br/>
        <w:t>Model comparison frameworks emphasize overall accuracy instead of identifying systematic performance instability.</w:t>
      </w:r>
    </w:p>
    <w:p w14:paraId="645EEDF8" w14:textId="77777777" w:rsidR="005F0948" w:rsidRPr="005F0948" w:rsidRDefault="005F0948" w:rsidP="00D51061">
      <w:pPr>
        <w:spacing w:line="240" w:lineRule="auto"/>
        <w:rPr>
          <w:rFonts w:ascii="Times New Roman" w:hAnsi="Times New Roman" w:cs="Times New Roman"/>
          <w:b/>
          <w:bCs/>
        </w:rPr>
      </w:pPr>
      <w:r w:rsidRPr="005F0948">
        <w:rPr>
          <w:rFonts w:ascii="Times New Roman" w:hAnsi="Times New Roman" w:cs="Times New Roman"/>
          <w:b/>
          <w:bCs/>
        </w:rPr>
        <w:t>Modern Machine Learning &amp; Deep Learning</w:t>
      </w:r>
    </w:p>
    <w:p w14:paraId="28DC32AA"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Chen and Guestrin (2016) introduced XGBoost, significantly improving nonlinear modeling efficiency. Kong et al. (2017) showed that LSTM networks outperform traditional models in short-term load forecasting due to their ability to capture temporal dependencies.</w:t>
      </w:r>
    </w:p>
    <w:p w14:paraId="229068FE"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Hong and Fan (2016) extended research into probabilistic forecasting, emphasizing uncertainty quantification.</w:t>
      </w:r>
    </w:p>
    <w:p w14:paraId="1918ABD2"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Despite these advances:</w:t>
      </w:r>
    </w:p>
    <w:p w14:paraId="62845F12" w14:textId="77777777" w:rsidR="005F0948" w:rsidRPr="005F0948" w:rsidRDefault="005F0948" w:rsidP="00D51061">
      <w:pPr>
        <w:numPr>
          <w:ilvl w:val="0"/>
          <w:numId w:val="26"/>
        </w:numPr>
        <w:spacing w:line="240" w:lineRule="auto"/>
        <w:rPr>
          <w:rFonts w:ascii="Times New Roman" w:hAnsi="Times New Roman" w:cs="Times New Roman"/>
        </w:rPr>
      </w:pPr>
      <w:r w:rsidRPr="005F0948">
        <w:rPr>
          <w:rFonts w:ascii="Times New Roman" w:hAnsi="Times New Roman" w:cs="Times New Roman"/>
        </w:rPr>
        <w:t>Performance is reported as aggregate metrics.</w:t>
      </w:r>
    </w:p>
    <w:p w14:paraId="0B400FD5" w14:textId="77777777" w:rsidR="005F0948" w:rsidRPr="005F0948" w:rsidRDefault="005F0948" w:rsidP="00D51061">
      <w:pPr>
        <w:numPr>
          <w:ilvl w:val="0"/>
          <w:numId w:val="26"/>
        </w:numPr>
        <w:spacing w:line="240" w:lineRule="auto"/>
        <w:rPr>
          <w:rFonts w:ascii="Times New Roman" w:hAnsi="Times New Roman" w:cs="Times New Roman"/>
        </w:rPr>
      </w:pPr>
      <w:r w:rsidRPr="005F0948">
        <w:rPr>
          <w:rFonts w:ascii="Times New Roman" w:hAnsi="Times New Roman" w:cs="Times New Roman"/>
        </w:rPr>
        <w:t>Error heterogeneity across demand regimes is rarely decomposed.</w:t>
      </w:r>
    </w:p>
    <w:p w14:paraId="33AC0D23" w14:textId="77777777" w:rsidR="005F0948" w:rsidRPr="005F0948" w:rsidRDefault="005F0948" w:rsidP="00D51061">
      <w:pPr>
        <w:numPr>
          <w:ilvl w:val="0"/>
          <w:numId w:val="26"/>
        </w:numPr>
        <w:spacing w:line="240" w:lineRule="auto"/>
        <w:rPr>
          <w:rFonts w:ascii="Times New Roman" w:hAnsi="Times New Roman" w:cs="Times New Roman"/>
        </w:rPr>
      </w:pPr>
      <w:r w:rsidRPr="005F0948">
        <w:rPr>
          <w:rFonts w:ascii="Times New Roman" w:hAnsi="Times New Roman" w:cs="Times New Roman"/>
        </w:rPr>
        <w:t>Reliability under operational stress remains insufficiently evaluated.</w:t>
      </w:r>
    </w:p>
    <w:p w14:paraId="6A80B860" w14:textId="77777777" w:rsidR="005F0948" w:rsidRPr="005F0948" w:rsidRDefault="005F0948" w:rsidP="00D51061">
      <w:pPr>
        <w:spacing w:line="240" w:lineRule="auto"/>
        <w:rPr>
          <w:rFonts w:ascii="Times New Roman" w:hAnsi="Times New Roman" w:cs="Times New Roman"/>
        </w:rPr>
      </w:pPr>
      <w:r w:rsidRPr="005F0948">
        <w:rPr>
          <w:rFonts w:ascii="Times New Roman" w:hAnsi="Times New Roman" w:cs="Times New Roman"/>
        </w:rPr>
        <w:t>Even advanced deep learning models demonstrate degraded performance during peak load volatility (Hong &amp; Fan, 2016).</w:t>
      </w:r>
    </w:p>
    <w:p w14:paraId="41A7D7E2" w14:textId="07714EFA" w:rsidR="005F0948" w:rsidRPr="00D51061" w:rsidRDefault="005F0948" w:rsidP="00D51061">
      <w:pPr>
        <w:spacing w:line="240" w:lineRule="auto"/>
        <w:rPr>
          <w:rFonts w:ascii="Times New Roman" w:hAnsi="Times New Roman" w:cs="Times New Roman"/>
        </w:rPr>
      </w:pPr>
      <w:r w:rsidRPr="005F0948">
        <w:rPr>
          <w:rFonts w:ascii="Times New Roman" w:hAnsi="Times New Roman" w:cs="Times New Roman"/>
          <w:b/>
          <w:bCs/>
        </w:rPr>
        <w:lastRenderedPageBreak/>
        <w:t>Key Limitation Identified:</w:t>
      </w:r>
      <w:r w:rsidRPr="005F0948">
        <w:rPr>
          <w:rFonts w:ascii="Times New Roman" w:hAnsi="Times New Roman" w:cs="Times New Roman"/>
        </w:rPr>
        <w:br/>
        <w:t>Higher predictive accuracy does not ensure operational reliability.</w:t>
      </w:r>
    </w:p>
    <w:p w14:paraId="25F81E81" w14:textId="4410555E"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Cross-Study Synthesis &amp; Identified Research Gap</w:t>
      </w:r>
    </w:p>
    <w:p w14:paraId="3AB6F04A"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Across classical, neural network, and deep learning literature, a common pattern emerges:</w:t>
      </w:r>
    </w:p>
    <w:p w14:paraId="172D0DEB" w14:textId="77777777" w:rsidR="005B0708" w:rsidRPr="00D51061" w:rsidRDefault="005B0708" w:rsidP="00D51061">
      <w:pPr>
        <w:numPr>
          <w:ilvl w:val="0"/>
          <w:numId w:val="23"/>
        </w:numPr>
        <w:spacing w:line="240" w:lineRule="auto"/>
        <w:rPr>
          <w:rFonts w:ascii="Times New Roman" w:hAnsi="Times New Roman" w:cs="Times New Roman"/>
        </w:rPr>
      </w:pPr>
      <w:r w:rsidRPr="00D51061">
        <w:rPr>
          <w:rFonts w:ascii="Times New Roman" w:hAnsi="Times New Roman" w:cs="Times New Roman"/>
        </w:rPr>
        <w:t>Focus on improving predictive accuracy</w:t>
      </w:r>
    </w:p>
    <w:p w14:paraId="367BAB57" w14:textId="77777777" w:rsidR="005B0708" w:rsidRPr="00D51061" w:rsidRDefault="005B0708" w:rsidP="00D51061">
      <w:pPr>
        <w:numPr>
          <w:ilvl w:val="0"/>
          <w:numId w:val="23"/>
        </w:numPr>
        <w:spacing w:line="240" w:lineRule="auto"/>
        <w:rPr>
          <w:rFonts w:ascii="Times New Roman" w:hAnsi="Times New Roman" w:cs="Times New Roman"/>
        </w:rPr>
      </w:pPr>
      <w:r w:rsidRPr="00D51061">
        <w:rPr>
          <w:rFonts w:ascii="Times New Roman" w:hAnsi="Times New Roman" w:cs="Times New Roman"/>
        </w:rPr>
        <w:t>Comparison across modeling frameworks</w:t>
      </w:r>
    </w:p>
    <w:p w14:paraId="41690092" w14:textId="77777777" w:rsidR="005B0708" w:rsidRPr="00D51061" w:rsidRDefault="005B0708" w:rsidP="00D51061">
      <w:pPr>
        <w:numPr>
          <w:ilvl w:val="0"/>
          <w:numId w:val="23"/>
        </w:numPr>
        <w:spacing w:line="240" w:lineRule="auto"/>
        <w:rPr>
          <w:rFonts w:ascii="Times New Roman" w:hAnsi="Times New Roman" w:cs="Times New Roman"/>
        </w:rPr>
      </w:pPr>
      <w:r w:rsidRPr="00D51061">
        <w:rPr>
          <w:rFonts w:ascii="Times New Roman" w:hAnsi="Times New Roman" w:cs="Times New Roman"/>
        </w:rPr>
        <w:t>Optimization of hyperparameters</w:t>
      </w:r>
    </w:p>
    <w:p w14:paraId="7447C451"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However, minimal attention has been given to:</w:t>
      </w:r>
    </w:p>
    <w:p w14:paraId="00434B1F" w14:textId="77777777" w:rsidR="005B0708" w:rsidRPr="00D51061" w:rsidRDefault="005B0708" w:rsidP="00D51061">
      <w:pPr>
        <w:numPr>
          <w:ilvl w:val="0"/>
          <w:numId w:val="24"/>
        </w:numPr>
        <w:spacing w:line="240" w:lineRule="auto"/>
        <w:rPr>
          <w:rFonts w:ascii="Times New Roman" w:hAnsi="Times New Roman" w:cs="Times New Roman"/>
        </w:rPr>
      </w:pPr>
      <w:r w:rsidRPr="00D51061">
        <w:rPr>
          <w:rFonts w:ascii="Times New Roman" w:hAnsi="Times New Roman" w:cs="Times New Roman"/>
        </w:rPr>
        <w:t>Heterogeneity of forecast error distribution</w:t>
      </w:r>
    </w:p>
    <w:p w14:paraId="30A582C2" w14:textId="77777777" w:rsidR="005B0708" w:rsidRPr="00D51061" w:rsidRDefault="005B0708" w:rsidP="00D51061">
      <w:pPr>
        <w:numPr>
          <w:ilvl w:val="0"/>
          <w:numId w:val="24"/>
        </w:numPr>
        <w:spacing w:line="240" w:lineRule="auto"/>
        <w:rPr>
          <w:rFonts w:ascii="Times New Roman" w:hAnsi="Times New Roman" w:cs="Times New Roman"/>
        </w:rPr>
      </w:pPr>
      <w:r w:rsidRPr="00D51061">
        <w:rPr>
          <w:rFonts w:ascii="Times New Roman" w:hAnsi="Times New Roman" w:cs="Times New Roman"/>
        </w:rPr>
        <w:t>Reliability breakdown during extreme demand</w:t>
      </w:r>
    </w:p>
    <w:p w14:paraId="5896238B" w14:textId="77777777" w:rsidR="005B0708" w:rsidRPr="00D51061" w:rsidRDefault="005B0708" w:rsidP="00D51061">
      <w:pPr>
        <w:numPr>
          <w:ilvl w:val="0"/>
          <w:numId w:val="24"/>
        </w:numPr>
        <w:spacing w:line="240" w:lineRule="auto"/>
        <w:rPr>
          <w:rFonts w:ascii="Times New Roman" w:hAnsi="Times New Roman" w:cs="Times New Roman"/>
        </w:rPr>
      </w:pPr>
      <w:r w:rsidRPr="00D51061">
        <w:rPr>
          <w:rFonts w:ascii="Times New Roman" w:hAnsi="Times New Roman" w:cs="Times New Roman"/>
        </w:rPr>
        <w:t>Contextual performance evaluation</w:t>
      </w:r>
    </w:p>
    <w:p w14:paraId="12DE7646" w14:textId="77777777" w:rsidR="005B0708" w:rsidRPr="00D51061" w:rsidRDefault="005B0708" w:rsidP="00D51061">
      <w:pPr>
        <w:numPr>
          <w:ilvl w:val="0"/>
          <w:numId w:val="24"/>
        </w:numPr>
        <w:spacing w:line="240" w:lineRule="auto"/>
        <w:rPr>
          <w:rFonts w:ascii="Times New Roman" w:hAnsi="Times New Roman" w:cs="Times New Roman"/>
        </w:rPr>
      </w:pPr>
      <w:r w:rsidRPr="00D51061">
        <w:rPr>
          <w:rFonts w:ascii="Times New Roman" w:hAnsi="Times New Roman" w:cs="Times New Roman"/>
        </w:rPr>
        <w:t>Group-based forecast instability analysis</w:t>
      </w:r>
    </w:p>
    <w:p w14:paraId="7B6C08AF"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This reveals a fundamental conceptual gap:</w:t>
      </w:r>
    </w:p>
    <w:p w14:paraId="6AF1342D" w14:textId="06A09A25"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Forecasting research has largely optimized models, but insufficiently evaluated reliability under operational stress.</w:t>
      </w:r>
    </w:p>
    <w:p w14:paraId="426BA53F" w14:textId="7777777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Justification for the New Approach</w:t>
      </w:r>
    </w:p>
    <w:p w14:paraId="36AF4851"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Building upon prior findings that forecast performance deteriorates under volatility (Hyndman &amp; Athanasopoulos, 2021; Hong &amp; Fan, 2016), this study introduces a grouped forecast error decomposition framework.</w:t>
      </w:r>
    </w:p>
    <w:p w14:paraId="7D760A83"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Instead of comparing model architectures, this research:</w:t>
      </w:r>
    </w:p>
    <w:p w14:paraId="347E418C" w14:textId="77777777" w:rsidR="005B0708" w:rsidRPr="00D51061" w:rsidRDefault="005B0708" w:rsidP="00D51061">
      <w:pPr>
        <w:numPr>
          <w:ilvl w:val="0"/>
          <w:numId w:val="25"/>
        </w:numPr>
        <w:spacing w:line="240" w:lineRule="auto"/>
        <w:rPr>
          <w:rFonts w:ascii="Times New Roman" w:hAnsi="Times New Roman" w:cs="Times New Roman"/>
        </w:rPr>
      </w:pPr>
      <w:r w:rsidRPr="00D51061">
        <w:rPr>
          <w:rFonts w:ascii="Times New Roman" w:hAnsi="Times New Roman" w:cs="Times New Roman"/>
        </w:rPr>
        <w:t>Examines when errors systematically increase</w:t>
      </w:r>
    </w:p>
    <w:p w14:paraId="6AA5585F" w14:textId="77777777" w:rsidR="005B0708" w:rsidRPr="00D51061" w:rsidRDefault="005B0708" w:rsidP="00D51061">
      <w:pPr>
        <w:numPr>
          <w:ilvl w:val="0"/>
          <w:numId w:val="25"/>
        </w:numPr>
        <w:spacing w:line="240" w:lineRule="auto"/>
        <w:rPr>
          <w:rFonts w:ascii="Times New Roman" w:hAnsi="Times New Roman" w:cs="Times New Roman"/>
        </w:rPr>
      </w:pPr>
      <w:r w:rsidRPr="00D51061">
        <w:rPr>
          <w:rFonts w:ascii="Times New Roman" w:hAnsi="Times New Roman" w:cs="Times New Roman"/>
        </w:rPr>
        <w:t>Evaluates forecast reliability across structured temporal categories</w:t>
      </w:r>
    </w:p>
    <w:p w14:paraId="643C1D69" w14:textId="77777777" w:rsidR="005B0708" w:rsidRPr="00D51061" w:rsidRDefault="005B0708" w:rsidP="00D51061">
      <w:pPr>
        <w:numPr>
          <w:ilvl w:val="0"/>
          <w:numId w:val="25"/>
        </w:numPr>
        <w:spacing w:line="240" w:lineRule="auto"/>
        <w:rPr>
          <w:rFonts w:ascii="Times New Roman" w:hAnsi="Times New Roman" w:cs="Times New Roman"/>
        </w:rPr>
      </w:pPr>
      <w:r w:rsidRPr="00D51061">
        <w:rPr>
          <w:rFonts w:ascii="Times New Roman" w:hAnsi="Times New Roman" w:cs="Times New Roman"/>
        </w:rPr>
        <w:t>Analyzes demand-intensity-driven instability</w:t>
      </w:r>
    </w:p>
    <w:p w14:paraId="71412A5F" w14:textId="77777777" w:rsidR="005B0708" w:rsidRPr="00D51061" w:rsidRDefault="005B0708" w:rsidP="00D51061">
      <w:pPr>
        <w:numPr>
          <w:ilvl w:val="0"/>
          <w:numId w:val="25"/>
        </w:numPr>
        <w:spacing w:line="240" w:lineRule="auto"/>
        <w:rPr>
          <w:rFonts w:ascii="Times New Roman" w:hAnsi="Times New Roman" w:cs="Times New Roman"/>
        </w:rPr>
      </w:pPr>
      <w:r w:rsidRPr="00D51061">
        <w:rPr>
          <w:rFonts w:ascii="Times New Roman" w:hAnsi="Times New Roman" w:cs="Times New Roman"/>
        </w:rPr>
        <w:t>Applies statistical testing (ANOVA) to validate error heterogeneity</w:t>
      </w:r>
    </w:p>
    <w:p w14:paraId="6C03678F"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This approach is justified by previous findings that volatility increases forecast variance, yet prior studies have not explicitly decomposed error by operational regime.</w:t>
      </w:r>
    </w:p>
    <w:p w14:paraId="59A8CC43"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Thus, the new contribution is methodological:</w:t>
      </w:r>
    </w:p>
    <w:p w14:paraId="71B79D8D" w14:textId="016F542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A reliability-focused evaluation framework that extends traditional forecasting accuracy assessment toward operational risk identification.</w:t>
      </w:r>
    </w:p>
    <w:p w14:paraId="40E2708E" w14:textId="77777777" w:rsidR="00D67A5E" w:rsidRDefault="00F24149" w:rsidP="00F24149">
      <w:pPr>
        <w:spacing w:line="240" w:lineRule="auto"/>
        <w:rPr>
          <w:rFonts w:ascii="Times New Roman" w:hAnsi="Times New Roman" w:cs="Times New Roman"/>
          <w:b/>
          <w:bCs/>
          <w:sz w:val="36"/>
          <w:szCs w:val="36"/>
        </w:rPr>
      </w:pPr>
      <w:r w:rsidRPr="00D51061">
        <w:rPr>
          <w:rFonts w:ascii="Times New Roman" w:hAnsi="Times New Roman" w:cs="Times New Roman"/>
          <w:b/>
          <w:bCs/>
          <w:sz w:val="36"/>
          <w:szCs w:val="36"/>
        </w:rPr>
        <w:t>Data Description &amp; Handling</w:t>
      </w:r>
    </w:p>
    <w:p w14:paraId="352B9FA2" w14:textId="66FADC4D" w:rsidR="00F24149" w:rsidRPr="00D67A5E" w:rsidRDefault="00F24149" w:rsidP="00F24149">
      <w:pPr>
        <w:spacing w:line="240" w:lineRule="auto"/>
        <w:rPr>
          <w:rFonts w:ascii="Times New Roman" w:hAnsi="Times New Roman" w:cs="Times New Roman"/>
          <w:b/>
          <w:bCs/>
          <w:sz w:val="36"/>
          <w:szCs w:val="36"/>
        </w:rPr>
      </w:pPr>
      <w:r w:rsidRPr="00D51061">
        <w:rPr>
          <w:rFonts w:ascii="Times New Roman" w:hAnsi="Times New Roman" w:cs="Times New Roman"/>
        </w:rPr>
        <w:t>Dataset Source:</w:t>
      </w:r>
      <w:r w:rsidRPr="00D51061">
        <w:rPr>
          <w:rFonts w:ascii="Times New Roman" w:hAnsi="Times New Roman" w:cs="Times New Roman"/>
        </w:rPr>
        <w:br/>
        <w:t>PJM Hourly Energy Consumption Dataset</w:t>
      </w:r>
      <w:r w:rsidRPr="00D51061">
        <w:rPr>
          <w:rFonts w:ascii="Times New Roman" w:hAnsi="Times New Roman" w:cs="Times New Roman"/>
        </w:rPr>
        <w:br/>
      </w:r>
      <w:r w:rsidRPr="00D51061">
        <w:rPr>
          <w:rFonts w:ascii="Times New Roman" w:hAnsi="Times New Roman" w:cs="Times New Roman"/>
        </w:rPr>
        <w:lastRenderedPageBreak/>
        <w:t>Source: Kaggle (Robikscube)</w:t>
      </w:r>
      <w:r w:rsidRPr="00D51061">
        <w:rPr>
          <w:rFonts w:ascii="Times New Roman" w:hAnsi="Times New Roman" w:cs="Times New Roman"/>
        </w:rPr>
        <w:br/>
        <w:t>Time Range: 2002–2018</w:t>
      </w:r>
      <w:r w:rsidRPr="00D51061">
        <w:rPr>
          <w:rFonts w:ascii="Times New Roman" w:hAnsi="Times New Roman" w:cs="Times New Roman"/>
        </w:rPr>
        <w:br/>
        <w:t>Frequency: Hourly</w:t>
      </w:r>
      <w:r w:rsidRPr="00D51061">
        <w:rPr>
          <w:rFonts w:ascii="Times New Roman" w:hAnsi="Times New Roman" w:cs="Times New Roman"/>
        </w:rPr>
        <w:br/>
        <w:t>Approximate Observations: ~145,000</w:t>
      </w:r>
    </w:p>
    <w:p w14:paraId="6597E0C4"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Selected File: PJME_hourly.csv</w:t>
      </w:r>
    </w:p>
    <w:p w14:paraId="0E96B405"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b/>
          <w:bCs/>
        </w:rPr>
        <w:t>Attributes Used</w:t>
      </w:r>
    </w:p>
    <w:p w14:paraId="4684DE1C"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Original Variables:</w:t>
      </w:r>
      <w:r w:rsidRPr="00D51061">
        <w:rPr>
          <w:rFonts w:ascii="Times New Roman" w:hAnsi="Times New Roman" w:cs="Times New Roman"/>
        </w:rPr>
        <w:br/>
        <w:t>• Datetime</w:t>
      </w:r>
      <w:r w:rsidRPr="00D51061">
        <w:rPr>
          <w:rFonts w:ascii="Times New Roman" w:hAnsi="Times New Roman" w:cs="Times New Roman"/>
        </w:rPr>
        <w:br/>
        <w:t>• PJME_MW</w:t>
      </w:r>
    </w:p>
    <w:p w14:paraId="7249BE26"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Derived Variables:</w:t>
      </w:r>
      <w:r w:rsidRPr="00D51061">
        <w:rPr>
          <w:rFonts w:ascii="Times New Roman" w:hAnsi="Times New Roman" w:cs="Times New Roman"/>
        </w:rPr>
        <w:br/>
        <w:t>• Hour</w:t>
      </w:r>
      <w:r w:rsidRPr="00D51061">
        <w:rPr>
          <w:rFonts w:ascii="Times New Roman" w:hAnsi="Times New Roman" w:cs="Times New Roman"/>
        </w:rPr>
        <w:br/>
        <w:t>• Day of Week</w:t>
      </w:r>
      <w:r w:rsidRPr="00D51061">
        <w:rPr>
          <w:rFonts w:ascii="Times New Roman" w:hAnsi="Times New Roman" w:cs="Times New Roman"/>
        </w:rPr>
        <w:br/>
        <w:t>• Month</w:t>
      </w:r>
      <w:r w:rsidRPr="00D51061">
        <w:rPr>
          <w:rFonts w:ascii="Times New Roman" w:hAnsi="Times New Roman" w:cs="Times New Roman"/>
        </w:rPr>
        <w:br/>
        <w:t>• Season</w:t>
      </w:r>
      <w:r w:rsidRPr="00D51061">
        <w:rPr>
          <w:rFonts w:ascii="Times New Roman" w:hAnsi="Times New Roman" w:cs="Times New Roman"/>
        </w:rPr>
        <w:br/>
        <w:t>• Demand Regime</w:t>
      </w:r>
      <w:r w:rsidRPr="00D51061">
        <w:rPr>
          <w:rFonts w:ascii="Times New Roman" w:hAnsi="Times New Roman" w:cs="Times New Roman"/>
        </w:rPr>
        <w:br/>
        <w:t>• Absolute Forecast Error</w:t>
      </w:r>
    </w:p>
    <w:p w14:paraId="121099D0"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Data Cleaning Procedures</w:t>
      </w:r>
    </w:p>
    <w:p w14:paraId="21E98A85"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 Converted Datetime to pandas datetime format</w:t>
      </w:r>
      <w:r w:rsidRPr="00D51061">
        <w:rPr>
          <w:rFonts w:ascii="Times New Roman" w:hAnsi="Times New Roman" w:cs="Times New Roman"/>
        </w:rPr>
        <w:br/>
        <w:t>• Verified hourly continuity</w:t>
      </w:r>
      <w:r w:rsidRPr="00D51061">
        <w:rPr>
          <w:rFonts w:ascii="Times New Roman" w:hAnsi="Times New Roman" w:cs="Times New Roman"/>
        </w:rPr>
        <w:br/>
        <w:t>• Checked for missing values (none detected)</w:t>
      </w:r>
      <w:r w:rsidRPr="00D51061">
        <w:rPr>
          <w:rFonts w:ascii="Times New Roman" w:hAnsi="Times New Roman" w:cs="Times New Roman"/>
        </w:rPr>
        <w:br/>
        <w:t>• Removed duplicate timestamps</w:t>
      </w:r>
      <w:r w:rsidRPr="00D51061">
        <w:rPr>
          <w:rFonts w:ascii="Times New Roman" w:hAnsi="Times New Roman" w:cs="Times New Roman"/>
        </w:rPr>
        <w:br/>
        <w:t>• Verified non-negative load values</w:t>
      </w:r>
      <w:r w:rsidRPr="00D51061">
        <w:rPr>
          <w:rFonts w:ascii="Times New Roman" w:hAnsi="Times New Roman" w:cs="Times New Roman"/>
        </w:rPr>
        <w:br/>
        <w:t>• Generated lag-based baseline forecast</w:t>
      </w:r>
    </w:p>
    <w:p w14:paraId="1773CE82"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Abnormal Data Identification</w:t>
      </w:r>
    </w:p>
    <w:p w14:paraId="50C621EC"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Extreme load values were identified using a 95th percentile threshold. These values were retained due to their operational significance in representing real peak demand events. Removing them would bias reliability analysis.</w:t>
      </w:r>
    </w:p>
    <w:p w14:paraId="5C104CA0"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Autocorrelation &amp; Temporal Dependency</w:t>
      </w:r>
    </w:p>
    <w:p w14:paraId="7858738F"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Autocorrelation analysis confirms strong lag-1 dependency in hourly load data, justifying time-series modeling and persistence-based forecasting.</w:t>
      </w:r>
    </w:p>
    <w:p w14:paraId="3E8BB9AE" w14:textId="299B9F1C" w:rsidR="00F24149" w:rsidRPr="00D51061" w:rsidRDefault="00F24149" w:rsidP="00F24149">
      <w:pPr>
        <w:spacing w:line="240" w:lineRule="auto"/>
        <w:rPr>
          <w:rFonts w:ascii="Times New Roman" w:hAnsi="Times New Roman" w:cs="Times New Roman"/>
          <w:b/>
          <w:bCs/>
          <w:sz w:val="36"/>
          <w:szCs w:val="36"/>
        </w:rPr>
      </w:pPr>
      <w:r w:rsidRPr="00D51061">
        <w:rPr>
          <w:rFonts w:ascii="Times New Roman" w:hAnsi="Times New Roman" w:cs="Times New Roman"/>
          <w:b/>
          <w:bCs/>
          <w:sz w:val="36"/>
          <w:szCs w:val="36"/>
        </w:rPr>
        <w:t>Research Questions &amp; Justification</w:t>
      </w:r>
    </w:p>
    <w:p w14:paraId="115F29D8"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RQ1: Do forecast errors vary significantly across temporal categories (hour, weekday, season)?</w:t>
      </w:r>
    </w:p>
    <w:p w14:paraId="0AD510F3"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Electricity demand is characterized by pronounced intraday, weekly, and seasonal cycles (Hyndman &amp; Athanasopoulos, 2021). Variations in consumption behavior between peak and off-peak hours, weekdays and weekends, and summer versus winter introduce structural heterogeneity in load patterns. If forecasting errors are temporally heterogeneous, aggregate accuracy metrics may conceal systematic reliability breakdown during specific time intervals.</w:t>
      </w:r>
    </w:p>
    <w:p w14:paraId="2AF7E6B6"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lastRenderedPageBreak/>
        <w:t>Thus, RQ1 is designed to determine whether forecast errors exhibit statistically significant differences across structured temporal categories. Identifying such heterogeneity is essential for assessing operational reliability rather than relying solely on global error metrics.</w:t>
      </w:r>
    </w:p>
    <w:p w14:paraId="035AA2F2"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RQ2: Are forecast errors significantly higher during extreme demand periods?</w:t>
      </w:r>
    </w:p>
    <w:p w14:paraId="4729D4B0"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Prior literature suggests that forecasting performance deteriorates under volatility and peak load stress (Hong &amp; Fan, 2016). High-demand periods are typically associated with nonlinear demand spikes, weather-driven variability, and sudden ramping behavior. While machine learning models capture nonlinear relationships, evidence suggests that even advanced models exhibit instability under extreme load conditions.</w:t>
      </w:r>
    </w:p>
    <w:p w14:paraId="2AD13550"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RQ2 directly evaluates whether high-demand regimes are associated with elevated forecast error. This question shifts the evaluation focus from overall model superiority to performance under operational stress scenarios, which is critical for grid risk management.</w:t>
      </w:r>
    </w:p>
    <w:p w14:paraId="36F6FB94"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RQ3: Does forecast reliability deteriorate during seasonal peak load conditions?</w:t>
      </w:r>
    </w:p>
    <w:p w14:paraId="3C1E3B7A"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Seasonal peaks (summer cooling demand and winter heating demand) are consistently identified in forecasting literature as periods of increased variance and model instability (Hyndman &amp; Athanasopoulos, 2021). However, few empirical studies explicitly quantify error magnitude across seasonal regimes using grouped reliability analysis.</w:t>
      </w:r>
    </w:p>
    <w:p w14:paraId="6EDC8192"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RQ3 investigates whether seasonal peak periods correspond to statistically higher forecast errors. This question extends prior findings by formally evaluating reliability degradation during high-variance seasonal intervals.</w:t>
      </w:r>
    </w:p>
    <w:p w14:paraId="1C63BE78" w14:textId="77777777" w:rsidR="00F24149" w:rsidRPr="00D51061" w:rsidRDefault="00F24149" w:rsidP="00F24149">
      <w:pPr>
        <w:spacing w:line="240" w:lineRule="auto"/>
        <w:rPr>
          <w:rFonts w:ascii="Times New Roman" w:hAnsi="Times New Roman" w:cs="Times New Roman"/>
          <w:b/>
          <w:bCs/>
        </w:rPr>
      </w:pPr>
      <w:r w:rsidRPr="00D51061">
        <w:rPr>
          <w:rFonts w:ascii="Times New Roman" w:hAnsi="Times New Roman" w:cs="Times New Roman"/>
          <w:b/>
          <w:bCs/>
        </w:rPr>
        <w:t>Overall Justification</w:t>
      </w:r>
    </w:p>
    <w:p w14:paraId="398EC1F5"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Collectively, these research questions move beyond the traditional paradigm of model comparison and accuracy optimization. Instead, they establish a reliability-centered evaluation framework grounded in three principles:</w:t>
      </w:r>
    </w:p>
    <w:p w14:paraId="34B3AEF8" w14:textId="77777777" w:rsidR="00F24149" w:rsidRPr="00D51061" w:rsidRDefault="00F24149" w:rsidP="00F24149">
      <w:pPr>
        <w:numPr>
          <w:ilvl w:val="0"/>
          <w:numId w:val="27"/>
        </w:numPr>
        <w:spacing w:line="240" w:lineRule="auto"/>
        <w:rPr>
          <w:rFonts w:ascii="Times New Roman" w:hAnsi="Times New Roman" w:cs="Times New Roman"/>
        </w:rPr>
      </w:pPr>
      <w:r w:rsidRPr="00D51061">
        <w:rPr>
          <w:rFonts w:ascii="Times New Roman" w:hAnsi="Times New Roman" w:cs="Times New Roman"/>
        </w:rPr>
        <w:t>Temporal heterogeneity may mask reliability instability.</w:t>
      </w:r>
    </w:p>
    <w:p w14:paraId="6C4C2733" w14:textId="77777777" w:rsidR="00F24149" w:rsidRPr="00D51061" w:rsidRDefault="00F24149" w:rsidP="00F24149">
      <w:pPr>
        <w:numPr>
          <w:ilvl w:val="0"/>
          <w:numId w:val="27"/>
        </w:numPr>
        <w:spacing w:line="240" w:lineRule="auto"/>
        <w:rPr>
          <w:rFonts w:ascii="Times New Roman" w:hAnsi="Times New Roman" w:cs="Times New Roman"/>
        </w:rPr>
      </w:pPr>
      <w:r w:rsidRPr="00D51061">
        <w:rPr>
          <w:rFonts w:ascii="Times New Roman" w:hAnsi="Times New Roman" w:cs="Times New Roman"/>
        </w:rPr>
        <w:t>Demand intensity influences forecast variance.</w:t>
      </w:r>
    </w:p>
    <w:p w14:paraId="4088B7D4" w14:textId="77777777" w:rsidR="00F24149" w:rsidRPr="00D51061" w:rsidRDefault="00F24149" w:rsidP="00F24149">
      <w:pPr>
        <w:numPr>
          <w:ilvl w:val="0"/>
          <w:numId w:val="27"/>
        </w:numPr>
        <w:spacing w:line="240" w:lineRule="auto"/>
        <w:rPr>
          <w:rFonts w:ascii="Times New Roman" w:hAnsi="Times New Roman" w:cs="Times New Roman"/>
        </w:rPr>
      </w:pPr>
      <w:r w:rsidRPr="00D51061">
        <w:rPr>
          <w:rFonts w:ascii="Times New Roman" w:hAnsi="Times New Roman" w:cs="Times New Roman"/>
        </w:rPr>
        <w:t>Seasonal volatility introduces structural stress on predictive models.</w:t>
      </w:r>
    </w:p>
    <w:p w14:paraId="580113DC" w14:textId="77777777" w:rsidR="00F24149" w:rsidRPr="00D51061" w:rsidRDefault="00F24149" w:rsidP="00F24149">
      <w:pPr>
        <w:spacing w:line="240" w:lineRule="auto"/>
        <w:rPr>
          <w:rFonts w:ascii="Times New Roman" w:hAnsi="Times New Roman" w:cs="Times New Roman"/>
        </w:rPr>
      </w:pPr>
      <w:r w:rsidRPr="00D51061">
        <w:rPr>
          <w:rFonts w:ascii="Times New Roman" w:hAnsi="Times New Roman" w:cs="Times New Roman"/>
        </w:rPr>
        <w:t>By decomposing forecast errors across these dimensions and validating differences through statistical testing, this study addresses a critical methodological gap in forecasting research: the lack of contextual reliability assessment.</w:t>
      </w:r>
    </w:p>
    <w:p w14:paraId="313A2B86" w14:textId="0E6CAE65"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b/>
          <w:bCs/>
          <w:sz w:val="36"/>
          <w:szCs w:val="36"/>
        </w:rPr>
        <w:t>Methodology &amp; Justification</w:t>
      </w:r>
    </w:p>
    <w:p w14:paraId="1FA48AC0" w14:textId="7777777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Step 1: Baseline Forecasting</w:t>
      </w:r>
    </w:p>
    <w:p w14:paraId="066B9DC7"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A lag-1 persistence model was used:</w:t>
      </w:r>
    </w:p>
    <w:p w14:paraId="69908D58"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ŷₜ = yₜ₋₁</w:t>
      </w:r>
    </w:p>
    <w:p w14:paraId="207D3AA1" w14:textId="7258B729"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This model provides a transparent and interpretable benchmark before implementing more advanced forecasting techniques.</w:t>
      </w:r>
    </w:p>
    <w:p w14:paraId="7F3EF997" w14:textId="7777777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lastRenderedPageBreak/>
        <w:t>Step 2: Error Metric Selection</w:t>
      </w:r>
    </w:p>
    <w:p w14:paraId="2DFA2485"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Mean Absolute Error (MAE) was selected because:</w:t>
      </w:r>
    </w:p>
    <w:p w14:paraId="7057D629"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 Interpretable in megawatts</w:t>
      </w:r>
      <w:r w:rsidRPr="00D51061">
        <w:rPr>
          <w:rFonts w:ascii="Times New Roman" w:hAnsi="Times New Roman" w:cs="Times New Roman"/>
        </w:rPr>
        <w:br/>
        <w:t>• Less sensitive to extreme outliers than RMSE</w:t>
      </w:r>
      <w:r w:rsidRPr="00D51061">
        <w:rPr>
          <w:rFonts w:ascii="Times New Roman" w:hAnsi="Times New Roman" w:cs="Times New Roman"/>
        </w:rPr>
        <w:br/>
        <w:t>• Suitable for reliability-focused evaluation</w:t>
      </w:r>
    </w:p>
    <w:p w14:paraId="74BFC68C"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Absolute Error Formula:</w:t>
      </w:r>
    </w:p>
    <w:p w14:paraId="790877F9" w14:textId="687B2AB4"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|Actual − Predicted|</w:t>
      </w:r>
    </w:p>
    <w:p w14:paraId="54EF898F" w14:textId="7777777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Step 3: Error Decomposition</w:t>
      </w:r>
    </w:p>
    <w:p w14:paraId="047D27C4"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Forecast errors were grouped by:</w:t>
      </w:r>
    </w:p>
    <w:p w14:paraId="506B447F"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 Hour of day</w:t>
      </w:r>
      <w:r w:rsidRPr="00D51061">
        <w:rPr>
          <w:rFonts w:ascii="Times New Roman" w:hAnsi="Times New Roman" w:cs="Times New Roman"/>
        </w:rPr>
        <w:br/>
        <w:t>• Day of week</w:t>
      </w:r>
      <w:r w:rsidRPr="00D51061">
        <w:rPr>
          <w:rFonts w:ascii="Times New Roman" w:hAnsi="Times New Roman" w:cs="Times New Roman"/>
        </w:rPr>
        <w:br/>
        <w:t>• Seasonal regime</w:t>
      </w:r>
      <w:r w:rsidRPr="00D51061">
        <w:rPr>
          <w:rFonts w:ascii="Times New Roman" w:hAnsi="Times New Roman" w:cs="Times New Roman"/>
        </w:rPr>
        <w:br/>
        <w:t>• Demand percentile regime</w:t>
      </w:r>
    </w:p>
    <w:p w14:paraId="446B148B" w14:textId="5822219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Mean and standard deviation were computed per category.</w:t>
      </w:r>
    </w:p>
    <w:p w14:paraId="5AFFE273" w14:textId="77777777" w:rsidR="005B0708" w:rsidRPr="00D51061" w:rsidRDefault="005B0708" w:rsidP="00D51061">
      <w:pPr>
        <w:spacing w:line="240" w:lineRule="auto"/>
        <w:rPr>
          <w:rFonts w:ascii="Times New Roman" w:hAnsi="Times New Roman" w:cs="Times New Roman"/>
          <w:b/>
          <w:bCs/>
        </w:rPr>
      </w:pPr>
      <w:r w:rsidRPr="00D51061">
        <w:rPr>
          <w:rFonts w:ascii="Times New Roman" w:hAnsi="Times New Roman" w:cs="Times New Roman"/>
          <w:b/>
          <w:bCs/>
        </w:rPr>
        <w:t>Step 4: Statistical Validation</w:t>
      </w:r>
    </w:p>
    <w:p w14:paraId="7B733701" w14:textId="77777777" w:rsidR="00D67A5E" w:rsidRDefault="005B0708" w:rsidP="00D51061">
      <w:pPr>
        <w:spacing w:line="240" w:lineRule="auto"/>
        <w:rPr>
          <w:rFonts w:ascii="Times New Roman" w:hAnsi="Times New Roman" w:cs="Times New Roman"/>
        </w:rPr>
      </w:pPr>
      <w:r w:rsidRPr="00D51061">
        <w:rPr>
          <w:rFonts w:ascii="Times New Roman" w:hAnsi="Times New Roman" w:cs="Times New Roman"/>
        </w:rPr>
        <w:t>ANOVA testing was applied to evaluate whether mean errors differ significantly across groups.</w:t>
      </w:r>
    </w:p>
    <w:p w14:paraId="714C34F0" w14:textId="5F20769C" w:rsidR="00E75A69" w:rsidRPr="00D51061" w:rsidRDefault="009F4D5B" w:rsidP="00D51061">
      <w:pPr>
        <w:spacing w:line="240" w:lineRule="auto"/>
        <w:rPr>
          <w:rFonts w:ascii="Times New Roman" w:hAnsi="Times New Roman" w:cs="Times New Roman"/>
        </w:rPr>
      </w:pPr>
      <w:r w:rsidRPr="00D51061">
        <w:rPr>
          <w:rFonts w:ascii="Times New Roman" w:hAnsi="Times New Roman" w:cs="Times New Roman"/>
          <w:b/>
          <w:bCs/>
          <w:sz w:val="36"/>
          <w:szCs w:val="36"/>
        </w:rPr>
        <w:t xml:space="preserve">Graphical &amp; Visual Representation </w:t>
      </w:r>
      <w:r w:rsidR="00BC74A5" w:rsidRPr="00D51061">
        <w:rPr>
          <w:rFonts w:ascii="Times New Roman" w:hAnsi="Times New Roman" w:cs="Times New Roman"/>
        </w:rPr>
        <w:t>(</w:t>
      </w:r>
      <w:r w:rsidRPr="00D51061">
        <w:rPr>
          <w:rFonts w:ascii="Times New Roman" w:hAnsi="Times New Roman" w:cs="Times New Roman"/>
        </w:rPr>
        <w:t xml:space="preserve">Separate </w:t>
      </w:r>
      <w:r w:rsidR="00472C0D" w:rsidRPr="00D51061">
        <w:rPr>
          <w:rFonts w:ascii="Times New Roman" w:hAnsi="Times New Roman" w:cs="Times New Roman"/>
        </w:rPr>
        <w:t>ipynb</w:t>
      </w:r>
      <w:r w:rsidRPr="00D51061">
        <w:rPr>
          <w:rFonts w:ascii="Times New Roman" w:hAnsi="Times New Roman" w:cs="Times New Roman"/>
        </w:rPr>
        <w:t xml:space="preserve"> file contain graphical explanation also submitted </w:t>
      </w:r>
      <w:r w:rsidR="00BC74A5" w:rsidRPr="00D51061">
        <w:rPr>
          <w:rFonts w:ascii="Times New Roman" w:hAnsi="Times New Roman" w:cs="Times New Roman"/>
        </w:rPr>
        <w:t>)</w:t>
      </w:r>
    </w:p>
    <w:p w14:paraId="014E5C1B" w14:textId="0F05EC70" w:rsidR="009F4D5B" w:rsidRPr="00D51061" w:rsidRDefault="00BC74A5" w:rsidP="00D51061">
      <w:pPr>
        <w:spacing w:line="240" w:lineRule="auto"/>
        <w:rPr>
          <w:rFonts w:ascii="Times New Roman" w:hAnsi="Times New Roman" w:cs="Times New Roman"/>
        </w:rPr>
      </w:pPr>
      <w:r w:rsidRPr="00D51061">
        <w:rPr>
          <w:rFonts w:ascii="Times New Roman" w:hAnsi="Times New Roman" w:cs="Times New Roman"/>
          <w:b/>
          <w:bCs/>
        </w:rPr>
        <w:t>BAR PLOT 1 — Error by Hour of Day</w:t>
      </w:r>
    </w:p>
    <w:p w14:paraId="0689FF47" w14:textId="4699CA7E" w:rsidR="00BC74A5" w:rsidRPr="00D51061" w:rsidRDefault="009F4D5B" w:rsidP="00D51061">
      <w:pPr>
        <w:pStyle w:val="ListParagraph"/>
        <w:spacing w:line="240" w:lineRule="auto"/>
        <w:ind w:left="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D51061">
        <w:rPr>
          <w:rFonts w:ascii="Times New Roman" w:hAnsi="Times New Roman" w:cs="Times New Roman"/>
          <w:b/>
          <w:bCs/>
          <w:noProof/>
        </w:rPr>
        <w:drawing>
          <wp:inline distT="0" distB="0" distL="0" distR="0" wp14:anchorId="59D37679" wp14:editId="00C3753B">
            <wp:extent cx="3537857" cy="2612390"/>
            <wp:effectExtent l="0" t="0" r="5715" b="0"/>
            <wp:docPr id="20900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9772" cy="2643341"/>
                    </a:xfrm>
                    <a:prstGeom prst="rect">
                      <a:avLst/>
                    </a:prstGeom>
                    <a:noFill/>
                    <a:ln>
                      <a:noFill/>
                    </a:ln>
                  </pic:spPr>
                </pic:pic>
              </a:graphicData>
            </a:graphic>
          </wp:inline>
        </w:drawing>
      </w:r>
      <w:r w:rsidRPr="00D51061">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5B0708" w:rsidRPr="00D51061">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30AD1CFF" w14:textId="77777777" w:rsidR="00BC74A5" w:rsidRPr="00D51061" w:rsidRDefault="00BC74A5" w:rsidP="00D51061">
      <w:pPr>
        <w:pStyle w:val="ListParagraph"/>
        <w:spacing w:line="240" w:lineRule="auto"/>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07A9873" w14:textId="77777777" w:rsidR="00BB639D" w:rsidRPr="00D51061" w:rsidRDefault="00BB639D" w:rsidP="00D51061">
      <w:pPr>
        <w:pStyle w:val="ListParagraph"/>
        <w:spacing w:line="240" w:lineRule="auto"/>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3E941C9C" w14:textId="2BFD972D" w:rsidR="00BB639D" w:rsidRPr="00D51061" w:rsidRDefault="00083E24" w:rsidP="00D51061">
      <w:pPr>
        <w:pStyle w:val="ListParagraph"/>
        <w:spacing w:line="240" w:lineRule="auto"/>
        <w:ind w:left="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D51061">
        <w:rPr>
          <w:rFonts w:ascii="Times New Roman" w:hAnsi="Times New Roman" w:cs="Times New Roman"/>
          <w:b/>
          <w:bCs/>
          <w:lang w:val="x-none" w:eastAsia="x-none" w:bidi="x-none"/>
        </w:rPr>
        <w:t>BA</w:t>
      </w:r>
      <w:r w:rsidR="00BB639D" w:rsidRPr="00D51061">
        <w:rPr>
          <w:rFonts w:ascii="Times New Roman" w:hAnsi="Times New Roman" w:cs="Times New Roman"/>
          <w:b/>
          <w:bCs/>
          <w:lang w:val="x-none" w:eastAsia="x-none" w:bidi="x-none"/>
        </w:rPr>
        <w:t>R</w:t>
      </w:r>
      <w:r w:rsidR="004356CF" w:rsidRPr="00D51061">
        <w:rPr>
          <w:rFonts w:ascii="Times New Roman" w:hAnsi="Times New Roman" w:cs="Times New Roman"/>
          <w:b/>
          <w:bCs/>
          <w:lang w:val="x-none" w:eastAsia="x-none" w:bidi="x-none"/>
        </w:rPr>
        <w:t xml:space="preserve"> </w:t>
      </w:r>
      <w:r w:rsidR="00BB639D" w:rsidRPr="00D51061">
        <w:rPr>
          <w:rFonts w:ascii="Times New Roman" w:hAnsi="Times New Roman" w:cs="Times New Roman"/>
          <w:b/>
          <w:bCs/>
          <w:lang w:val="x-none" w:eastAsia="x-none" w:bidi="x-none"/>
        </w:rPr>
        <w:t>PLOT 2</w:t>
      </w:r>
      <w:r w:rsidR="004356CF" w:rsidRPr="00D51061">
        <w:rPr>
          <w:rFonts w:ascii="Times New Roman" w:hAnsi="Times New Roman" w:cs="Times New Roman"/>
          <w:b/>
          <w:bCs/>
          <w:lang w:val="x-none" w:eastAsia="x-none" w:bidi="x-none"/>
        </w:rPr>
        <w:t xml:space="preserve"> Error by Day of Week</w:t>
      </w:r>
    </w:p>
    <w:p w14:paraId="3534F446" w14:textId="77777777" w:rsidR="00BB639D" w:rsidRPr="00D51061" w:rsidRDefault="00BB639D" w:rsidP="00D51061">
      <w:pPr>
        <w:spacing w:line="240" w:lineRule="auto"/>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52EE865A" w14:textId="77777777" w:rsidR="00BB639D" w:rsidRPr="00D51061" w:rsidRDefault="00BB639D" w:rsidP="00D51061">
      <w:pPr>
        <w:spacing w:line="240" w:lineRule="auto"/>
        <w:jc w:val="center"/>
        <w:rPr>
          <w:rFonts w:ascii="Times New Roman" w:hAnsi="Times New Roman" w:cs="Times New Roman"/>
          <w:lang w:val="x-none" w:eastAsia="x-none" w:bidi="x-none"/>
        </w:rPr>
      </w:pPr>
    </w:p>
    <w:p w14:paraId="70ABC4AF" w14:textId="5C2EB2B0" w:rsidR="009F4D5B" w:rsidRPr="00D51061" w:rsidRDefault="009F4D5B" w:rsidP="00D51061">
      <w:pPr>
        <w:pStyle w:val="ListParagraph"/>
        <w:spacing w:line="240" w:lineRule="auto"/>
        <w:ind w:left="0"/>
        <w:rPr>
          <w:rFonts w:ascii="Times New Roman" w:hAnsi="Times New Roman" w:cs="Times New Roman"/>
          <w:b/>
          <w:bCs/>
        </w:rPr>
      </w:pPr>
      <w:r w:rsidRPr="00D51061">
        <w:rPr>
          <w:rFonts w:ascii="Times New Roman" w:hAnsi="Times New Roman" w:cs="Times New Roman"/>
          <w:b/>
          <w:bCs/>
          <w:noProof/>
        </w:rPr>
        <w:lastRenderedPageBreak/>
        <w:drawing>
          <wp:inline distT="0" distB="0" distL="0" distR="0" wp14:anchorId="2F670A70" wp14:editId="00A1A2B1">
            <wp:extent cx="4403008" cy="2991917"/>
            <wp:effectExtent l="0" t="0" r="0" b="0"/>
            <wp:docPr id="185620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7086" cy="3008278"/>
                    </a:xfrm>
                    <a:prstGeom prst="rect">
                      <a:avLst/>
                    </a:prstGeom>
                    <a:noFill/>
                    <a:ln>
                      <a:noFill/>
                    </a:ln>
                  </pic:spPr>
                </pic:pic>
              </a:graphicData>
            </a:graphic>
          </wp:inline>
        </w:drawing>
      </w:r>
    </w:p>
    <w:p w14:paraId="426F3044" w14:textId="0329C7EF" w:rsidR="005B0708" w:rsidRPr="00D51061" w:rsidRDefault="005B0708" w:rsidP="00D51061">
      <w:pPr>
        <w:pStyle w:val="ListParagraph"/>
        <w:spacing w:line="240" w:lineRule="auto"/>
        <w:ind w:left="0"/>
        <w:rPr>
          <w:rFonts w:ascii="Times New Roman" w:hAnsi="Times New Roman" w:cs="Times New Roman"/>
          <w:b/>
          <w:bCs/>
        </w:rPr>
      </w:pPr>
      <w:r w:rsidRPr="00D51061">
        <w:rPr>
          <w:rFonts w:ascii="Times New Roman" w:hAnsi="Times New Roman" w:cs="Times New Roman"/>
          <w:b/>
          <w:bCs/>
        </w:rPr>
        <w:t>BAR PLOT 3 -Error by Season</w:t>
      </w:r>
    </w:p>
    <w:p w14:paraId="6B8C7460" w14:textId="2A2269B2" w:rsidR="00550441" w:rsidRPr="00D51061" w:rsidRDefault="009F4D5B" w:rsidP="00D51061">
      <w:pPr>
        <w:spacing w:line="240" w:lineRule="auto"/>
        <w:rPr>
          <w:rFonts w:ascii="Times New Roman" w:hAnsi="Times New Roman" w:cs="Times New Roman"/>
        </w:rPr>
      </w:pPr>
      <w:r w:rsidRPr="00D51061">
        <w:rPr>
          <w:rFonts w:ascii="Times New Roman" w:hAnsi="Times New Roman" w:cs="Times New Roman"/>
          <w:noProof/>
        </w:rPr>
        <w:drawing>
          <wp:inline distT="0" distB="0" distL="0" distR="0" wp14:anchorId="35156D49" wp14:editId="375C9A26">
            <wp:extent cx="5072743" cy="4052258"/>
            <wp:effectExtent l="0" t="0" r="0" b="5715"/>
            <wp:docPr id="358031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4908" cy="4093929"/>
                    </a:xfrm>
                    <a:prstGeom prst="rect">
                      <a:avLst/>
                    </a:prstGeom>
                    <a:noFill/>
                    <a:ln>
                      <a:noFill/>
                    </a:ln>
                  </pic:spPr>
                </pic:pic>
              </a:graphicData>
            </a:graphic>
          </wp:inline>
        </w:drawing>
      </w:r>
    </w:p>
    <w:p w14:paraId="20A7407D" w14:textId="777F4470" w:rsidR="00BC74A5" w:rsidRPr="00D51061" w:rsidRDefault="00BC74A5" w:rsidP="00D51061">
      <w:pPr>
        <w:spacing w:line="240" w:lineRule="auto"/>
        <w:rPr>
          <w:rFonts w:ascii="Times New Roman" w:hAnsi="Times New Roman" w:cs="Times New Roman"/>
          <w:b/>
          <w:bCs/>
        </w:rPr>
      </w:pPr>
      <w:r w:rsidRPr="00D51061">
        <w:rPr>
          <w:rFonts w:ascii="Times New Roman" w:hAnsi="Times New Roman" w:cs="Times New Roman"/>
          <w:b/>
          <w:bCs/>
        </w:rPr>
        <w:t>BAR PLOT 4 — Error by Demand Regime</w:t>
      </w:r>
    </w:p>
    <w:p w14:paraId="5D51E3E5" w14:textId="76926716" w:rsidR="00D67A5E" w:rsidRPr="00D67A5E" w:rsidRDefault="009F4D5B" w:rsidP="00D51061">
      <w:pPr>
        <w:spacing w:line="240" w:lineRule="auto"/>
        <w:rPr>
          <w:rFonts w:ascii="Times New Roman" w:hAnsi="Times New Roman" w:cs="Times New Roman"/>
        </w:rPr>
      </w:pPr>
      <w:r w:rsidRPr="00D51061">
        <w:rPr>
          <w:rFonts w:ascii="Times New Roman" w:hAnsi="Times New Roman" w:cs="Times New Roman"/>
          <w:noProof/>
        </w:rPr>
        <w:lastRenderedPageBreak/>
        <w:drawing>
          <wp:inline distT="0" distB="0" distL="0" distR="0" wp14:anchorId="1B90AE7B" wp14:editId="129487C3">
            <wp:extent cx="4370614" cy="2933065"/>
            <wp:effectExtent l="0" t="0" r="0" b="635"/>
            <wp:docPr id="1582385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1523" cy="2960519"/>
                    </a:xfrm>
                    <a:prstGeom prst="rect">
                      <a:avLst/>
                    </a:prstGeom>
                    <a:noFill/>
                    <a:ln>
                      <a:noFill/>
                    </a:ln>
                  </pic:spPr>
                </pic:pic>
              </a:graphicData>
            </a:graphic>
          </wp:inline>
        </w:drawing>
      </w:r>
    </w:p>
    <w:p w14:paraId="5D20F565" w14:textId="3CBDEDA0" w:rsidR="00BC74A5" w:rsidRPr="00D51061" w:rsidRDefault="00BC74A5" w:rsidP="00D51061">
      <w:pPr>
        <w:spacing w:line="240" w:lineRule="auto"/>
        <w:rPr>
          <w:rFonts w:ascii="Times New Roman" w:hAnsi="Times New Roman" w:cs="Times New Roman"/>
          <w:b/>
          <w:bCs/>
        </w:rPr>
      </w:pPr>
      <w:r w:rsidRPr="00D51061">
        <w:rPr>
          <w:rFonts w:ascii="Times New Roman" w:hAnsi="Times New Roman" w:cs="Times New Roman"/>
          <w:b/>
          <w:bCs/>
        </w:rPr>
        <w:t>Bar Plot 5</w:t>
      </w:r>
      <w:r w:rsidR="00E13437" w:rsidRPr="00D51061">
        <w:rPr>
          <w:rFonts w:ascii="Times New Roman" w:hAnsi="Times New Roman" w:cs="Times New Roman"/>
          <w:b/>
          <w:bCs/>
        </w:rPr>
        <w:t>:</w:t>
      </w:r>
      <w:r w:rsidRPr="00D51061">
        <w:rPr>
          <w:rFonts w:ascii="Times New Roman" w:hAnsi="Times New Roman" w:cs="Times New Roman"/>
          <w:b/>
          <w:bCs/>
        </w:rPr>
        <w:t xml:space="preserve"> </w:t>
      </w:r>
      <w:r w:rsidR="00E13437" w:rsidRPr="00D51061">
        <w:rPr>
          <w:rFonts w:ascii="Times New Roman" w:hAnsi="Times New Roman" w:cs="Times New Roman"/>
          <w:b/>
          <w:bCs/>
        </w:rPr>
        <w:t>Mean</w:t>
      </w:r>
      <w:r w:rsidRPr="00D51061">
        <w:rPr>
          <w:rFonts w:ascii="Times New Roman" w:hAnsi="Times New Roman" w:cs="Times New Roman"/>
          <w:b/>
          <w:bCs/>
        </w:rPr>
        <w:t xml:space="preserve"> Absolute Forecast Error by Hour of Day (with Standard Deviation)</w:t>
      </w:r>
    </w:p>
    <w:p w14:paraId="42E432B2" w14:textId="77777777" w:rsidR="00D67A5E" w:rsidRDefault="009F4D5B" w:rsidP="00D51061">
      <w:pPr>
        <w:spacing w:line="240" w:lineRule="auto"/>
        <w:rPr>
          <w:rFonts w:ascii="Times New Roman" w:hAnsi="Times New Roman" w:cs="Times New Roman"/>
          <w:b/>
          <w:bCs/>
          <w:sz w:val="36"/>
          <w:szCs w:val="36"/>
        </w:rPr>
      </w:pPr>
      <w:r w:rsidRPr="00D51061">
        <w:rPr>
          <w:rFonts w:ascii="Times New Roman" w:hAnsi="Times New Roman" w:cs="Times New Roman"/>
          <w:noProof/>
        </w:rPr>
        <w:drawing>
          <wp:inline distT="0" distB="0" distL="0" distR="0" wp14:anchorId="4AFE8505" wp14:editId="277DEA2F">
            <wp:extent cx="4511675" cy="2585357"/>
            <wp:effectExtent l="0" t="0" r="3175" b="5715"/>
            <wp:docPr id="45829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1137" cy="2596509"/>
                    </a:xfrm>
                    <a:prstGeom prst="rect">
                      <a:avLst/>
                    </a:prstGeom>
                    <a:noFill/>
                    <a:ln>
                      <a:noFill/>
                    </a:ln>
                  </pic:spPr>
                </pic:pic>
              </a:graphicData>
            </a:graphic>
          </wp:inline>
        </w:drawing>
      </w:r>
    </w:p>
    <w:p w14:paraId="2A9D1E7F" w14:textId="2A98CC59"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b/>
          <w:bCs/>
          <w:sz w:val="36"/>
          <w:szCs w:val="36"/>
        </w:rPr>
        <w:t>Conclusion</w:t>
      </w:r>
    </w:p>
    <w:p w14:paraId="68A7B0E5"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This study demonstrates that forecasting reliability is condition-dependent rather than uniform across time.</w:t>
      </w:r>
    </w:p>
    <w:p w14:paraId="043A3B54"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Key findings include:</w:t>
      </w:r>
    </w:p>
    <w:p w14:paraId="4902BBD7" w14:textId="77777777" w:rsidR="005B0708" w:rsidRPr="00D51061" w:rsidRDefault="005B0708" w:rsidP="00D51061">
      <w:pPr>
        <w:spacing w:line="240" w:lineRule="auto"/>
        <w:rPr>
          <w:rFonts w:ascii="Times New Roman" w:hAnsi="Times New Roman" w:cs="Times New Roman"/>
        </w:rPr>
      </w:pPr>
      <w:r w:rsidRPr="00D51061">
        <w:rPr>
          <w:rFonts w:ascii="Times New Roman" w:hAnsi="Times New Roman" w:cs="Times New Roman"/>
        </w:rPr>
        <w:t>• Significant temporal heterogeneity in forecast error</w:t>
      </w:r>
      <w:r w:rsidRPr="00D51061">
        <w:rPr>
          <w:rFonts w:ascii="Times New Roman" w:hAnsi="Times New Roman" w:cs="Times New Roman"/>
        </w:rPr>
        <w:br/>
        <w:t>• Elevated error under high-demand regimes</w:t>
      </w:r>
      <w:r w:rsidRPr="00D51061">
        <w:rPr>
          <w:rFonts w:ascii="Times New Roman" w:hAnsi="Times New Roman" w:cs="Times New Roman"/>
        </w:rPr>
        <w:br/>
        <w:t>• Increased instability during seasonal peaks</w:t>
      </w:r>
    </w:p>
    <w:p w14:paraId="037A2AAA" w14:textId="77777777" w:rsidR="00D67A5E" w:rsidRDefault="005B0708" w:rsidP="00D51061">
      <w:pPr>
        <w:spacing w:line="240" w:lineRule="auto"/>
        <w:rPr>
          <w:rFonts w:ascii="Times New Roman" w:hAnsi="Times New Roman" w:cs="Times New Roman"/>
        </w:rPr>
      </w:pPr>
      <w:r w:rsidRPr="00D51061">
        <w:rPr>
          <w:rFonts w:ascii="Times New Roman" w:hAnsi="Times New Roman" w:cs="Times New Roman"/>
        </w:rPr>
        <w:t>By shifting focus from model comparison to contextual reliability evaluation, this research contributes to more risk-aware electricity forecasting practices.</w:t>
      </w:r>
    </w:p>
    <w:p w14:paraId="6E7717A7" w14:textId="63EC8368" w:rsidR="00AC5AA2" w:rsidRPr="00D67A5E" w:rsidRDefault="009F4D5B" w:rsidP="00D51061">
      <w:pPr>
        <w:spacing w:line="240" w:lineRule="auto"/>
        <w:rPr>
          <w:rFonts w:ascii="Times New Roman" w:hAnsi="Times New Roman" w:cs="Times New Roman"/>
        </w:rPr>
      </w:pPr>
      <w:r w:rsidRPr="00D51061">
        <w:rPr>
          <w:rFonts w:ascii="Times New Roman" w:hAnsi="Times New Roman" w:cs="Times New Roman"/>
          <w:b/>
          <w:bCs/>
          <w:sz w:val="36"/>
          <w:szCs w:val="36"/>
        </w:rPr>
        <w:lastRenderedPageBreak/>
        <w:t xml:space="preserve">References </w:t>
      </w:r>
    </w:p>
    <w:p w14:paraId="4ACE559F" w14:textId="372A9E31" w:rsidR="00AC5AA2" w:rsidRPr="00AC5AA2" w:rsidRDefault="00BD223C" w:rsidP="00D51061">
      <w:pPr>
        <w:spacing w:line="240" w:lineRule="auto"/>
        <w:rPr>
          <w:rFonts w:ascii="Times New Roman" w:hAnsi="Times New Roman" w:cs="Times New Roman"/>
        </w:rPr>
      </w:pPr>
      <w:r w:rsidRPr="00D51061">
        <w:rPr>
          <w:rFonts w:ascii="Times New Roman" w:hAnsi="Times New Roman" w:cs="Times New Roman"/>
          <w:b/>
          <w:bCs/>
        </w:rPr>
        <w:t>Hyndman, R. J., &amp; Athanasopoulos, G. (2021).</w:t>
      </w:r>
      <w:r w:rsidRPr="00D51061">
        <w:rPr>
          <w:rFonts w:ascii="Times New Roman" w:hAnsi="Times New Roman" w:cs="Times New Roman"/>
        </w:rPr>
        <w:br/>
      </w:r>
      <w:r w:rsidRPr="00D51061">
        <w:rPr>
          <w:rFonts w:ascii="Times New Roman" w:hAnsi="Times New Roman" w:cs="Times New Roman"/>
          <w:i/>
          <w:iCs/>
        </w:rPr>
        <w:t>Forecasting: Principles and practice</w:t>
      </w:r>
      <w:r w:rsidRPr="00D51061">
        <w:rPr>
          <w:rFonts w:ascii="Times New Roman" w:hAnsi="Times New Roman" w:cs="Times New Roman"/>
        </w:rPr>
        <w:t xml:space="preserve"> (3rd ed.). OTexts.</w:t>
      </w:r>
      <w:r w:rsidRPr="00D51061">
        <w:rPr>
          <w:rFonts w:ascii="Times New Roman" w:hAnsi="Times New Roman" w:cs="Times New Roman"/>
        </w:rPr>
        <w:br/>
      </w:r>
      <w:hyperlink r:id="rId11" w:tgtFrame="_new" w:history="1">
        <w:r w:rsidRPr="00D51061">
          <w:rPr>
            <w:rStyle w:val="Hyperlink"/>
            <w:rFonts w:ascii="Times New Roman" w:hAnsi="Times New Roman" w:cs="Times New Roman"/>
          </w:rPr>
          <w:t>https://otexts.com/fpp3/</w:t>
        </w:r>
      </w:hyperlink>
    </w:p>
    <w:p w14:paraId="68B796EA" w14:textId="77777777" w:rsidR="00AC5AA2" w:rsidRPr="00AC5AA2" w:rsidRDefault="00AC5AA2" w:rsidP="00D51061">
      <w:pPr>
        <w:spacing w:line="240" w:lineRule="auto"/>
        <w:rPr>
          <w:rFonts w:ascii="Times New Roman" w:hAnsi="Times New Roman" w:cs="Times New Roman"/>
        </w:rPr>
      </w:pPr>
      <w:r w:rsidRPr="00AC5AA2">
        <w:rPr>
          <w:rFonts w:ascii="Times New Roman" w:hAnsi="Times New Roman" w:cs="Times New Roman"/>
          <w:b/>
          <w:bCs/>
        </w:rPr>
        <w:t>Chen, T., &amp; Guestrin, C. (2016).</w:t>
      </w:r>
      <w:r w:rsidRPr="00AC5AA2">
        <w:rPr>
          <w:rFonts w:ascii="Times New Roman" w:hAnsi="Times New Roman" w:cs="Times New Roman"/>
        </w:rPr>
        <w:br/>
        <w:t xml:space="preserve">XGBoost: A scalable tree boosting system. </w:t>
      </w:r>
      <w:r w:rsidRPr="00AC5AA2">
        <w:rPr>
          <w:rFonts w:ascii="Times New Roman" w:hAnsi="Times New Roman" w:cs="Times New Roman"/>
          <w:i/>
          <w:iCs/>
        </w:rPr>
        <w:t>Proceedings of the 22nd ACM SIGKDD International Conference on Knowledge Discovery and Data Mining</w:t>
      </w:r>
      <w:r w:rsidRPr="00AC5AA2">
        <w:rPr>
          <w:rFonts w:ascii="Times New Roman" w:hAnsi="Times New Roman" w:cs="Times New Roman"/>
        </w:rPr>
        <w:t>, 785–794.</w:t>
      </w:r>
      <w:r w:rsidRPr="00AC5AA2">
        <w:rPr>
          <w:rFonts w:ascii="Times New Roman" w:hAnsi="Times New Roman" w:cs="Times New Roman"/>
        </w:rPr>
        <w:br/>
      </w:r>
      <w:hyperlink r:id="rId12" w:tgtFrame="_new" w:history="1">
        <w:r w:rsidRPr="00AC5AA2">
          <w:rPr>
            <w:rStyle w:val="Hyperlink"/>
            <w:rFonts w:ascii="Times New Roman" w:hAnsi="Times New Roman" w:cs="Times New Roman"/>
          </w:rPr>
          <w:t>https://doi.org/10.1145/2939672.2939785</w:t>
        </w:r>
      </w:hyperlink>
      <w:r w:rsidRPr="00AC5AA2">
        <w:rPr>
          <w:rFonts w:ascii="Times New Roman" w:hAnsi="Times New Roman" w:cs="Times New Roman"/>
        </w:rPr>
        <w:br/>
        <w:t xml:space="preserve">(Open-access PDF: </w:t>
      </w:r>
      <w:hyperlink r:id="rId13" w:tgtFrame="_new" w:history="1">
        <w:r w:rsidRPr="00AC5AA2">
          <w:rPr>
            <w:rStyle w:val="Hyperlink"/>
            <w:rFonts w:ascii="Times New Roman" w:hAnsi="Times New Roman" w:cs="Times New Roman"/>
          </w:rPr>
          <w:t>https://arxiv.org/abs/1603.02754</w:t>
        </w:r>
      </w:hyperlink>
      <w:r w:rsidRPr="00AC5AA2">
        <w:rPr>
          <w:rFonts w:ascii="Times New Roman" w:hAnsi="Times New Roman" w:cs="Times New Roman"/>
        </w:rPr>
        <w:t>)</w:t>
      </w:r>
    </w:p>
    <w:p w14:paraId="66258D43" w14:textId="34CF04A5" w:rsidR="00AC5AA2" w:rsidRPr="00AC5AA2" w:rsidRDefault="00AC5AA2" w:rsidP="00D51061">
      <w:pPr>
        <w:spacing w:line="240" w:lineRule="auto"/>
        <w:rPr>
          <w:rFonts w:ascii="Times New Roman" w:hAnsi="Times New Roman" w:cs="Times New Roman"/>
        </w:rPr>
      </w:pPr>
    </w:p>
    <w:p w14:paraId="2BA07353" w14:textId="0F5C234E" w:rsidR="00AC5AA2" w:rsidRPr="00D51061" w:rsidRDefault="00AC5AA2" w:rsidP="00D51061">
      <w:pPr>
        <w:spacing w:line="240" w:lineRule="auto"/>
        <w:rPr>
          <w:rFonts w:ascii="Times New Roman" w:hAnsi="Times New Roman" w:cs="Times New Roman"/>
        </w:rPr>
      </w:pPr>
      <w:r w:rsidRPr="00AC5AA2">
        <w:rPr>
          <w:rFonts w:ascii="Times New Roman" w:hAnsi="Times New Roman" w:cs="Times New Roman"/>
          <w:b/>
          <w:bCs/>
        </w:rPr>
        <w:t>Hong, T., &amp; Fan, S. (2016).</w:t>
      </w:r>
      <w:r w:rsidRPr="00AC5AA2">
        <w:rPr>
          <w:rFonts w:ascii="Times New Roman" w:hAnsi="Times New Roman" w:cs="Times New Roman"/>
        </w:rPr>
        <w:br/>
        <w:t xml:space="preserve">Probabilistic electric load forecasting: A tutorial review. </w:t>
      </w:r>
      <w:r w:rsidRPr="00AC5AA2">
        <w:rPr>
          <w:rFonts w:ascii="Times New Roman" w:hAnsi="Times New Roman" w:cs="Times New Roman"/>
          <w:i/>
          <w:iCs/>
        </w:rPr>
        <w:t>International Journal of Forecasting, 32</w:t>
      </w:r>
      <w:r w:rsidRPr="00AC5AA2">
        <w:rPr>
          <w:rFonts w:ascii="Times New Roman" w:hAnsi="Times New Roman" w:cs="Times New Roman"/>
        </w:rPr>
        <w:t>(3), 914–938.</w:t>
      </w:r>
      <w:r w:rsidRPr="00AC5AA2">
        <w:rPr>
          <w:rFonts w:ascii="Times New Roman" w:hAnsi="Times New Roman" w:cs="Times New Roman"/>
        </w:rPr>
        <w:br/>
      </w:r>
      <w:hyperlink r:id="rId14" w:tgtFrame="_new" w:history="1">
        <w:r w:rsidRPr="00AC5AA2">
          <w:rPr>
            <w:rStyle w:val="Hyperlink"/>
            <w:rFonts w:ascii="Times New Roman" w:hAnsi="Times New Roman" w:cs="Times New Roman"/>
          </w:rPr>
          <w:t>https://doi.org/10.1016/j.ijforecast.2015.11.011</w:t>
        </w:r>
      </w:hyperlink>
    </w:p>
    <w:p w14:paraId="42925EA0" w14:textId="77777777" w:rsidR="00E75A69" w:rsidRPr="00AC5AA2" w:rsidRDefault="00E75A69" w:rsidP="00D51061">
      <w:pPr>
        <w:spacing w:line="240" w:lineRule="auto"/>
        <w:rPr>
          <w:rFonts w:ascii="Times New Roman" w:hAnsi="Times New Roman" w:cs="Times New Roman"/>
        </w:rPr>
      </w:pPr>
    </w:p>
    <w:p w14:paraId="75593448" w14:textId="0E1E2969" w:rsidR="00AC5AA2" w:rsidRPr="00D51061" w:rsidRDefault="00AC5AA2" w:rsidP="00D51061">
      <w:pPr>
        <w:spacing w:line="240" w:lineRule="auto"/>
        <w:rPr>
          <w:rFonts w:ascii="Times New Roman" w:hAnsi="Times New Roman" w:cs="Times New Roman"/>
        </w:rPr>
      </w:pPr>
      <w:r w:rsidRPr="00AC5AA2">
        <w:rPr>
          <w:rFonts w:ascii="Times New Roman" w:hAnsi="Times New Roman" w:cs="Times New Roman"/>
          <w:b/>
          <w:bCs/>
        </w:rPr>
        <w:t>Kong, W., Dong, Z. Y., Jia, Y., Hill, D. J., Xu, Y., &amp; Zhang, Y. (2017).</w:t>
      </w:r>
      <w:r w:rsidRPr="00AC5AA2">
        <w:rPr>
          <w:rFonts w:ascii="Times New Roman" w:hAnsi="Times New Roman" w:cs="Times New Roman"/>
        </w:rPr>
        <w:br/>
        <w:t xml:space="preserve">Short-term residential load forecasting based on LSTM recurrent neural network. </w:t>
      </w:r>
      <w:r w:rsidRPr="00AC5AA2">
        <w:rPr>
          <w:rFonts w:ascii="Times New Roman" w:hAnsi="Times New Roman" w:cs="Times New Roman"/>
          <w:i/>
          <w:iCs/>
        </w:rPr>
        <w:t>IEEE Transactions on Smart Grid, 10</w:t>
      </w:r>
      <w:r w:rsidRPr="00AC5AA2">
        <w:rPr>
          <w:rFonts w:ascii="Times New Roman" w:hAnsi="Times New Roman" w:cs="Times New Roman"/>
        </w:rPr>
        <w:t>(1), 841–851.</w:t>
      </w:r>
      <w:r w:rsidRPr="00AC5AA2">
        <w:rPr>
          <w:rFonts w:ascii="Times New Roman" w:hAnsi="Times New Roman" w:cs="Times New Roman"/>
        </w:rPr>
        <w:br/>
      </w:r>
      <w:hyperlink r:id="rId15" w:history="1">
        <w:r w:rsidRPr="00AC5AA2">
          <w:rPr>
            <w:rStyle w:val="Hyperlink"/>
            <w:rFonts w:ascii="Times New Roman" w:hAnsi="Times New Roman" w:cs="Times New Roman"/>
          </w:rPr>
          <w:t>https://doi.org/10.1109/TSG.2017.2753802</w:t>
        </w:r>
      </w:hyperlink>
      <w:r w:rsidRPr="00AC5AA2">
        <w:rPr>
          <w:rFonts w:ascii="Times New Roman" w:hAnsi="Times New Roman" w:cs="Times New Roman"/>
        </w:rPr>
        <w:br/>
        <w:t>(Preprint version often available on IEEE Xplore or ResearchGate)</w:t>
      </w:r>
    </w:p>
    <w:p w14:paraId="33315EF4" w14:textId="77777777" w:rsidR="00AC5AA2" w:rsidRPr="00AC5AA2" w:rsidRDefault="00AC5AA2" w:rsidP="00D51061">
      <w:pPr>
        <w:spacing w:line="240" w:lineRule="auto"/>
        <w:rPr>
          <w:rFonts w:ascii="Times New Roman" w:hAnsi="Times New Roman" w:cs="Times New Roman"/>
        </w:rPr>
      </w:pPr>
    </w:p>
    <w:p w14:paraId="4417BD61" w14:textId="1792FE60" w:rsidR="00AC5AA2" w:rsidRPr="00D51061" w:rsidRDefault="00AC5AA2" w:rsidP="00D51061">
      <w:pPr>
        <w:spacing w:line="240" w:lineRule="auto"/>
        <w:rPr>
          <w:rFonts w:ascii="Times New Roman" w:hAnsi="Times New Roman" w:cs="Times New Roman"/>
        </w:rPr>
      </w:pPr>
      <w:r w:rsidRPr="00AC5AA2">
        <w:rPr>
          <w:rFonts w:ascii="Times New Roman" w:hAnsi="Times New Roman" w:cs="Times New Roman"/>
          <w:b/>
          <w:bCs/>
        </w:rPr>
        <w:t>Taylor, J. W. (2003).</w:t>
      </w:r>
      <w:r w:rsidRPr="00AC5AA2">
        <w:rPr>
          <w:rFonts w:ascii="Times New Roman" w:hAnsi="Times New Roman" w:cs="Times New Roman"/>
        </w:rPr>
        <w:br/>
        <w:t xml:space="preserve">Short-term electricity demand forecasting using double seasonal exponential smoothing. </w:t>
      </w:r>
      <w:r w:rsidRPr="00AC5AA2">
        <w:rPr>
          <w:rFonts w:ascii="Times New Roman" w:hAnsi="Times New Roman" w:cs="Times New Roman"/>
          <w:i/>
          <w:iCs/>
        </w:rPr>
        <w:t>Journal of the Operational Research Society, 54</w:t>
      </w:r>
      <w:r w:rsidRPr="00AC5AA2">
        <w:rPr>
          <w:rFonts w:ascii="Times New Roman" w:hAnsi="Times New Roman" w:cs="Times New Roman"/>
        </w:rPr>
        <w:t>(8), 799–805.</w:t>
      </w:r>
      <w:r w:rsidRPr="00AC5AA2">
        <w:rPr>
          <w:rFonts w:ascii="Times New Roman" w:hAnsi="Times New Roman" w:cs="Times New Roman"/>
        </w:rPr>
        <w:br/>
      </w:r>
      <w:hyperlink r:id="rId16" w:history="1">
        <w:r w:rsidRPr="00AC5AA2">
          <w:rPr>
            <w:rStyle w:val="Hyperlink"/>
            <w:rFonts w:ascii="Times New Roman" w:hAnsi="Times New Roman" w:cs="Times New Roman"/>
          </w:rPr>
          <w:t>https://doi.org/10.1057/palgrave.jors.2601589</w:t>
        </w:r>
      </w:hyperlink>
    </w:p>
    <w:p w14:paraId="1459FA00" w14:textId="77777777" w:rsidR="00AC5AA2" w:rsidRPr="00AC5AA2" w:rsidRDefault="00AC5AA2" w:rsidP="00D51061">
      <w:pPr>
        <w:spacing w:line="240" w:lineRule="auto"/>
        <w:rPr>
          <w:rFonts w:ascii="Times New Roman" w:hAnsi="Times New Roman" w:cs="Times New Roman"/>
        </w:rPr>
      </w:pPr>
    </w:p>
    <w:p w14:paraId="5DC91392" w14:textId="73801069" w:rsidR="00AC5AA2" w:rsidRPr="00AC5AA2" w:rsidRDefault="00AC5AA2" w:rsidP="00D51061">
      <w:pPr>
        <w:spacing w:line="240" w:lineRule="auto"/>
        <w:rPr>
          <w:rFonts w:ascii="Times New Roman" w:hAnsi="Times New Roman" w:cs="Times New Roman"/>
        </w:rPr>
      </w:pPr>
      <w:r w:rsidRPr="00AC5AA2">
        <w:rPr>
          <w:rFonts w:ascii="Times New Roman" w:hAnsi="Times New Roman" w:cs="Times New Roman"/>
          <w:b/>
          <w:bCs/>
        </w:rPr>
        <w:t>Zhang, G., Patuwo, B. E., &amp; Hu, M. Y. (1998).</w:t>
      </w:r>
      <w:r w:rsidRPr="00AC5AA2">
        <w:rPr>
          <w:rFonts w:ascii="Times New Roman" w:hAnsi="Times New Roman" w:cs="Times New Roman"/>
        </w:rPr>
        <w:br/>
        <w:t xml:space="preserve">Forecasting with artificial neural networks: The state of the art. </w:t>
      </w:r>
      <w:r w:rsidRPr="00AC5AA2">
        <w:rPr>
          <w:rFonts w:ascii="Times New Roman" w:hAnsi="Times New Roman" w:cs="Times New Roman"/>
          <w:i/>
          <w:iCs/>
        </w:rPr>
        <w:t>International Journal of Forecasting, 14</w:t>
      </w:r>
      <w:r w:rsidRPr="00AC5AA2">
        <w:rPr>
          <w:rFonts w:ascii="Times New Roman" w:hAnsi="Times New Roman" w:cs="Times New Roman"/>
        </w:rPr>
        <w:t>(1), 35–62.</w:t>
      </w:r>
      <w:r w:rsidRPr="00AC5AA2">
        <w:rPr>
          <w:rFonts w:ascii="Times New Roman" w:hAnsi="Times New Roman" w:cs="Times New Roman"/>
        </w:rPr>
        <w:br/>
      </w:r>
      <w:hyperlink r:id="rId17" w:history="1">
        <w:r w:rsidRPr="00AC5AA2">
          <w:rPr>
            <w:rStyle w:val="Hyperlink"/>
            <w:rFonts w:ascii="Times New Roman" w:hAnsi="Times New Roman" w:cs="Times New Roman"/>
          </w:rPr>
          <w:t>https://doi.org/10.1016/S0169-2070(97)00044-7</w:t>
        </w:r>
      </w:hyperlink>
    </w:p>
    <w:p w14:paraId="693F8925" w14:textId="77777777" w:rsidR="00AC5AA2" w:rsidRPr="00D51061" w:rsidRDefault="00AC5AA2" w:rsidP="00D51061">
      <w:pPr>
        <w:spacing w:line="240" w:lineRule="auto"/>
        <w:rPr>
          <w:rFonts w:ascii="Times New Roman" w:hAnsi="Times New Roman" w:cs="Times New Roman"/>
        </w:rPr>
      </w:pPr>
    </w:p>
    <w:sectPr w:rsidR="00AC5AA2" w:rsidRPr="00D51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334"/>
    <w:multiLevelType w:val="multilevel"/>
    <w:tmpl w:val="98C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0853"/>
    <w:multiLevelType w:val="multilevel"/>
    <w:tmpl w:val="1DC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DBD"/>
    <w:multiLevelType w:val="multilevel"/>
    <w:tmpl w:val="7254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918FD"/>
    <w:multiLevelType w:val="multilevel"/>
    <w:tmpl w:val="CDC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2033D"/>
    <w:multiLevelType w:val="multilevel"/>
    <w:tmpl w:val="B56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D4D64"/>
    <w:multiLevelType w:val="multilevel"/>
    <w:tmpl w:val="931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816F6"/>
    <w:multiLevelType w:val="multilevel"/>
    <w:tmpl w:val="FF3893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C64A4"/>
    <w:multiLevelType w:val="multilevel"/>
    <w:tmpl w:val="889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73EE0"/>
    <w:multiLevelType w:val="multilevel"/>
    <w:tmpl w:val="B158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5572E"/>
    <w:multiLevelType w:val="multilevel"/>
    <w:tmpl w:val="902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E68E7"/>
    <w:multiLevelType w:val="multilevel"/>
    <w:tmpl w:val="50D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A34CE"/>
    <w:multiLevelType w:val="multilevel"/>
    <w:tmpl w:val="24CA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E6A63"/>
    <w:multiLevelType w:val="multilevel"/>
    <w:tmpl w:val="D102D3A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01F0C"/>
    <w:multiLevelType w:val="multilevel"/>
    <w:tmpl w:val="7FA8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E56AE"/>
    <w:multiLevelType w:val="multilevel"/>
    <w:tmpl w:val="415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72134"/>
    <w:multiLevelType w:val="multilevel"/>
    <w:tmpl w:val="E1E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C5CC5"/>
    <w:multiLevelType w:val="multilevel"/>
    <w:tmpl w:val="70F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F2A39"/>
    <w:multiLevelType w:val="multilevel"/>
    <w:tmpl w:val="EC3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162B7"/>
    <w:multiLevelType w:val="multilevel"/>
    <w:tmpl w:val="AF06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77708"/>
    <w:multiLevelType w:val="multilevel"/>
    <w:tmpl w:val="6EAC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A94E87"/>
    <w:multiLevelType w:val="multilevel"/>
    <w:tmpl w:val="B50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F3FB6"/>
    <w:multiLevelType w:val="multilevel"/>
    <w:tmpl w:val="CEC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A7BA0"/>
    <w:multiLevelType w:val="multilevel"/>
    <w:tmpl w:val="FE1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972D2"/>
    <w:multiLevelType w:val="multilevel"/>
    <w:tmpl w:val="65F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C2A5F"/>
    <w:multiLevelType w:val="multilevel"/>
    <w:tmpl w:val="8A9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53FFC"/>
    <w:multiLevelType w:val="multilevel"/>
    <w:tmpl w:val="C8D0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47F99"/>
    <w:multiLevelType w:val="multilevel"/>
    <w:tmpl w:val="CC4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07276">
    <w:abstractNumId w:val="21"/>
  </w:num>
  <w:num w:numId="2" w16cid:durableId="1010718051">
    <w:abstractNumId w:val="7"/>
  </w:num>
  <w:num w:numId="3" w16cid:durableId="674654563">
    <w:abstractNumId w:val="4"/>
  </w:num>
  <w:num w:numId="4" w16cid:durableId="1776710219">
    <w:abstractNumId w:val="15"/>
  </w:num>
  <w:num w:numId="5" w16cid:durableId="1517038030">
    <w:abstractNumId w:val="0"/>
  </w:num>
  <w:num w:numId="6" w16cid:durableId="1558859990">
    <w:abstractNumId w:val="24"/>
  </w:num>
  <w:num w:numId="7" w16cid:durableId="1347487186">
    <w:abstractNumId w:val="17"/>
  </w:num>
  <w:num w:numId="8" w16cid:durableId="1613122056">
    <w:abstractNumId w:val="26"/>
  </w:num>
  <w:num w:numId="9" w16cid:durableId="828518394">
    <w:abstractNumId w:val="18"/>
  </w:num>
  <w:num w:numId="10" w16cid:durableId="1349256696">
    <w:abstractNumId w:val="14"/>
  </w:num>
  <w:num w:numId="11" w16cid:durableId="1433090944">
    <w:abstractNumId w:val="9"/>
  </w:num>
  <w:num w:numId="12" w16cid:durableId="1101609740">
    <w:abstractNumId w:val="23"/>
  </w:num>
  <w:num w:numId="13" w16cid:durableId="342980146">
    <w:abstractNumId w:val="25"/>
  </w:num>
  <w:num w:numId="14" w16cid:durableId="474226847">
    <w:abstractNumId w:val="3"/>
  </w:num>
  <w:num w:numId="15" w16cid:durableId="1701707984">
    <w:abstractNumId w:val="10"/>
  </w:num>
  <w:num w:numId="16" w16cid:durableId="1453523881">
    <w:abstractNumId w:val="11"/>
  </w:num>
  <w:num w:numId="17" w16cid:durableId="1408989894">
    <w:abstractNumId w:val="5"/>
  </w:num>
  <w:num w:numId="18" w16cid:durableId="632441451">
    <w:abstractNumId w:val="12"/>
  </w:num>
  <w:num w:numId="19" w16cid:durableId="1613319548">
    <w:abstractNumId w:val="6"/>
  </w:num>
  <w:num w:numId="20" w16cid:durableId="1494761655">
    <w:abstractNumId w:val="16"/>
  </w:num>
  <w:num w:numId="21" w16cid:durableId="469596022">
    <w:abstractNumId w:val="20"/>
  </w:num>
  <w:num w:numId="22" w16cid:durableId="1485270345">
    <w:abstractNumId w:val="8"/>
  </w:num>
  <w:num w:numId="23" w16cid:durableId="1725712517">
    <w:abstractNumId w:val="22"/>
  </w:num>
  <w:num w:numId="24" w16cid:durableId="1303609249">
    <w:abstractNumId w:val="13"/>
  </w:num>
  <w:num w:numId="25" w16cid:durableId="1737320253">
    <w:abstractNumId w:val="1"/>
  </w:num>
  <w:num w:numId="26" w16cid:durableId="1034695749">
    <w:abstractNumId w:val="2"/>
  </w:num>
  <w:num w:numId="27" w16cid:durableId="414493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D1"/>
    <w:rsid w:val="0000524C"/>
    <w:rsid w:val="000744DC"/>
    <w:rsid w:val="00075851"/>
    <w:rsid w:val="00083E24"/>
    <w:rsid w:val="00184184"/>
    <w:rsid w:val="001E0DB4"/>
    <w:rsid w:val="00283D08"/>
    <w:rsid w:val="003D5C0F"/>
    <w:rsid w:val="004356CF"/>
    <w:rsid w:val="00472C0D"/>
    <w:rsid w:val="00550441"/>
    <w:rsid w:val="00591B8F"/>
    <w:rsid w:val="005B0708"/>
    <w:rsid w:val="005C29E2"/>
    <w:rsid w:val="005F0948"/>
    <w:rsid w:val="006B2899"/>
    <w:rsid w:val="007031E6"/>
    <w:rsid w:val="00744352"/>
    <w:rsid w:val="007A6306"/>
    <w:rsid w:val="007E54BB"/>
    <w:rsid w:val="008037FD"/>
    <w:rsid w:val="009B2E09"/>
    <w:rsid w:val="009F2220"/>
    <w:rsid w:val="009F4D5B"/>
    <w:rsid w:val="00AC5AA2"/>
    <w:rsid w:val="00BB639D"/>
    <w:rsid w:val="00BC74A5"/>
    <w:rsid w:val="00BD223C"/>
    <w:rsid w:val="00CA7027"/>
    <w:rsid w:val="00D51061"/>
    <w:rsid w:val="00D67A5E"/>
    <w:rsid w:val="00DF203D"/>
    <w:rsid w:val="00E13437"/>
    <w:rsid w:val="00E75A69"/>
    <w:rsid w:val="00EA1CD1"/>
    <w:rsid w:val="00F145C0"/>
    <w:rsid w:val="00F24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5A36"/>
  <w15:chartTrackingRefBased/>
  <w15:docId w15:val="{6582746B-D853-4057-8915-4A6C79F9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CD1"/>
    <w:rPr>
      <w:rFonts w:eastAsiaTheme="majorEastAsia" w:cstheme="majorBidi"/>
      <w:color w:val="272727" w:themeColor="text1" w:themeTint="D8"/>
    </w:rPr>
  </w:style>
  <w:style w:type="paragraph" w:styleId="Title">
    <w:name w:val="Title"/>
    <w:basedOn w:val="Normal"/>
    <w:next w:val="Normal"/>
    <w:link w:val="TitleChar"/>
    <w:uiPriority w:val="10"/>
    <w:qFormat/>
    <w:rsid w:val="00EA1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CD1"/>
    <w:pPr>
      <w:spacing w:before="160"/>
      <w:jc w:val="center"/>
    </w:pPr>
    <w:rPr>
      <w:i/>
      <w:iCs/>
      <w:color w:val="404040" w:themeColor="text1" w:themeTint="BF"/>
    </w:rPr>
  </w:style>
  <w:style w:type="character" w:customStyle="1" w:styleId="QuoteChar">
    <w:name w:val="Quote Char"/>
    <w:basedOn w:val="DefaultParagraphFont"/>
    <w:link w:val="Quote"/>
    <w:uiPriority w:val="29"/>
    <w:rsid w:val="00EA1CD1"/>
    <w:rPr>
      <w:i/>
      <w:iCs/>
      <w:color w:val="404040" w:themeColor="text1" w:themeTint="BF"/>
    </w:rPr>
  </w:style>
  <w:style w:type="paragraph" w:styleId="ListParagraph">
    <w:name w:val="List Paragraph"/>
    <w:basedOn w:val="Normal"/>
    <w:uiPriority w:val="34"/>
    <w:qFormat/>
    <w:rsid w:val="00EA1CD1"/>
    <w:pPr>
      <w:ind w:left="720"/>
      <w:contextualSpacing/>
    </w:pPr>
  </w:style>
  <w:style w:type="character" w:styleId="IntenseEmphasis">
    <w:name w:val="Intense Emphasis"/>
    <w:basedOn w:val="DefaultParagraphFont"/>
    <w:uiPriority w:val="21"/>
    <w:qFormat/>
    <w:rsid w:val="00EA1CD1"/>
    <w:rPr>
      <w:i/>
      <w:iCs/>
      <w:color w:val="0F4761" w:themeColor="accent1" w:themeShade="BF"/>
    </w:rPr>
  </w:style>
  <w:style w:type="paragraph" w:styleId="IntenseQuote">
    <w:name w:val="Intense Quote"/>
    <w:basedOn w:val="Normal"/>
    <w:next w:val="Normal"/>
    <w:link w:val="IntenseQuoteChar"/>
    <w:uiPriority w:val="30"/>
    <w:qFormat/>
    <w:rsid w:val="00EA1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CD1"/>
    <w:rPr>
      <w:i/>
      <w:iCs/>
      <w:color w:val="0F4761" w:themeColor="accent1" w:themeShade="BF"/>
    </w:rPr>
  </w:style>
  <w:style w:type="character" w:styleId="IntenseReference">
    <w:name w:val="Intense Reference"/>
    <w:basedOn w:val="DefaultParagraphFont"/>
    <w:uiPriority w:val="32"/>
    <w:qFormat/>
    <w:rsid w:val="00EA1CD1"/>
    <w:rPr>
      <w:b/>
      <w:bCs/>
      <w:smallCaps/>
      <w:color w:val="0F4761" w:themeColor="accent1" w:themeShade="BF"/>
      <w:spacing w:val="5"/>
    </w:rPr>
  </w:style>
  <w:style w:type="character" w:styleId="Hyperlink">
    <w:name w:val="Hyperlink"/>
    <w:basedOn w:val="DefaultParagraphFont"/>
    <w:uiPriority w:val="99"/>
    <w:unhideWhenUsed/>
    <w:rsid w:val="00EA1CD1"/>
    <w:rPr>
      <w:color w:val="467886" w:themeColor="hyperlink"/>
      <w:u w:val="single"/>
    </w:rPr>
  </w:style>
  <w:style w:type="character" w:styleId="UnresolvedMention">
    <w:name w:val="Unresolved Mention"/>
    <w:basedOn w:val="DefaultParagraphFont"/>
    <w:uiPriority w:val="99"/>
    <w:semiHidden/>
    <w:unhideWhenUsed/>
    <w:rsid w:val="00EA1CD1"/>
    <w:rPr>
      <w:color w:val="605E5C"/>
      <w:shd w:val="clear" w:color="auto" w:fill="E1DFDD"/>
    </w:rPr>
  </w:style>
  <w:style w:type="character" w:styleId="FollowedHyperlink">
    <w:name w:val="FollowedHyperlink"/>
    <w:basedOn w:val="DefaultParagraphFont"/>
    <w:uiPriority w:val="99"/>
    <w:semiHidden/>
    <w:unhideWhenUsed/>
    <w:rsid w:val="00E75A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1603.0275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45/2939672.2939785" TargetMode="External"/><Relationship Id="rId17" Type="http://schemas.openxmlformats.org/officeDocument/2006/relationships/hyperlink" Target="https://doi.org/10.1016/S0169-2070(97)00044-7" TargetMode="External"/><Relationship Id="rId2" Type="http://schemas.openxmlformats.org/officeDocument/2006/relationships/numbering" Target="numbering.xml"/><Relationship Id="rId16" Type="http://schemas.openxmlformats.org/officeDocument/2006/relationships/hyperlink" Target="https://doi.org/10.1057/palgrave.jors.2601589"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texts.com/fpp3/" TargetMode="External"/><Relationship Id="rId5" Type="http://schemas.openxmlformats.org/officeDocument/2006/relationships/webSettings" Target="webSettings.xml"/><Relationship Id="rId15" Type="http://schemas.openxmlformats.org/officeDocument/2006/relationships/hyperlink" Target="https://doi.org/10.1109/TSG.2017.275380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ijforecast.2015.1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1CFE2-FB6C-4100-9BB8-2EB063BD8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10</Pages>
  <Words>1739</Words>
  <Characters>12231</Characters>
  <Application>Microsoft Office Word</Application>
  <DocSecurity>0</DocSecurity>
  <Lines>284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hina</dc:creator>
  <cp:keywords/>
  <dc:description/>
  <cp:lastModifiedBy>SADAF hina</cp:lastModifiedBy>
  <cp:revision>18</cp:revision>
  <dcterms:created xsi:type="dcterms:W3CDTF">2026-02-23T00:25:00Z</dcterms:created>
  <dcterms:modified xsi:type="dcterms:W3CDTF">2026-02-24T01:08:00Z</dcterms:modified>
</cp:coreProperties>
</file>