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DBMS Assignment</w:t>
      </w:r>
    </w:p>
    <w:p>
      <w:pPr>
        <w:spacing w:after="80"/>
        <w:jc w:val="center"/>
      </w:pPr>
      <w:r>
        <w:rPr>
          <w:rFonts w:ascii="Arial" w:cs="Arial" w:eastAsia="Arial" w:hAnsi="Arial"/>
          <w:b/>
          <w:bCs/>
          <w:color w:val="2E5599"/>
          <w:sz w:val="26"/>
          <w:szCs w:val="26"/>
        </w:rPr>
        <w:t xml:space="preserve">Denormalizing and Introducing Controlled Redundancy</w:t>
      </w:r>
    </w:p>
    <w:p>
      <w:pPr>
        <w:spacing w:after="80"/>
        <w:jc w:val="center"/>
      </w:pPr>
      <w:r>
        <w:rPr>
          <w:rFonts w:ascii="Arial" w:cs="Arial" w:eastAsia="Arial" w:hAnsi="Arial"/>
          <w:i/>
          <w:iCs/>
          <w:color w:val="666666"/>
          <w:sz w:val="20"/>
          <w:szCs w:val="20"/>
        </w:rPr>
        <w:t xml:space="preserve">Reference: Chapter 19, Page 585 — Objective 19.1</w:t>
      </w:r>
    </w:p>
    <w:p>
      <w:pPr>
        <w:pBdr>
          <w:bottom w:val="single" w:color="1F3864" w:sz="6" w:space="1"/>
        </w:pBdr>
        <w:spacing w:after="280"/>
      </w:pPr>
      <w:r>
        <w:t xml:space="preserve"/>
      </w:r>
    </w:p>
    <w:p>
      <w:pPr>
        <w:pStyle w:val="Heading1"/>
      </w:pPr>
      <w:r>
        <w:rPr>
          <w:rFonts w:ascii="Arial" w:cs="Arial" w:eastAsia="Arial" w:hAnsi="Arial"/>
          <w:b/>
          <w:bCs/>
          <w:color w:val="1F3864"/>
          <w:sz w:val="28"/>
          <w:szCs w:val="28"/>
        </w:rPr>
        <w:t xml:space="preserve">1. Introduction</w:t>
      </w:r>
    </w:p>
    <w:p>
      <w:pPr>
        <w:spacing w:after="160"/>
      </w:pPr>
      <w:r>
        <w:rPr>
          <w:rFonts w:ascii="Arial" w:cs="Arial" w:eastAsia="Arial" w:hAnsi="Arial"/>
          <w:sz w:val="22"/>
          <w:szCs w:val="22"/>
        </w:rPr>
        <w:t xml:space="preserve">Normalization is a fundamental technique in relational database design that organizes attributes into relations based on functional dependencies, resulting in minimal redundancy and a structurally consistent schema. However, a fully normalized database does not always deliver maximum processing efficiency — particularly in systems that are heavily read-oriented.</w:t>
      </w:r>
    </w:p>
    <w:p>
      <w:pPr>
        <w:spacing w:after="160"/>
      </w:pPr>
      <w:r>
        <w:rPr>
          <w:rFonts w:ascii="Arial" w:cs="Arial" w:eastAsia="Arial" w:hAnsi="Arial"/>
          <w:sz w:val="22"/>
          <w:szCs w:val="22"/>
        </w:rPr>
        <w:t xml:space="preserve">Denormalization is the deliberate process of relaxing normalization rules to introduce controlled redundancy into a database, with the primary goal of improving query performance. According to Chapter 19, this step should only be considered when the system is estimated to be unable to meet its performance requirements. Normalization itself should never be skipped, as it forces complete understanding of every attribute in the database.</w:t>
      </w:r>
    </w:p>
    <w:p>
      <w:pPr>
        <w:spacing w:after="80"/>
      </w:pPr>
      <w:r>
        <w:t xml:space="preserve"/>
      </w:r>
    </w:p>
    <w:p>
      <w:pPr>
        <w:pStyle w:val="Heading1"/>
      </w:pPr>
      <w:r>
        <w:rPr>
          <w:rFonts w:ascii="Arial" w:cs="Arial" w:eastAsia="Arial" w:hAnsi="Arial"/>
          <w:b/>
          <w:bCs/>
          <w:color w:val="1F3864"/>
          <w:sz w:val="28"/>
          <w:szCs w:val="28"/>
        </w:rPr>
        <w:t xml:space="preserve">2. What is Denormalization?</w:t>
      </w:r>
    </w:p>
    <w:p>
      <w:pPr>
        <w:spacing w:after="160"/>
      </w:pPr>
      <w:r>
        <w:rPr>
          <w:rFonts w:ascii="Arial" w:cs="Arial" w:eastAsia="Arial" w:hAnsi="Arial"/>
          <w:sz w:val="22"/>
          <w:szCs w:val="22"/>
        </w:rPr>
        <w:t xml:space="preserve">Formally, denormalization refers to a refinement of the relational schema such that the degree of normalization for a modified relation is less than the degree of at least one of the original relations. More loosely, it also refers to combining two relations into one where the new relation is still normalized but contains more nulls than the originals.</w:t>
      </w:r>
    </w:p>
    <w:p>
      <w:pPr>
        <w:spacing w:after="160"/>
      </w:pPr>
      <w:r>
        <w:rPr>
          <w:rFonts w:ascii="Arial" w:cs="Arial" w:eastAsia="Arial" w:hAnsi="Arial"/>
          <w:sz w:val="22"/>
          <w:szCs w:val="22"/>
        </w:rPr>
        <w:t xml:space="preserve">As a general rule of thumb: if performance is unsatisfactory and a relation has a low update rate but a very high query rate, denormalization may be a viable option.</w:t>
      </w:r>
    </w:p>
    <w:p>
      <w:pPr>
        <w:spacing w:after="80"/>
      </w:pPr>
      <w:r>
        <w:t xml:space="preserve"/>
      </w:r>
    </w:p>
    <w:p>
      <w:pPr>
        <w:pStyle w:val="Heading1"/>
      </w:pPr>
      <w:r>
        <w:rPr>
          <w:rFonts w:ascii="Arial" w:cs="Arial" w:eastAsia="Arial" w:hAnsi="Arial"/>
          <w:b/>
          <w:bCs/>
          <w:color w:val="1F3864"/>
          <w:sz w:val="28"/>
          <w:szCs w:val="28"/>
        </w:rPr>
        <w:t xml:space="preserve">3. Technique 1 — Duplicating Non-Key Attributes in 1:* Relationships (Step 7.2)</w:t>
      </w:r>
    </w:p>
    <w:p>
      <w:pPr>
        <w:pStyle w:val="Heading2"/>
      </w:pPr>
      <w:r>
        <w:rPr>
          <w:rFonts w:ascii="Arial" w:cs="Arial" w:eastAsia="Arial" w:hAnsi="Arial"/>
          <w:b/>
          <w:bCs/>
          <w:color w:val="2E5599"/>
          <w:sz w:val="24"/>
          <w:szCs w:val="24"/>
        </w:rPr>
        <w:t xml:space="preserve">3.1 Definition</w:t>
      </w:r>
    </w:p>
    <w:p>
      <w:pPr>
        <w:spacing w:after="160"/>
      </w:pPr>
      <w:r>
        <w:rPr>
          <w:rFonts w:ascii="Arial" w:cs="Arial" w:eastAsia="Arial" w:hAnsi="Arial"/>
          <w:sz w:val="22"/>
          <w:szCs w:val="22"/>
        </w:rPr>
        <w:t xml:space="preserve">This technique involves copying one or more non-key attributes from a parent relation into a child relation in a one-to-many (1:*) relationship. The purpose is to eliminate the need for a JOIN when retrieving frequently accessed data together.</w:t>
      </w:r>
    </w:p>
    <w:p>
      <w:pPr>
        <w:pStyle w:val="Heading2"/>
      </w:pPr>
      <w:r>
        <w:rPr>
          <w:rFonts w:ascii="Arial" w:cs="Arial" w:eastAsia="Arial" w:hAnsi="Arial"/>
          <w:b/>
          <w:bCs/>
          <w:color w:val="2E5599"/>
          <w:sz w:val="24"/>
          <w:szCs w:val="24"/>
        </w:rPr>
        <w:t xml:space="preserve">3.2 Purpose</w:t>
      </w:r>
    </w:p>
    <w:p>
      <w:pPr>
        <w:spacing w:after="160"/>
      </w:pPr>
      <w:r>
        <w:rPr>
          <w:rFonts w:ascii="Arial" w:cs="Arial" w:eastAsia="Arial" w:hAnsi="Arial"/>
          <w:sz w:val="22"/>
          <w:szCs w:val="22"/>
        </w:rPr>
        <w:t xml:space="preserve">In normalized databases, related data is split across tables. Every time a query needs data from both, a JOIN operation is required. For large datasets and frequent queries, this becomes a performance bottleneck. Duplicating the attribute in the child table allows the data to be fetched in a single table scan.</w:t>
      </w:r>
    </w:p>
    <w:p>
      <w:pPr>
        <w:pStyle w:val="Heading2"/>
      </w:pPr>
      <w:r>
        <w:rPr>
          <w:rFonts w:ascii="Arial" w:cs="Arial" w:eastAsia="Arial" w:hAnsi="Arial"/>
          <w:b/>
          <w:bCs/>
          <w:color w:val="2E5599"/>
          <w:sz w:val="24"/>
          <w:szCs w:val="24"/>
        </w:rPr>
        <w:t xml:space="preserve">3.3 Process / How It Works</w:t>
      </w:r>
    </w:p>
    <w:p>
      <w:pPr>
        <w:spacing w:after="160"/>
      </w:pPr>
      <w:r>
        <w:rPr>
          <w:rFonts w:ascii="Arial" w:cs="Arial" w:eastAsia="Arial" w:hAnsi="Arial"/>
          <w:sz w:val="22"/>
          <w:szCs w:val="22"/>
        </w:rPr>
        <w:t xml:space="preserve">Consider the PropertyForRent and PrivateOwner relations. A very common query is to retrieve a property along with its owner's last name (lName). In normalized form, this requires a JOIN:</w:t>
      </w:r>
    </w:p>
    <w:p>
      <w:pPr>
        <w:shd w:fill="F2F2F2" w:val="clear"/>
        <w:spacing w:after="100" w:before="100"/>
        <w:ind w:left="720"/>
      </w:pPr>
      <w:r>
        <w:rPr>
          <w:rFonts w:ascii="Courier New" w:cs="Courier New" w:eastAsia="Courier New" w:hAnsi="Courier New"/>
          <w:color w:val="CC0000"/>
          <w:sz w:val="18"/>
          <w:szCs w:val="18"/>
        </w:rPr>
        <w:t xml:space="preserve">SELECT p.*, o.lName FROM PropertyForRent p, PrivateOwner o</w:t>
      </w:r>
      <w:r>
        <w:rPr>
          <w:rFonts w:ascii="Courier New" w:cs="Courier New" w:eastAsia="Courier New" w:hAnsi="Courier New"/>
          <w:color w:val="CC0000"/>
          <w:sz w:val="18"/>
          <w:szCs w:val="18"/>
        </w:rPr>
        <w:br/>
        <w:t xml:space="preserve">  WHERE p.ownerNo = o.ownerNo AND branchNo = 'B003';</w:t>
      </w:r>
    </w:p>
    <w:p>
      <w:pPr>
        <w:spacing w:after="160"/>
      </w:pPr>
      <w:r>
        <w:rPr>
          <w:rFonts w:ascii="Arial" w:cs="Arial" w:eastAsia="Arial" w:hAnsi="Arial"/>
          <w:sz w:val="22"/>
          <w:szCs w:val="22"/>
        </w:rPr>
        <w:t xml:space="preserve">By duplicating the lName attribute directly into the PropertyForRent relation, the query simplifies to:</w:t>
      </w:r>
    </w:p>
    <w:p>
      <w:pPr>
        <w:spacing w:after="100" w:before="100"/>
        <w:ind w:left="720"/>
      </w:pPr>
      <w:r>
        <w:rPr>
          <w:rFonts w:ascii="Courier New" w:cs="Courier New" w:eastAsia="Courier New" w:hAnsi="Courier New"/>
          <w:color w:val="006600"/>
          <w:sz w:val="18"/>
          <w:szCs w:val="18"/>
        </w:rPr>
        <w:t xml:space="preserve">SELECT p.* FROM PropertyForRent p WHERE branchNo = 'B003';</w:t>
      </w:r>
    </w:p>
    <w:p>
      <w:pPr>
        <w:spacing w:after="160"/>
      </w:pPr>
      <w:r>
        <w:rPr>
          <w:rFonts w:ascii="Arial" w:cs="Arial" w:eastAsia="Arial" w:hAnsi="Arial"/>
          <w:sz w:val="22"/>
          <w:szCs w:val="22"/>
        </w:rPr>
        <w:t xml:space="preserve">The JOIN is completely removed, improving read performance significantly.</w:t>
      </w:r>
    </w:p>
    <w:p>
      <w:pPr>
        <w:pStyle w:val="Heading2"/>
      </w:pPr>
      <w:r>
        <w:rPr>
          <w:rFonts w:ascii="Arial" w:cs="Arial" w:eastAsia="Arial" w:hAnsi="Arial"/>
          <w:b/>
          <w:bCs/>
          <w:color w:val="2E5599"/>
          <w:sz w:val="24"/>
          <w:szCs w:val="24"/>
        </w:rPr>
        <w:t xml:space="preserve">3.4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Update complexity</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If lName changes in PrivateOwner, it must also be updated in PropertyForRent — all affected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inconsistency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updates are not automated (via triggers), the two copies can fall out of sync.</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Storage overhead</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Duplicate data increases disk usage, though storage costs are relatively low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it is safe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duplicated attribute rarely or never changes (e.g., a property owner's name).</w:t>
            </w:r>
          </w:p>
        </w:tc>
      </w:tr>
    </w:tbl>
    <w:p>
      <w:pPr>
        <w:spacing w:after="80"/>
      </w:pPr>
      <w:r>
        <w:t xml:space="preserve"/>
      </w:r>
    </w:p>
    <w:p>
      <w:pPr>
        <w:pStyle w:val="Heading2"/>
      </w:pPr>
      <w:r>
        <w:rPr>
          <w:rFonts w:ascii="Arial" w:cs="Arial" w:eastAsia="Arial" w:hAnsi="Arial"/>
          <w:b/>
          <w:bCs/>
          <w:color w:val="2E5599"/>
          <w:sz w:val="24"/>
          <w:szCs w:val="24"/>
        </w:rPr>
        <w:t xml:space="preserve">3.5 Use Cases</w:t>
      </w:r>
    </w:p>
    <w:p>
      <w:pPr>
        <w:pStyle w:val="ListParagraph"/>
        <w:numPr>
          <w:ilvl w:val="0"/>
          <w:numId w:val="2"/>
        </w:numPr>
        <w:spacing w:after="100"/>
      </w:pPr>
      <w:r>
        <w:rPr>
          <w:rFonts w:ascii="Arial" w:cs="Arial" w:eastAsia="Arial" w:hAnsi="Arial"/>
          <w:sz w:val="22"/>
          <w:szCs w:val="22"/>
        </w:rPr>
        <w:t xml:space="preserve">Reporting dashboards that join many tables for display-only data.</w:t>
      </w:r>
    </w:p>
    <w:p>
      <w:pPr>
        <w:pStyle w:val="ListParagraph"/>
        <w:numPr>
          <w:ilvl w:val="0"/>
          <w:numId w:val="2"/>
        </w:numPr>
        <w:spacing w:after="100"/>
      </w:pPr>
      <w:r>
        <w:rPr>
          <w:rFonts w:ascii="Arial" w:cs="Arial" w:eastAsia="Arial" w:hAnsi="Arial"/>
          <w:sz w:val="22"/>
          <w:szCs w:val="22"/>
        </w:rPr>
        <w:t xml:space="preserve">Product catalogs where supplier names are shown alongside product listings.</w:t>
      </w:r>
    </w:p>
    <w:p>
      <w:pPr>
        <w:pStyle w:val="ListParagraph"/>
        <w:numPr>
          <w:ilvl w:val="0"/>
          <w:numId w:val="2"/>
        </w:numPr>
        <w:spacing w:after="100"/>
      </w:pPr>
      <w:r>
        <w:rPr>
          <w:rFonts w:ascii="Arial" w:cs="Arial" w:eastAsia="Arial" w:hAnsi="Arial"/>
          <w:sz w:val="22"/>
          <w:szCs w:val="22"/>
        </w:rPr>
        <w:t xml:space="preserve">Any read-heavy system where JOIN cost is proven to be a bottleneck.</w:t>
      </w:r>
    </w:p>
    <w:p>
      <w:pPr>
        <w:spacing w:after="80"/>
      </w:pPr>
      <w:r>
        <w:t xml:space="preserve"/>
      </w:r>
    </w:p>
    <w:p>
      <w:pPr>
        <w:pStyle w:val="Heading1"/>
      </w:pPr>
      <w:r>
        <w:rPr>
          <w:rFonts w:ascii="Arial" w:cs="Arial" w:eastAsia="Arial" w:hAnsi="Arial"/>
          <w:b/>
          <w:bCs/>
          <w:color w:val="1F3864"/>
          <w:sz w:val="28"/>
          <w:szCs w:val="28"/>
        </w:rPr>
        <w:t xml:space="preserve">4. Technique 2 — Creating Extract Tables (Step 7.6)</w:t>
      </w:r>
    </w:p>
    <w:p>
      <w:pPr>
        <w:pStyle w:val="Heading2"/>
      </w:pPr>
      <w:r>
        <w:rPr>
          <w:rFonts w:ascii="Arial" w:cs="Arial" w:eastAsia="Arial" w:hAnsi="Arial"/>
          <w:b/>
          <w:bCs/>
          <w:color w:val="2E5599"/>
          <w:sz w:val="24"/>
          <w:szCs w:val="24"/>
        </w:rPr>
        <w:t xml:space="preserve">4.1 Definition</w:t>
      </w:r>
    </w:p>
    <w:p>
      <w:pPr>
        <w:spacing w:after="160"/>
      </w:pPr>
      <w:r>
        <w:rPr>
          <w:rFonts w:ascii="Arial" w:cs="Arial" w:eastAsia="Arial" w:hAnsi="Arial"/>
          <w:sz w:val="22"/>
          <w:szCs w:val="22"/>
        </w:rPr>
        <w:t xml:space="preserve">An extract table is a single, highly denormalized table created from multiple base relations. It is pre-built and stored separately so that reports and queries can be run against it directly, instead of performing expensive real-time joins on the live operational database.</w:t>
      </w:r>
    </w:p>
    <w:p>
      <w:pPr>
        <w:pStyle w:val="Heading2"/>
      </w:pPr>
      <w:r>
        <w:rPr>
          <w:rFonts w:ascii="Arial" w:cs="Arial" w:eastAsia="Arial" w:hAnsi="Arial"/>
          <w:b/>
          <w:bCs/>
          <w:color w:val="2E5599"/>
          <w:sz w:val="24"/>
          <w:szCs w:val="24"/>
        </w:rPr>
        <w:t xml:space="preserve">4.2 Purpose</w:t>
      </w:r>
    </w:p>
    <w:p>
      <w:pPr>
        <w:spacing w:after="160"/>
      </w:pPr>
      <w:r>
        <w:rPr>
          <w:rFonts w:ascii="Arial" w:cs="Arial" w:eastAsia="Arial" w:hAnsi="Arial"/>
          <w:sz w:val="22"/>
          <w:szCs w:val="22"/>
        </w:rPr>
        <w:t xml:space="preserve">In many systems, complex reports must be run during peak hours. These reports typically access derived data and require joins across multiple base tables — which is slow and resource-intensive on a live system. The extract table technique solves this by pre-computing and storing the combined result offline.</w:t>
      </w:r>
    </w:p>
    <w:p>
      <w:pPr>
        <w:pStyle w:val="Heading2"/>
      </w:pPr>
      <w:r>
        <w:rPr>
          <w:rFonts w:ascii="Arial" w:cs="Arial" w:eastAsia="Arial" w:hAnsi="Arial"/>
          <w:b/>
          <w:bCs/>
          <w:color w:val="2E5599"/>
          <w:sz w:val="24"/>
          <w:szCs w:val="24"/>
        </w:rPr>
        <w:t xml:space="preserve">4.3 Process / How It Works</w:t>
      </w:r>
    </w:p>
    <w:p>
      <w:pPr>
        <w:pStyle w:val="ListParagraph"/>
        <w:numPr>
          <w:ilvl w:val="0"/>
          <w:numId w:val="2"/>
        </w:numPr>
        <w:spacing w:after="100"/>
      </w:pPr>
      <w:r>
        <w:rPr>
          <w:rFonts w:ascii="Arial" w:cs="Arial" w:eastAsia="Arial" w:hAnsi="Arial"/>
          <w:sz w:val="22"/>
          <w:szCs w:val="22"/>
        </w:rPr>
        <w:t xml:space="preserve">Identify reports that run frequently, require complex joins, and can tolerate slightly outdated data (e.g., a few hours old).</w:t>
      </w:r>
    </w:p>
    <w:p>
      <w:pPr>
        <w:pStyle w:val="ListParagraph"/>
        <w:numPr>
          <w:ilvl w:val="0"/>
          <w:numId w:val="2"/>
        </w:numPr>
        <w:spacing w:after="100"/>
      </w:pPr>
      <w:r>
        <w:rPr>
          <w:rFonts w:ascii="Arial" w:cs="Arial" w:eastAsia="Arial" w:hAnsi="Arial"/>
          <w:sz w:val="22"/>
          <w:szCs w:val="22"/>
        </w:rPr>
        <w:t xml:space="preserve">Design a single wide, flat extract table combining all required fields from the base relations.</w:t>
      </w:r>
    </w:p>
    <w:p>
      <w:pPr>
        <w:pStyle w:val="ListParagraph"/>
        <w:numPr>
          <w:ilvl w:val="0"/>
          <w:numId w:val="2"/>
        </w:numPr>
        <w:spacing w:after="100"/>
      </w:pPr>
      <w:r>
        <w:rPr>
          <w:rFonts w:ascii="Arial" w:cs="Arial" w:eastAsia="Arial" w:hAnsi="Arial"/>
          <w:sz w:val="22"/>
          <w:szCs w:val="22"/>
        </w:rPr>
        <w:t xml:space="preserve">Populate the extract table using an overnight batch process when system load is minimal.</w:t>
      </w:r>
    </w:p>
    <w:p>
      <w:pPr>
        <w:pStyle w:val="ListParagraph"/>
        <w:numPr>
          <w:ilvl w:val="0"/>
          <w:numId w:val="2"/>
        </w:numPr>
        <w:spacing w:after="100"/>
      </w:pPr>
      <w:r>
        <w:rPr>
          <w:rFonts w:ascii="Arial" w:cs="Arial" w:eastAsia="Arial" w:hAnsi="Arial"/>
          <w:sz w:val="22"/>
          <w:szCs w:val="22"/>
        </w:rPr>
        <w:t xml:space="preserve">Direct users to query the extract table instead of the base relations.</w:t>
      </w:r>
    </w:p>
    <w:p>
      <w:pPr>
        <w:spacing w:after="80"/>
      </w:pPr>
      <w:r>
        <w:t xml:space="preserve"/>
      </w:r>
    </w:p>
    <w:p>
      <w:pPr>
        <w:spacing w:after="160"/>
      </w:pPr>
      <w:r>
        <w:rPr>
          <w:rFonts w:ascii="Arial" w:cs="Arial" w:eastAsia="Arial" w:hAnsi="Arial"/>
          <w:sz w:val="22"/>
          <w:szCs w:val="22"/>
        </w:rPr>
        <w:t xml:space="preserve">For example, a DreamHome branch summary report that joins Staff, PropertyForRent, Branch, and PrivateOwner can be pre-aggregated nightly into a single BranchSummaryExtract table. Morning users get instant results without triggering live joins.</w:t>
      </w:r>
    </w:p>
    <w:p>
      <w:pPr>
        <w:pStyle w:val="Heading2"/>
      </w:pPr>
      <w:r>
        <w:rPr>
          <w:rFonts w:ascii="Arial" w:cs="Arial" w:eastAsia="Arial" w:hAnsi="Arial"/>
          <w:b/>
          <w:bCs/>
          <w:color w:val="2E5599"/>
          <w:sz w:val="24"/>
          <w:szCs w:val="24"/>
        </w:rPr>
        <w:t xml:space="preserve">4.4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Consideration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Extract tables reflect data as of the last batch run — they may be hours 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Highly denormalized tables consume significantly more storage.</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6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Batch jobs must be scheduled and monitored; failures leave stale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Suitable when real-time accuracy is not critical (e.g., management reports, analytics).</w:t>
            </w:r>
          </w:p>
        </w:tc>
      </w:tr>
    </w:tbl>
    <w:p>
      <w:pPr>
        <w:spacing w:after="80"/>
      </w:pPr>
      <w:r>
        <w:t xml:space="preserve"/>
      </w:r>
    </w:p>
    <w:p>
      <w:pPr>
        <w:pStyle w:val="Heading2"/>
      </w:pPr>
      <w:r>
        <w:rPr>
          <w:rFonts w:ascii="Arial" w:cs="Arial" w:eastAsia="Arial" w:hAnsi="Arial"/>
          <w:b/>
          <w:bCs/>
          <w:color w:val="2E5599"/>
          <w:sz w:val="24"/>
          <w:szCs w:val="24"/>
        </w:rPr>
        <w:t xml:space="preserve">4.5 Use Cases</w:t>
      </w:r>
    </w:p>
    <w:p>
      <w:pPr>
        <w:pStyle w:val="ListParagraph"/>
        <w:numPr>
          <w:ilvl w:val="0"/>
          <w:numId w:val="2"/>
        </w:numPr>
        <w:spacing w:after="100"/>
      </w:pPr>
      <w:r>
        <w:rPr>
          <w:rFonts w:ascii="Arial" w:cs="Arial" w:eastAsia="Arial" w:hAnsi="Arial"/>
          <w:sz w:val="22"/>
          <w:szCs w:val="22"/>
        </w:rPr>
        <w:t xml:space="preserve">Business intelligence and management dashboards that run nightly.</w:t>
      </w:r>
    </w:p>
    <w:p>
      <w:pPr>
        <w:pStyle w:val="ListParagraph"/>
        <w:numPr>
          <w:ilvl w:val="0"/>
          <w:numId w:val="2"/>
        </w:numPr>
        <w:spacing w:after="100"/>
      </w:pPr>
      <w:r>
        <w:rPr>
          <w:rFonts w:ascii="Arial" w:cs="Arial" w:eastAsia="Arial" w:hAnsi="Arial"/>
          <w:sz w:val="22"/>
          <w:szCs w:val="22"/>
        </w:rPr>
        <w:t xml:space="preserve">Monthly or weekly summary reports for executives.</w:t>
      </w:r>
    </w:p>
    <w:p>
      <w:pPr>
        <w:pStyle w:val="ListParagraph"/>
        <w:numPr>
          <w:ilvl w:val="0"/>
          <w:numId w:val="2"/>
        </w:numPr>
        <w:spacing w:after="100"/>
      </w:pPr>
      <w:r>
        <w:rPr>
          <w:rFonts w:ascii="Arial" w:cs="Arial" w:eastAsia="Arial" w:hAnsi="Arial"/>
          <w:sz w:val="22"/>
          <w:szCs w:val="22"/>
        </w:rPr>
        <w:t xml:space="preserve">Data warehousing (OLAP) systems where batch processing is the standard model.</w:t>
      </w:r>
    </w:p>
    <w:p>
      <w:pPr>
        <w:pStyle w:val="ListParagraph"/>
        <w:numPr>
          <w:ilvl w:val="0"/>
          <w:numId w:val="2"/>
        </w:numPr>
        <w:spacing w:after="100"/>
      </w:pPr>
      <w:r>
        <w:rPr>
          <w:rFonts w:ascii="Arial" w:cs="Arial" w:eastAsia="Arial" w:hAnsi="Arial"/>
          <w:sz w:val="22"/>
          <w:szCs w:val="22"/>
        </w:rPr>
        <w:t xml:space="preserve">Any reporting scenario where data from hours ago is perfectly acceptable.</w:t>
      </w:r>
    </w:p>
    <w:p>
      <w:pPr>
        <w:spacing w:after="80"/>
      </w:pPr>
      <w:r>
        <w:t xml:space="preserve"/>
      </w:r>
    </w:p>
    <w:p>
      <w:pPr>
        <w:pStyle w:val="Heading1"/>
      </w:pPr>
      <w:r>
        <w:rPr>
          <w:rFonts w:ascii="Arial" w:cs="Arial" w:eastAsia="Arial" w:hAnsi="Arial"/>
          <w:b/>
          <w:bCs/>
          <w:color w:val="1F3864"/>
          <w:sz w:val="28"/>
          <w:szCs w:val="28"/>
        </w:rPr>
        <w:t xml:space="preserve">5. Comparison of Both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Duplicating Non-Key Attributes (7.2)</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Extract Tables (7.6)</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Goal</w:t>
            </w:r>
          </w:p>
        </w:tc>
        <w:tc>
          <w:tcPr>
            <w:tcW w:type="dxa" w:w="32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Eliminate JOINs in live queries</w:t>
            </w:r>
          </w:p>
        </w:tc>
        <w:tc>
          <w:tcPr>
            <w:tcW w:type="dxa" w:w="32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Pre-compute complex multi-join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(live table)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Delayed (batch, e.g. overnight)</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2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Low — just add a column</w:t>
            </w:r>
          </w:p>
        </w:tc>
        <w:tc>
          <w:tcPr>
            <w:tcW w:type="dxa" w:w="32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Medium — requires batch 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Frequent live read queries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reports at peak times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Integrity risk</w:t>
            </w:r>
          </w:p>
        </w:tc>
        <w:tc>
          <w:tcPr>
            <w:tcW w:type="dxa" w:w="32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Moderate — duplicated field may drift</w:t>
            </w:r>
          </w:p>
        </w:tc>
        <w:tc>
          <w:tcPr>
            <w:tcW w:type="dxa" w:w="32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Low — refreshed wholesale in batch</w:t>
            </w:r>
          </w:p>
        </w:tc>
      </w:tr>
    </w:tbl>
    <w:p>
      <w:pPr>
        <w:spacing w:after="80"/>
      </w:pPr>
      <w:r>
        <w:t xml:space="preserve"/>
      </w:r>
    </w:p>
    <w:p>
      <w:pPr>
        <w:pStyle w:val="Heading1"/>
      </w:pPr>
      <w:r>
        <w:rPr>
          <w:rFonts w:ascii="Arial" w:cs="Arial" w:eastAsia="Arial" w:hAnsi="Arial"/>
          <w:b/>
          <w:bCs/>
          <w:color w:val="1F3864"/>
          <w:sz w:val="28"/>
          <w:szCs w:val="28"/>
        </w:rPr>
        <w:t xml:space="preserve">6. Maintaining Data Integrity After Denormalization</w:t>
      </w:r>
    </w:p>
    <w:p>
      <w:pPr>
        <w:spacing w:after="160"/>
      </w:pPr>
      <w:r>
        <w:rPr>
          <w:rFonts w:ascii="Arial" w:cs="Arial" w:eastAsia="Arial" w:hAnsi="Arial"/>
          <w:sz w:val="22"/>
          <w:szCs w:val="22"/>
        </w:rPr>
        <w:t xml:space="preserve">Introducing redundancy creates the risk of data falling out of sync. The chapter outlines three mechanisms to manage this:</w:t>
      </w:r>
    </w:p>
    <w:p>
      <w:pPr>
        <w:pStyle w:val="ListParagraph"/>
        <w:numPr>
          <w:ilvl w:val="0"/>
          <w:numId w:val="2"/>
        </w:numPr>
        <w:spacing w:after="100"/>
      </w:pPr>
      <w:r>
        <w:rPr>
          <w:rFonts w:ascii="Arial" w:cs="Arial" w:eastAsia="Arial" w:hAnsi="Arial"/>
          <w:b/>
          <w:bCs/>
          <w:sz w:val="22"/>
          <w:szCs w:val="22"/>
        </w:rPr>
        <w:t xml:space="preserve">Triggers: </w:t>
      </w:r>
      <w:r>
        <w:rPr>
          <w:rFonts w:ascii="Arial" w:cs="Arial" w:eastAsia="Arial" w:hAnsi="Arial"/>
          <w:sz w:val="22"/>
          <w:szCs w:val="22"/>
        </w:rPr>
        <w:t xml:space="preserve">Triggers — automatically update derived or duplicated data when source data changes. This is the most reliable solution, though it can add overhead to write operations.</w:t>
      </w:r>
    </w:p>
    <w:p>
      <w:pPr>
        <w:pStyle w:val="ListParagraph"/>
        <w:numPr>
          <w:ilvl w:val="0"/>
          <w:numId w:val="2"/>
        </w:numPr>
        <w:spacing w:after="100"/>
      </w:pPr>
      <w:r>
        <w:rPr>
          <w:rFonts w:ascii="Arial" w:cs="Arial" w:eastAsia="Arial" w:hAnsi="Arial"/>
          <w:b/>
          <w:bCs/>
          <w:sz w:val="22"/>
          <w:szCs w:val="22"/>
        </w:rPr>
        <w:t xml:space="preserve">Transactions: </w:t>
      </w:r>
      <w:r>
        <w:rPr>
          <w:rFonts w:ascii="Arial" w:cs="Arial" w:eastAsia="Arial" w:hAnsi="Arial"/>
          <w:sz w:val="22"/>
          <w:szCs w:val="22"/>
        </w:rPr>
        <w:t xml:space="preserve">Transactions — bundle related updates into a single atomic operation so all copies are updated together or not at all.</w:t>
      </w:r>
    </w:p>
    <w:p>
      <w:pPr>
        <w:pStyle w:val="ListParagraph"/>
        <w:numPr>
          <w:ilvl w:val="0"/>
          <w:numId w:val="2"/>
        </w:numPr>
        <w:spacing w:after="100"/>
      </w:pPr>
      <w:r>
        <w:rPr>
          <w:rFonts w:ascii="Arial" w:cs="Arial" w:eastAsia="Arial" w:hAnsi="Arial"/>
          <w:b/>
          <w:bCs/>
          <w:sz w:val="22"/>
          <w:szCs w:val="22"/>
        </w:rPr>
        <w:t xml:space="preserve">Batch Reconciliation: </w:t>
      </w:r>
      <w:r>
        <w:rPr>
          <w:rFonts w:ascii="Arial" w:cs="Arial" w:eastAsia="Arial" w:hAnsi="Arial"/>
          <w:sz w:val="22"/>
          <w:szCs w:val="22"/>
        </w:rPr>
        <w:t xml:space="preserve">Batch Reconciliation — run scheduled programs that re-synchronize all denormalized data at regular intervals.</w:t>
      </w:r>
    </w:p>
    <w:p>
      <w:pPr>
        <w:spacing w:after="80"/>
      </w:pPr>
      <w:r>
        <w:t xml:space="preserve"/>
      </w:r>
    </w:p>
    <w:p>
      <w:pPr>
        <w:pStyle w:val="Heading1"/>
      </w:pPr>
      <w:r>
        <w:rPr>
          <w:rFonts w:ascii="Arial" w:cs="Arial" w:eastAsia="Arial" w:hAnsi="Arial"/>
          <w:b/>
          <w:bCs/>
          <w:color w:val="1F3864"/>
          <w:sz w:val="28"/>
          <w:szCs w:val="28"/>
        </w:rPr>
        <w:t xml:space="preserve">7. Conclusion</w:t>
      </w:r>
    </w:p>
    <w:p>
      <w:pPr>
        <w:spacing w:after="160"/>
      </w:pPr>
      <w:r>
        <w:rPr>
          <w:rFonts w:ascii="Arial" w:cs="Arial" w:eastAsia="Arial" w:hAnsi="Arial"/>
          <w:sz w:val="22"/>
          <w:szCs w:val="22"/>
        </w:rPr>
        <w:t xml:space="preserve">Denormalization is not a shortcut — it is a deliberate, documented performance optimization applied only after profiling proves that normalization is the bottleneck. The two techniques explored in this assignment — duplicating non-key attributes and creating extract tables — address different performance problems: one targets live query speed, the other targets report generation during peak hours.</w:t>
      </w:r>
    </w:p>
    <w:p>
      <w:pPr>
        <w:spacing w:after="160"/>
      </w:pPr>
      <w:r>
        <w:rPr>
          <w:rFonts w:ascii="Arial" w:cs="Arial" w:eastAsia="Arial" w:hAnsi="Arial"/>
          <w:sz w:val="22"/>
          <w:szCs w:val="22"/>
        </w:rPr>
        <w:t xml:space="preserve">The golden principle from Chapter 19 remains: normalize first to ensure correctness and full understanding of the data model, then denormalize selectively and carefully where performance evidence demands it. Every denormalization decision must be documented, justified, and paired with an integrity-maintenance strategy.</w:t>
      </w:r>
    </w:p>
    <w:p>
      <w:pPr>
        <w:spacing w:after="80"/>
      </w:pPr>
      <w:r>
        <w:t xml:space="preserve"/>
      </w:r>
    </w:p>
    <w:p>
      <w:pPr>
        <w:pBdr>
          <w:top w:val="single" w:color="1F3864" w:sz="4" w:space="1"/>
        </w:pBdr>
        <w:spacing w:before="240"/>
        <w:jc w:val="center"/>
      </w:pPr>
      <w:r>
        <w:rPr>
          <w:rFonts w:ascii="Arial" w:cs="Arial" w:eastAsia="Arial" w:hAnsi="Arial"/>
          <w:i/>
          <w:iCs/>
          <w:color w:val="888888"/>
          <w:sz w:val="18"/>
          <w:szCs w:val="18"/>
        </w:rPr>
        <w:t xml:space="preserve">Reference: Database Systems — A Practical Approach to Design, Implementation and Management, Chapter 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2026-04-30T15:38:13.834Z</dcterms:created>
  <dcterms:modified xsi:type="dcterms:W3CDTF">2026-04-30T15:38:13.834Z</dcterms:modified>
</cp:coreProperties>
</file>

<file path=docProps/custom.xml><?xml version="1.0" encoding="utf-8"?>
<Properties xmlns="http://schemas.openxmlformats.org/officeDocument/2006/custom-properties" xmlns:vt="http://schemas.openxmlformats.org/officeDocument/2006/docPropsVTypes"/>
</file>