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8"/>
        </w:rPr>
        <w:t>URBAN MART</w:t>
      </w:r>
    </w:p>
    <w:p>
      <w:pPr>
        <w:jc w:val="center"/>
      </w:pPr>
      <w:r>
        <w:rPr>
          <w:b/>
          <w:sz w:val="40"/>
        </w:rPr>
        <w:t>Retail Sales &amp; Business Analytics</w:t>
      </w:r>
    </w:p>
    <w:p>
      <w:pPr>
        <w:jc w:val="center"/>
      </w:pPr>
      <w:r>
        <w:rPr>
          <w:color w:val="4B5563"/>
          <w:sz w:val="28"/>
        </w:rPr>
        <w:t>Power BI Portfolio Case Study</w:t>
      </w:r>
    </w:p>
    <w:p/>
    <w:p>
      <w:pPr>
        <w:jc w:val="center"/>
      </w:pPr>
      <w:r>
        <w:rPr>
          <w:b/>
        </w:rPr>
        <w:t>Power BI  •  Power Query  •  DAX  •  Excel</w:t>
      </w:r>
    </w:p>
    <w:p>
      <w:pPr>
        <w:jc w:val="center"/>
      </w:pPr>
      <w:r>
        <w:rPr>
          <w:sz w:val="20"/>
        </w:rPr>
        <w:t>Prepared as a professional portfolio project</w:t>
      </w:r>
    </w:p>
    <w:p>
      <w:r>
        <w:br w:type="page"/>
      </w:r>
    </w:p>
    <w:p>
      <w:pPr>
        <w:pStyle w:val="Heading1"/>
      </w:pPr>
      <w:r>
        <w:t>1. Executive Summary</w:t>
      </w:r>
    </w:p>
    <w:p>
      <w:r>
        <w:t>Urban Mart is an interactive retail analytics solution built in Power BI to help management monitor revenue, profitability, customers, products, regions, channels and business trends from one centralized dashboard. The report records $182.8M in total sales, $67.5M in total profit and a 36.92% gross margin, supported by 6K orders and 45K units sold. Online is the largest sales channel at $94.7M (51.81%), while Central is the strongest region at $69.5M. Home &amp; Kitchen is the leading category with approximately $67.3M sales and $24M profit. Actual sales are approximately $8.2M below the $191.0M target.</w:t>
      </w:r>
    </w:p>
    <w:p>
      <w:pPr>
        <w:pStyle w:val="Heading1"/>
      </w:pPr>
      <w:r>
        <w:t>2. Project Overview</w:t>
      </w:r>
    </w:p>
    <w:p>
      <w:r>
        <w:t>Urban Mart is a portfolio-ready retail analytics project designed to transform transactional sales data into a centralized management reporting solution. The dashboard combines executive KPIs, product performance, customer and geographic analysis, sales trends, advanced analytics and customer-level detail.</w:t>
      </w:r>
    </w:p>
    <w:p>
      <w:pPr>
        <w:pStyle w:val="Heading1"/>
      </w:pPr>
      <w:r>
        <w:t>3. Business Problem</w:t>
      </w:r>
    </w:p>
    <w:p>
      <w:r>
        <w:t>Management needs a single interactive view of business performance to understand where revenue and profit are generated, which products and customer groups matter most, how performance differs by geography and channel, and whether sales are tracking toward target.</w:t>
      </w:r>
    </w:p>
    <w:p>
      <w:pPr>
        <w:pStyle w:val="Heading1"/>
      </w:pPr>
      <w:r>
        <w:t>4. Business Requirements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563EB"/>
          </w:tcPr>
          <w:p>
            <w:r/>
            <w:r>
              <w:rPr>
                <w:b/>
                <w:color w:val="FFFFFF"/>
              </w:rPr>
              <w:t>Requirement</w:t>
            </w:r>
          </w:p>
        </w:tc>
        <w:tc>
          <w:tcPr>
            <w:tcW w:type="dxa" w:w="6480"/>
            <w:vAlign w:val="center"/>
            <w:shd w:fill="2563EB"/>
          </w:tcPr>
          <w:p>
            <w:r/>
            <w:r>
              <w:rPr>
                <w:b/>
                <w:color w:val="FFFFFF"/>
              </w:rPr>
              <w:t>Business Need</w:t>
            </w:r>
          </w:p>
        </w:tc>
      </w:tr>
      <w:tr>
        <w:tc>
          <w:tcPr>
            <w:tcW w:type="dxa" w:w="2880"/>
            <w:vAlign w:val="center"/>
          </w:tcPr>
          <w:p>
            <w:r/>
            <w:r>
              <w:rPr>
                <w:b w:val="0"/>
              </w:rPr>
              <w:t>Executive performance monitoring</w:t>
            </w:r>
          </w:p>
        </w:tc>
        <w:tc>
          <w:tcPr>
            <w:tcW w:type="dxa" w:w="6480"/>
            <w:vAlign w:val="center"/>
          </w:tcPr>
          <w:p>
            <w:r/>
            <w:r>
              <w:rPr>
                <w:b w:val="0"/>
              </w:rPr>
              <w:t>Track sales, profit, gross margin, orders, units, AOV, discount and MoM performance.</w:t>
            </w:r>
          </w:p>
        </w:tc>
      </w:tr>
      <w:tr>
        <w:tc>
          <w:tcPr>
            <w:tcW w:type="dxa" w:w="2880"/>
            <w:vAlign w:val="center"/>
          </w:tcPr>
          <w:p>
            <w:r/>
            <w:r>
              <w:rPr>
                <w:b w:val="0"/>
              </w:rPr>
              <w:t>Product performance</w:t>
            </w:r>
          </w:p>
        </w:tc>
        <w:tc>
          <w:tcPr>
            <w:tcW w:type="dxa" w:w="6480"/>
            <w:vAlign w:val="center"/>
          </w:tcPr>
          <w:p>
            <w:r/>
            <w:r>
              <w:rPr>
                <w:b w:val="0"/>
              </w:rPr>
              <w:t>Identify top products and compare sales, profit, margin, discount and units.</w:t>
            </w:r>
          </w:p>
        </w:tc>
      </w:tr>
      <w:tr>
        <w:tc>
          <w:tcPr>
            <w:tcW w:type="dxa" w:w="2880"/>
            <w:vAlign w:val="center"/>
          </w:tcPr>
          <w:p>
            <w:r/>
            <w:r>
              <w:rPr>
                <w:b w:val="0"/>
              </w:rPr>
              <w:t>Customer analysis</w:t>
            </w:r>
          </w:p>
        </w:tc>
        <w:tc>
          <w:tcPr>
            <w:tcW w:type="dxa" w:w="6480"/>
            <w:vAlign w:val="center"/>
          </w:tcPr>
          <w:p>
            <w:r/>
            <w:r>
              <w:rPr>
                <w:b w:val="0"/>
              </w:rPr>
              <w:t>Compare customer segments, customer value, AOV and high-value customers.</w:t>
            </w:r>
          </w:p>
        </w:tc>
      </w:tr>
      <w:tr>
        <w:tc>
          <w:tcPr>
            <w:tcW w:type="dxa" w:w="2880"/>
            <w:vAlign w:val="center"/>
          </w:tcPr>
          <w:p>
            <w:r/>
            <w:r>
              <w:rPr>
                <w:b w:val="0"/>
              </w:rPr>
              <w:t>Geographic analysis</w:t>
            </w:r>
          </w:p>
        </w:tc>
        <w:tc>
          <w:tcPr>
            <w:tcW w:type="dxa" w:w="6480"/>
            <w:vAlign w:val="center"/>
          </w:tcPr>
          <w:p>
            <w:r/>
            <w:r>
              <w:rPr>
                <w:b w:val="0"/>
              </w:rPr>
              <w:t>Evaluate sales by region and city.</w:t>
            </w:r>
          </w:p>
        </w:tc>
      </w:tr>
      <w:tr>
        <w:tc>
          <w:tcPr>
            <w:tcW w:type="dxa" w:w="2880"/>
            <w:vAlign w:val="center"/>
          </w:tcPr>
          <w:p>
            <w:r/>
            <w:r>
              <w:rPr>
                <w:b w:val="0"/>
              </w:rPr>
              <w:t>Channel analysis</w:t>
            </w:r>
          </w:p>
        </w:tc>
        <w:tc>
          <w:tcPr>
            <w:tcW w:type="dxa" w:w="6480"/>
            <w:vAlign w:val="center"/>
          </w:tcPr>
          <w:p>
            <w:r/>
            <w:r>
              <w:rPr>
                <w:b w:val="0"/>
              </w:rPr>
              <w:t>Measure In-Store, Online and Click &amp; Collect contribution.</w:t>
            </w:r>
          </w:p>
        </w:tc>
      </w:tr>
      <w:tr>
        <w:tc>
          <w:tcPr>
            <w:tcW w:type="dxa" w:w="2880"/>
            <w:vAlign w:val="center"/>
          </w:tcPr>
          <w:p>
            <w:r/>
            <w:r>
              <w:rPr>
                <w:b w:val="0"/>
              </w:rPr>
              <w:t>Trend analysis</w:t>
            </w:r>
          </w:p>
        </w:tc>
        <w:tc>
          <w:tcPr>
            <w:tcW w:type="dxa" w:w="6480"/>
            <w:vAlign w:val="center"/>
          </w:tcPr>
          <w:p>
            <w:r/>
            <w:r>
              <w:rPr>
                <w:b w:val="0"/>
              </w:rPr>
              <w:t>Monitor monthly sales, profitability and target achievement.</w:t>
            </w:r>
          </w:p>
        </w:tc>
      </w:tr>
      <w:tr>
        <w:tc>
          <w:tcPr>
            <w:tcW w:type="dxa" w:w="2880"/>
            <w:vAlign w:val="center"/>
          </w:tcPr>
          <w:p>
            <w:r/>
            <w:r>
              <w:rPr>
                <w:b w:val="0"/>
              </w:rPr>
              <w:t>Advanced analytics</w:t>
            </w:r>
          </w:p>
        </w:tc>
        <w:tc>
          <w:tcPr>
            <w:tcW w:type="dxa" w:w="6480"/>
            <w:vAlign w:val="center"/>
          </w:tcPr>
          <w:p>
            <w:r/>
            <w:r>
              <w:rPr>
                <w:b w:val="0"/>
              </w:rPr>
              <w:t>Explore scenario analysis, discount assumptions, sales drivers and customer revenue concentration.</w:t>
            </w:r>
          </w:p>
        </w:tc>
      </w:tr>
      <w:tr>
        <w:tc>
          <w:tcPr>
            <w:tcW w:type="dxa" w:w="2880"/>
            <w:vAlign w:val="center"/>
          </w:tcPr>
          <w:p>
            <w:r/>
            <w:r>
              <w:rPr>
                <w:b w:val="0"/>
              </w:rPr>
              <w:t>Customer detail</w:t>
            </w:r>
          </w:p>
        </w:tc>
        <w:tc>
          <w:tcPr>
            <w:tcW w:type="dxa" w:w="6480"/>
            <w:vAlign w:val="center"/>
          </w:tcPr>
          <w:p>
            <w:r/>
            <w:r>
              <w:rPr>
                <w:b w:val="0"/>
              </w:rPr>
              <w:t>Drill into individual customer KPIs and product-level activity.</w:t>
            </w:r>
          </w:p>
        </w:tc>
      </w:tr>
    </w:tbl>
    <w:p/>
    <w:p>
      <w:pPr>
        <w:pStyle w:val="Heading1"/>
      </w:pPr>
      <w:r>
        <w:t>5. Key Business Questions</w:t>
      </w:r>
    </w:p>
    <w:p>
      <w:pPr>
        <w:pStyle w:val="ListNumber"/>
      </w:pPr>
      <w:r>
        <w:t>How are sales and profitability performing overall?</w:t>
      </w:r>
    </w:p>
    <w:p>
      <w:pPr>
        <w:pStyle w:val="ListNumber"/>
      </w:pPr>
      <w:r>
        <w:t>Which products and categories contribute the most sales and profit?</w:t>
      </w:r>
    </w:p>
    <w:p>
      <w:pPr>
        <w:pStyle w:val="ListNumber"/>
      </w:pPr>
      <w:r>
        <w:t>Which customer segments generate the highest revenue and value?</w:t>
      </w:r>
    </w:p>
    <w:p>
      <w:pPr>
        <w:pStyle w:val="ListNumber"/>
      </w:pPr>
      <w:r>
        <w:t>Which regions and cities are strongest?</w:t>
      </w:r>
    </w:p>
    <w:p>
      <w:pPr>
        <w:pStyle w:val="ListNumber"/>
      </w:pPr>
      <w:r>
        <w:t>Which sales channel contributes the most revenue?</w:t>
      </w:r>
    </w:p>
    <w:p>
      <w:pPr>
        <w:pStyle w:val="ListNumber"/>
      </w:pPr>
      <w:r>
        <w:t>How are sales and gross margin trending over time?</w:t>
      </w:r>
    </w:p>
    <w:p>
      <w:pPr>
        <w:pStyle w:val="ListNumber"/>
      </w:pPr>
      <w:r>
        <w:t>How close is actual sales to the target?</w:t>
      </w:r>
    </w:p>
    <w:p>
      <w:pPr>
        <w:pStyle w:val="ListNumber"/>
      </w:pPr>
      <w:r>
        <w:t>What products, brands and categories are driving sales in selected scenarios?</w:t>
      </w:r>
    </w:p>
    <w:p>
      <w:pPr>
        <w:pStyle w:val="ListNumber"/>
      </w:pPr>
      <w:r>
        <w:t>How concentrated is revenue among high-value customers?</w:t>
      </w:r>
    </w:p>
    <w:p>
      <w:pPr>
        <w:pStyle w:val="Heading1"/>
      </w:pPr>
      <w:r>
        <w:t>6. KPI Snapshot</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2563EB"/>
          </w:tcPr>
          <w:p>
            <w:r/>
            <w:r>
              <w:rPr>
                <w:b/>
                <w:color w:val="FFFFFF"/>
              </w:rPr>
              <w:t>KPI</w:t>
            </w:r>
          </w:p>
        </w:tc>
        <w:tc>
          <w:tcPr>
            <w:tcW w:type="dxa" w:w="5616"/>
            <w:vAlign w:val="center"/>
            <w:shd w:fill="2563EB"/>
          </w:tcPr>
          <w:p>
            <w:r/>
            <w:r>
              <w:rPr>
                <w:b/>
                <w:color w:val="FFFFFF"/>
              </w:rPr>
              <w:t>Value</w:t>
            </w:r>
          </w:p>
        </w:tc>
      </w:tr>
      <w:tr>
        <w:tc>
          <w:tcPr>
            <w:tcW w:type="dxa" w:w="3744"/>
            <w:vAlign w:val="center"/>
          </w:tcPr>
          <w:p>
            <w:r/>
            <w:r>
              <w:rPr>
                <w:b w:val="0"/>
              </w:rPr>
              <w:t>Total Sales</w:t>
            </w:r>
          </w:p>
        </w:tc>
        <w:tc>
          <w:tcPr>
            <w:tcW w:type="dxa" w:w="5616"/>
            <w:vAlign w:val="center"/>
          </w:tcPr>
          <w:p>
            <w:r/>
            <w:r>
              <w:rPr>
                <w:b w:val="0"/>
              </w:rPr>
              <w:t>$182.8M</w:t>
            </w:r>
          </w:p>
        </w:tc>
      </w:tr>
      <w:tr>
        <w:tc>
          <w:tcPr>
            <w:tcW w:type="dxa" w:w="3744"/>
            <w:vAlign w:val="center"/>
          </w:tcPr>
          <w:p>
            <w:r/>
            <w:r>
              <w:rPr>
                <w:b w:val="0"/>
              </w:rPr>
              <w:t>Total Profit</w:t>
            </w:r>
          </w:p>
        </w:tc>
        <w:tc>
          <w:tcPr>
            <w:tcW w:type="dxa" w:w="5616"/>
            <w:vAlign w:val="center"/>
          </w:tcPr>
          <w:p>
            <w:r/>
            <w:r>
              <w:rPr>
                <w:b w:val="0"/>
              </w:rPr>
              <w:t>$67.5M</w:t>
            </w:r>
          </w:p>
        </w:tc>
      </w:tr>
      <w:tr>
        <w:tc>
          <w:tcPr>
            <w:tcW w:type="dxa" w:w="3744"/>
            <w:vAlign w:val="center"/>
          </w:tcPr>
          <w:p>
            <w:r/>
            <w:r>
              <w:rPr>
                <w:b w:val="0"/>
              </w:rPr>
              <w:t>Gross Margin</w:t>
            </w:r>
          </w:p>
        </w:tc>
        <w:tc>
          <w:tcPr>
            <w:tcW w:type="dxa" w:w="5616"/>
            <w:vAlign w:val="center"/>
          </w:tcPr>
          <w:p>
            <w:r/>
            <w:r>
              <w:rPr>
                <w:b w:val="0"/>
              </w:rPr>
              <w:t>36.92%</w:t>
            </w:r>
          </w:p>
        </w:tc>
      </w:tr>
      <w:tr>
        <w:tc>
          <w:tcPr>
            <w:tcW w:type="dxa" w:w="3744"/>
            <w:vAlign w:val="center"/>
          </w:tcPr>
          <w:p>
            <w:r/>
            <w:r>
              <w:rPr>
                <w:b w:val="0"/>
              </w:rPr>
              <w:t>Total Orders</w:t>
            </w:r>
          </w:p>
        </w:tc>
        <w:tc>
          <w:tcPr>
            <w:tcW w:type="dxa" w:w="5616"/>
            <w:vAlign w:val="center"/>
          </w:tcPr>
          <w:p>
            <w:r/>
            <w:r>
              <w:rPr>
                <w:b w:val="0"/>
              </w:rPr>
              <w:t>6K</w:t>
            </w:r>
          </w:p>
        </w:tc>
      </w:tr>
      <w:tr>
        <w:tc>
          <w:tcPr>
            <w:tcW w:type="dxa" w:w="3744"/>
            <w:vAlign w:val="center"/>
          </w:tcPr>
          <w:p>
            <w:r/>
            <w:r>
              <w:rPr>
                <w:b w:val="0"/>
              </w:rPr>
              <w:t>Units Sold</w:t>
            </w:r>
          </w:p>
        </w:tc>
        <w:tc>
          <w:tcPr>
            <w:tcW w:type="dxa" w:w="5616"/>
            <w:vAlign w:val="center"/>
          </w:tcPr>
          <w:p>
            <w:r/>
            <w:r>
              <w:rPr>
                <w:b w:val="0"/>
              </w:rPr>
              <w:t>45K</w:t>
            </w:r>
          </w:p>
        </w:tc>
      </w:tr>
      <w:tr>
        <w:tc>
          <w:tcPr>
            <w:tcW w:type="dxa" w:w="3744"/>
            <w:vAlign w:val="center"/>
          </w:tcPr>
          <w:p>
            <w:r/>
            <w:r>
              <w:rPr>
                <w:b w:val="0"/>
              </w:rPr>
              <w:t>AOV</w:t>
            </w:r>
          </w:p>
        </w:tc>
        <w:tc>
          <w:tcPr>
            <w:tcW w:type="dxa" w:w="5616"/>
            <w:vAlign w:val="center"/>
          </w:tcPr>
          <w:p>
            <w:r/>
            <w:r>
              <w:rPr>
                <w:b w:val="0"/>
              </w:rPr>
              <w:t>$30.5K</w:t>
            </w:r>
          </w:p>
        </w:tc>
      </w:tr>
      <w:tr>
        <w:tc>
          <w:tcPr>
            <w:tcW w:type="dxa" w:w="3744"/>
            <w:vAlign w:val="center"/>
          </w:tcPr>
          <w:p>
            <w:r/>
            <w:r>
              <w:rPr>
                <w:b w:val="0"/>
              </w:rPr>
              <w:t>Average Discount</w:t>
            </w:r>
          </w:p>
        </w:tc>
        <w:tc>
          <w:tcPr>
            <w:tcW w:type="dxa" w:w="5616"/>
            <w:vAlign w:val="center"/>
          </w:tcPr>
          <w:p>
            <w:r/>
            <w:r>
              <w:rPr>
                <w:b w:val="0"/>
              </w:rPr>
              <w:t>8.13%</w:t>
            </w:r>
          </w:p>
        </w:tc>
      </w:tr>
      <w:tr>
        <w:tc>
          <w:tcPr>
            <w:tcW w:type="dxa" w:w="3744"/>
            <w:vAlign w:val="center"/>
          </w:tcPr>
          <w:p>
            <w:r/>
            <w:r>
              <w:rPr>
                <w:b w:val="0"/>
              </w:rPr>
              <w:t>Total Customers</w:t>
            </w:r>
          </w:p>
        </w:tc>
        <w:tc>
          <w:tcPr>
            <w:tcW w:type="dxa" w:w="5616"/>
            <w:vAlign w:val="center"/>
          </w:tcPr>
          <w:p>
            <w:r/>
            <w:r>
              <w:rPr>
                <w:b w:val="0"/>
              </w:rPr>
              <w:t>400</w:t>
            </w:r>
          </w:p>
        </w:tc>
      </w:tr>
      <w:tr>
        <w:tc>
          <w:tcPr>
            <w:tcW w:type="dxa" w:w="3744"/>
            <w:vAlign w:val="center"/>
          </w:tcPr>
          <w:p>
            <w:r/>
            <w:r>
              <w:rPr>
                <w:b w:val="0"/>
              </w:rPr>
              <w:t>Sales per Customer</w:t>
            </w:r>
          </w:p>
        </w:tc>
        <w:tc>
          <w:tcPr>
            <w:tcW w:type="dxa" w:w="5616"/>
            <w:vAlign w:val="center"/>
          </w:tcPr>
          <w:p>
            <w:r/>
            <w:r>
              <w:rPr>
                <w:b w:val="0"/>
              </w:rPr>
              <w:t>$457.1K</w:t>
            </w:r>
          </w:p>
        </w:tc>
      </w:tr>
      <w:tr>
        <w:tc>
          <w:tcPr>
            <w:tcW w:type="dxa" w:w="3744"/>
            <w:vAlign w:val="center"/>
          </w:tcPr>
          <w:p>
            <w:r/>
            <w:r>
              <w:rPr>
                <w:b w:val="0"/>
              </w:rPr>
              <w:t>Sales MoM</w:t>
            </w:r>
          </w:p>
        </w:tc>
        <w:tc>
          <w:tcPr>
            <w:tcW w:type="dxa" w:w="5616"/>
            <w:vAlign w:val="center"/>
          </w:tcPr>
          <w:p>
            <w:r/>
            <w:r>
              <w:rPr>
                <w:b w:val="0"/>
              </w:rPr>
              <w:t>5.29%</w:t>
            </w:r>
          </w:p>
        </w:tc>
      </w:tr>
      <w:tr>
        <w:tc>
          <w:tcPr>
            <w:tcW w:type="dxa" w:w="3744"/>
            <w:vAlign w:val="center"/>
          </w:tcPr>
          <w:p>
            <w:r/>
            <w:r>
              <w:rPr>
                <w:b w:val="0"/>
              </w:rPr>
              <w:t>Profit MoM</w:t>
            </w:r>
          </w:p>
        </w:tc>
        <w:tc>
          <w:tcPr>
            <w:tcW w:type="dxa" w:w="5616"/>
            <w:vAlign w:val="center"/>
          </w:tcPr>
          <w:p>
            <w:r/>
            <w:r>
              <w:rPr>
                <w:b w:val="0"/>
              </w:rPr>
              <w:t>5.31%</w:t>
            </w:r>
          </w:p>
        </w:tc>
      </w:tr>
    </w:tbl>
    <w:p/>
    <w:p>
      <w:r>
        <w:t>Note: Values reflect the Urban Mart Power BI report snapshot and are presented using the dashboard's rounded $M/$K notation.</w:t>
      </w:r>
    </w:p>
    <w:p>
      <w:pPr>
        <w:pStyle w:val="Heading1"/>
      </w:pPr>
      <w:r>
        <w:t>7. Data Preparation &amp; Analytical Approach</w:t>
      </w:r>
    </w:p>
    <w:p>
      <w:pPr>
        <w:pStyle w:val="ListBullet"/>
      </w:pPr>
      <w:r>
        <w:t>Power Query was used for data preparation and transformation before analysis.</w:t>
      </w:r>
    </w:p>
    <w:p>
      <w:pPr>
        <w:pStyle w:val="ListBullet"/>
      </w:pPr>
      <w:r>
        <w:t>Date fields were prepared to support month and year trend analysis.</w:t>
      </w:r>
    </w:p>
    <w:p>
      <w:pPr>
        <w:pStyle w:val="ListBullet"/>
      </w:pPr>
      <w:r>
        <w:t>Power BI relationships and the data model support cross-dimensional filtering between sales and descriptive dimensions.</w:t>
      </w:r>
    </w:p>
    <w:p>
      <w:pPr>
        <w:pStyle w:val="ListBullet"/>
      </w:pPr>
      <w:r>
        <w:t>DAX measures were used for core KPIs and analytical calculations including sales, profit, gross margin, AOV and month-over-month performance.</w:t>
      </w:r>
    </w:p>
    <w:p>
      <w:pPr>
        <w:pStyle w:val="ListBullet"/>
      </w:pPr>
      <w:r>
        <w:t>Interactive slicers, navigation, tooltips and scenario parameters were added to make the report exploratory and user-friendly.</w:t>
      </w:r>
    </w:p>
    <w:p>
      <w:pPr>
        <w:pStyle w:val="Heading1"/>
      </w:pPr>
      <w:r>
        <w:t>8. Dashboard Architecture</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2563EB"/>
          </w:tcPr>
          <w:p>
            <w:r/>
            <w:r>
              <w:rPr>
                <w:b/>
                <w:color w:val="FFFFFF"/>
              </w:rPr>
              <w:t>Dashboard Page</w:t>
            </w:r>
          </w:p>
        </w:tc>
        <w:tc>
          <w:tcPr>
            <w:tcW w:type="dxa" w:w="6192"/>
            <w:vAlign w:val="center"/>
            <w:shd w:fill="2563EB"/>
          </w:tcPr>
          <w:p>
            <w:r/>
            <w:r>
              <w:rPr>
                <w:b/>
                <w:color w:val="FFFFFF"/>
              </w:rPr>
              <w:t>Purpose</w:t>
            </w:r>
          </w:p>
        </w:tc>
      </w:tr>
      <w:tr>
        <w:tc>
          <w:tcPr>
            <w:tcW w:type="dxa" w:w="3168"/>
            <w:vAlign w:val="center"/>
          </w:tcPr>
          <w:p>
            <w:r/>
            <w:r>
              <w:rPr>
                <w:b w:val="0"/>
              </w:rPr>
              <w:t>Page 1 — Executive Sales Overview</w:t>
            </w:r>
          </w:p>
        </w:tc>
        <w:tc>
          <w:tcPr>
            <w:tcW w:type="dxa" w:w="6192"/>
            <w:vAlign w:val="center"/>
          </w:tcPr>
          <w:p>
            <w:r/>
            <w:r>
              <w:rPr>
                <w:b w:val="0"/>
              </w:rPr>
              <w:t>Executive KPIs, regional/category performance, channel contribution, monthly performance and high-level business insights.</w:t>
            </w:r>
          </w:p>
        </w:tc>
      </w:tr>
      <w:tr>
        <w:tc>
          <w:tcPr>
            <w:tcW w:type="dxa" w:w="3168"/>
            <w:vAlign w:val="center"/>
          </w:tcPr>
          <w:p>
            <w:r/>
            <w:r>
              <w:rPr>
                <w:b w:val="0"/>
              </w:rPr>
              <w:t>Page 2 — Retail Sales Performance</w:t>
            </w:r>
          </w:p>
        </w:tc>
        <w:tc>
          <w:tcPr>
            <w:tcW w:type="dxa" w:w="6192"/>
            <w:vAlign w:val="center"/>
          </w:tcPr>
          <w:p>
            <w:r/>
            <w:r>
              <w:rPr>
                <w:b w:val="0"/>
              </w:rPr>
              <w:t>Top products, category sales/profit, regional performance and product-level comparison.</w:t>
            </w:r>
          </w:p>
        </w:tc>
      </w:tr>
      <w:tr>
        <w:tc>
          <w:tcPr>
            <w:tcW w:type="dxa" w:w="3168"/>
            <w:vAlign w:val="center"/>
          </w:tcPr>
          <w:p>
            <w:r/>
            <w:r>
              <w:rPr>
                <w:b w:val="0"/>
              </w:rPr>
              <w:t>Page 3 — Customer &amp; Geography Analysis</w:t>
            </w:r>
          </w:p>
        </w:tc>
        <w:tc>
          <w:tcPr>
            <w:tcW w:type="dxa" w:w="6192"/>
            <w:vAlign w:val="center"/>
          </w:tcPr>
          <w:p>
            <w:r/>
            <w:r>
              <w:rPr>
                <w:b w:val="0"/>
              </w:rPr>
              <w:t>Customer segments, profit/AOV by segment, regions, cities, top customers and customer metrics.</w:t>
            </w:r>
          </w:p>
        </w:tc>
      </w:tr>
      <w:tr>
        <w:tc>
          <w:tcPr>
            <w:tcW w:type="dxa" w:w="3168"/>
            <w:vAlign w:val="center"/>
          </w:tcPr>
          <w:p>
            <w:r/>
            <w:r>
              <w:rPr>
                <w:b w:val="0"/>
              </w:rPr>
              <w:t>Page 4 — Sales &amp; Profitability Trend</w:t>
            </w:r>
          </w:p>
        </w:tc>
        <w:tc>
          <w:tcPr>
            <w:tcW w:type="dxa" w:w="6192"/>
            <w:vAlign w:val="center"/>
          </w:tcPr>
          <w:p>
            <w:r/>
            <w:r>
              <w:rPr>
                <w:b w:val="0"/>
              </w:rPr>
              <w:t>Monthly sales, gross margin, category profit contribution, category/subcategory sales and target achievement.</w:t>
            </w:r>
          </w:p>
        </w:tc>
      </w:tr>
      <w:tr>
        <w:tc>
          <w:tcPr>
            <w:tcW w:type="dxa" w:w="3168"/>
            <w:vAlign w:val="center"/>
          </w:tcPr>
          <w:p>
            <w:r/>
            <w:r>
              <w:rPr>
                <w:b w:val="0"/>
              </w:rPr>
              <w:t>Page 5 — Advanced Business Analytics</w:t>
            </w:r>
          </w:p>
        </w:tc>
        <w:tc>
          <w:tcPr>
            <w:tcW w:type="dxa" w:w="6192"/>
            <w:vAlign w:val="center"/>
          </w:tcPr>
          <w:p>
            <w:r/>
            <w:r>
              <w:rPr>
                <w:b w:val="0"/>
              </w:rPr>
              <w:t>Scenario analysis, discount scenario parameter, sales-driver decomposition and customer revenue concentration.</w:t>
            </w:r>
          </w:p>
        </w:tc>
      </w:tr>
      <w:tr>
        <w:tc>
          <w:tcPr>
            <w:tcW w:type="dxa" w:w="3168"/>
            <w:vAlign w:val="center"/>
          </w:tcPr>
          <w:p>
            <w:r/>
            <w:r>
              <w:rPr>
                <w:b w:val="0"/>
              </w:rPr>
              <w:t>Page 6 — Customer Detail</w:t>
            </w:r>
          </w:p>
        </w:tc>
        <w:tc>
          <w:tcPr>
            <w:tcW w:type="dxa" w:w="6192"/>
            <w:vAlign w:val="center"/>
          </w:tcPr>
          <w:p>
            <w:r/>
            <w:r>
              <w:rPr>
                <w:b w:val="0"/>
              </w:rPr>
              <w:t>Customer-level KPIs, monthly sales, category contribution and product-level sales/profit/quantity.</w:t>
            </w:r>
          </w:p>
        </w:tc>
      </w:tr>
      <w:tr>
        <w:tc>
          <w:tcPr>
            <w:tcW w:type="dxa" w:w="3168"/>
            <w:vAlign w:val="center"/>
          </w:tcPr>
          <w:p>
            <w:r/>
            <w:r>
              <w:rPr>
                <w:b w:val="0"/>
              </w:rPr>
              <w:t>Page 7 — Management Dashboard</w:t>
            </w:r>
          </w:p>
        </w:tc>
        <w:tc>
          <w:tcPr>
            <w:tcW w:type="dxa" w:w="6192"/>
            <w:vAlign w:val="center"/>
          </w:tcPr>
          <w:p>
            <w:r/>
            <w:r>
              <w:rPr>
                <w:b w:val="0"/>
              </w:rPr>
              <w:t>Management-focused view of sales, profit, regional performance, channel contribution, category performance and target position.</w:t>
            </w:r>
          </w:p>
        </w:tc>
      </w:tr>
    </w:tbl>
    <w:p/>
    <w:p>
      <w:pPr>
        <w:pStyle w:val="Heading1"/>
      </w:pPr>
      <w:r>
        <w:t>9. Key Business Insights</w:t>
      </w:r>
    </w:p>
    <w:p>
      <w:pPr>
        <w:pStyle w:val="ListBullet"/>
      </w:pPr>
      <w:r>
        <w:t>Central region leads revenue — Central contributes $69.5M, ahead of South at $58.3M and North at $55.0M.</w:t>
      </w:r>
    </w:p>
    <w:p>
      <w:pPr>
        <w:pStyle w:val="ListBullet"/>
      </w:pPr>
      <w:r>
        <w:t>Online is the strongest channel — Online generates $94.7M, representing 51.81% of total sales; In-Store generates $70.2M.</w:t>
      </w:r>
    </w:p>
    <w:p>
      <w:pPr>
        <w:pStyle w:val="ListBullet"/>
      </w:pPr>
      <w:r>
        <w:t>Home &amp; Kitchen leads category performance — approximately $67.3M sales and $24M profit.</w:t>
      </w:r>
    </w:p>
    <w:p>
      <w:pPr>
        <w:pStyle w:val="ListBullet"/>
      </w:pPr>
      <w:r>
        <w:t>Consumer customers dominate revenue — Consumer generates $117M versus $47M from Small Business and $19M from Corporate.</w:t>
      </w:r>
    </w:p>
    <w:p>
      <w:pPr>
        <w:pStyle w:val="ListBullet"/>
      </w:pPr>
      <w:r>
        <w:t>Sales are below target — actual sales of $182.8M are approximately $8.2M below the $191.0M target.</w:t>
      </w:r>
    </w:p>
    <w:p>
      <w:pPr>
        <w:pStyle w:val="ListBullet"/>
      </w:pPr>
      <w:r>
        <w:t>Top five products contribute approximately $54.9M in sales and $19.0M in profit.</w:t>
      </w:r>
    </w:p>
    <w:p>
      <w:pPr>
        <w:pStyle w:val="Heading1"/>
      </w:pPr>
      <w:r>
        <w:t>10. Selected Product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592"/>
            <w:vAlign w:val="center"/>
            <w:shd w:fill="2563EB"/>
          </w:tcPr>
          <w:p>
            <w:r/>
            <w:r>
              <w:rPr>
                <w:b/>
                <w:color w:val="FFFFFF"/>
              </w:rPr>
              <w:t>Product</w:t>
            </w:r>
          </w:p>
        </w:tc>
        <w:tc>
          <w:tcPr>
            <w:tcW w:type="dxa" w:w="1584"/>
            <w:vAlign w:val="center"/>
            <w:shd w:fill="2563EB"/>
          </w:tcPr>
          <w:p>
            <w:r/>
            <w:r>
              <w:rPr>
                <w:b/>
                <w:color w:val="FFFFFF"/>
              </w:rPr>
              <w:t>Sales</w:t>
            </w:r>
          </w:p>
        </w:tc>
        <w:tc>
          <w:tcPr>
            <w:tcW w:type="dxa" w:w="1584"/>
            <w:vAlign w:val="center"/>
            <w:shd w:fill="2563EB"/>
          </w:tcPr>
          <w:p>
            <w:r/>
            <w:r>
              <w:rPr>
                <w:b/>
                <w:color w:val="FFFFFF"/>
              </w:rPr>
              <w:t>Profit</w:t>
            </w:r>
          </w:p>
        </w:tc>
        <w:tc>
          <w:tcPr>
            <w:tcW w:type="dxa" w:w="1440"/>
            <w:vAlign w:val="center"/>
            <w:shd w:fill="2563EB"/>
          </w:tcPr>
          <w:p>
            <w:r/>
            <w:r>
              <w:rPr>
                <w:b/>
                <w:color w:val="FFFFFF"/>
              </w:rPr>
              <w:t>Gross %</w:t>
            </w:r>
          </w:p>
        </w:tc>
        <w:tc>
          <w:tcPr>
            <w:tcW w:type="dxa" w:w="1152"/>
            <w:vAlign w:val="center"/>
            <w:shd w:fill="2563EB"/>
          </w:tcPr>
          <w:p>
            <w:r/>
            <w:r>
              <w:rPr>
                <w:b/>
                <w:color w:val="FFFFFF"/>
              </w:rPr>
              <w:t>Units</w:t>
            </w:r>
          </w:p>
        </w:tc>
      </w:tr>
      <w:tr>
        <w:tc>
          <w:tcPr>
            <w:tcW w:type="dxa" w:w="2592"/>
            <w:vAlign w:val="center"/>
          </w:tcPr>
          <w:p>
            <w:r/>
            <w:r>
              <w:rPr>
                <w:b w:val="0"/>
              </w:rPr>
              <w:t>Air Fryer 4L</w:t>
            </w:r>
          </w:p>
        </w:tc>
        <w:tc>
          <w:tcPr>
            <w:tcW w:type="dxa" w:w="1584"/>
            <w:vAlign w:val="center"/>
          </w:tcPr>
          <w:p>
            <w:r/>
            <w:r>
              <w:rPr>
                <w:b w:val="0"/>
              </w:rPr>
              <w:t>$16.339M</w:t>
            </w:r>
          </w:p>
        </w:tc>
        <w:tc>
          <w:tcPr>
            <w:tcW w:type="dxa" w:w="1584"/>
            <w:vAlign w:val="center"/>
          </w:tcPr>
          <w:p>
            <w:r/>
            <w:r>
              <w:rPr>
                <w:b w:val="0"/>
              </w:rPr>
              <w:t>$5.515M</w:t>
            </w:r>
          </w:p>
        </w:tc>
        <w:tc>
          <w:tcPr>
            <w:tcW w:type="dxa" w:w="1440"/>
            <w:vAlign w:val="center"/>
          </w:tcPr>
          <w:p>
            <w:r/>
            <w:r>
              <w:rPr>
                <w:b w:val="0"/>
              </w:rPr>
              <w:t>33.75%</w:t>
            </w:r>
          </w:p>
        </w:tc>
        <w:tc>
          <w:tcPr>
            <w:tcW w:type="dxa" w:w="1152"/>
            <w:vAlign w:val="center"/>
          </w:tcPr>
          <w:p>
            <w:r/>
            <w:r>
              <w:rPr>
                <w:b w:val="0"/>
              </w:rPr>
              <w:t>1,230</w:t>
            </w:r>
          </w:p>
        </w:tc>
      </w:tr>
      <w:tr>
        <w:tc>
          <w:tcPr>
            <w:tcW w:type="dxa" w:w="2592"/>
            <w:vAlign w:val="center"/>
          </w:tcPr>
          <w:p>
            <w:r/>
            <w:r>
              <w:rPr>
                <w:b w:val="0"/>
              </w:rPr>
              <w:t>Coffee Maker</w:t>
            </w:r>
          </w:p>
        </w:tc>
        <w:tc>
          <w:tcPr>
            <w:tcW w:type="dxa" w:w="1584"/>
            <w:vAlign w:val="center"/>
          </w:tcPr>
          <w:p>
            <w:r/>
            <w:r>
              <w:rPr>
                <w:b w:val="0"/>
              </w:rPr>
              <w:t>$13.362M</w:t>
            </w:r>
          </w:p>
        </w:tc>
        <w:tc>
          <w:tcPr>
            <w:tcW w:type="dxa" w:w="1584"/>
            <w:vAlign w:val="center"/>
          </w:tcPr>
          <w:p>
            <w:r/>
            <w:r>
              <w:rPr>
                <w:b w:val="0"/>
              </w:rPr>
              <w:t>$4.647M</w:t>
            </w:r>
          </w:p>
        </w:tc>
        <w:tc>
          <w:tcPr>
            <w:tcW w:type="dxa" w:w="1440"/>
            <w:vAlign w:val="center"/>
          </w:tcPr>
          <w:p>
            <w:r/>
            <w:r>
              <w:rPr>
                <w:b w:val="0"/>
              </w:rPr>
              <w:t>34.78%</w:t>
            </w:r>
          </w:p>
        </w:tc>
        <w:tc>
          <w:tcPr>
            <w:tcW w:type="dxa" w:w="1152"/>
            <w:vAlign w:val="center"/>
          </w:tcPr>
          <w:p>
            <w:r/>
            <w:r>
              <w:rPr>
                <w:b w:val="0"/>
              </w:rPr>
              <w:t>1,263</w:t>
            </w:r>
          </w:p>
        </w:tc>
      </w:tr>
      <w:tr>
        <w:tc>
          <w:tcPr>
            <w:tcW w:type="dxa" w:w="2592"/>
            <w:vAlign w:val="center"/>
          </w:tcPr>
          <w:p>
            <w:r/>
            <w:r>
              <w:rPr>
                <w:b w:val="0"/>
              </w:rPr>
              <w:t>Blender</w:t>
            </w:r>
          </w:p>
        </w:tc>
        <w:tc>
          <w:tcPr>
            <w:tcW w:type="dxa" w:w="1584"/>
            <w:vAlign w:val="center"/>
          </w:tcPr>
          <w:p>
            <w:r/>
            <w:r>
              <w:rPr>
                <w:b w:val="0"/>
              </w:rPr>
              <w:t>$9.427M</w:t>
            </w:r>
          </w:p>
        </w:tc>
        <w:tc>
          <w:tcPr>
            <w:tcW w:type="dxa" w:w="1584"/>
            <w:vAlign w:val="center"/>
          </w:tcPr>
          <w:p>
            <w:r/>
            <w:r>
              <w:rPr>
                <w:b w:val="0"/>
              </w:rPr>
              <w:t>$3.242M</w:t>
            </w:r>
          </w:p>
        </w:tc>
        <w:tc>
          <w:tcPr>
            <w:tcW w:type="dxa" w:w="1440"/>
            <w:vAlign w:val="center"/>
          </w:tcPr>
          <w:p>
            <w:r/>
            <w:r>
              <w:rPr>
                <w:b w:val="0"/>
              </w:rPr>
              <w:t>34.39%</w:t>
            </w:r>
          </w:p>
        </w:tc>
        <w:tc>
          <w:tcPr>
            <w:tcW w:type="dxa" w:w="1152"/>
            <w:vAlign w:val="center"/>
          </w:tcPr>
          <w:p>
            <w:r/>
            <w:r>
              <w:rPr>
                <w:b w:val="0"/>
              </w:rPr>
              <w:t>1,316</w:t>
            </w:r>
          </w:p>
        </w:tc>
      </w:tr>
      <w:tr>
        <w:tc>
          <w:tcPr>
            <w:tcW w:type="dxa" w:w="2592"/>
            <w:vAlign w:val="center"/>
          </w:tcPr>
          <w:p>
            <w:r/>
            <w:r>
              <w:rPr>
                <w:b w:val="0"/>
              </w:rPr>
              <w:t>Smart Watch</w:t>
            </w:r>
          </w:p>
        </w:tc>
        <w:tc>
          <w:tcPr>
            <w:tcW w:type="dxa" w:w="1584"/>
            <w:vAlign w:val="center"/>
          </w:tcPr>
          <w:p>
            <w:r/>
            <w:r>
              <w:rPr>
                <w:b w:val="0"/>
              </w:rPr>
              <w:t>$8.678M</w:t>
            </w:r>
          </w:p>
        </w:tc>
        <w:tc>
          <w:tcPr>
            <w:tcW w:type="dxa" w:w="1584"/>
            <w:vAlign w:val="center"/>
          </w:tcPr>
          <w:p>
            <w:r/>
            <w:r>
              <w:rPr>
                <w:b w:val="0"/>
              </w:rPr>
              <w:t>$2.997M</w:t>
            </w:r>
          </w:p>
        </w:tc>
        <w:tc>
          <w:tcPr>
            <w:tcW w:type="dxa" w:w="1440"/>
            <w:vAlign w:val="center"/>
          </w:tcPr>
          <w:p>
            <w:r/>
            <w:r>
              <w:rPr>
                <w:b w:val="0"/>
              </w:rPr>
              <w:t>34.53%</w:t>
            </w:r>
          </w:p>
        </w:tc>
        <w:tc>
          <w:tcPr>
            <w:tcW w:type="dxa" w:w="1152"/>
            <w:vAlign w:val="center"/>
          </w:tcPr>
          <w:p>
            <w:r/>
            <w:r>
              <w:rPr>
                <w:b w:val="0"/>
              </w:rPr>
              <w:t>1,114</w:t>
            </w:r>
          </w:p>
        </w:tc>
      </w:tr>
      <w:tr>
        <w:tc>
          <w:tcPr>
            <w:tcW w:type="dxa" w:w="2592"/>
            <w:vAlign w:val="center"/>
          </w:tcPr>
          <w:p>
            <w:r/>
            <w:r>
              <w:rPr>
                <w:b w:val="0"/>
              </w:rPr>
              <w:t>Non-Stick Pan Set</w:t>
            </w:r>
          </w:p>
        </w:tc>
        <w:tc>
          <w:tcPr>
            <w:tcW w:type="dxa" w:w="1584"/>
            <w:vAlign w:val="center"/>
          </w:tcPr>
          <w:p>
            <w:r/>
            <w:r>
              <w:rPr>
                <w:b w:val="0"/>
              </w:rPr>
              <w:t>$7.051M</w:t>
            </w:r>
          </w:p>
        </w:tc>
        <w:tc>
          <w:tcPr>
            <w:tcW w:type="dxa" w:w="1584"/>
            <w:vAlign w:val="center"/>
          </w:tcPr>
          <w:p>
            <w:r/>
            <w:r>
              <w:rPr>
                <w:b w:val="0"/>
              </w:rPr>
              <w:t>$2.587M</w:t>
            </w:r>
          </w:p>
        </w:tc>
        <w:tc>
          <w:tcPr>
            <w:tcW w:type="dxa" w:w="1440"/>
            <w:vAlign w:val="center"/>
          </w:tcPr>
          <w:p>
            <w:r/>
            <w:r>
              <w:rPr>
                <w:b w:val="0"/>
              </w:rPr>
              <w:t>36.69%</w:t>
            </w:r>
          </w:p>
        </w:tc>
        <w:tc>
          <w:tcPr>
            <w:tcW w:type="dxa" w:w="1152"/>
            <w:vAlign w:val="center"/>
          </w:tcPr>
          <w:p>
            <w:r/>
            <w:r>
              <w:rPr>
                <w:b w:val="0"/>
              </w:rPr>
              <w:t>1,240</w:t>
            </w:r>
          </w:p>
        </w:tc>
      </w:tr>
    </w:tbl>
    <w:p/>
    <w:p>
      <w:pPr>
        <w:pStyle w:val="Heading1"/>
      </w:pPr>
      <w:r>
        <w:t>11. Customer &amp; Geographic Findings</w:t>
      </w:r>
    </w:p>
    <w:p>
      <w:r>
        <w:t>Consumer is the largest customer segment with $117M in sales, followed by Small Business at $47M and Corporate at $19M. Consumer also has the highest segment AOV at approximately $21K, compared with $14K for Small Business and $12K for Corporate.</w:t>
      </w:r>
    </w:p>
    <w:tbl>
      <w:tblPr>
        <w:tblStyle w:val="TableGrid"/>
        <w:tblW w:type="auto" w:w="0"/>
        <w:jc w:val="center"/>
        <w:tblLook w:firstColumn="1" w:firstRow="1" w:lastColumn="0" w:lastRow="0" w:noHBand="0" w:noVBand="1" w:val="04A0"/>
      </w:tblPr>
      <w:tblGrid>
        <w:gridCol w:w="5040"/>
        <w:gridCol w:w="5040"/>
      </w:tblGrid>
      <w:tr>
        <w:tc>
          <w:tcPr>
            <w:tcW w:type="dxa" w:w="4680"/>
            <w:vAlign w:val="center"/>
            <w:shd w:fill="2563EB"/>
          </w:tcPr>
          <w:p>
            <w:r/>
            <w:r>
              <w:rPr>
                <w:b/>
                <w:color w:val="FFFFFF"/>
              </w:rPr>
              <w:t>City</w:t>
            </w:r>
          </w:p>
        </w:tc>
        <w:tc>
          <w:tcPr>
            <w:tcW w:type="dxa" w:w="4680"/>
            <w:vAlign w:val="center"/>
            <w:shd w:fill="2563EB"/>
          </w:tcPr>
          <w:p>
            <w:r/>
            <w:r>
              <w:rPr>
                <w:b/>
                <w:color w:val="FFFFFF"/>
              </w:rPr>
              <w:t>Sales</w:t>
            </w:r>
          </w:p>
        </w:tc>
      </w:tr>
      <w:tr>
        <w:tc>
          <w:tcPr>
            <w:tcW w:type="dxa" w:w="4680"/>
            <w:vAlign w:val="center"/>
          </w:tcPr>
          <w:p>
            <w:r/>
            <w:r>
              <w:rPr>
                <w:b w:val="0"/>
              </w:rPr>
              <w:t>Bahawalpur</w:t>
            </w:r>
          </w:p>
        </w:tc>
        <w:tc>
          <w:tcPr>
            <w:tcW w:type="dxa" w:w="4680"/>
            <w:vAlign w:val="center"/>
          </w:tcPr>
          <w:p>
            <w:r/>
            <w:r>
              <w:rPr>
                <w:b w:val="0"/>
              </w:rPr>
              <w:t>$21M</w:t>
            </w:r>
          </w:p>
        </w:tc>
      </w:tr>
      <w:tr>
        <w:tc>
          <w:tcPr>
            <w:tcW w:type="dxa" w:w="4680"/>
            <w:vAlign w:val="center"/>
          </w:tcPr>
          <w:p>
            <w:r/>
            <w:r>
              <w:rPr>
                <w:b w:val="0"/>
              </w:rPr>
              <w:t>Faisalabad</w:t>
            </w:r>
          </w:p>
        </w:tc>
        <w:tc>
          <w:tcPr>
            <w:tcW w:type="dxa" w:w="4680"/>
            <w:vAlign w:val="center"/>
          </w:tcPr>
          <w:p>
            <w:r/>
            <w:r>
              <w:rPr>
                <w:b w:val="0"/>
              </w:rPr>
              <w:t>$20M</w:t>
            </w:r>
          </w:p>
        </w:tc>
      </w:tr>
      <w:tr>
        <w:tc>
          <w:tcPr>
            <w:tcW w:type="dxa" w:w="4680"/>
            <w:vAlign w:val="center"/>
          </w:tcPr>
          <w:p>
            <w:r/>
            <w:r>
              <w:rPr>
                <w:b w:val="0"/>
              </w:rPr>
              <w:t>Multan</w:t>
            </w:r>
          </w:p>
        </w:tc>
        <w:tc>
          <w:tcPr>
            <w:tcW w:type="dxa" w:w="4680"/>
            <w:vAlign w:val="center"/>
          </w:tcPr>
          <w:p>
            <w:r/>
            <w:r>
              <w:rPr>
                <w:b w:val="0"/>
              </w:rPr>
              <w:t>$19M</w:t>
            </w:r>
          </w:p>
        </w:tc>
      </w:tr>
      <w:tr>
        <w:tc>
          <w:tcPr>
            <w:tcW w:type="dxa" w:w="4680"/>
            <w:vAlign w:val="center"/>
          </w:tcPr>
          <w:p>
            <w:r/>
            <w:r>
              <w:rPr>
                <w:b w:val="0"/>
              </w:rPr>
              <w:t>Peshawar</w:t>
            </w:r>
          </w:p>
        </w:tc>
        <w:tc>
          <w:tcPr>
            <w:tcW w:type="dxa" w:w="4680"/>
            <w:vAlign w:val="center"/>
          </w:tcPr>
          <w:p>
            <w:r/>
            <w:r>
              <w:rPr>
                <w:b w:val="0"/>
              </w:rPr>
              <w:t>$19M</w:t>
            </w:r>
          </w:p>
        </w:tc>
      </w:tr>
      <w:tr>
        <w:tc>
          <w:tcPr>
            <w:tcW w:type="dxa" w:w="4680"/>
            <w:vAlign w:val="center"/>
          </w:tcPr>
          <w:p>
            <w:r/>
            <w:r>
              <w:rPr>
                <w:b w:val="0"/>
              </w:rPr>
              <w:t>Islamabad</w:t>
            </w:r>
          </w:p>
        </w:tc>
        <w:tc>
          <w:tcPr>
            <w:tcW w:type="dxa" w:w="4680"/>
            <w:vAlign w:val="center"/>
          </w:tcPr>
          <w:p>
            <w:r/>
            <w:r>
              <w:rPr>
                <w:b w:val="0"/>
              </w:rPr>
              <w:t>$18M</w:t>
            </w:r>
          </w:p>
        </w:tc>
      </w:tr>
      <w:tr>
        <w:tc>
          <w:tcPr>
            <w:tcW w:type="dxa" w:w="4680"/>
            <w:vAlign w:val="center"/>
          </w:tcPr>
          <w:p>
            <w:r/>
            <w:r>
              <w:rPr>
                <w:b w:val="0"/>
              </w:rPr>
              <w:t>Rawalpindi</w:t>
            </w:r>
          </w:p>
        </w:tc>
        <w:tc>
          <w:tcPr>
            <w:tcW w:type="dxa" w:w="4680"/>
            <w:vAlign w:val="center"/>
          </w:tcPr>
          <w:p>
            <w:r/>
            <w:r>
              <w:rPr>
                <w:b w:val="0"/>
              </w:rPr>
              <w:t>$18M</w:t>
            </w:r>
          </w:p>
        </w:tc>
      </w:tr>
      <w:tr>
        <w:tc>
          <w:tcPr>
            <w:tcW w:type="dxa" w:w="4680"/>
            <w:vAlign w:val="center"/>
          </w:tcPr>
          <w:p>
            <w:r/>
            <w:r>
              <w:rPr>
                <w:b w:val="0"/>
              </w:rPr>
              <w:t>Karachi</w:t>
            </w:r>
          </w:p>
        </w:tc>
        <w:tc>
          <w:tcPr>
            <w:tcW w:type="dxa" w:w="4680"/>
            <w:vAlign w:val="center"/>
          </w:tcPr>
          <w:p>
            <w:r/>
            <w:r>
              <w:rPr>
                <w:b w:val="0"/>
              </w:rPr>
              <w:t>$18M</w:t>
            </w:r>
          </w:p>
        </w:tc>
      </w:tr>
      <w:tr>
        <w:tc>
          <w:tcPr>
            <w:tcW w:type="dxa" w:w="4680"/>
            <w:vAlign w:val="center"/>
          </w:tcPr>
          <w:p>
            <w:r/>
            <w:r>
              <w:rPr>
                <w:b w:val="0"/>
              </w:rPr>
              <w:t>Gujranwala</w:t>
            </w:r>
          </w:p>
        </w:tc>
        <w:tc>
          <w:tcPr>
            <w:tcW w:type="dxa" w:w="4680"/>
            <w:vAlign w:val="center"/>
          </w:tcPr>
          <w:p>
            <w:r/>
            <w:r>
              <w:rPr>
                <w:b w:val="0"/>
              </w:rPr>
              <w:t>$17M</w:t>
            </w:r>
          </w:p>
        </w:tc>
      </w:tr>
      <w:tr>
        <w:tc>
          <w:tcPr>
            <w:tcW w:type="dxa" w:w="4680"/>
            <w:vAlign w:val="center"/>
          </w:tcPr>
          <w:p>
            <w:r/>
            <w:r>
              <w:rPr>
                <w:b w:val="0"/>
              </w:rPr>
              <w:t>Lahore</w:t>
            </w:r>
          </w:p>
        </w:tc>
        <w:tc>
          <w:tcPr>
            <w:tcW w:type="dxa" w:w="4680"/>
            <w:vAlign w:val="center"/>
          </w:tcPr>
          <w:p>
            <w:r/>
            <w:r>
              <w:rPr>
                <w:b w:val="0"/>
              </w:rPr>
              <w:t>$16M</w:t>
            </w:r>
          </w:p>
        </w:tc>
      </w:tr>
      <w:tr>
        <w:tc>
          <w:tcPr>
            <w:tcW w:type="dxa" w:w="4680"/>
            <w:vAlign w:val="center"/>
          </w:tcPr>
          <w:p>
            <w:r/>
            <w:r>
              <w:rPr>
                <w:b w:val="0"/>
              </w:rPr>
              <w:t>Sialkot</w:t>
            </w:r>
          </w:p>
        </w:tc>
        <w:tc>
          <w:tcPr>
            <w:tcW w:type="dxa" w:w="4680"/>
            <w:vAlign w:val="center"/>
          </w:tcPr>
          <w:p>
            <w:r/>
            <w:r>
              <w:rPr>
                <w:b w:val="0"/>
              </w:rPr>
              <w:t>$16M</w:t>
            </w:r>
          </w:p>
        </w:tc>
      </w:tr>
    </w:tbl>
    <w:p/>
    <w:p>
      <w:pPr>
        <w:pStyle w:val="Heading1"/>
      </w:pPr>
      <w:r>
        <w:t>12. Advanced Analytics</w:t>
      </w:r>
    </w:p>
    <w:p>
      <w:r>
        <w:t>The advanced analytics page includes scenario analysis, a discount scenario parameter, sales-driver decomposition and customer revenue concentration analysis. In the selected Click &amp; Collect scenario, the report shows approximately $17.9M sales, $6.6M profit and 37.03% gross margin. The sales-driver view helps investigate contributing brands, categories and products rather than relying only on headline KPIs.</w:t>
      </w:r>
    </w:p>
    <w:p>
      <w:pPr>
        <w:pStyle w:val="Heading1"/>
      </w:pPr>
      <w:r>
        <w:t>13. Business Recommendations</w:t>
      </w:r>
    </w:p>
    <w:p>
      <w:pPr>
        <w:pStyle w:val="ListBullet"/>
      </w:pPr>
      <w:r>
        <w:t>Protect and scale the Online channel through targeted campaigns, conversion improvements and repeat-purchase initiatives.</w:t>
      </w:r>
    </w:p>
    <w:p>
      <w:pPr>
        <w:pStyle w:val="ListBullet"/>
      </w:pPr>
      <w:r>
        <w:t>Prioritize Home &amp; Kitchen inventory, merchandising and promotional planning because it is the strongest category by sales and profit.</w:t>
      </w:r>
    </w:p>
    <w:p>
      <w:pPr>
        <w:pStyle w:val="ListBullet"/>
      </w:pPr>
      <w:r>
        <w:t>Use Central as a benchmark region while investigating growth opportunities in North and South.</w:t>
      </w:r>
    </w:p>
    <w:p>
      <w:pPr>
        <w:pStyle w:val="ListBullet"/>
      </w:pPr>
      <w:r>
        <w:t>Focus retention and engagement efforts on high-value customers while monitoring customer revenue concentration.</w:t>
      </w:r>
    </w:p>
    <w:p>
      <w:pPr>
        <w:pStyle w:val="ListBullet"/>
      </w:pPr>
      <w:r>
        <w:t>Address the approximately $8.2M target gap through coordinated monthly actions across channels, regions and categories.</w:t>
      </w:r>
    </w:p>
    <w:p>
      <w:pPr>
        <w:pStyle w:val="ListBullet"/>
      </w:pPr>
      <w:r>
        <w:t>Use scenario and discount analysis before changing discount strategy so that promotional decisions remain aligned with profitability.</w:t>
      </w:r>
    </w:p>
    <w:p>
      <w:pPr>
        <w:pStyle w:val="Heading1"/>
      </w:pPr>
      <w:r>
        <w:t>14. Tools &amp; Skills Demonstrated</w:t>
      </w:r>
    </w:p>
    <w:p>
      <w:pPr>
        <w:pStyle w:val="ListBullet"/>
      </w:pPr>
      <w:r>
        <w:t>Power BI Desktop</w:t>
      </w:r>
    </w:p>
    <w:p>
      <w:pPr>
        <w:pStyle w:val="ListBullet"/>
      </w:pPr>
      <w:r>
        <w:t>Power Query</w:t>
      </w:r>
    </w:p>
    <w:p>
      <w:pPr>
        <w:pStyle w:val="ListBullet"/>
      </w:pPr>
      <w:r>
        <w:t>DAX</w:t>
      </w:r>
    </w:p>
    <w:p>
      <w:pPr>
        <w:pStyle w:val="ListBullet"/>
      </w:pPr>
      <w:r>
        <w:t>Data modeling &amp; relationships</w:t>
      </w:r>
    </w:p>
    <w:p>
      <w:pPr>
        <w:pStyle w:val="ListBullet"/>
      </w:pPr>
      <w:r>
        <w:t>KPI/dashboard UX</w:t>
      </w:r>
    </w:p>
    <w:p>
      <w:pPr>
        <w:pStyle w:val="ListBullet"/>
      </w:pPr>
      <w:r>
        <w:t>Interactive slicers and navigation</w:t>
      </w:r>
    </w:p>
    <w:p>
      <w:pPr>
        <w:pStyle w:val="ListBullet"/>
      </w:pPr>
      <w:r>
        <w:t>Trend analysis</w:t>
      </w:r>
    </w:p>
    <w:p>
      <w:pPr>
        <w:pStyle w:val="ListBullet"/>
      </w:pPr>
      <w:r>
        <w:t>Scenario/parameter analysis</w:t>
      </w:r>
    </w:p>
    <w:p>
      <w:pPr>
        <w:pStyle w:val="ListBullet"/>
      </w:pPr>
      <w:r>
        <w:t>Sales-driver analysis</w:t>
      </w:r>
    </w:p>
    <w:p>
      <w:pPr>
        <w:pStyle w:val="ListBullet"/>
      </w:pPr>
      <w:r>
        <w:t>Customer Pareto/concentration analysis</w:t>
      </w:r>
    </w:p>
    <w:p>
      <w:pPr>
        <w:pStyle w:val="ListBullet"/>
      </w:pPr>
      <w:r>
        <w:t>Excel</w:t>
      </w:r>
    </w:p>
    <w:p>
      <w:pPr>
        <w:pStyle w:val="Heading1"/>
      </w:pPr>
      <w:r>
        <w:t>15. Project Outcome</w:t>
      </w:r>
    </w:p>
    <w:p>
      <w:r>
        <w:t>Urban Mart turns retail transaction data into an interactive management reporting system that supports performance monitoring, driver investigation, scenario exploration and data-driven business decisions. The project demonstrates both technical Power BI execution and business-focused analytical thinking.</w:t>
      </w:r>
    </w:p>
    <w:p>
      <w:pPr>
        <w:pStyle w:val="Heading1"/>
      </w:pPr>
      <w:r>
        <w:t>16. Portfolio Presentation</w:t>
      </w:r>
    </w:p>
    <w:p>
      <w:r>
        <w:t>Present this case study alongside the interactive Urban Mart Power BI dashboard. The dashboard demonstrates technical execution and interactivity; this case study demonstrates business understanding, analytical reasoning, insights and recommendations.</w:t>
      </w:r>
    </w:p>
    <w:p/>
    <w:p>
      <w:pPr>
        <w:jc w:val="center"/>
      </w:pPr>
      <w:r>
        <w:rPr>
          <w:b/>
          <w:color w:val="2563EB"/>
        </w:rPr>
        <w:t>Urban Mart • Power BI Portfolio Case Study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563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