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41275" w:rsidRDefault="00141275" w:rsidP="00141275">
      <w:pPr>
        <w:pStyle w:val="PlainText"/>
        <w:bidi/>
        <w:spacing w:line="360" w:lineRule="auto"/>
        <w:jc w:val="both"/>
        <w:rPr>
          <w:rFonts w:asciiTheme="minorHAnsi" w:hAnsiTheme="minorHAnsi" w:cs="Arial"/>
          <w:sz w:val="36"/>
          <w:szCs w:val="36"/>
          <w:rtl/>
          <w:lang w:val="fr-FR" w:bidi="ar-TN"/>
        </w:rPr>
      </w:pPr>
    </w:p>
    <w:p w:rsidR="00141275" w:rsidRDefault="00141275" w:rsidP="00141275">
      <w:pPr>
        <w:pStyle w:val="PlainText"/>
        <w:bidi/>
        <w:spacing w:line="360" w:lineRule="auto"/>
        <w:jc w:val="both"/>
        <w:rPr>
          <w:rFonts w:asciiTheme="minorHAnsi" w:hAnsiTheme="minorHAnsi" w:cs="Arial"/>
          <w:sz w:val="36"/>
          <w:szCs w:val="36"/>
          <w:rtl/>
          <w:lang w:val="fr-FR" w:bidi="ar-TN"/>
        </w:rPr>
      </w:pPr>
    </w:p>
    <w:p w:rsidR="00141275" w:rsidRDefault="00141275" w:rsidP="00141275">
      <w:pPr>
        <w:pStyle w:val="PlainText"/>
        <w:bidi/>
        <w:spacing w:line="360" w:lineRule="auto"/>
        <w:jc w:val="center"/>
        <w:rPr>
          <w:rFonts w:asciiTheme="minorHAnsi" w:hAnsiTheme="minorHAnsi"/>
          <w:sz w:val="36"/>
          <w:szCs w:val="36"/>
          <w:lang w:val="fr-FR" w:bidi="ar-TN"/>
        </w:rPr>
      </w:pPr>
      <w:r>
        <w:rPr>
          <w:rFonts w:asciiTheme="minorHAnsi" w:hAnsiTheme="minorHAnsi" w:cs="Arial" w:hint="cs"/>
          <w:sz w:val="36"/>
          <w:szCs w:val="36"/>
          <w:rtl/>
          <w:lang w:val="fr-FR" w:bidi="ar-TN"/>
        </w:rPr>
        <w:t>الفقة</w:t>
      </w:r>
      <w:r>
        <w:rPr>
          <w:rFonts w:asciiTheme="minorHAnsi" w:hAnsiTheme="minorHAnsi" w:cs="Arial"/>
          <w:sz w:val="36"/>
          <w:szCs w:val="36"/>
          <w:rtl/>
          <w:lang w:val="fr-FR" w:bidi="ar-TN"/>
        </w:rPr>
        <w:t xml:space="preserve"> الدرس </w:t>
      </w:r>
      <w:r>
        <w:rPr>
          <w:rFonts w:asciiTheme="minorHAnsi" w:hAnsiTheme="minorHAnsi" w:cs="Arial" w:hint="cs"/>
          <w:sz w:val="36"/>
          <w:szCs w:val="36"/>
          <w:rtl/>
          <w:lang w:val="fr-FR" w:bidi="ar-TN"/>
        </w:rPr>
        <w:t>الثاني</w:t>
      </w:r>
    </w:p>
    <w:p w:rsidR="00141275" w:rsidRDefault="00141275" w:rsidP="00141275">
      <w:pPr>
        <w:pStyle w:val="PlainText"/>
        <w:bidi/>
        <w:spacing w:line="360" w:lineRule="auto"/>
        <w:jc w:val="both"/>
        <w:rPr>
          <w:rFonts w:asciiTheme="minorHAnsi" w:hAnsiTheme="minorHAnsi" w:cs="Arial"/>
          <w:sz w:val="36"/>
          <w:szCs w:val="36"/>
          <w:rtl/>
          <w:lang w:val="fr-FR" w:bidi="ar-TN"/>
        </w:rPr>
      </w:pPr>
    </w:p>
    <w:p w:rsidR="001525F7" w:rsidRPr="008823E5" w:rsidRDefault="00DD75CA" w:rsidP="00141275">
      <w:pPr>
        <w:pStyle w:val="PlainText"/>
        <w:bidi/>
        <w:spacing w:line="360" w:lineRule="auto"/>
        <w:jc w:val="both"/>
        <w:rPr>
          <w:rFonts w:ascii="Courier New" w:hAnsi="Courier New" w:cs="Courier New"/>
        </w:rPr>
      </w:pPr>
      <w:bookmarkStart w:id="0" w:name="_GoBack"/>
      <w:bookmarkEnd w:id="0"/>
      <w:r w:rsidRPr="00141275">
        <w:rPr>
          <w:rFonts w:asciiTheme="minorHAnsi" w:hAnsiTheme="minorHAnsi" w:cs="Arial"/>
          <w:sz w:val="36"/>
          <w:szCs w:val="36"/>
          <w:rtl/>
          <w:lang w:val="fr-FR" w:bidi="ar-TN"/>
        </w:rPr>
        <w:t>أعوذ بالله من الشيطان الرجيم، بسم الله الرحمن الرحيم، وصلى الله على سيدنا محمد وعلى آله الطيبين طاهرين، ورضي الله عن صحابته والتابعين لهم بإحسان إلى يوم الدين، وارضى عنا معهم يا أرحم الراحمين، اللهم آمين، اللهم لا علم إلا ما علمتنا، فعلمنا، وفهمنا، وفقهنا، واستعملنا في خدمة دينك، يا رب العالمين، يعد هذا الدرس هو الدرس الأول. الفعلي في مباحث الفقه. وسنشرع اليوم بإذن الله، في مباحث موجبات الوضوء، ونرجو أو مما نصبو إليه أن نحصل خلال هذا الدرس ثلاثة أمور، هي أن نتعرف إلى الوضوء، وإلى موجباته، وأن نميز بين واجبات الغسل، وموجبات الوضوء. وأن نمتثل مقاصد الشريعة الإسلامية المطهرة من خلال أحكام الوضوء والغسل، تعد الطهارة مفتاحا لباب المناجاة، ومدخلا للوقوف بين يدي المعبود سبحانه، وقد جعلها الشارع الحنيف سبحانه شرطا في صحة الصلاة في ص، وقد جعلها الشرع الحنيف شرطا في صحة الصلاة. يلزم من انعدامها انعدام صحة الصلاة، وتنقسم الطهارة إلى طهارة صغرى، وطهارة كبرى. قال الإمام ابن أبي زيد رحمه الله تعالى الوضوء يجب لما يخرج من أحد المخرجين من بول أو غائط، أو ريح، أو لما يخرج من الذكر من مذي، مع غسل الذكر كله منه، وهو ماء أبيض ورقيق، يخرج عند اللذة بالإنعاض عند الملاعبة أو التذكار، وأما الوديفهو ماء أبيض خاثر، يخرج بإثر البول، يجب منه ما يجب من البول، وأما المني فهو الماء الدافق الذي يخرج عند اللذة الكبرى بالجماع رائحته كرائحة الطلاء، وماء المرأة ماء الرقيق أصفر، يجب منه الطهر، فيجب من هذا طهر جميع الجسد، كما يجب من طهر الحيضة. وأما دم الاستحاضة فيجب منه الوضوء، ويستحب لها ولسلس البول أن يتوضأ لكل صلاة، ويجب الوضوء من زوال العقل بنوم مستثقل، أو إغماء، أو سكر أو تخبط جنون، ويجب الوضوء من الملامسة للذة والمباشرة بالجسد للذة، والقبلة</w:t>
      </w:r>
      <w:r w:rsidRPr="00141275">
        <w:rPr>
          <w:rFonts w:asciiTheme="minorHAnsi" w:hAnsiTheme="minorHAnsi" w:cs="Arial"/>
          <w:sz w:val="36"/>
          <w:szCs w:val="36"/>
          <w:lang w:val="fr-FR" w:bidi="ar-TN"/>
        </w:rPr>
        <w:t xml:space="preserve"> </w:t>
      </w:r>
      <w:r w:rsidRPr="00141275">
        <w:rPr>
          <w:rFonts w:asciiTheme="minorHAnsi" w:hAnsiTheme="minorHAnsi" w:cs="Arial"/>
          <w:sz w:val="36"/>
          <w:szCs w:val="36"/>
          <w:rtl/>
          <w:lang w:val="fr-FR" w:bidi="ar-TN"/>
        </w:rPr>
        <w:t xml:space="preserve">للذة، ومن مس الذكر. واختلف في مس المرأة فرجها في إيجاب الوضوء بذلك، ويجب الطهر مما ذكرنا من خروج الماء الدافق للذة في نوم، أو يقظة من رجل أو امرأة. أو انقطاع دم الحيض، أو الاستحاضة، أو النفاس، أو بمغيب الحشفة في الفرج، وإن لم ينزل، ومغيب الحشافة في الفرج يوجب الغسل، ويوجب الحد، ويوجب الصداقة، ويحصن الزوجين، ويحل المطلقة ثلاثا للذي طلقها، ويفسد الحج، ويفسد الصوم، وإذا رأت المرأة القصة البيضاء. تطهرت، وكذلك إذا رأت الجفوف تطهرت مكانها، رأته بعد يوم أو يومين أو ساعة، ثم إن عاودها دم، أو رأت صفرة، أو قدرة تركت الصلاة، ثم إن انقطع عنها اغتسلت وصلت، ولكن ذلك كله كدم واحد في العدة والاستبراء حتى. يبعد ما بين الدمين. مثل ثمانية أيام أو عشرة، فيكون حيضا مؤتنفا، ومن تمادى بها الدم بلغت 15 يوما، ثم هي مستحاضة، تتطهر وتصوم، وتصلي، ويأتيها زوجها، وإذا انقطع دم النفساء، وإن كان قرب الولادة اغتسلت وصلت، وإن تمادى بها الدم. جلست 60 ليلة، ثم اغتسلت، وكانت مستحاضة. تصلي وتصوم. وتوطأ الشرح. قوله اطلع أي ما يبدو من ثمر النخل في أول ظهوره قوله سلس أي التتابع وعدم الانقطاع، قوله الاستحاضة من اصحاضة المرأة، خرج منها دم خارج وقت الحيض والنفاس لعلة، والنفاس هو الدم الخارج من الفرج لأجل الولادة، والملامسة. ما دون الجماع من مقدماته، والحشفة، رأس الذكر، أو مقدارها. القصة بفتح القاف، وتشديد الصاد، ماء أبيض شبيه بالجير يكون علامة على الطهر من الحيض. ويشتمل درسنا على محورين رئيسين، هما المحور الأول تعريف الوضوء وموجباته، أولا تعريفه الوضوء لغة مشتق من الوضاءة، وهي الحسن، والنظافة، وشرعا تطهير أعضاء مخصوصة بالماء، بنية رفع الحدث، ودليل مشروعية الوضوء. دل على مشروعية الوضوء الكتاب والسنة والإجماع، فمن الكتاب قوله سبحانه وتعالى يا أيها الذين آمنوا إذا قمتم إلى الصلاة فاغسلوا وجوهكم وأيديكم إلى المرافق وامسحوا برؤوسكم وأرجلكم إلى الكعبين. ومن السنة النبوية المطهرة ما رواه سيدنا أبو هريرة رضي الله عنه أن النبي صلى الله عليه وآله وسلم قال لا يقبل الله صلاة أحدكم إذا أحدث حتى يتوضأ. رواه البخاري. ثانيا موجباته للوضوء موجبات، وهي أحداث وأسباب، فالحدث ما كان موجبا للوضوء بنفسه، كالوضوء والغائط، والسبب ما كان مؤديا إلى حدث لا بنفسه، كالنوم، والقبلة، قال المصنف رحمه الله تعالى في ذلك الوضوء يجب لما يخرج من أحد المخرجين من بول أو غائط، أو ريح، أو لما يخرج من الذكر، وقد ذكر ابن أبي زيد الموجبات الوضوء دون تفصيل بين ما هو من الأحداث، وما هو من الأسباب. فالأحداث ستة أمور هي خروج البول، وهو السائل المعروف، ثانيا خروج الغائط، والريح من الدبر، ثالثا المذي، وهو ماء أبيض رقيق يخرج عند اللذة بالإنعظ عند الملاعبة، أو التذكر. رابعا الودي، وهو ماء أبيض خاثر يخرج إثر البول. ويجب منه ما يجب من البول. خامسا الاصطحاضة وهي الدم الخارج من المرأة في غير وقت الحيض والنفاس، ويجب منه الوضوء إذا كان إتيانه أقل من مفارقته، أما إن كان إتيانه أكثر من مفارقته فيستحب منه الوضوء على المشهور في المذهب حملا له على السلس، سادسا سلس البول والريح، وهما البول والريح. الخارجان دون توقف، ويجب الوضوء إذا كان إتيانه أقل من انقطاعه، أما إن كان إتيانه أكثر من انقطاعه أو تساويا فيجب الوضوء، وإنما يستحب منه شأنه في ذلك شأن </w:t>
      </w:r>
      <w:r w:rsidRPr="00141275">
        <w:rPr>
          <w:rFonts w:asciiTheme="minorHAnsi" w:hAnsiTheme="minorHAnsi" w:cs="Arial"/>
          <w:sz w:val="36"/>
          <w:szCs w:val="36"/>
          <w:rtl/>
          <w:lang w:val="fr-FR" w:bidi="ar-TN"/>
        </w:rPr>
        <w:lastRenderedPageBreak/>
        <w:t>دمي الاصطحاضة السابق ذكره و الضابط لهذا الباب هو القاعدة الفقهية. القائلة أن الوضوء يجب للخارج المعتاد من القبل والدبر، أو بعبارة أخرى الخارج المعتاد. من المخرج المعتاد على سبيل الصحة والإعتياد، ويلحق الفقهاء الشك والكفر، ورفض النية بهذه الأحداث، فمن شك في الوضوء، أو أبطل نيته أثناء</w:t>
      </w:r>
      <w:r w:rsidRPr="00141275">
        <w:rPr>
          <w:rFonts w:asciiTheme="minorHAnsi" w:hAnsiTheme="minorHAnsi" w:cs="Arial"/>
          <w:sz w:val="36"/>
          <w:szCs w:val="36"/>
          <w:lang w:val="fr-FR" w:bidi="ar-TN"/>
        </w:rPr>
        <w:t xml:space="preserve"> </w:t>
      </w:r>
      <w:r w:rsidRPr="00141275">
        <w:rPr>
          <w:rFonts w:asciiTheme="minorHAnsi" w:hAnsiTheme="minorHAnsi" w:cs="Arial"/>
          <w:sz w:val="36"/>
          <w:szCs w:val="36"/>
          <w:rtl/>
          <w:lang w:val="fr-FR" w:bidi="ar-TN"/>
        </w:rPr>
        <w:t>وضوئه، أو كفر بعد وضوئه وجب عليه الوضوء من جديد، وهو الذي سبق معكم. إشارة الإمام ابن عاشر إليه بقوله إلطاف مرأة كذا مس الذكر والشك في الحدث كفر من كفر القسم الثاني وهو الأسباب، وقد حاصرها المصنف رحمه الله في خمسة أمور هي أولا زوال العقل بأحد الأسباب المذكورة في قول المصنف، ويجب الوضوء من زوال العقل بنوم مستثقل، أو إغماء، أو سكر، أو. بطي جنون، فالنوم موجب للوضوء، لكن ليس على إطلاقه، بل إذا كان ثقيلا لا يشعر صاحبه بما يفعل، وأما الخفيف فلا يوجب الوضوء في مذهب الإمام مالك، وقد ضبطوا النوم الثقيل بما نظمه بعضهم في قوله علامة النوم الثقيل أن يسيل ريق، وحبوة إذا ما تنحلل. سقوط ما باليد أو تكلما بقربه، ولم يكن قد عالما، ففي هذه الأبيات بين الناظم علامة النوم الثقيل التي تنقض الوضوء، وهي سيل ريق الفم، وانحلال الحبوة، بمعنى إن شبك أصابعه، و سقوط شيء من يده إن كان في</w:t>
      </w:r>
      <w:r w:rsidRPr="00141275">
        <w:rPr>
          <w:rFonts w:asciiTheme="minorHAnsi" w:hAnsiTheme="minorHAnsi" w:cs="Arial"/>
          <w:sz w:val="36"/>
          <w:szCs w:val="36"/>
          <w:lang w:val="fr-FR" w:bidi="ar-TN"/>
        </w:rPr>
        <w:t xml:space="preserve"> </w:t>
      </w:r>
      <w:r w:rsidRPr="00141275">
        <w:rPr>
          <w:rFonts w:asciiTheme="minorHAnsi" w:hAnsiTheme="minorHAnsi" w:cs="Arial"/>
          <w:sz w:val="36"/>
          <w:szCs w:val="36"/>
          <w:rtl/>
          <w:lang w:val="fr-FR" w:bidi="ar-TN"/>
        </w:rPr>
        <w:t>يده شيء كالسبحة مثلا كذلك. إن تكلم أناس بقربه ولم يشعر بهم، ولم يدري ما قالوا، فهذه أمارات النوم الثقيل، أما الإغماء فهو مرض في الرأس، يفقد الشعور، ويوجب الوضوء، قال الإمام مالك رحمه الله ومن أغمي عليه فعليه الوضوء، أما السكر فهو موجب للوضوء سواء. أكان بحلال أم حرام؟ والجنون يوجب الوضوء أيضا. طال وقته أو قصر، أما الملامسة والمباشرة والقبلة مع قصد اللذة وجدت أم لم توجد معاملة له، بخلاف مقصوده، فإن لم تقصد لم يجب الوضوء، إلا أن تحصل اللذة، وعليه فلم يوجب المالكية الوضوء من المباشرة واللمس والقبلة إلا بمطلق القصد، أو مع الوجدان، إن لم يتحقق القصد ثالثا مس الذكر، وذلك لما في الموطأ والنسائي وغيرهما عن بسرة بن صفوان، وأم حبيب أم المؤمنين رضي الله عنهما أن رسول الله صلى الله عليه وآله وسلم قال إذا مس أحدكم ذكره. فليتوضأ، ومسوا الذكر يوجب الوضوء، إذا كان بباطن الكف أو الأصابع، أو جنبيهما على هذه الهيئة هكذا، وأما المسبظاهر الكف فلا يوجب الوضوء، وهو جمع بين الأدلة الواردة في انتقاض الوضوء بمس الذكر، أما رابعها فهو إلطاف المرأة، وهو أن تدخل المرأة يدها بين شفري فرجها، أما مجرد مس المرأة لفرجها دون إلطاف فلا يوجب الوضوء على المشهور. وعلى هذا المشهور من المذهب، فإن لمس المرأة فرجها إنما ينقض إذا أدخلت يداها، أو جزءا منها فيه، أو قبضت عليه، إلى أن هذا المشهور خلاف المرجح في المذهب، وهو عدم النقد، مطلق، دليل ذلك أن الشيخ أبي البركات الدردير قالولا مس امرأة فرجها ألطفت أم لا قبضت عليه أم لا؟ وهذا هو المذهب، ثم قال والإلطاف أن تدخل شيئا من يدها في فرجها. الخامس ومن موجبات الوضوء الشك والكفر، فمن شك في الوضوء، أو أحدث أو كفر، ثم تاب إلى الإسلام وجب عليه الوضوء، وذلك لعموم قوله سبحانه وتعالى ولقد أوحي إليك وإلى الذين من قبلك لئن أشركته ليحبطن عملك ولتكونن من الخاسرين. أعوذ بالله من ذلك. أما المحور الثاني. من درسنا، فهو موجبات الغسل، الغسل هو تعميم الجسد بالماء، بنية رفع الحدث الأكبر، وله موجبات أربعة، ذكرها المصنف رحمه الله، وهي الأول خروج المنيء، وهو الماء الدافق الذي يخرج عند اللذة الكبرى بالجماع، ورائحته كرائحة الطلع، سواء أخرج في يقظة. أم نوم، ويجب الغسل بخروج المني إذا خرج بلذة معتادة، فإن خرج بغير لذة أو بلذة غير معتادة كمن رفع ثقلا، أو غير ذلك، فخرج منه شيء منه لم يجب عليه الغسل. الثاني انقطاع دم الحيض، ومدته لا تزيد عن 15 يوما. وقد تكون متواصلة أو ملفقة، ينقطع الدم، ثم يعاودها، ويسمى ذلك على اصطلاح الفقهاء بالعادة الملفقة، وفي أقصى مدة الحيض، يقول ابن أبي زيد ومن تمادى بها الدم إلى قوله ويأتيها زوجها. أثالثا انقطاع دم النفاس، وهو الدم الخارج عقب الولادة وأقصاه 60 يوما، ولا حد لأقله، كدم الحيط، لقول المصنف رحمه الله وإذا انقطع دم النفاس إلى قوله تصلي، وتصوم، وتوطأ، وعلامة النقائ من دم الحيض، والنفاس أحد شيئين أولهما. خروج القصة وهي ماء أبيض شبيه بالجير، والثاني الجفوف بأن تجعل المرأة في فرجها خرقة، فتخرج تلك الخرقة جافة لا دم فيها، ومهما رأت إحدى العلامتين ولو بعد ساعة واحدة من نزول الدم فإنها علامة على طهرها، كما بين ذلك المصنف. رحمه الله تعالى. وأما الرابع من موجبات الغسل فهو مغيب الحشفة في الفرج، سواء حصل معه إنزال أم لا، وكما يترتب على مغيب الحشافة وجوب الغسل، يترتب عليه أيضا ما قاله المصنف، ويوجب الحد، ويوجب الصداقة، ويحصن الزوجين، ويحل المطلقة ثلاثا للذي طلقها. ويفسد الحج، ويفسد الصوم والمقصد من وجوب التطهر، وإزالة الحدث الأصغر أو الأكبر، رفع ما يترتب عن الحدث من أقذار لا تليق بمقام المناجاة، والوقوف بين يدي الله سبحانه</w:t>
      </w:r>
      <w:r w:rsidRPr="00141275">
        <w:rPr>
          <w:rFonts w:asciiTheme="minorHAnsi" w:hAnsiTheme="minorHAnsi" w:cs="Arial"/>
          <w:sz w:val="36"/>
          <w:szCs w:val="36"/>
          <w:lang w:val="fr-FR" w:bidi="ar-TN"/>
        </w:rPr>
        <w:t xml:space="preserve"> </w:t>
      </w:r>
      <w:r w:rsidRPr="00141275">
        <w:rPr>
          <w:rFonts w:asciiTheme="minorHAnsi" w:hAnsiTheme="minorHAnsi" w:cs="Arial"/>
          <w:sz w:val="36"/>
          <w:szCs w:val="36"/>
          <w:rtl/>
          <w:lang w:val="fr-FR" w:bidi="ar-TN"/>
        </w:rPr>
        <w:t xml:space="preserve">وتعالى، والمثول أمام حضرة المعبود جل وعلا، وتخصيص العبادة بالاهتمام اللائق بها، إذ يستشعر المسلم. بعبادته، أنه متوجه إلى الله سبحانه وتعالى، توجها كاملا، يقتضي منه طهارة الظاهر، وطهارة </w:t>
      </w:r>
      <w:r w:rsidRPr="00141275">
        <w:rPr>
          <w:rFonts w:asciiTheme="minorHAnsi" w:hAnsiTheme="minorHAnsi" w:cs="Arial"/>
          <w:sz w:val="36"/>
          <w:szCs w:val="36"/>
          <w:rtl/>
          <w:lang w:val="fr-FR" w:bidi="ar-TN"/>
        </w:rPr>
        <w:lastRenderedPageBreak/>
        <w:t>الباطن، عسى أن يقبل الله سبحانه وتعالى عمله، ويستجيب دعوته، ومن الخطأ أن يغفل العبد وطاصير عبادته عادة فارغة من مضمونها المنشود فيها. وقد سبق معكم جميع ذلك في الكتاب السابق، حيث يقول الإمام عبد الواحد بن عاشر رحمه الله مجيبوه حيض النفاس، الإنزال مغيب، كامرة، بفرج، نسجال، والأولان ما نعى الوطآ إلى غسل، ولاخران قرانا حلا، والكل مسجدا، وسهو الاغتسال مثل وضوئك، ولم تعد موال، هذا، وصلى الله على سيدنا محمد. وعلى آله وصحبه وسلم، والسلام عليكم ورحمة الله وبركاته</w:t>
      </w:r>
      <w:r w:rsidRPr="008823E5">
        <w:rPr>
          <w:rFonts w:ascii="Courier New" w:hAnsi="Courier New" w:cs="Courier New"/>
        </w:rPr>
        <w:t>.</w:t>
      </w:r>
    </w:p>
    <w:sectPr w:rsidR="001525F7" w:rsidRPr="008823E5" w:rsidSect="008823E5">
      <w:pgSz w:w="12240" w:h="15840"/>
      <w:pgMar w:top="1440" w:right="1079" w:bottom="1440" w:left="10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F5FA5"/>
    <w:rsid w:val="00141275"/>
    <w:rsid w:val="001525F7"/>
    <w:rsid w:val="008823E5"/>
    <w:rsid w:val="00DD75CA"/>
    <w:rsid w:val="00EF5FA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0981EA"/>
  <w15:chartTrackingRefBased/>
  <w15:docId w15:val="{AD4BC392-2D29-47F6-A256-C449924AB3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8823E5"/>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8823E5"/>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1402</Words>
  <Characters>7714</Characters>
  <Application>Microsoft Office Word</Application>
  <DocSecurity>0</DocSecurity>
  <Lines>64</Lines>
  <Paragraphs>18</Paragraphs>
  <ScaleCrop>false</ScaleCrop>
  <Company/>
  <LinksUpToDate>false</LinksUpToDate>
  <CharactersWithSpaces>9098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word</dc:creator>
  <cp:keywords/>
  <dc:description/>
  <cp:lastModifiedBy>mimo dido</cp:lastModifiedBy>
  <cp:revision>3</cp:revision>
  <dcterms:created xsi:type="dcterms:W3CDTF">2026-10-19T03:41:00Z</dcterms:created>
  <dcterms:modified xsi:type="dcterms:W3CDTF">2026-10-19T11:36:00Z</dcterms:modified>
</cp:coreProperties>
</file>