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Default="00486764" w:rsidP="00CD0B91">
      <w:pPr>
        <w:bidi/>
      </w:pPr>
    </w:p>
    <w:p w:rsidR="00CD0B91" w:rsidRPr="00CD0B91" w:rsidRDefault="00CD0B91" w:rsidP="00CD0B91">
      <w:pPr>
        <w:bidi/>
        <w:jc w:val="center"/>
        <w:rPr>
          <w:b/>
          <w:bCs/>
          <w:sz w:val="44"/>
          <w:szCs w:val="44"/>
        </w:rPr>
      </w:pPr>
      <w:r w:rsidRPr="00CD0B91">
        <w:rPr>
          <w:rFonts w:hint="cs"/>
          <w:b/>
          <w:bCs/>
          <w:sz w:val="44"/>
          <w:szCs w:val="44"/>
          <w:rtl/>
        </w:rPr>
        <w:t>تلخيص الدرس الاول العقيدة</w:t>
      </w:r>
    </w:p>
    <w:p w:rsidR="00CD0B91" w:rsidRDefault="00CD0B91" w:rsidP="00CD0B91">
      <w:pPr>
        <w:bidi/>
      </w:pPr>
      <w:bookmarkStart w:id="0" w:name="_GoBack"/>
      <w:bookmarkEnd w:id="0"/>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نظرة عامة</w:t>
      </w:r>
    </w:p>
    <w:p w:rsidR="00CD0B91" w:rsidRPr="00CD0B91" w:rsidRDefault="00CD0B91" w:rsidP="00CD0B91">
      <w:p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هذه المادة تلخّص مقدمة شرح الإمام إبراهيم الميرغني على منظومة «جوهرة التوحيد» للإمام إبراهيم اللقاني (اللقاح)، وتعرض سياق المؤلف والمتن، غاية المصنف وطريقة عرضه، وملاحظات منهجية ونصائح لفهم المتن وشرح الميرغني. تهدف الوثيقة إلى تيسير الفهم، وتمكين الطلبة من مراجعة واسترجاع المبادئ الأساسية للدرس</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بطاقة الدرس</w:t>
      </w:r>
    </w:p>
    <w:p w:rsidR="00CD0B91" w:rsidRPr="00CD0B91" w:rsidRDefault="00CD0B91" w:rsidP="00CD0B9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العنوان: مقدمة شرح «بغية المريد» على جوهرة التوحيد</w:t>
      </w:r>
    </w:p>
    <w:p w:rsidR="00CD0B91" w:rsidRPr="00CD0B91" w:rsidRDefault="00CD0B91" w:rsidP="00CD0B9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الموضوع والمحور الرئيس: تعرف المتن ومؤلّفه، وغاية الميرغني من الشرح، وذكر المراتب الشرحية (متن - شرح - حواشي) وبيان أسلوب المصنف وبيان نظم المتن ومكانته</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الفكرة العامة: بيان مكانة «جوهرة التوحيد» كمتن مختصر وجليل في علم الكلام، وشرح سبب تأليف الميرغني لشرح مختصر (بغية المريد) مستمدة من حاشية البيجوري، مع توضيح أسلوب الاستهلال والمراتب العلمية للمتون والشروح</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أهداف تعلم قابلة للتحقق</w:t>
      </w:r>
      <w:r w:rsidRPr="00CD0B91">
        <w:rPr>
          <w:rFonts w:ascii="Times New Roman" w:eastAsia="Times New Roman" w:hAnsi="Times New Roman" w:cs="Times New Roman"/>
          <w:sz w:val="24"/>
          <w:szCs w:val="24"/>
          <w:lang w:eastAsia="fr-FR"/>
        </w:rPr>
        <w:t xml:space="preserve">: </w:t>
      </w:r>
    </w:p>
    <w:p w:rsidR="00CD0B91" w:rsidRPr="00CD0B91" w:rsidRDefault="00CD0B91" w:rsidP="00CD0B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أن يذكر الطالب اسم المتن ومؤلفيه (اللقاني ـ الميرغني) ومكانة المتن</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أن يفسر الطالب سبب تأليف الميرغني لبغية المريد وعلاقته بحاشية البيجوري</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أن يميّز بين المتن والشرح والحاشية ويبيّن أمثلة تطبيقية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أن يستخلص أهمية براعة الاستهلال في معرفة مقاصد المصنف</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خريطة الدرس</w:t>
      </w:r>
    </w:p>
    <w:p w:rsidR="00CD0B91" w:rsidRPr="00CD0B91" w:rsidRDefault="00CD0B91" w:rsidP="00CD0B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تمهيد عام وتحيات المصنف</w:t>
      </w:r>
    </w:p>
    <w:p w:rsidR="00CD0B91" w:rsidRPr="00CD0B91" w:rsidRDefault="00CD0B91" w:rsidP="00CD0B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تعريف المتن: «جوهرة التوحيد» (اللقاني) - طبيعته، طول النظم (144 بيتًا)، وظروف ألفه</w:t>
      </w:r>
    </w:p>
    <w:p w:rsidR="00CD0B91" w:rsidRPr="00CD0B91" w:rsidRDefault="00CD0B91" w:rsidP="00CD0B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المراتب الشرحية على المتن: شروح صاحب المتن وشروح غيره وحواشي</w:t>
      </w:r>
    </w:p>
    <w:p w:rsidR="00CD0B91" w:rsidRPr="00CD0B91" w:rsidRDefault="00CD0B91" w:rsidP="00CD0B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موقف الميرغني: سبب التأليف (اختصار حاشية البيجوري) وهدفه (بغية الطلبة)</w:t>
      </w:r>
    </w:p>
    <w:p w:rsidR="00CD0B91" w:rsidRPr="00CD0B91" w:rsidRDefault="00CD0B91" w:rsidP="00CD0B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شرح لغوي-نحوي لمقطع البداية (الـبسملة وما بعدها) لبيان أسلوب الاستهلال</w:t>
      </w:r>
    </w:p>
    <w:p w:rsidR="00CD0B91" w:rsidRPr="00CD0B91" w:rsidRDefault="00CD0B91" w:rsidP="00CD0B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خلاصات منهجية وتنبيهات فقهية لغوية لمن يقرأ المتن والشرح</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التلخيص العلمي العميق</w:t>
      </w:r>
    </w:p>
    <w:p w:rsidR="00CD0B91" w:rsidRPr="00CD0B91" w:rsidRDefault="00CD0B91" w:rsidP="00CD0B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مقدمات التحية والدعاء</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المصنف يبدأ بالبسملة ثم الحمد ثم الصلاة والسلام على النبي ﷺ. ذلك نمط بلاغي شائع ومقصوده البركة والاستفتاح</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التنبيه: جملة «كل أمر ذي بال لا يبدأ فيه ببسم الله فهو أبتر» ذُكرت كمساند شرعي لبدء المؤلف بالبسملة (نقل من كلام الشيخ)</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تعريف المتن ومكانته</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جوهرة التوحيد</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نظم للإمام إبراهيم بن الحسن اللقاني (اللقاح)، مؤلفة من 144 بيتًا على بحر رجز، تضم مباحث علم الكلام في جزالة وإيجاز</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ألف المتن في ليلة واحدة، وهذا نوع من الإعجاز في النظم ومؤشر على فطنة المؤلف وسرّ توفيقه</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المتن لقي قبولاً واسعًا ودرّس في مشارق الأرض ومغاربها مما يدل على صدق مؤلفه وقوّة عباراته</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شروح المتن وتدرّجها</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lastRenderedPageBreak/>
        <w:t>صاحب المتن شرح متنه ثلاث شروح</w:t>
      </w:r>
      <w:r w:rsidRPr="00CD0B91">
        <w:rPr>
          <w:rFonts w:ascii="Times New Roman" w:eastAsia="Times New Roman" w:hAnsi="Times New Roman" w:cs="Times New Roman"/>
          <w:sz w:val="24"/>
          <w:szCs w:val="24"/>
          <w:lang w:eastAsia="fr-FR"/>
        </w:rPr>
        <w:t xml:space="preserve">: </w:t>
      </w:r>
    </w:p>
    <w:p w:rsidR="00CD0B91" w:rsidRPr="00CD0B91" w:rsidRDefault="00CD0B91" w:rsidP="00CD0B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شرح كبير</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b/>
          <w:bCs/>
          <w:sz w:val="24"/>
          <w:szCs w:val="24"/>
          <w:rtl/>
          <w:lang w:eastAsia="fr-FR"/>
        </w:rPr>
        <w:t>عمدة المريد</w:t>
      </w:r>
    </w:p>
    <w:p w:rsidR="00CD0B91" w:rsidRPr="00CD0B91" w:rsidRDefault="00CD0B91" w:rsidP="00CD0B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شرح وسط</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b/>
          <w:bCs/>
          <w:sz w:val="24"/>
          <w:szCs w:val="24"/>
          <w:rtl/>
          <w:lang w:eastAsia="fr-FR"/>
        </w:rPr>
        <w:t>تلخيص التجريد لعمدة المريد</w:t>
      </w:r>
    </w:p>
    <w:p w:rsidR="00CD0B91" w:rsidRPr="00CD0B91" w:rsidRDefault="00CD0B91" w:rsidP="00CD0B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شرح صغير</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b/>
          <w:bCs/>
          <w:sz w:val="24"/>
          <w:szCs w:val="24"/>
          <w:rtl/>
          <w:lang w:eastAsia="fr-FR"/>
        </w:rPr>
        <w:t>هداية المريد</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شروح أخرى مهمة</w:t>
      </w:r>
      <w:r w:rsidRPr="00CD0B91">
        <w:rPr>
          <w:rFonts w:ascii="Times New Roman" w:eastAsia="Times New Roman" w:hAnsi="Times New Roman" w:cs="Times New Roman"/>
          <w:sz w:val="24"/>
          <w:szCs w:val="24"/>
          <w:lang w:eastAsia="fr-FR"/>
        </w:rPr>
        <w:t xml:space="preserve">: </w:t>
      </w:r>
    </w:p>
    <w:p w:rsidR="00CD0B91" w:rsidRPr="00CD0B91" w:rsidRDefault="00CD0B91" w:rsidP="00CD0B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شروح ابن المصنف</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b/>
          <w:bCs/>
          <w:sz w:val="24"/>
          <w:szCs w:val="24"/>
          <w:rtl/>
          <w:lang w:eastAsia="fr-FR"/>
        </w:rPr>
        <w:t>إرشاد المريد</w:t>
      </w:r>
      <w:r w:rsidRPr="00CD0B91">
        <w:rPr>
          <w:rFonts w:ascii="Times New Roman" w:eastAsia="Times New Roman" w:hAnsi="Times New Roman" w:cs="Times New Roman"/>
          <w:sz w:val="24"/>
          <w:szCs w:val="24"/>
          <w:rtl/>
          <w:lang w:eastAsia="fr-FR"/>
        </w:rPr>
        <w:t xml:space="preserve"> و</w:t>
      </w:r>
      <w:r w:rsidRPr="00CD0B91">
        <w:rPr>
          <w:rFonts w:ascii="Times New Roman" w:eastAsia="Times New Roman" w:hAnsi="Times New Roman" w:cs="Times New Roman"/>
          <w:b/>
          <w:bCs/>
          <w:sz w:val="24"/>
          <w:szCs w:val="24"/>
          <w:rtl/>
          <w:lang w:eastAsia="fr-FR"/>
        </w:rPr>
        <w:t>إتحاف المريد</w:t>
      </w:r>
      <w:r w:rsidRPr="00CD0B91">
        <w:rPr>
          <w:rFonts w:ascii="Times New Roman" w:eastAsia="Times New Roman" w:hAnsi="Times New Roman" w:cs="Times New Roman"/>
          <w:sz w:val="24"/>
          <w:szCs w:val="24"/>
          <w:rtl/>
          <w:lang w:eastAsia="fr-FR"/>
        </w:rPr>
        <w:t xml:space="preserve"> </w:t>
      </w:r>
      <w:r w:rsidRPr="00CD0B91">
        <w:rPr>
          <w:rFonts w:ascii="Times New Roman" w:eastAsia="Times New Roman" w:hAnsi="Times New Roman" w:cs="Times New Roman"/>
          <w:sz w:val="24"/>
          <w:szCs w:val="24"/>
          <w:lang w:eastAsia="fr-FR"/>
        </w:rPr>
        <w:t>(</w:t>
      </w:r>
      <w:r w:rsidRPr="00CD0B91">
        <w:rPr>
          <w:rFonts w:ascii="Times New Roman" w:eastAsia="Times New Roman" w:hAnsi="Times New Roman" w:cs="Times New Roman"/>
          <w:sz w:val="24"/>
          <w:szCs w:val="24"/>
          <w:rtl/>
          <w:lang w:eastAsia="fr-FR"/>
        </w:rPr>
        <w:t>لابن عبد السلام اللقاني</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حواشي بارزة</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b/>
          <w:bCs/>
          <w:sz w:val="24"/>
          <w:szCs w:val="24"/>
          <w:rtl/>
          <w:lang w:eastAsia="fr-FR"/>
        </w:rPr>
        <w:t>حاشية الأمير العلامة</w:t>
      </w:r>
      <w:r w:rsidRPr="00CD0B91">
        <w:rPr>
          <w:rFonts w:ascii="Times New Roman" w:eastAsia="Times New Roman" w:hAnsi="Times New Roman" w:cs="Times New Roman"/>
          <w:sz w:val="24"/>
          <w:szCs w:val="24"/>
          <w:rtl/>
          <w:lang w:eastAsia="fr-FR"/>
        </w:rPr>
        <w:t xml:space="preserve"> على إتحاف المريد</w:t>
      </w:r>
    </w:p>
    <w:p w:rsidR="00CD0B91" w:rsidRPr="00CD0B91" w:rsidRDefault="00CD0B91" w:rsidP="00CD0B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شرح البيجوري</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b/>
          <w:bCs/>
          <w:sz w:val="24"/>
          <w:szCs w:val="24"/>
          <w:rtl/>
          <w:lang w:eastAsia="fr-FR"/>
        </w:rPr>
        <w:t>حاشية البيجوري</w:t>
      </w:r>
      <w:r w:rsidRPr="00CD0B91">
        <w:rPr>
          <w:rFonts w:ascii="Times New Roman" w:eastAsia="Times New Roman" w:hAnsi="Times New Roman" w:cs="Times New Roman"/>
          <w:sz w:val="24"/>
          <w:szCs w:val="24"/>
          <w:rtl/>
          <w:lang w:eastAsia="fr-FR"/>
        </w:rPr>
        <w:t xml:space="preserve"> </w:t>
      </w:r>
      <w:r w:rsidRPr="00CD0B91">
        <w:rPr>
          <w:rFonts w:ascii="Times New Roman" w:eastAsia="Times New Roman" w:hAnsi="Times New Roman" w:cs="Times New Roman"/>
          <w:sz w:val="24"/>
          <w:szCs w:val="24"/>
          <w:lang w:eastAsia="fr-FR"/>
        </w:rPr>
        <w:t>(</w:t>
      </w:r>
      <w:r w:rsidRPr="00CD0B91">
        <w:rPr>
          <w:rFonts w:ascii="Times New Roman" w:eastAsia="Times New Roman" w:hAnsi="Times New Roman" w:cs="Times New Roman"/>
          <w:sz w:val="24"/>
          <w:szCs w:val="24"/>
          <w:rtl/>
          <w:lang w:eastAsia="fr-FR"/>
        </w:rPr>
        <w:t>المعروف بتحفة/حاشية البيجوري</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شرح الصاوي المالكي وغيرهم</w:t>
      </w:r>
    </w:p>
    <w:p w:rsidR="00CD0B91" w:rsidRPr="00CD0B91" w:rsidRDefault="00CD0B91" w:rsidP="00CD0B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موقف الميرغني وسبب تأليفه</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المؤلف: الإمام إبراهيم الميرغني الزيتوني</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عنوان شرحه</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b/>
          <w:bCs/>
          <w:sz w:val="24"/>
          <w:szCs w:val="24"/>
          <w:rtl/>
          <w:lang w:eastAsia="fr-FR"/>
        </w:rPr>
        <w:t>بغية المريد شرح جوهرة التوحيد</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السبب الداعي: طلبة استفادوا من حاشية البيجوري فطلبوا تلخيصًا واختصارًا بما لا بد منه، فاختصر الميرغني الحاشية مقتصداً على المفيد الضروري للطالب</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وصف الميرغني لعمله: اختصار مستمد من حاشية البيجوري مع ترتيب وبيان المعاني والتعبير، مع الاقتصار على اليسير مما لم يُذكر في الحاشية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تحليل لغوي-نحوي لمقطع البسملة</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جملة «بسم الله الرحمن الرحيم»: تفسيرها في نمط الجملة وكونها جار ومجرور يحتاجان إلى متعلق محذوف (مقدر)</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الاحتمالات اللغوية للمقدر: فعل عام (ابتدأ)، فعل خاص (أؤلف/تأليفي)، أو اسم عام/خاص؛ كل احتمال يغير صِيغة المعنى لكنه لا يؤثر في المقصود العام: البدء بذكر البسملة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الهدف من هذا التفصيل: توضيح براعة الاستهلال عند المصنف وإيضاح مقصده من عبارات المقدمة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مفهوم «الحاشية» والمراتب الاسمية</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المتن</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النص الأصلي (قد يكون نظمًا أو نثرًا)</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الشرح</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توضيح المتن، وغالبًا شرح صاحب المتن أولى بالاطلاع</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الحاشية</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غالبًا شرح على الشرح. لكن يطلق بعض العلماء (كالبيجوري والميرغني) تسمية «حاشية» على شرح مباشر للمتن. لذلك لا تعمم التسمية دون نظر إلى سياق المؤلف</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منهجية المصنف وبراعة الاستهلال</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المصنف يضع في المقدمة دلائل بلاغية تبيّن اتجاهه ومقصده (مثل عبارة «تقدست عن سمات الحدوث ذاته وصفاته...») فبسمات الاستهلال تكشف أن المتن في علم الكلام</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المصنف يذكر اسمه وسبب التأليف (من الرؤوس الثمانية المعتادة في المقدمات العلمية)</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المصطلحات والمفاتيح</w:t>
      </w:r>
    </w:p>
    <w:p w:rsidR="00CD0B91" w:rsidRPr="00CD0B91" w:rsidRDefault="00CD0B91" w:rsidP="00CD0B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المتن</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النص الأصلي الذي ألفه المؤلف (مثال: جوهرة التوحيد)</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الشرح</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توضيح المتن، وقد يكون لصاحب المتن أو لغيره</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الحاشية</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شرح على الشرح، أو في بعض الاصطلاحات شرح مقتضب على المتن (كما عند البيجوري والميرغني)</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براعة الاستهلال</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الأسلوب البلاغي في بداية الكتاب الذي يدل على مقاصد المؤلف</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بغية المريد</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اسم شرح الميرغني المختصر على جوهرة التوحيد</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اللقاح / اللقاني</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نسب الإمام إبراهيم بن الحسن اللقاني صاحب المتن</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الدرر والوقفات الخاصة</w:t>
      </w:r>
    </w:p>
    <w:p w:rsidR="00CD0B91" w:rsidRPr="00CD0B91" w:rsidRDefault="00CD0B91" w:rsidP="00CD0B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درّة 1 (موضعها: وصف المتن): أن «جوهرة التوحيد» نظم في 144 بيتًا في ليلة واحدة - دلالة على توفيق المؤلف وسلاسة تنظيمه للفكر الكلامي. الأهمية: يبين كفاءة المتن وإمكانية حفظه ومراجعته</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درّة 2 (موضعها: شروح المتن): تفصيل شروح صاحب المتن (عمدة، تلخيص، هداية) يجعل الطالب يعلم أي شرح أولى بالاطلاع بحسب الحاجة (الشرح الأصلي أولى)</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lastRenderedPageBreak/>
        <w:t>درّة 3 (موضعها: سبب التأليف): طلبة طلبوا اختصار حاشية البيجوري فكان ذلك سببًا عمليًا ومربطًا للدرس - أهمية عملية تربط التراث بحاجات الطلبة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درّة 4 (موضعها: لغويات المقدمة): شرح أحوال «البسملة» كمقدر محذوف - فائدة منهجية لتفهم دقة ألفاظ المصنف ومقاصده البلاغية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درّة 5 (موضعها: تسمية الحاشية): تنبيه مهم أن اصطلاحات «شرح» و«حاشية» قد تختلف بين العلماء - فالحذر مطلوب عند الاستدلال بالمسمى</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lang w:eastAsia="fr-FR"/>
        </w:rPr>
        <w:t>(</w:t>
      </w:r>
      <w:r w:rsidRPr="00CD0B91">
        <w:rPr>
          <w:rFonts w:ascii="Times New Roman" w:eastAsia="Times New Roman" w:hAnsi="Times New Roman" w:cs="Times New Roman"/>
          <w:sz w:val="24"/>
          <w:szCs w:val="24"/>
          <w:rtl/>
          <w:lang w:eastAsia="fr-FR"/>
        </w:rPr>
        <w:t>نُقِل المعنى وفق التفريغ مع الحفاظ على الألفاظ المهمة للمصنف، ولم ننقل نصوصًا حرفية باستثناء العبارات الواضحة التي وردت في التفريغ</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ما ينبغي الانتباه إليه (الأخطاء الشائعة)</w:t>
      </w:r>
    </w:p>
    <w:p w:rsidR="00CD0B91" w:rsidRPr="00CD0B91" w:rsidRDefault="00CD0B91" w:rsidP="00CD0B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عدم التمييز بين المتن وشرح صاحب المتن: الأفضل دائماً قراءة شرح صاحب المتن لبيان مقاصد اللفظ قبل الشروح الأخرى</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ظن أن تسمية «حاشية» تعني دائماً شرحًا ثانويًا - تصحيح: قد يسمي الشارح عمله «حاشية» حتى لو كان شرحًا مباشرًا للمتن</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اعتبار طول الشرح معيارًا لجودة الفائدة: أحيانًا الاختصار الموجز (بغية المريد) أصلح للطلبة من الشرح الطويل بحسب الغاية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إهمال الجانب اللغوي-النحوي في بداية المقدمة: قد يغيب عن الطالب أن جملة الاستهلال توضح مقصد المصنف ومرتكز منهجه</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عبارات للحفظ والاسترجاع</w:t>
      </w:r>
    </w:p>
    <w:p w:rsidR="00CD0B91" w:rsidRPr="00CD0B91" w:rsidRDefault="00CD0B91" w:rsidP="00CD0B9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جوهرة التوحيد</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نظم للقدِّام اللقاني، 144 بيتًا على بحر الرجز</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b/>
          <w:bCs/>
          <w:sz w:val="24"/>
          <w:szCs w:val="24"/>
          <w:rtl/>
          <w:lang w:eastAsia="fr-FR"/>
        </w:rPr>
        <w:t>بغية المريد</w:t>
      </w:r>
      <w:r w:rsidRPr="00CD0B91">
        <w:rPr>
          <w:rFonts w:ascii="Times New Roman" w:eastAsia="Times New Roman" w:hAnsi="Times New Roman" w:cs="Times New Roman"/>
          <w:sz w:val="24"/>
          <w:szCs w:val="24"/>
          <w:lang w:eastAsia="fr-FR"/>
        </w:rPr>
        <w:t xml:space="preserve">: </w:t>
      </w:r>
      <w:r w:rsidRPr="00CD0B91">
        <w:rPr>
          <w:rFonts w:ascii="Times New Roman" w:eastAsia="Times New Roman" w:hAnsi="Times New Roman" w:cs="Times New Roman"/>
          <w:sz w:val="24"/>
          <w:szCs w:val="24"/>
          <w:rtl/>
          <w:lang w:eastAsia="fr-FR"/>
        </w:rPr>
        <w:t>اختصار الميرغني لحاشية البيجوري على جوهرة التوحيد</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D0B91">
        <w:rPr>
          <w:rFonts w:ascii="Times New Roman" w:eastAsia="Times New Roman" w:hAnsi="Times New Roman" w:cs="Times New Roman"/>
          <w:sz w:val="24"/>
          <w:szCs w:val="24"/>
          <w:lang w:eastAsia="fr-FR"/>
        </w:rPr>
        <w:t>«</w:t>
      </w:r>
      <w:r w:rsidRPr="00CD0B91">
        <w:rPr>
          <w:rFonts w:ascii="Times New Roman" w:eastAsia="Times New Roman" w:hAnsi="Times New Roman" w:cs="Times New Roman"/>
          <w:sz w:val="24"/>
          <w:szCs w:val="24"/>
          <w:rtl/>
          <w:lang w:eastAsia="fr-FR"/>
        </w:rPr>
        <w:t>المتن</w:t>
      </w:r>
      <w:proofErr w:type="gramEnd"/>
      <w:r w:rsidRPr="00CD0B91">
        <w:rPr>
          <w:rFonts w:ascii="Times New Roman" w:eastAsia="Times New Roman" w:hAnsi="Times New Roman" w:cs="Times New Roman"/>
          <w:sz w:val="24"/>
          <w:szCs w:val="24"/>
          <w:rtl/>
          <w:lang w:eastAsia="fr-FR"/>
        </w:rPr>
        <w:t xml:space="preserve"> - الشرح - الحاشية»: مراتب التلقي، مع ملاحظة اختلاف الاصطلاحات بين العلماء</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D0B91">
        <w:rPr>
          <w:rFonts w:ascii="Times New Roman" w:eastAsia="Times New Roman" w:hAnsi="Times New Roman" w:cs="Times New Roman"/>
          <w:sz w:val="24"/>
          <w:szCs w:val="24"/>
          <w:lang w:eastAsia="fr-FR"/>
        </w:rPr>
        <w:t>«</w:t>
      </w:r>
      <w:r w:rsidRPr="00CD0B91">
        <w:rPr>
          <w:rFonts w:ascii="Times New Roman" w:eastAsia="Times New Roman" w:hAnsi="Times New Roman" w:cs="Times New Roman"/>
          <w:sz w:val="24"/>
          <w:szCs w:val="24"/>
          <w:rtl/>
          <w:lang w:eastAsia="fr-FR"/>
        </w:rPr>
        <w:t>براعة</w:t>
      </w:r>
      <w:proofErr w:type="gramEnd"/>
      <w:r w:rsidRPr="00CD0B91">
        <w:rPr>
          <w:rFonts w:ascii="Times New Roman" w:eastAsia="Times New Roman" w:hAnsi="Times New Roman" w:cs="Times New Roman"/>
          <w:sz w:val="24"/>
          <w:szCs w:val="24"/>
          <w:rtl/>
          <w:lang w:eastAsia="fr-FR"/>
        </w:rPr>
        <w:t xml:space="preserve"> الاستهلال»: ما يُستفتح به الكتاب ودلالته على مقاصد المصنف</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وقفات تفاعلية أثناء التعلم</w:t>
      </w:r>
    </w:p>
    <w:p w:rsidR="00CD0B91" w:rsidRPr="00CD0B91" w:rsidRDefault="00CD0B91" w:rsidP="00CD0B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توقّف وفكّر: لماذا ألف اللقاني المتن في صورة نظم ولا في نثر؟</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موجزة: النظم يسهل الحفظ ويجمع المباحث بشكل موجز وموزون، ملائم للمبتدئين والمتوسطين في هذا السياق</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استخرج: ما سبب الميرغني في تأليف بغية المريد؟</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تلخيص واختصار حاشية البيجوري بطلب الطلاب للاقتصار على الضروري</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ميّز: ما الفرق بين «شرح صاحب المتن» و«حاشية» عند البيجوري؟</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شرح صاحب المتن مفسّر أصلي لمراده؛ حاشية البيجوري تسمّت حاشية رغم كونها شرحًا مباشرًا - إذًا المصطلحات متغيرة بحسب المؤلف</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اكتشف الخطأ: قارئ قال: «حاشية البيجوري هي شرح على شرح فقط» - ما الخلل؟</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خطأ؛ حاشية البيجوري هي شرح مباشر للمتن وقد أطلق عليها الحاشية اصطلاحًا</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تطبيقات واقعية متدرجة</w:t>
      </w:r>
    </w:p>
    <w:p w:rsidR="00CD0B91" w:rsidRPr="00CD0B91" w:rsidRDefault="00CD0B91" w:rsidP="00CD0B9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أساسي: احفظ مقطع البسملة ثم اشرح سبب بدء المصنف بها وما المقصود بالمقدر المحذوف</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متوسط: قارن بين منهجين لشرح متن عقائدي - أحدهما شرح تفصيلي (حاشية البيجوري) والآخر اختصار (بغية المريد). اذكر مزايا كل منهما لطلبة مستوى مبتدئ ومتوسط</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متقدم: اختر بيتًا من جوهرة التوحيد واطلع على شرحه في عمدة المريد، ثم قارن توضيح الميرغني مع البيجوري وناقش أيهما أقرب لمقاصد المتن ولماذا. (تنبيه: هذا التطبيق يتطلب الرجوع إلى الشروح الفعلية)</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lang w:eastAsia="fr-FR"/>
        </w:rPr>
        <w:lastRenderedPageBreak/>
        <w:t>(</w:t>
      </w:r>
      <w:r w:rsidRPr="00CD0B91">
        <w:rPr>
          <w:rFonts w:ascii="Times New Roman" w:eastAsia="Times New Roman" w:hAnsi="Times New Roman" w:cs="Times New Roman"/>
          <w:sz w:val="24"/>
          <w:szCs w:val="24"/>
          <w:rtl/>
          <w:lang w:eastAsia="fr-FR"/>
        </w:rPr>
        <w:t>التطبيقات المتقدمة من إعداد المقرر وليست في كلام الشيخ نصًا</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وسائل بصرية مقترحة</w:t>
      </w:r>
    </w:p>
    <w:p w:rsidR="00CD0B91" w:rsidRPr="00CD0B91" w:rsidRDefault="00CD0B91" w:rsidP="00CD0B9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خريطة ذهنية: توضح تراتبية المتن - شرح صاحب المتن - شروح لاحقة - حواشي، مع أمثلة لكل مستوى</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جدول مقارنة: صفوف (المؤلف، نوع الشرح، الهدف، الملاءمة للطالب) لأهم الشروح مثل عمدة المريد، حاشية البيجوري، بغية المريد</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مخطط زمني موجز: ولادة المتن - شروح صاحب المتن - شروح التابعين - ظهور بغية المريد</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أسئلة المراجعة والتقويم (مع الإجابات النموذجية)</w:t>
      </w:r>
    </w:p>
    <w:p w:rsidR="00CD0B91" w:rsidRPr="00CD0B91" w:rsidRDefault="00CD0B91" w:rsidP="00CD0B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من مؤلف جوهرة التوحيد؟</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الإمام إبراهيم بن الحسن اللقاني (اللقاح)</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كم بيتًا نظم فيه المتن وماذا يدل ذلك؟</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144 بيتًا - يدل على إيجاز ومهارة في جمع مباحث علم الكلام</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لماذا ألف الميرغني بغية المريد؟</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لتلخيص واختصار حاشية البيجوري تلبية لطلبة يريدون الاقتصار على الضروري</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ما الفرق بين المتن والشرح والحاشية؟ أعط مثالًا لكل واحد</w:t>
      </w:r>
      <w:r w:rsidRPr="00CD0B91">
        <w:rPr>
          <w:rFonts w:ascii="Times New Roman" w:eastAsia="Times New Roman" w:hAnsi="Times New Roman" w:cs="Times New Roman"/>
          <w:sz w:val="24"/>
          <w:szCs w:val="24"/>
          <w:lang w:eastAsia="fr-FR"/>
        </w:rPr>
        <w:t>.</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المتن: جوهرة التوحيد (النص الأصلي). الشرح: عمدة المريد (شرح صاحب المتن). الحاشية: حاشية البيجوري (تسمية شرح أحيانًا، أو شرح على شرح في حالات أخرى)</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علّل: أهمية قراءة شرح صاحب المتن أولًا؟</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لأن صاحب المتن أدرى بمقاصد ألفاظه وسبق له أن بين مراده في شروحِه</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اكتشف الخطأ: من يعتقد أن تسمية «حاشية» تعني دومًا شرحًا ثانويًا فقط. صح أم خطأ؟ ولماذا؟</w:t>
      </w:r>
      <w:r w:rsidRPr="00CD0B91">
        <w:rPr>
          <w:rFonts w:ascii="Times New Roman" w:eastAsia="Times New Roman" w:hAnsi="Times New Roman" w:cs="Times New Roman"/>
          <w:sz w:val="24"/>
          <w:szCs w:val="24"/>
          <w:lang w:eastAsia="fr-FR"/>
        </w:rPr>
        <w:br/>
      </w:r>
      <w:r w:rsidRPr="00CD0B91">
        <w:rPr>
          <w:rFonts w:ascii="Times New Roman" w:eastAsia="Times New Roman" w:hAnsi="Times New Roman" w:cs="Times New Roman"/>
          <w:sz w:val="24"/>
          <w:szCs w:val="24"/>
          <w:rtl/>
          <w:lang w:eastAsia="fr-FR"/>
        </w:rPr>
        <w:t>إجابة: خطأ؛ لأن بعض الشراح أطلقوا تسمية «حاشية» على شرح مباشر للمتن (مثل البيجوري والميرغني)</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بطاقات الاسترجاع (سؤال / جواب)</w:t>
      </w:r>
    </w:p>
    <w:p w:rsidR="00CD0B91" w:rsidRPr="00CD0B91" w:rsidRDefault="00CD0B91" w:rsidP="00CD0B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سؤال: من هو مؤلف شرح «بغية المريد»؟ — جواب: الإمام إبراهيم الميرغني</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سؤال: ماذا اختصر الميرغني؟ — جواب: اختصر حاشية الإمام البيجوري على جوهرة التوحيد</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سؤال: ما عدد أبيات جوهرة التوحيد؟ — جواب: 144 بيتًا</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سؤال: ما معنى «براعة الاستهلال»؟ — جواب: أسلوب بداية المصنف الذي يكشف عن مقاصده العلمية</w:t>
      </w:r>
      <w:r w:rsidRPr="00CD0B91">
        <w:rPr>
          <w:rFonts w:ascii="Times New Roman" w:eastAsia="Times New Roman" w:hAnsi="Times New Roman" w:cs="Times New Roman"/>
          <w:sz w:val="24"/>
          <w:szCs w:val="24"/>
          <w:lang w:eastAsia="fr-FR"/>
        </w:rPr>
        <w:t>.</w:t>
      </w:r>
    </w:p>
    <w:p w:rsidR="00CD0B91" w:rsidRPr="00CD0B91" w:rsidRDefault="00CD0B91" w:rsidP="00CD0B91">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0B91">
        <w:rPr>
          <w:rFonts w:ascii="Times New Roman" w:eastAsia="Times New Roman" w:hAnsi="Times New Roman" w:cs="Times New Roman"/>
          <w:b/>
          <w:bCs/>
          <w:sz w:val="36"/>
          <w:szCs w:val="36"/>
          <w:rtl/>
          <w:lang w:eastAsia="fr-FR"/>
        </w:rPr>
        <w:t>الخلاصة وخطة المراجعة</w:t>
      </w:r>
    </w:p>
    <w:p w:rsidR="00CD0B91" w:rsidRPr="00CD0B91" w:rsidRDefault="00CD0B91" w:rsidP="00CD0B9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الخلاصة: «جوهرة التوحيد» متن موجز للقول في علم الكلام نظمَه الإمام اللقاني، ولاقى شروحًا متعددة؛ الميرغني اختصر حاشية البيجوري في «بغية المريد» تلبية لاحتياج الطلبة. الفهم الجيد يتطلب التمييز بين المتن وشرح صاحب المتن وشروح غير صاحب المتن، والانتباه للبراعة البلاغية في المقدمة لتحديد مقصد المصنف</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خطة مراجعة عملية</w:t>
      </w:r>
      <w:r w:rsidRPr="00CD0B91">
        <w:rPr>
          <w:rFonts w:ascii="Times New Roman" w:eastAsia="Times New Roman" w:hAnsi="Times New Roman" w:cs="Times New Roman"/>
          <w:sz w:val="24"/>
          <w:szCs w:val="24"/>
          <w:lang w:eastAsia="fr-FR"/>
        </w:rPr>
        <w:t xml:space="preserve">: </w:t>
      </w:r>
    </w:p>
    <w:p w:rsidR="00CD0B91" w:rsidRPr="00CD0B91" w:rsidRDefault="00CD0B91" w:rsidP="00CD0B9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في اليوم الأول: قراءة المقدمة كاملة وفهم مقصد الميرغني (20-30 دقيقة)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بعد 3 أيام: مراجعة بطاقات الاسترجاع والدرر الواردة (15 دقيقة)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بعد أسبوع: حل أسئلة المراجعة ومحاولة تطبيق مقارنة بسيطة بين شرحين (30-45 دقيقة)</w:t>
      </w:r>
      <w:r w:rsidRPr="00CD0B91">
        <w:rPr>
          <w:rFonts w:ascii="Times New Roman" w:eastAsia="Times New Roman" w:hAnsi="Times New Roman" w:cs="Times New Roman"/>
          <w:sz w:val="24"/>
          <w:szCs w:val="24"/>
          <w:lang w:eastAsia="fr-FR"/>
        </w:rPr>
        <w:t>.</w:t>
      </w:r>
    </w:p>
    <w:p w:rsidR="00CD0B91" w:rsidRPr="00CD0B91" w:rsidRDefault="00CD0B91" w:rsidP="00CD0B9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CD0B91">
        <w:rPr>
          <w:rFonts w:ascii="Times New Roman" w:eastAsia="Times New Roman" w:hAnsi="Times New Roman" w:cs="Times New Roman"/>
          <w:sz w:val="24"/>
          <w:szCs w:val="24"/>
          <w:rtl/>
          <w:lang w:eastAsia="fr-FR"/>
        </w:rPr>
        <w:t>شهر لاحق: اختبار ذاتي بحفظ النقاط الأساسية والتمييز بين المرتبَات الشرحية</w:t>
      </w:r>
      <w:r w:rsidRPr="00CD0B91">
        <w:rPr>
          <w:rFonts w:ascii="Times New Roman" w:eastAsia="Times New Roman" w:hAnsi="Times New Roman" w:cs="Times New Roman"/>
          <w:sz w:val="24"/>
          <w:szCs w:val="24"/>
          <w:lang w:eastAsia="fr-FR"/>
        </w:rPr>
        <w:t>.</w:t>
      </w:r>
    </w:p>
    <w:p w:rsidR="00CD0B91" w:rsidRDefault="00CD0B91" w:rsidP="00CD0B91">
      <w:pPr>
        <w:bidi/>
      </w:pPr>
    </w:p>
    <w:sectPr w:rsidR="00CD0B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A587C"/>
    <w:multiLevelType w:val="multilevel"/>
    <w:tmpl w:val="B3A0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33D07"/>
    <w:multiLevelType w:val="multilevel"/>
    <w:tmpl w:val="F26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D7F2A"/>
    <w:multiLevelType w:val="multilevel"/>
    <w:tmpl w:val="9A6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020D8"/>
    <w:multiLevelType w:val="multilevel"/>
    <w:tmpl w:val="68A265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710A1"/>
    <w:multiLevelType w:val="multilevel"/>
    <w:tmpl w:val="4ED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41385"/>
    <w:multiLevelType w:val="multilevel"/>
    <w:tmpl w:val="06A06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55EFA"/>
    <w:multiLevelType w:val="multilevel"/>
    <w:tmpl w:val="C14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547FB"/>
    <w:multiLevelType w:val="multilevel"/>
    <w:tmpl w:val="4A7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E4CDB"/>
    <w:multiLevelType w:val="multilevel"/>
    <w:tmpl w:val="89A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61340"/>
    <w:multiLevelType w:val="multilevel"/>
    <w:tmpl w:val="596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23060"/>
    <w:multiLevelType w:val="multilevel"/>
    <w:tmpl w:val="1ED2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26E20"/>
    <w:multiLevelType w:val="multilevel"/>
    <w:tmpl w:val="30020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13958"/>
    <w:multiLevelType w:val="multilevel"/>
    <w:tmpl w:val="6BAE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5"/>
  </w:num>
  <w:num w:numId="4">
    <w:abstractNumId w:val="8"/>
  </w:num>
  <w:num w:numId="5">
    <w:abstractNumId w:val="7"/>
  </w:num>
  <w:num w:numId="6">
    <w:abstractNumId w:val="4"/>
  </w:num>
  <w:num w:numId="7">
    <w:abstractNumId w:val="6"/>
  </w:num>
  <w:num w:numId="8">
    <w:abstractNumId w:val="1"/>
  </w:num>
  <w:num w:numId="9">
    <w:abstractNumId w:val="2"/>
  </w:num>
  <w:num w:numId="10">
    <w:abstractNumId w:val="10"/>
  </w:num>
  <w:num w:numId="11">
    <w:abstractNumId w:val="0"/>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B91"/>
    <w:rsid w:val="00486764"/>
    <w:rsid w:val="00CD0B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7D73"/>
  <w15:chartTrackingRefBased/>
  <w15:docId w15:val="{37D755DA-7D3E-46C5-9822-CD4C5CBC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0B9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0B91"/>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CD0B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CD0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181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1392</Words>
  <Characters>7660</Characters>
  <Application>Microsoft Office Word</Application>
  <DocSecurity>0</DocSecurity>
  <Lines>63</Lines>
  <Paragraphs>18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2026-10-19T23:26:00Z</dcterms:created>
  <dcterms:modified xsi:type="dcterms:W3CDTF">2026-10-19T23:28:00Z</dcterms:modified>
</cp:coreProperties>
</file>