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ACJ SOLUCIONES S.A.C.</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20604097551</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SERVICES BIOMETRICO DACTILAR T35</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1 usuarios</w:t>
      </w:r>
      <w:r>
        <w:rPr>
          <w:b/>
          <w:color w:val="ED1C24"/>
        </w:rPr>
        <w:t xml:space="preserve"> (Usuario genérico)</w:t>
      </w:r>
    </w:p>
    <w:p w14:paraId="71E1563C" w14:textId="1FB4930C" w:rsidR="004E4A9C" w:rsidRDefault="00597396" w:rsidP="001B48CE">
      <w:pPr>
        <w:pStyle w:val="Prrafodelista"/>
        <w:numPr>
          <w:ilvl w:val="0"/>
          <w:numId w:val="19"/>
        </w:numPr>
        <w:rPr>
          <w:rFonts w:ascii="Arial" w:hAnsi="Arial" w:cs="Arial"/>
          <w:sz w:val="22"/>
          <w:szCs w:val="22"/>
        </w:rPr>
      </w:pPr>
      <w:r>
        <w:t>Anthony Martin Rosas Quispe (DNI: 72655069)</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12-10-2026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12-10-2026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SERVICES BIOMETRICO DACTILAR T35</w:t>
            </w:r>
          </w:p>
        </w:tc>
        <w:tc>
          <w:tcPr>
            <w:tcW w:w="1937" w:type="dxa"/>
            <w:vMerge w:val="restart"/>
            <w:vAlign w:val="center"/>
          </w:tcPr>
          <w:p>
            <w:r>
              <w:t>Anthony Martin Rosas Quispe (DNI: 72655069)</w:t>
            </w:r>
          </w:p>
        </w:tc>
        <w:tc>
          <w:tcPr>
            <w:tcW w:w="1937" w:type="dxa"/>
            <w:vAlign w:val="center"/>
            <w:shd w:val="clear" w:color="auto" w:fill="F2F2F2"/>
          </w:tcPr>
          <w:p>
            <w:r>
              <w:t>Volumen diario Promedio (VNP)</w:t>
            </w:r>
          </w:p>
        </w:tc>
        <w:tc>
          <w:tcPr>
            <w:tcW w:w="2129" w:type="dxa"/>
            <w:vAlign w:val="center"/>
          </w:tcPr>
          <w:p>
            <w:r>
              <w:t>33.9</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1,143</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3,276.0 %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Anthony Martin Rosas Quispe (DNI: 72655069)</w:t>
        <w:br/>
      </w:r>
    </w:p>
    <w:p>
      <w:pPr>
        <w:spacing w:after="120"/>
        <w:jc w:val="both"/>
      </w:pPr>
      <w:r>
        <w:t>En el caso particular de la entidad analizada, el volumen diario de consultas se mantuvo en niveles bajos hasta registrar picos históricos en los últimos meses que bordean los 1,143 consultas, teniendo el día 05/10/2026 un pico de 1,143 consultas. Este volumen representa un incremento porcentual (IP%) de 3,276.0 % sobre su promedio diario registrado de 33.9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592483"/>
            <wp:docPr id="1266372525" name="Picture 1266372525"/>
            <wp:cNvGraphicFramePr>
              <a:graphicFrameLocks noChangeAspect="1"/>
            </wp:cNvGraphicFramePr>
            <a:graphic>
              <a:graphicData uri="http://schemas.openxmlformats.org/drawingml/2006/picture">
                <pic:pic>
                  <pic:nvPicPr>
                    <pic:cNvPr id="0" name="acj_soluciones_linea_dedicada_2025_2026.png"/>
                    <pic:cNvPicPr/>
                  </pic:nvPicPr>
                  <pic:blipFill>
                    <a:blip r:embed="rId13"/>
                    <a:stretch>
                      <a:fillRect/>
                    </a:stretch>
                  </pic:blipFill>
                  <pic:spPr>
                    <a:xfrm>
                      <a:off x="0" y="0"/>
                      <a:ext cx="5220000" cy="2592483"/>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fuera del horario operativo tradicional. El 42.1% de las consultas se realizó entre las 18:00 y las 07:59 h (incluyendo un 0.0% en la madrugada). El pico máximo de consultas se registra a las 07:00 horas, acumulando 959 consultas. Este patrón fuera de horas de oficina sugiere la ejecución de scripts o tareas de fondo programadas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99.2% del volumen total (2,522 consultas). El volumen máximo semanal se registró el día lunes con 1,143 consultas (representando el 44.9% del total semanal). Asimismo, se observa una actividad sostenida en fines de semana de 21 consultas (12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Frecuencia de Ráfagas por Hora del Día</w:t>
        <w:br/>
      </w:r>
    </w:p>
    <w:p>
      <w:pPr>
        <w:spacing w:after="120"/>
        <w:jc w:val="both"/>
      </w:pPr>
      <w:r>
        <w:t>Se detectaron un total de 32 eventos de ráfagas masivas en ventanas de 60 segundos. La ráfaga más intensa alcanzó un pico de 17 consultas en un minuto el día 05/10/2026 a las 07:01:42 por el usuario 72655069, lo que representa una velocidad inaccesible para un operador manual y confirma una ejecución automatizada por software (ver imagen 4).</w:t>
      </w:r>
    </w:p>
    <w:p>
      <w:pPr>
        <w:jc w:val="center"/>
      </w:pPr>
      <w:r>
        <w:drawing>
          <wp:inline xmlns:a="http://schemas.openxmlformats.org/drawingml/2006/main" xmlns:pic="http://schemas.openxmlformats.org/drawingml/2006/picture">
            <wp:extent cx="5220000" cy="1864286"/>
            <wp:docPr id="1266372528" name="Picture 1266372528"/>
            <wp:cNvGraphicFramePr>
              <a:graphicFrameLocks noChangeAspect="1"/>
            </wp:cNvGraphicFramePr>
            <a:graphic>
              <a:graphicData uri="http://schemas.openxmlformats.org/drawingml/2006/picture">
                <pic:pic>
                  <pic:nvPicPr>
                    <pic:cNvPr id="0" name="rafagas_por_hora.png"/>
                    <pic:cNvPicPr/>
                  </pic:nvPicPr>
                  <pic:blipFill>
                    <a:blip r:embed="rId16"/>
                    <a:stretch>
                      <a:fillRect/>
                    </a:stretch>
                  </pic:blipFill>
                  <pic:spPr>
                    <a:xfrm>
                      <a:off x="0" y="0"/>
                      <a:ext cx="5220000" cy="1864286"/>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Top 10 Ráfagas de Mayor Intensidad en 60 Segundos</w:t>
        <w:br/>
      </w:r>
    </w:p>
    <w:p>
      <w:pPr>
        <w:spacing w:after="120"/>
        <w:jc w:val="both"/>
      </w:pPr>
      <w:r>
        <w:t>El desglose de eventos por ráfaga revela un total de 32 intervalos con concentración inusual de consultas en ventanas de 60 segundos. El pico de mayor intensidad registró 17 consultas (0.28 consultas/segundo) el día 05/10/2026 a las 07:01:42 por el usuario con DNI 72655069. Esta concentración de solicitudes consecutivas en periodos de un minuto refleja la automatización de procesos de consulta en lote (ver tabla a continuación).</w:t>
      </w:r>
    </w:p>
    <w:p>
      <w:pPr>
        <w:spacing w:before="16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701"/>
        <w:gridCol w:w="1701"/>
        <w:gridCol w:w="1701"/>
        <w:gridCol w:w="1701"/>
        <w:gridCol w:w="1701"/>
      </w:tblGrid>
      <w:tr>
        <w:tc>
          <w:tcPr>
            <w:tcW w:type="dxa" w:w="720"/>
            <w:shd w:val="clear" w:color="auto" w:fill="1F497D"/>
          </w:tcPr>
          <w:p>
            <w:pPr>
              <w:jc w:val="center"/>
            </w:pPr>
            <w:r>
              <w:rPr>
                <w:b/>
                <w:color w:val="FFFFFF"/>
                <w:sz w:val="18"/>
              </w:rPr>
              <w:t>N°</w:t>
            </w:r>
          </w:p>
        </w:tc>
        <w:tc>
          <w:tcPr>
            <w:tcW w:type="dxa" w:w="3456"/>
            <w:shd w:val="clear" w:color="auto" w:fill="1F497D"/>
          </w:tcPr>
          <w:p>
            <w:pPr>
              <w:jc w:val="center"/>
            </w:pPr>
            <w:r>
              <w:rPr>
                <w:b/>
                <w:color w:val="FFFFFF"/>
                <w:sz w:val="18"/>
              </w:rPr>
              <w:t>Fecha y Hora (Inicio Ventana)</w:t>
            </w:r>
          </w:p>
        </w:tc>
        <w:tc>
          <w:tcPr>
            <w:tcW w:type="dxa" w:w="2160"/>
            <w:shd w:val="clear" w:color="auto" w:fill="1F497D"/>
          </w:tcPr>
          <w:p>
            <w:pPr>
              <w:jc w:val="center"/>
            </w:pPr>
            <w:r>
              <w:rPr>
                <w:b/>
                <w:color w:val="FFFFFF"/>
                <w:sz w:val="18"/>
              </w:rPr>
              <w:t>DNI / Código</w:t>
            </w:r>
          </w:p>
        </w:tc>
        <w:tc>
          <w:tcPr>
            <w:tcW w:type="dxa" w:w="1872"/>
            <w:shd w:val="clear" w:color="auto" w:fill="1F497D"/>
          </w:tcPr>
          <w:p>
            <w:pPr>
              <w:jc w:val="center"/>
            </w:pPr>
            <w:r>
              <w:rPr>
                <w:b/>
                <w:color w:val="FFFFFF"/>
                <w:sz w:val="18"/>
              </w:rPr>
              <w:t>Consultas en 60s</w:t>
            </w:r>
          </w:p>
        </w:tc>
        <w:tc>
          <w:tcPr>
            <w:tcW w:type="dxa" w:w="2016"/>
            <w:shd w:val="clear" w:color="auto" w:fill="1F497D"/>
          </w:tcPr>
          <w:p>
            <w:pPr>
              <w:jc w:val="center"/>
            </w:pPr>
            <w:r>
              <w:rPr>
                <w:b/>
                <w:color w:val="FFFFFF"/>
                <w:sz w:val="18"/>
              </w:rPr>
              <w:t>Velocidad (cons/seg)</w:t>
            </w:r>
          </w:p>
        </w:tc>
      </w:tr>
      <w:tr>
        <w:tc>
          <w:tcPr>
            <w:tcW w:type="dxa" w:w="720"/>
          </w:tcPr>
          <w:p>
            <w:pPr>
              <w:jc w:val="center"/>
            </w:pPr>
            <w:r>
              <w:rPr>
                <w:sz w:val="17"/>
              </w:rPr>
              <w:t>1</w:t>
            </w:r>
          </w:p>
        </w:tc>
        <w:tc>
          <w:tcPr>
            <w:tcW w:type="dxa" w:w="3456"/>
          </w:tcPr>
          <w:p>
            <w:pPr>
              <w:jc w:val="center"/>
            </w:pPr>
            <w:r>
              <w:rPr>
                <w:sz w:val="17"/>
              </w:rPr>
              <w:t>2026-10-05 07:01:42</w:t>
            </w:r>
          </w:p>
        </w:tc>
        <w:tc>
          <w:tcPr>
            <w:tcW w:type="dxa" w:w="2160"/>
          </w:tcPr>
          <w:p>
            <w:pPr>
              <w:jc w:val="center"/>
            </w:pPr>
            <w:r>
              <w:rPr>
                <w:sz w:val="17"/>
              </w:rPr>
              <w:t>72655069</w:t>
            </w:r>
          </w:p>
        </w:tc>
        <w:tc>
          <w:tcPr>
            <w:tcW w:type="dxa" w:w="1872"/>
          </w:tcPr>
          <w:p>
            <w:pPr>
              <w:jc w:val="right"/>
            </w:pPr>
            <w:r>
              <w:rPr>
                <w:sz w:val="17"/>
              </w:rPr>
              <w:t>17</w:t>
            </w:r>
          </w:p>
        </w:tc>
        <w:tc>
          <w:tcPr>
            <w:tcW w:type="dxa" w:w="2016"/>
          </w:tcPr>
          <w:p>
            <w:pPr>
              <w:jc w:val="right"/>
            </w:pPr>
            <w:r>
              <w:rPr>
                <w:sz w:val="17"/>
              </w:rPr>
              <w:t>0.28</w:t>
            </w:r>
          </w:p>
        </w:tc>
      </w:tr>
      <w:tr>
        <w:tc>
          <w:tcPr>
            <w:tcW w:type="dxa" w:w="720"/>
            <w:shd w:val="clear" w:color="auto" w:fill="F2F2F2"/>
          </w:tcPr>
          <w:p>
            <w:pPr>
              <w:jc w:val="center"/>
            </w:pPr>
            <w:r>
              <w:rPr>
                <w:sz w:val="17"/>
              </w:rPr>
              <w:t>2</w:t>
            </w:r>
          </w:p>
        </w:tc>
        <w:tc>
          <w:tcPr>
            <w:tcW w:type="dxa" w:w="3456"/>
            <w:shd w:val="clear" w:color="auto" w:fill="F2F2F2"/>
          </w:tcPr>
          <w:p>
            <w:pPr>
              <w:jc w:val="center"/>
            </w:pPr>
            <w:r>
              <w:rPr>
                <w:sz w:val="17"/>
              </w:rPr>
              <w:t>2026-10-05 07:57:40</w:t>
            </w:r>
          </w:p>
        </w:tc>
        <w:tc>
          <w:tcPr>
            <w:tcW w:type="dxa" w:w="2160"/>
            <w:shd w:val="clear" w:color="auto" w:fill="F2F2F2"/>
          </w:tcPr>
          <w:p>
            <w:pPr>
              <w:jc w:val="center"/>
            </w:pPr>
            <w:r>
              <w:rPr>
                <w:sz w:val="17"/>
              </w:rPr>
              <w:t>72655069</w:t>
            </w:r>
          </w:p>
        </w:tc>
        <w:tc>
          <w:tcPr>
            <w:tcW w:type="dxa" w:w="1872"/>
            <w:shd w:val="clear" w:color="auto" w:fill="F2F2F2"/>
          </w:tcPr>
          <w:p>
            <w:pPr>
              <w:jc w:val="right"/>
            </w:pPr>
            <w:r>
              <w:rPr>
                <w:sz w:val="17"/>
              </w:rPr>
              <w:t>17</w:t>
            </w:r>
          </w:p>
        </w:tc>
        <w:tc>
          <w:tcPr>
            <w:tcW w:type="dxa" w:w="2016"/>
            <w:shd w:val="clear" w:color="auto" w:fill="F2F2F2"/>
          </w:tcPr>
          <w:p>
            <w:pPr>
              <w:jc w:val="right"/>
            </w:pPr>
            <w:r>
              <w:rPr>
                <w:sz w:val="17"/>
              </w:rPr>
              <w:t>0.28</w:t>
            </w:r>
          </w:p>
        </w:tc>
      </w:tr>
      <w:tr>
        <w:tc>
          <w:tcPr>
            <w:tcW w:type="dxa" w:w="720"/>
          </w:tcPr>
          <w:p>
            <w:pPr>
              <w:jc w:val="center"/>
            </w:pPr>
            <w:r>
              <w:rPr>
                <w:sz w:val="17"/>
              </w:rPr>
              <w:t>3</w:t>
            </w:r>
          </w:p>
        </w:tc>
        <w:tc>
          <w:tcPr>
            <w:tcW w:type="dxa" w:w="3456"/>
          </w:tcPr>
          <w:p>
            <w:pPr>
              <w:jc w:val="center"/>
            </w:pPr>
            <w:r>
              <w:rPr>
                <w:sz w:val="17"/>
              </w:rPr>
              <w:t>2026-10-05 07:18:38</w:t>
            </w:r>
          </w:p>
        </w:tc>
        <w:tc>
          <w:tcPr>
            <w:tcW w:type="dxa" w:w="2160"/>
          </w:tcPr>
          <w:p>
            <w:pPr>
              <w:jc w:val="center"/>
            </w:pPr>
            <w:r>
              <w:rPr>
                <w:sz w:val="17"/>
              </w:rPr>
              <w:t>72655069</w:t>
            </w:r>
          </w:p>
        </w:tc>
        <w:tc>
          <w:tcPr>
            <w:tcW w:type="dxa" w:w="1872"/>
          </w:tcPr>
          <w:p>
            <w:pPr>
              <w:jc w:val="right"/>
            </w:pPr>
            <w:r>
              <w:rPr>
                <w:sz w:val="17"/>
              </w:rPr>
              <w:t>16</w:t>
            </w:r>
          </w:p>
        </w:tc>
        <w:tc>
          <w:tcPr>
            <w:tcW w:type="dxa" w:w="2016"/>
          </w:tcPr>
          <w:p>
            <w:pPr>
              <w:jc w:val="right"/>
            </w:pPr>
            <w:r>
              <w:rPr>
                <w:sz w:val="17"/>
              </w:rPr>
              <w:t>0.27</w:t>
            </w:r>
          </w:p>
        </w:tc>
      </w:tr>
      <w:tr>
        <w:tc>
          <w:tcPr>
            <w:tcW w:type="dxa" w:w="720"/>
            <w:shd w:val="clear" w:color="auto" w:fill="F2F2F2"/>
          </w:tcPr>
          <w:p>
            <w:pPr>
              <w:jc w:val="center"/>
            </w:pPr>
            <w:r>
              <w:rPr>
                <w:sz w:val="17"/>
              </w:rPr>
              <w:t>4</w:t>
            </w:r>
          </w:p>
        </w:tc>
        <w:tc>
          <w:tcPr>
            <w:tcW w:type="dxa" w:w="3456"/>
            <w:shd w:val="clear" w:color="auto" w:fill="F2F2F2"/>
          </w:tcPr>
          <w:p>
            <w:pPr>
              <w:jc w:val="center"/>
            </w:pPr>
            <w:r>
              <w:rPr>
                <w:sz w:val="17"/>
              </w:rPr>
              <w:t>2026-10-05 07:02:08</w:t>
            </w:r>
          </w:p>
        </w:tc>
        <w:tc>
          <w:tcPr>
            <w:tcW w:type="dxa" w:w="2160"/>
            <w:shd w:val="clear" w:color="auto" w:fill="F2F2F2"/>
          </w:tcPr>
          <w:p>
            <w:pPr>
              <w:jc w:val="center"/>
            </w:pPr>
            <w:r>
              <w:rPr>
                <w:sz w:val="17"/>
              </w:rPr>
              <w:t>72655069</w:t>
            </w:r>
          </w:p>
        </w:tc>
        <w:tc>
          <w:tcPr>
            <w:tcW w:type="dxa" w:w="1872"/>
            <w:shd w:val="clear" w:color="auto" w:fill="F2F2F2"/>
          </w:tcPr>
          <w:p>
            <w:pPr>
              <w:jc w:val="right"/>
            </w:pPr>
            <w:r>
              <w:rPr>
                <w:sz w:val="17"/>
              </w:rPr>
              <w:t>16</w:t>
            </w:r>
          </w:p>
        </w:tc>
        <w:tc>
          <w:tcPr>
            <w:tcW w:type="dxa" w:w="2016"/>
            <w:shd w:val="clear" w:color="auto" w:fill="F2F2F2"/>
          </w:tcPr>
          <w:p>
            <w:pPr>
              <w:jc w:val="right"/>
            </w:pPr>
            <w:r>
              <w:rPr>
                <w:sz w:val="17"/>
              </w:rPr>
              <w:t>0.27</w:t>
            </w:r>
          </w:p>
        </w:tc>
      </w:tr>
      <w:tr>
        <w:tc>
          <w:tcPr>
            <w:tcW w:type="dxa" w:w="720"/>
          </w:tcPr>
          <w:p>
            <w:pPr>
              <w:jc w:val="center"/>
            </w:pPr>
            <w:r>
              <w:rPr>
                <w:sz w:val="17"/>
              </w:rPr>
              <w:t>5</w:t>
            </w:r>
          </w:p>
        </w:tc>
        <w:tc>
          <w:tcPr>
            <w:tcW w:type="dxa" w:w="3456"/>
          </w:tcPr>
          <w:p>
            <w:pPr>
              <w:jc w:val="center"/>
            </w:pPr>
            <w:r>
              <w:rPr>
                <w:sz w:val="17"/>
              </w:rPr>
              <w:t>2026-10-05 07:20:36</w:t>
            </w:r>
          </w:p>
        </w:tc>
        <w:tc>
          <w:tcPr>
            <w:tcW w:type="dxa" w:w="2160"/>
          </w:tcPr>
          <w:p>
            <w:pPr>
              <w:jc w:val="center"/>
            </w:pPr>
            <w:r>
              <w:rPr>
                <w:sz w:val="17"/>
              </w:rPr>
              <w:t>72655069</w:t>
            </w:r>
          </w:p>
        </w:tc>
        <w:tc>
          <w:tcPr>
            <w:tcW w:type="dxa" w:w="1872"/>
          </w:tcPr>
          <w:p>
            <w:pPr>
              <w:jc w:val="right"/>
            </w:pPr>
            <w:r>
              <w:rPr>
                <w:sz w:val="17"/>
              </w:rPr>
              <w:t>16</w:t>
            </w:r>
          </w:p>
        </w:tc>
        <w:tc>
          <w:tcPr>
            <w:tcW w:type="dxa" w:w="2016"/>
          </w:tcPr>
          <w:p>
            <w:pPr>
              <w:jc w:val="right"/>
            </w:pPr>
            <w:r>
              <w:rPr>
                <w:sz w:val="17"/>
              </w:rPr>
              <w:t>0.27</w:t>
            </w:r>
          </w:p>
        </w:tc>
      </w:tr>
      <w:tr>
        <w:tc>
          <w:tcPr>
            <w:tcW w:type="dxa" w:w="720"/>
            <w:shd w:val="clear" w:color="auto" w:fill="F2F2F2"/>
          </w:tcPr>
          <w:p>
            <w:pPr>
              <w:jc w:val="center"/>
            </w:pPr>
            <w:r>
              <w:rPr>
                <w:sz w:val="17"/>
              </w:rPr>
              <w:t>6</w:t>
            </w:r>
          </w:p>
        </w:tc>
        <w:tc>
          <w:tcPr>
            <w:tcW w:type="dxa" w:w="3456"/>
            <w:shd w:val="clear" w:color="auto" w:fill="F2F2F2"/>
          </w:tcPr>
          <w:p>
            <w:pPr>
              <w:jc w:val="center"/>
            </w:pPr>
            <w:r>
              <w:rPr>
                <w:sz w:val="17"/>
              </w:rPr>
              <w:t>2026-10-05 07:19:01</w:t>
            </w:r>
          </w:p>
        </w:tc>
        <w:tc>
          <w:tcPr>
            <w:tcW w:type="dxa" w:w="2160"/>
            <w:shd w:val="clear" w:color="auto" w:fill="F2F2F2"/>
          </w:tcPr>
          <w:p>
            <w:pPr>
              <w:jc w:val="center"/>
            </w:pPr>
            <w:r>
              <w:rPr>
                <w:sz w:val="17"/>
              </w:rPr>
              <w:t>72655069</w:t>
            </w:r>
          </w:p>
        </w:tc>
        <w:tc>
          <w:tcPr>
            <w:tcW w:type="dxa" w:w="1872"/>
            <w:shd w:val="clear" w:color="auto" w:fill="F2F2F2"/>
          </w:tcPr>
          <w:p>
            <w:pPr>
              <w:jc w:val="right"/>
            </w:pPr>
            <w:r>
              <w:rPr>
                <w:sz w:val="17"/>
              </w:rPr>
              <w:t>16</w:t>
            </w:r>
          </w:p>
        </w:tc>
        <w:tc>
          <w:tcPr>
            <w:tcW w:type="dxa" w:w="2016"/>
            <w:shd w:val="clear" w:color="auto" w:fill="F2F2F2"/>
          </w:tcPr>
          <w:p>
            <w:pPr>
              <w:jc w:val="right"/>
            </w:pPr>
            <w:r>
              <w:rPr>
                <w:sz w:val="17"/>
              </w:rPr>
              <w:t>0.27</w:t>
            </w:r>
          </w:p>
        </w:tc>
      </w:tr>
      <w:tr>
        <w:tc>
          <w:tcPr>
            <w:tcW w:type="dxa" w:w="720"/>
          </w:tcPr>
          <w:p>
            <w:pPr>
              <w:jc w:val="center"/>
            </w:pPr>
            <w:r>
              <w:rPr>
                <w:sz w:val="17"/>
              </w:rPr>
              <w:t>7</w:t>
            </w:r>
          </w:p>
        </w:tc>
        <w:tc>
          <w:tcPr>
            <w:tcW w:type="dxa" w:w="3456"/>
          </w:tcPr>
          <w:p>
            <w:pPr>
              <w:jc w:val="center"/>
            </w:pPr>
            <w:r>
              <w:rPr>
                <w:sz w:val="17"/>
              </w:rPr>
              <w:t>2026-10-05 07:21:06</w:t>
            </w:r>
          </w:p>
        </w:tc>
        <w:tc>
          <w:tcPr>
            <w:tcW w:type="dxa" w:w="2160"/>
          </w:tcPr>
          <w:p>
            <w:pPr>
              <w:jc w:val="center"/>
            </w:pPr>
            <w:r>
              <w:rPr>
                <w:sz w:val="17"/>
              </w:rPr>
              <w:t>72655069</w:t>
            </w:r>
          </w:p>
        </w:tc>
        <w:tc>
          <w:tcPr>
            <w:tcW w:type="dxa" w:w="1872"/>
          </w:tcPr>
          <w:p>
            <w:pPr>
              <w:jc w:val="right"/>
            </w:pPr>
            <w:r>
              <w:rPr>
                <w:sz w:val="17"/>
              </w:rPr>
              <w:t>15</w:t>
            </w:r>
          </w:p>
        </w:tc>
        <w:tc>
          <w:tcPr>
            <w:tcW w:type="dxa" w:w="2016"/>
          </w:tcPr>
          <w:p>
            <w:pPr>
              <w:jc w:val="right"/>
            </w:pPr>
            <w:r>
              <w:rPr>
                <w:sz w:val="17"/>
              </w:rPr>
              <w:t>0.25</w:t>
            </w:r>
          </w:p>
        </w:tc>
      </w:tr>
      <w:tr>
        <w:tc>
          <w:tcPr>
            <w:tcW w:type="dxa" w:w="720"/>
            <w:shd w:val="clear" w:color="auto" w:fill="F2F2F2"/>
          </w:tcPr>
          <w:p>
            <w:pPr>
              <w:jc w:val="center"/>
            </w:pPr>
            <w:r>
              <w:rPr>
                <w:sz w:val="17"/>
              </w:rPr>
              <w:t>8</w:t>
            </w:r>
          </w:p>
        </w:tc>
        <w:tc>
          <w:tcPr>
            <w:tcW w:type="dxa" w:w="3456"/>
            <w:shd w:val="clear" w:color="auto" w:fill="F2F2F2"/>
          </w:tcPr>
          <w:p>
            <w:pPr>
              <w:jc w:val="center"/>
            </w:pPr>
            <w:r>
              <w:rPr>
                <w:sz w:val="17"/>
              </w:rPr>
              <w:t>2026-10-05 08:41:23</w:t>
            </w:r>
          </w:p>
        </w:tc>
        <w:tc>
          <w:tcPr>
            <w:tcW w:type="dxa" w:w="2160"/>
            <w:shd w:val="clear" w:color="auto" w:fill="F2F2F2"/>
          </w:tcPr>
          <w:p>
            <w:pPr>
              <w:jc w:val="center"/>
            </w:pPr>
            <w:r>
              <w:rPr>
                <w:sz w:val="17"/>
              </w:rPr>
              <w:t>72655069</w:t>
            </w:r>
          </w:p>
        </w:tc>
        <w:tc>
          <w:tcPr>
            <w:tcW w:type="dxa" w:w="1872"/>
            <w:shd w:val="clear" w:color="auto" w:fill="F2F2F2"/>
          </w:tcPr>
          <w:p>
            <w:pPr>
              <w:jc w:val="right"/>
            </w:pPr>
            <w:r>
              <w:rPr>
                <w:sz w:val="17"/>
              </w:rPr>
              <w:t>14</w:t>
            </w:r>
          </w:p>
        </w:tc>
        <w:tc>
          <w:tcPr>
            <w:tcW w:type="dxa" w:w="2016"/>
            <w:shd w:val="clear" w:color="auto" w:fill="F2F2F2"/>
          </w:tcPr>
          <w:p>
            <w:pPr>
              <w:jc w:val="right"/>
            </w:pPr>
            <w:r>
              <w:rPr>
                <w:sz w:val="17"/>
              </w:rPr>
              <w:t>0.23</w:t>
            </w:r>
          </w:p>
        </w:tc>
      </w:tr>
      <w:tr>
        <w:tc>
          <w:tcPr>
            <w:tcW w:type="dxa" w:w="720"/>
          </w:tcPr>
          <w:p>
            <w:pPr>
              <w:jc w:val="center"/>
            </w:pPr>
            <w:r>
              <w:rPr>
                <w:sz w:val="17"/>
              </w:rPr>
              <w:t>9</w:t>
            </w:r>
          </w:p>
        </w:tc>
        <w:tc>
          <w:tcPr>
            <w:tcW w:type="dxa" w:w="3456"/>
          </w:tcPr>
          <w:p>
            <w:pPr>
              <w:jc w:val="center"/>
            </w:pPr>
            <w:r>
              <w:rPr>
                <w:sz w:val="17"/>
              </w:rPr>
              <w:t>2026-10-05 07:58:02</w:t>
            </w:r>
          </w:p>
        </w:tc>
        <w:tc>
          <w:tcPr>
            <w:tcW w:type="dxa" w:w="2160"/>
          </w:tcPr>
          <w:p>
            <w:pPr>
              <w:jc w:val="center"/>
            </w:pPr>
            <w:r>
              <w:rPr>
                <w:sz w:val="17"/>
              </w:rPr>
              <w:t>72655069</w:t>
            </w:r>
          </w:p>
        </w:tc>
        <w:tc>
          <w:tcPr>
            <w:tcW w:type="dxa" w:w="1872"/>
          </w:tcPr>
          <w:p>
            <w:pPr>
              <w:jc w:val="right"/>
            </w:pPr>
            <w:r>
              <w:rPr>
                <w:sz w:val="17"/>
              </w:rPr>
              <w:t>13</w:t>
            </w:r>
          </w:p>
        </w:tc>
        <w:tc>
          <w:tcPr>
            <w:tcW w:type="dxa" w:w="2016"/>
          </w:tcPr>
          <w:p>
            <w:pPr>
              <w:jc w:val="right"/>
            </w:pPr>
            <w:r>
              <w:rPr>
                <w:sz w:val="17"/>
              </w:rPr>
              <w:t>0.22</w:t>
            </w:r>
          </w:p>
        </w:tc>
      </w:tr>
      <w:tr>
        <w:tc>
          <w:tcPr>
            <w:tcW w:type="dxa" w:w="720"/>
            <w:shd w:val="clear" w:color="auto" w:fill="F2F2F2"/>
          </w:tcPr>
          <w:p>
            <w:pPr>
              <w:jc w:val="center"/>
            </w:pPr>
            <w:r>
              <w:rPr>
                <w:sz w:val="17"/>
              </w:rPr>
              <w:t>10</w:t>
            </w:r>
          </w:p>
        </w:tc>
        <w:tc>
          <w:tcPr>
            <w:tcW w:type="dxa" w:w="3456"/>
            <w:shd w:val="clear" w:color="auto" w:fill="F2F2F2"/>
          </w:tcPr>
          <w:p>
            <w:pPr>
              <w:jc w:val="center"/>
            </w:pPr>
            <w:r>
              <w:rPr>
                <w:sz w:val="17"/>
              </w:rPr>
              <w:t>2026-10-05 07:40:14</w:t>
            </w:r>
          </w:p>
        </w:tc>
        <w:tc>
          <w:tcPr>
            <w:tcW w:type="dxa" w:w="2160"/>
            <w:shd w:val="clear" w:color="auto" w:fill="F2F2F2"/>
          </w:tcPr>
          <w:p>
            <w:pPr>
              <w:jc w:val="center"/>
            </w:pPr>
            <w:r>
              <w:rPr>
                <w:sz w:val="17"/>
              </w:rPr>
              <w:t>72655069</w:t>
            </w:r>
          </w:p>
        </w:tc>
        <w:tc>
          <w:tcPr>
            <w:tcW w:type="dxa" w:w="1872"/>
            <w:shd w:val="clear" w:color="auto" w:fill="F2F2F2"/>
          </w:tcPr>
          <w:p>
            <w:pPr>
              <w:jc w:val="right"/>
            </w:pPr>
            <w:r>
              <w:rPr>
                <w:sz w:val="17"/>
              </w:rPr>
              <w:t>13</w:t>
            </w:r>
          </w:p>
        </w:tc>
        <w:tc>
          <w:tcPr>
            <w:tcW w:type="dxa" w:w="2016"/>
            <w:shd w:val="clear" w:color="auto" w:fill="F2F2F2"/>
          </w:tcPr>
          <w:p>
            <w:pPr>
              <w:jc w:val="right"/>
            </w:pPr>
            <w:r>
              <w:rPr>
                <w:sz w:val="17"/>
              </w:rPr>
              <w:t>0.22</w:t>
            </w:r>
          </w:p>
        </w:tc>
      </w:tr>
    </w:tbl>
    <w:p>
      <w:pPr>
        <w:spacing w:after="240"/>
      </w:pPr>
    </w:p>
    <w:p>
      <w:r>
        <w:br w:type="page"/>
      </w:r>
    </w:p>
    <w:p>
      <w:pPr>
        <w:spacing w:before="120" w:after="80"/>
        <w:ind w:left="0" w:firstLine="0"/>
        <w:jc w:val="left"/>
      </w:pPr>
      <w:r>
        <w:rPr>
          <w:b/>
        </w:rPr>
        <w:t>4.2.6 Dispersión de Volumen Horario Inusual</w:t>
        <w:br/>
      </w:r>
    </w:p>
    <w:p>
      <w:pPr>
        <w:spacing w:after="120"/>
        <w:jc w:val="both"/>
      </w:pPr>
      <w:r>
        <w:t>El análisis de dispersión temporal de volumen inusual registró 6 intervalo(s) horario(s) que superaron el umbral auditado de 100 consultas/hora. El volumen máximo concentrado en un solo intervalo se registró el Lunes 5 de octubre de 2026 a las 07:00 h, alcanzando un pico de 406 consultas en esa sola hora. Esta concentración representó el 15.97% de todas las consultas del periodo evaluado, lo que equivale a una velocidad promedio sostenida de 6.77 consultas por minuto (~0.11 consultas/segundo) durante los 60 minutos ininterrumpidos. Esta tasa de transferencia continua confirma una modalidad de extracción masiva desatendida mediante software o scripts clientes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scatter_volumen_tiempo.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4.2.7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80539476 con un total de 64 consultas, registrando mayor actividad por parte del usuario Anthony Martin Rosas Quispe (DNI: 72655069). Esta consulta intensiva y reiterada sobre un conjunto acotado de DNIs requiere la verificación inmediata de las justificaciones de negocio de las operaciones realizadas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tabla_top10_dni.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4.2.8 Mapa de Calor de Consumo (Hora × Día)</w:t>
        <w:br/>
      </w:r>
    </w:p>
    <w:p>
      <w:pPr>
        <w:spacing w:after="120"/>
        <w:jc w:val="both"/>
      </w:pPr>
      <w:r>
        <w:t>El mapa de calor muestra puntos calientes de alta densidad fuera de la jornada de oficina tradicional. La casilla con el mayor consumo concentrado ocurrió los días lunes a las 07:00 horas con 406 consultas. El 42.9% del consumo se distribuye en bloques nocturnos y/o fines de semana, lo que confirma que la actividad está guiada por scripts desatendidos programados fuera del horario laboral (ver imagen 7).</w:t>
      </w:r>
    </w:p>
    <w:p>
      <w:pPr>
        <w:jc w:val="center"/>
      </w:pPr>
      <w:r>
        <w:drawing>
          <wp:inline xmlns:a="http://schemas.openxmlformats.org/drawingml/2006/main" xmlns:pic="http://schemas.openxmlformats.org/drawingml/2006/picture">
            <wp:extent cx="5220000" cy="4176000"/>
            <wp:docPr id="1266372531" name="Picture 1266372531"/>
            <wp:cNvGraphicFramePr>
              <a:graphicFrameLocks noChangeAspect="1"/>
            </wp:cNvGraphicFramePr>
            <a:graphic>
              <a:graphicData uri="http://schemas.openxmlformats.org/drawingml/2006/picture">
                <pic:pic>
                  <pic:nvPicPr>
                    <pic:cNvPr id="0" name="heatmap_hora_dia.png"/>
                    <pic:cNvPicPr/>
                  </pic:nvPicPr>
                  <pic:blipFill>
                    <a:blip r:embed="rId19"/>
                    <a:stretch>
                      <a:fillRect/>
                    </a:stretch>
                  </pic:blipFill>
                  <pic:spPr>
                    <a:xfrm>
                      <a:off x="0" y="0"/>
                      <a:ext cx="5220000" cy="4176000"/>
                    </a:xfrm>
                    <a:prstGeom prst="rect"/>
                  </pic:spPr>
                </pic:pic>
              </a:graphicData>
            </a:graphic>
          </wp:inline>
        </w:drawing>
      </w:r>
    </w:p>
    <w:p>
      <w:pPr>
        <w:spacing w:after="240"/>
        <w:jc w:val="center"/>
      </w:pPr>
      <w:r>
        <w:t>(Imagen 7)</w:t>
      </w:r>
    </w:p>
    <w:p/>
    <w:p>
      <w:pPr>
        <w:ind w:left="0" w:firstLine="0"/>
        <w:jc w:val="left"/>
      </w:pPr>
      <w:r>
        <w:rPr>
          <w:b/>
        </w:rPr>
        <w:t>4.3. Conclusiones:</w:t>
        <w:br/>
      </w:r>
    </w:p>
    <w:p>
      <w:pPr>
        <w:spacing w:after="120"/>
        <w:jc w:val="both"/>
      </w:pPr>
      <w:r>
        <w:t>Evidencia de Automatización: La detección de 32 ráfagas masivas y un pico máximo de 17 consultas en 60 segundos (0.3 consultas/segundo) presume técnicamente el uso de software de consulta automatizado o scripts sin restricción de tasa de peticiones.</w:t>
      </w:r>
    </w:p>
    <w:p>
      <w:pPr>
        <w:spacing w:after="120"/>
        <w:jc w:val="both"/>
      </w:pPr>
      <w:r>
        <w:t>Concentración Extrema del Consumo: Más de 2,543 consultas (más del 100.0% del total institucional de 2,543 filas) fueron ejecutadas por la cuenta de usuario (Anthony Martin Rosas Quispe (DNI: 72655069)), situando en ella(s) la prioridad del control interno.</w:t>
      </w:r>
    </w:p>
    <w:p>
      <w:pPr>
        <w:spacing w:after="120"/>
        <w:jc w:val="both"/>
      </w:pPr>
      <w:r>
        <w:t>Reincidencia Anómala en Documentos de Identidad: La consulta de un mismo DNI hasta 64 veces en el mes (DNI 80539476) sugiere la filtración, monitoreo continuo o fallas en el software de integración cliente de ACJ SOLUCIONES S.A.C.,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Anthony Martin Rosas Quispe (DNI: 72655069), en los sistemas de autenticación de RENIEC. Paralelamente, se formalizará una exigencia de descargos a ACJ SOLUCIONES S.A.C.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