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INSTITUTO NACIONAL PENITENCIARIO</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20131370050</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SERVICES BIOMETRICO DACTILAR T35</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 usuarios</w:t>
      </w:r>
    </w:p>
    <w:p w14:paraId="71E1563C" w14:textId="1FB4930C" w:rsidR="004E4A9C" w:rsidRDefault="00597396" w:rsidP="001B48CE">
      <w:pPr>
        <w:pStyle w:val="Prrafodelista"/>
        <w:numPr>
          <w:ilvl w:val="0"/>
          <w:numId w:val="19"/>
        </w:numPr>
        <w:rPr>
          <w:rFonts w:ascii="Arial" w:hAnsi="Arial" w:cs="Arial"/>
          <w:sz w:val="22"/>
          <w:szCs w:val="22"/>
        </w:rPr>
      </w:pPr>
      <w:r>
        <w:t>Hugo Noel Rosario Bautista (DNI: 41901245)</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SERVICES BIOMETRICO DACTILAR T35</w:t>
            </w:r>
          </w:p>
        </w:tc>
        <w:tc>
          <w:tcPr>
            <w:tcW w:w="1937" w:type="dxa"/>
            <w:vMerge w:val="restart"/>
            <w:vAlign w:val="center"/>
          </w:tcPr>
          <w:p>
            <w:r>
              <w:t>Hugo Noel Rosario Bautista (DNI: 41901245)</w:t>
            </w:r>
          </w:p>
        </w:tc>
        <w:tc>
          <w:tcPr>
            <w:tcW w:w="1937" w:type="dxa"/>
            <w:vAlign w:val="center"/>
            <w:shd w:val="clear" w:color="auto" w:fill="F2F2F2"/>
          </w:tcPr>
          <w:p>
            <w:r>
              <w:t>Volumen diario Promedio (VNP)</w:t>
            </w:r>
          </w:p>
        </w:tc>
        <w:tc>
          <w:tcPr>
            <w:tcW w:w="2129" w:type="dxa"/>
            <w:vAlign w:val="center"/>
          </w:tcPr>
          <w:p>
            <w:r>
              <w:t>36.8</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4,041</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10,885.2 %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Hugo Noel Rosario Bautista (DNI: 41901245)</w:t>
        <w:br/>
      </w:r>
    </w:p>
    <w:p>
      <w:pPr>
        <w:spacing w:after="120"/>
        <w:jc w:val="both"/>
      </w:pPr>
      <w:r>
        <w:t>En el caso particular de la entidad analizada, el volumen diario de consultas se mantuvo en niveles bajos hasta registrar picos históricos en los últimos meses que bordean los 4,041 consultas, teniendo el día 03/10/2026 un pico de 4,041 consultas. Este volumen representa un incremento porcentual (IP%) de 10,885.2 % sobre su promedio diario registrado de 36.8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609351"/>
            <wp:docPr id="1266372525" name="Picture 1266372525"/>
            <wp:cNvGraphicFramePr>
              <a:graphicFrameLocks noChangeAspect="1"/>
            </wp:cNvGraphicFramePr>
            <a:graphic>
              <a:graphicData uri="http://schemas.openxmlformats.org/drawingml/2006/picture">
                <pic:pic>
                  <pic:nvPicPr>
                    <pic:cNvPr id="0" name="10_clinica_internacional_octubre_2025.png"/>
                    <pic:cNvPicPr/>
                  </pic:nvPicPr>
                  <pic:blipFill>
                    <a:blip r:embed="rId13"/>
                    <a:stretch>
                      <a:fillRect/>
                    </a:stretch>
                  </pic:blipFill>
                  <pic:spPr>
                    <a:xfrm>
                      <a:off x="0" y="0"/>
                      <a:ext cx="5220000" cy="260935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99.1% del total de consultas. El pico máximo se registra a las 10:00 horas con 1,988 consultas (23.8%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El análisis semanal revela una operación continua extendida hacia los fines de semana. Si bien el pico más alto ocurrió el día sábado con 4,041 consultas (48.4% de la semana), la entidad mantuvo un flujo de 4,044 consultas los días sábado y domingo (48.4% del total semanal, acumulando 3 consultas los domingos). Esta continuidad operativa evidencia la ejecución de servicios o scripts de consulta desatendidos de fondo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223 eventos de ráfagas masivas en ventanas de 60 segundos. La ráfaga más intensa alcanzó un pico de 29 consultas en un minuto el día 03/10/2026 a las 08:57:42 por el usuario 41901245,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Top 10 Ráfagas de Mayor Intensidad en 60 Segundos</w:t>
        <w:br/>
      </w:r>
    </w:p>
    <w:p>
      <w:pPr>
        <w:spacing w:after="120"/>
        <w:jc w:val="both"/>
      </w:pPr>
      <w:r>
        <w:t>El desglose de eventos por ráfaga revela un total de 223 intervalos con concentración inusual de consultas en ventanas de 60 segundos. El pico de mayor intensidad registró 29 consultas (0.48 consultas/segundo) el día 03/10/2026 a las 08:57:42 por el usuario con DNI 41901245. Esta concentración de solicitudes consecutivas en periodos de un minuto refleja la automatización de procesos de consulta en lote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2026-10-03 08:57:42</w:t>
            </w:r>
          </w:p>
        </w:tc>
        <w:tc>
          <w:tcPr>
            <w:tcW w:type="dxa" w:w="2160"/>
          </w:tcPr>
          <w:p>
            <w:pPr>
              <w:jc w:val="center"/>
            </w:pPr>
            <w:r>
              <w:rPr>
                <w:sz w:val="17"/>
              </w:rPr>
              <w:t>41901245</w:t>
            </w:r>
          </w:p>
        </w:tc>
        <w:tc>
          <w:tcPr>
            <w:tcW w:type="dxa" w:w="1872"/>
          </w:tcPr>
          <w:p>
            <w:pPr>
              <w:jc w:val="right"/>
            </w:pPr>
            <w:r>
              <w:rPr>
                <w:sz w:val="17"/>
              </w:rPr>
              <w:t>29</w:t>
            </w:r>
          </w:p>
        </w:tc>
        <w:tc>
          <w:tcPr>
            <w:tcW w:type="dxa" w:w="2016"/>
          </w:tcPr>
          <w:p>
            <w:pPr>
              <w:jc w:val="right"/>
            </w:pPr>
            <w:r>
              <w:rPr>
                <w:sz w:val="17"/>
              </w:rPr>
              <w:t>0.48</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2026-10-03 10:56:08</w:t>
            </w:r>
          </w:p>
        </w:tc>
        <w:tc>
          <w:tcPr>
            <w:tcW w:type="dxa" w:w="2160"/>
            <w:shd w:val="clear" w:color="auto" w:fill="F2F2F2"/>
          </w:tcPr>
          <w:p>
            <w:pPr>
              <w:jc w:val="center"/>
            </w:pPr>
            <w:r>
              <w:rPr>
                <w:sz w:val="17"/>
              </w:rPr>
              <w:t>41901245</w:t>
            </w:r>
          </w:p>
        </w:tc>
        <w:tc>
          <w:tcPr>
            <w:tcW w:type="dxa" w:w="1872"/>
            <w:shd w:val="clear" w:color="auto" w:fill="F2F2F2"/>
          </w:tcPr>
          <w:p>
            <w:pPr>
              <w:jc w:val="right"/>
            </w:pPr>
            <w:r>
              <w:rPr>
                <w:sz w:val="17"/>
              </w:rPr>
              <w:t>29</w:t>
            </w:r>
          </w:p>
        </w:tc>
        <w:tc>
          <w:tcPr>
            <w:tcW w:type="dxa" w:w="2016"/>
            <w:shd w:val="clear" w:color="auto" w:fill="F2F2F2"/>
          </w:tcPr>
          <w:p>
            <w:pPr>
              <w:jc w:val="right"/>
            </w:pPr>
            <w:r>
              <w:rPr>
                <w:sz w:val="17"/>
              </w:rPr>
              <w:t>0.48</w:t>
            </w:r>
          </w:p>
        </w:tc>
      </w:tr>
      <w:tr>
        <w:tc>
          <w:tcPr>
            <w:tcW w:type="dxa" w:w="720"/>
          </w:tcPr>
          <w:p>
            <w:pPr>
              <w:jc w:val="center"/>
            </w:pPr>
            <w:r>
              <w:rPr>
                <w:sz w:val="17"/>
              </w:rPr>
              <w:t>3</w:t>
            </w:r>
          </w:p>
        </w:tc>
        <w:tc>
          <w:tcPr>
            <w:tcW w:type="dxa" w:w="3456"/>
          </w:tcPr>
          <w:p>
            <w:pPr>
              <w:jc w:val="center"/>
            </w:pPr>
            <w:r>
              <w:rPr>
                <w:sz w:val="17"/>
              </w:rPr>
              <w:t>2026-10-03 09:53:50</w:t>
            </w:r>
          </w:p>
        </w:tc>
        <w:tc>
          <w:tcPr>
            <w:tcW w:type="dxa" w:w="2160"/>
          </w:tcPr>
          <w:p>
            <w:pPr>
              <w:jc w:val="center"/>
            </w:pPr>
            <w:r>
              <w:rPr>
                <w:sz w:val="17"/>
              </w:rPr>
              <w:t>41901245</w:t>
            </w:r>
          </w:p>
        </w:tc>
        <w:tc>
          <w:tcPr>
            <w:tcW w:type="dxa" w:w="1872"/>
          </w:tcPr>
          <w:p>
            <w:pPr>
              <w:jc w:val="right"/>
            </w:pPr>
            <w:r>
              <w:rPr>
                <w:sz w:val="17"/>
              </w:rPr>
              <w:t>27</w:t>
            </w:r>
          </w:p>
        </w:tc>
        <w:tc>
          <w:tcPr>
            <w:tcW w:type="dxa" w:w="2016"/>
          </w:tcPr>
          <w:p>
            <w:pPr>
              <w:jc w:val="right"/>
            </w:pPr>
            <w:r>
              <w:rPr>
                <w:sz w:val="17"/>
              </w:rPr>
              <w:t>0.45</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2026-10-03 10:17:27</w:t>
            </w:r>
          </w:p>
        </w:tc>
        <w:tc>
          <w:tcPr>
            <w:tcW w:type="dxa" w:w="2160"/>
            <w:shd w:val="clear" w:color="auto" w:fill="F2F2F2"/>
          </w:tcPr>
          <w:p>
            <w:pPr>
              <w:jc w:val="center"/>
            </w:pPr>
            <w:r>
              <w:rPr>
                <w:sz w:val="17"/>
              </w:rPr>
              <w:t>41901245</w:t>
            </w:r>
          </w:p>
        </w:tc>
        <w:tc>
          <w:tcPr>
            <w:tcW w:type="dxa" w:w="1872"/>
            <w:shd w:val="clear" w:color="auto" w:fill="F2F2F2"/>
          </w:tcPr>
          <w:p>
            <w:pPr>
              <w:jc w:val="right"/>
            </w:pPr>
            <w:r>
              <w:rPr>
                <w:sz w:val="17"/>
              </w:rPr>
              <w:t>27</w:t>
            </w:r>
          </w:p>
        </w:tc>
        <w:tc>
          <w:tcPr>
            <w:tcW w:type="dxa" w:w="2016"/>
            <w:shd w:val="clear" w:color="auto" w:fill="F2F2F2"/>
          </w:tcPr>
          <w:p>
            <w:pPr>
              <w:jc w:val="right"/>
            </w:pPr>
            <w:r>
              <w:rPr>
                <w:sz w:val="17"/>
              </w:rPr>
              <w:t>0.45</w:t>
            </w:r>
          </w:p>
        </w:tc>
      </w:tr>
      <w:tr>
        <w:tc>
          <w:tcPr>
            <w:tcW w:type="dxa" w:w="720"/>
          </w:tcPr>
          <w:p>
            <w:pPr>
              <w:jc w:val="center"/>
            </w:pPr>
            <w:r>
              <w:rPr>
                <w:sz w:val="17"/>
              </w:rPr>
              <w:t>5</w:t>
            </w:r>
          </w:p>
        </w:tc>
        <w:tc>
          <w:tcPr>
            <w:tcW w:type="dxa" w:w="3456"/>
          </w:tcPr>
          <w:p>
            <w:pPr>
              <w:jc w:val="center"/>
            </w:pPr>
            <w:r>
              <w:rPr>
                <w:sz w:val="17"/>
              </w:rPr>
              <w:t>2026-10-03 10:53:16</w:t>
            </w:r>
          </w:p>
        </w:tc>
        <w:tc>
          <w:tcPr>
            <w:tcW w:type="dxa" w:w="2160"/>
          </w:tcPr>
          <w:p>
            <w:pPr>
              <w:jc w:val="center"/>
            </w:pPr>
            <w:r>
              <w:rPr>
                <w:sz w:val="17"/>
              </w:rPr>
              <w:t>41901245</w:t>
            </w:r>
          </w:p>
        </w:tc>
        <w:tc>
          <w:tcPr>
            <w:tcW w:type="dxa" w:w="1872"/>
          </w:tcPr>
          <w:p>
            <w:pPr>
              <w:jc w:val="right"/>
            </w:pPr>
            <w:r>
              <w:rPr>
                <w:sz w:val="17"/>
              </w:rPr>
              <w:t>27</w:t>
            </w:r>
          </w:p>
        </w:tc>
        <w:tc>
          <w:tcPr>
            <w:tcW w:type="dxa" w:w="2016"/>
          </w:tcPr>
          <w:p>
            <w:pPr>
              <w:jc w:val="right"/>
            </w:pPr>
            <w:r>
              <w:rPr>
                <w:sz w:val="17"/>
              </w:rPr>
              <w:t>0.45</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2026-10-03 09:40:11</w:t>
            </w:r>
          </w:p>
        </w:tc>
        <w:tc>
          <w:tcPr>
            <w:tcW w:type="dxa" w:w="2160"/>
            <w:shd w:val="clear" w:color="auto" w:fill="F2F2F2"/>
          </w:tcPr>
          <w:p>
            <w:pPr>
              <w:jc w:val="center"/>
            </w:pPr>
            <w:r>
              <w:rPr>
                <w:sz w:val="17"/>
              </w:rPr>
              <w:t>41901245</w:t>
            </w:r>
          </w:p>
        </w:tc>
        <w:tc>
          <w:tcPr>
            <w:tcW w:type="dxa" w:w="1872"/>
            <w:shd w:val="clear" w:color="auto" w:fill="F2F2F2"/>
          </w:tcPr>
          <w:p>
            <w:pPr>
              <w:jc w:val="right"/>
            </w:pPr>
            <w:r>
              <w:rPr>
                <w:sz w:val="17"/>
              </w:rPr>
              <w:t>26</w:t>
            </w:r>
          </w:p>
        </w:tc>
        <w:tc>
          <w:tcPr>
            <w:tcW w:type="dxa" w:w="2016"/>
            <w:shd w:val="clear" w:color="auto" w:fill="F2F2F2"/>
          </w:tcPr>
          <w:p>
            <w:pPr>
              <w:jc w:val="right"/>
            </w:pPr>
            <w:r>
              <w:rPr>
                <w:sz w:val="17"/>
              </w:rPr>
              <w:t>0.43</w:t>
            </w:r>
          </w:p>
        </w:tc>
      </w:tr>
      <w:tr>
        <w:tc>
          <w:tcPr>
            <w:tcW w:type="dxa" w:w="720"/>
          </w:tcPr>
          <w:p>
            <w:pPr>
              <w:jc w:val="center"/>
            </w:pPr>
            <w:r>
              <w:rPr>
                <w:sz w:val="17"/>
              </w:rPr>
              <w:t>7</w:t>
            </w:r>
          </w:p>
        </w:tc>
        <w:tc>
          <w:tcPr>
            <w:tcW w:type="dxa" w:w="3456"/>
          </w:tcPr>
          <w:p>
            <w:pPr>
              <w:jc w:val="center"/>
            </w:pPr>
            <w:r>
              <w:rPr>
                <w:sz w:val="17"/>
              </w:rPr>
              <w:t>2026-10-03 09:42:46</w:t>
            </w:r>
          </w:p>
        </w:tc>
        <w:tc>
          <w:tcPr>
            <w:tcW w:type="dxa" w:w="2160"/>
          </w:tcPr>
          <w:p>
            <w:pPr>
              <w:jc w:val="center"/>
            </w:pPr>
            <w:r>
              <w:rPr>
                <w:sz w:val="17"/>
              </w:rPr>
              <w:t>41901245</w:t>
            </w:r>
          </w:p>
        </w:tc>
        <w:tc>
          <w:tcPr>
            <w:tcW w:type="dxa" w:w="1872"/>
          </w:tcPr>
          <w:p>
            <w:pPr>
              <w:jc w:val="right"/>
            </w:pPr>
            <w:r>
              <w:rPr>
                <w:sz w:val="17"/>
              </w:rPr>
              <w:t>26</w:t>
            </w:r>
          </w:p>
        </w:tc>
        <w:tc>
          <w:tcPr>
            <w:tcW w:type="dxa" w:w="2016"/>
          </w:tcPr>
          <w:p>
            <w:pPr>
              <w:jc w:val="right"/>
            </w:pPr>
            <w:r>
              <w:rPr>
                <w:sz w:val="17"/>
              </w:rPr>
              <w:t>0.43</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2026-10-03 10:19:36</w:t>
            </w:r>
          </w:p>
        </w:tc>
        <w:tc>
          <w:tcPr>
            <w:tcW w:type="dxa" w:w="2160"/>
            <w:shd w:val="clear" w:color="auto" w:fill="F2F2F2"/>
          </w:tcPr>
          <w:p>
            <w:pPr>
              <w:jc w:val="center"/>
            </w:pPr>
            <w:r>
              <w:rPr>
                <w:sz w:val="17"/>
              </w:rPr>
              <w:t>41901245</w:t>
            </w:r>
          </w:p>
        </w:tc>
        <w:tc>
          <w:tcPr>
            <w:tcW w:type="dxa" w:w="1872"/>
            <w:shd w:val="clear" w:color="auto" w:fill="F2F2F2"/>
          </w:tcPr>
          <w:p>
            <w:pPr>
              <w:jc w:val="right"/>
            </w:pPr>
            <w:r>
              <w:rPr>
                <w:sz w:val="17"/>
              </w:rPr>
              <w:t>26</w:t>
            </w:r>
          </w:p>
        </w:tc>
        <w:tc>
          <w:tcPr>
            <w:tcW w:type="dxa" w:w="2016"/>
            <w:shd w:val="clear" w:color="auto" w:fill="F2F2F2"/>
          </w:tcPr>
          <w:p>
            <w:pPr>
              <w:jc w:val="right"/>
            </w:pPr>
            <w:r>
              <w:rPr>
                <w:sz w:val="17"/>
              </w:rPr>
              <w:t>0.43</w:t>
            </w:r>
          </w:p>
        </w:tc>
      </w:tr>
      <w:tr>
        <w:tc>
          <w:tcPr>
            <w:tcW w:type="dxa" w:w="720"/>
          </w:tcPr>
          <w:p>
            <w:pPr>
              <w:jc w:val="center"/>
            </w:pPr>
            <w:r>
              <w:rPr>
                <w:sz w:val="17"/>
              </w:rPr>
              <w:t>9</w:t>
            </w:r>
          </w:p>
        </w:tc>
        <w:tc>
          <w:tcPr>
            <w:tcW w:type="dxa" w:w="3456"/>
          </w:tcPr>
          <w:p>
            <w:pPr>
              <w:jc w:val="center"/>
            </w:pPr>
            <w:r>
              <w:rPr>
                <w:sz w:val="17"/>
              </w:rPr>
              <w:t>2026-10-03 10:14:23</w:t>
            </w:r>
          </w:p>
        </w:tc>
        <w:tc>
          <w:tcPr>
            <w:tcW w:type="dxa" w:w="2160"/>
          </w:tcPr>
          <w:p>
            <w:pPr>
              <w:jc w:val="center"/>
            </w:pPr>
            <w:r>
              <w:rPr>
                <w:sz w:val="17"/>
              </w:rPr>
              <w:t>41901245</w:t>
            </w:r>
          </w:p>
        </w:tc>
        <w:tc>
          <w:tcPr>
            <w:tcW w:type="dxa" w:w="1872"/>
          </w:tcPr>
          <w:p>
            <w:pPr>
              <w:jc w:val="right"/>
            </w:pPr>
            <w:r>
              <w:rPr>
                <w:sz w:val="17"/>
              </w:rPr>
              <w:t>26</w:t>
            </w:r>
          </w:p>
        </w:tc>
        <w:tc>
          <w:tcPr>
            <w:tcW w:type="dxa" w:w="2016"/>
          </w:tcPr>
          <w:p>
            <w:pPr>
              <w:jc w:val="right"/>
            </w:pPr>
            <w:r>
              <w:rPr>
                <w:sz w:val="17"/>
              </w:rPr>
              <w:t>0.43</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2026-10-03 10:46:51</w:t>
            </w:r>
          </w:p>
        </w:tc>
        <w:tc>
          <w:tcPr>
            <w:tcW w:type="dxa" w:w="2160"/>
            <w:shd w:val="clear" w:color="auto" w:fill="F2F2F2"/>
          </w:tcPr>
          <w:p>
            <w:pPr>
              <w:jc w:val="center"/>
            </w:pPr>
            <w:r>
              <w:rPr>
                <w:sz w:val="17"/>
              </w:rPr>
              <w:t>41901245</w:t>
            </w:r>
          </w:p>
        </w:tc>
        <w:tc>
          <w:tcPr>
            <w:tcW w:type="dxa" w:w="1872"/>
            <w:shd w:val="clear" w:color="auto" w:fill="F2F2F2"/>
          </w:tcPr>
          <w:p>
            <w:pPr>
              <w:jc w:val="right"/>
            </w:pPr>
            <w:r>
              <w:rPr>
                <w:sz w:val="17"/>
              </w:rPr>
              <w:t>26</w:t>
            </w:r>
          </w:p>
        </w:tc>
        <w:tc>
          <w:tcPr>
            <w:tcW w:type="dxa" w:w="2016"/>
            <w:shd w:val="clear" w:color="auto" w:fill="F2F2F2"/>
          </w:tcPr>
          <w:p>
            <w:pPr>
              <w:jc w:val="right"/>
            </w:pPr>
            <w:r>
              <w:rPr>
                <w:sz w:val="17"/>
              </w:rPr>
              <w:t>0.43</w:t>
            </w:r>
          </w:p>
        </w:tc>
      </w:tr>
    </w:tbl>
    <w:p>
      <w:pPr>
        <w:spacing w:after="240"/>
      </w:pPr>
    </w:p>
    <w:p>
      <w:r>
        <w:br w:type="page"/>
      </w:r>
    </w:p>
    <w:p>
      <w:pPr>
        <w:spacing w:before="120" w:after="80"/>
        <w:ind w:left="0" w:firstLine="0"/>
        <w:jc w:val="left"/>
      </w:pPr>
      <w:r>
        <w:rPr>
          <w:b/>
        </w:rPr>
        <w:t>4.2.6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09572076 con un total de 28 consultas, registrando mayor actividad por parte del usuario Hugo Noel Rosario Bautista (DNI: 41901245). Esta consulta intensiva y reiterada sobre un conjunto acotado de DNIs requiere la verificación inmediata de las justificaciones de negocio de las operaciones realizadas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tabla_top10_dni.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4.2.7 Mapa de Calor de Consumo (Hora × Día)</w:t>
        <w:br/>
      </w:r>
    </w:p>
    <w:p>
      <w:pPr>
        <w:spacing w:after="120"/>
        <w:jc w:val="both"/>
      </w:pPr>
      <w:r>
        <w:t>El mapa de calor muestra puntos calientes de alta densidad fuera de la jornada de oficina tradicional. La casilla con el mayor consumo concentrado ocurrió los días sábado a las 10:00 horas con 1,086 consultas. El 49.3% del consumo se distribuye en bloques nocturnos y/o fines de semana, lo que confirma que la actividad está guiada por scripts desatendidos programados fuera del horario laboral (ver imagen 6).</w:t>
      </w:r>
    </w:p>
    <w:p>
      <w:pPr>
        <w:jc w:val="center"/>
      </w:pPr>
      <w:r>
        <w:drawing>
          <wp:inline xmlns:a="http://schemas.openxmlformats.org/drawingml/2006/main" xmlns:pic="http://schemas.openxmlformats.org/drawingml/2006/picture">
            <wp:extent cx="5220000" cy="4176000"/>
            <wp:docPr id="1266372530" name="Picture 1266372530"/>
            <wp:cNvGraphicFramePr>
              <a:graphicFrameLocks noChangeAspect="1"/>
            </wp:cNvGraphicFramePr>
            <a:graphic>
              <a:graphicData uri="http://schemas.openxmlformats.org/drawingml/2006/picture">
                <pic:pic>
                  <pic:nvPicPr>
                    <pic:cNvPr id="0" name="heatmap_hora_dia.png"/>
                    <pic:cNvPicPr/>
                  </pic:nvPicPr>
                  <pic:blipFill>
                    <a:blip r:embed="rId18"/>
                    <a:stretch>
                      <a:fillRect/>
                    </a:stretch>
                  </pic:blipFill>
                  <pic:spPr>
                    <a:xfrm>
                      <a:off x="0" y="0"/>
                      <a:ext cx="5220000" cy="4176000"/>
                    </a:xfrm>
                    <a:prstGeom prst="rect"/>
                  </pic:spPr>
                </pic:pic>
              </a:graphicData>
            </a:graphic>
          </wp:inline>
        </w:drawing>
      </w:r>
    </w:p>
    <w:p>
      <w:pPr>
        <w:spacing w:after="240"/>
        <w:jc w:val="center"/>
      </w:pPr>
      <w:r>
        <w:t>(Imagen 6)</w:t>
      </w:r>
    </w:p>
    <w:p/>
    <w:p>
      <w:pPr>
        <w:ind w:left="0" w:firstLine="0"/>
        <w:jc w:val="left"/>
      </w:pPr>
      <w:r>
        <w:rPr>
          <w:b/>
        </w:rPr>
        <w:t>4.3. Conclusiones:</w:t>
        <w:br/>
      </w:r>
    </w:p>
    <w:p>
      <w:pPr>
        <w:spacing w:after="120"/>
        <w:jc w:val="both"/>
      </w:pPr>
      <w:r>
        <w:t>Evidencia de Automatización: La detección de 223 ráfagas masivas y un pico máximo de 29 consultas en 60 segundos (0.5 consultas/segundo) presume técnicamente el uso de software de consulta automatizado o scripts sin restricción de tasa de peticiones.</w:t>
      </w:r>
    </w:p>
    <w:p>
      <w:pPr>
        <w:spacing w:after="120"/>
        <w:jc w:val="both"/>
      </w:pPr>
      <w:r>
        <w:t>Concentración Extrema del Consumo: Más de 8,352 consultas (más del 100.0% del total institucional de 8,352 filas) fueron ejecutadas por la cuenta de usuario (Hugo Noel Rosario Bautista (DNI: 41901245)), situando en ella(s) la prioridad del control interno.</w:t>
      </w:r>
    </w:p>
    <w:p>
      <w:pPr>
        <w:spacing w:after="120"/>
        <w:jc w:val="both"/>
      </w:pPr>
      <w:r>
        <w:t>Reincidencia Anómala en Documentos de Identidad: La consulta de un mismo DNI hasta 28 veces en el mes (DNI 09572076) sugiere la filtración, monitoreo continuo o fallas en el software de integración cliente de INSTITUTO NACIONAL PENITENCIARIO,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Hugo Noel Rosario Bautista (DNI: 41901245), en los sistemas de autenticación de RENIEC. Paralelamente, se formalizará una exigencia de descargos a INSTITUTO NACIONAL PENITENCIARIO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