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ORGANISMO DE FORMALIZACION DE LA PROPIEDAD INFORMAL - COFOPRI</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20306484479</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65 usuarios</w:t>
      </w:r>
    </w:p>
    <w:p w14:paraId="71E1563C" w14:textId="1FB4930C" w:rsidR="004E4A9C" w:rsidRDefault="00597396" w:rsidP="001B48CE">
      <w:pPr>
        <w:pStyle w:val="Prrafodelista"/>
        <w:numPr>
          <w:ilvl w:val="0"/>
          <w:numId w:val="19"/>
        </w:numPr>
        <w:rPr>
          <w:rFonts w:ascii="Arial" w:hAnsi="Arial" w:cs="Arial"/>
          <w:sz w:val="22"/>
          <w:szCs w:val="22"/>
        </w:rPr>
      </w:pPr>
      <w:r>
        <w:t>Ojeda Miñano Abel Oscar (DNI: 41651124)</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19-10-2026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19-10-2026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Ojeda Miñano Abel Oscar (DNI: 41651124)</w:t>
            </w:r>
          </w:p>
        </w:tc>
        <w:tc>
          <w:tcPr>
            <w:tcW w:w="1937" w:type="dxa"/>
            <w:vAlign w:val="center"/>
            <w:shd w:val="clear" w:color="auto" w:fill="F2F2F2"/>
          </w:tcPr>
          <w:p>
            <w:r>
              <w:t>Volumen diario Promedio (VNP)</w:t>
            </w:r>
          </w:p>
        </w:tc>
        <w:tc>
          <w:tcPr>
            <w:tcW w:w="2129" w:type="dxa"/>
            <w:vAlign w:val="center"/>
          </w:tcPr>
          <w:p>
            <w:r>
              <w:t>252.4</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732</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190.0 %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Octubre 2026)</w:t>
        <w:br/>
      </w:r>
    </w:p>
    <w:p>
      <w:pPr>
        <w:ind w:left="0" w:firstLine="0"/>
        <w:jc w:val="left"/>
      </w:pPr>
      <w:r>
        <w:t>Usuario: Ojeda Miñano Abel Oscar (DNI: 41651124)</w:t>
        <w:br/>
      </w:r>
    </w:p>
    <w:p>
      <w:pPr>
        <w:spacing w:after="120"/>
        <w:jc w:val="both"/>
      </w:pPr>
      <w:r>
        <w:t>En el caso particular de la entidad analizada, el volumen diario de consultas se mantuvo en niveles bajos hasta registrar picos históricos en los últimos meses que bordean los 732 consultas, teniendo el día 09/10/2026 un pico de 732 consultas. Este volumen representa un incremento porcentual (IP%) de 190.0 % sobre su promedio diario registrado de 252.4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la actividad se concentra principalmente dentro del horario laboral regular (08:00 a 18:00 h), acumulando el 71.4% del total de consultas. El pico máximo se registra a las 12:00 horas con 417 consultas (12.9% del volumen del gráfico). Esta concentración en horas de oficina sugiere un uso intensivo mediante procesos masivos o consultas en ráfagas integradas a la operación diaria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93.7% del volumen total (3,039 consultas). El volumen máximo semanal se registró el día viernes con 997 consultas (representando el 30.7% del total semanal). Asimismo, se observa una actividad sostenida en fines de semana de 204 consultas (99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Frecuencia de Ráfagas por Hora del Día</w:t>
        <w:br/>
      </w:r>
    </w:p>
    <w:p>
      <w:pPr>
        <w:spacing w:after="120"/>
        <w:jc w:val="both"/>
      </w:pPr>
      <w:r>
        <w:t>Se detectaron un total de 5 eventos de ráfagas masivas en ventanas de 60 segundos. La ráfaga más intensa alcanzó un pico de 13 consultas en un minuto el día 09/10/2026 a las 06:06:52 por el usuario 41651124, lo que representa una velocidad inaccesible para un operador manual y confirma una ejecución automatizada por software (ver imagen 4).</w:t>
      </w:r>
    </w:p>
    <w:p>
      <w:pPr>
        <w:jc w:val="center"/>
      </w:pPr>
      <w:r>
        <w:drawing>
          <wp:inline xmlns:a="http://schemas.openxmlformats.org/drawingml/2006/main" xmlns:pic="http://schemas.openxmlformats.org/drawingml/2006/picture">
            <wp:extent cx="5220000" cy="1864286"/>
            <wp:docPr id="1266372528" name="Picture 1266372528"/>
            <wp:cNvGraphicFramePr>
              <a:graphicFrameLocks noChangeAspect="1"/>
            </wp:cNvGraphicFramePr>
            <a:graphic>
              <a:graphicData uri="http://schemas.openxmlformats.org/drawingml/2006/picture">
                <pic:pic>
                  <pic:nvPicPr>
                    <pic:cNvPr id="0" name="rafagas_por_hora.png"/>
                    <pic:cNvPicPr/>
                  </pic:nvPicPr>
                  <pic:blipFill>
                    <a:blip r:embed="rId16"/>
                    <a:stretch>
                      <a:fillRect/>
                    </a:stretch>
                  </pic:blipFill>
                  <pic:spPr>
                    <a:xfrm>
                      <a:off x="0" y="0"/>
                      <a:ext cx="5220000" cy="1864286"/>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Top 10 Ráfagas de Mayor Intensidad en 60 Segundos</w:t>
        <w:br/>
      </w:r>
    </w:p>
    <w:p>
      <w:pPr>
        <w:spacing w:after="120"/>
        <w:jc w:val="both"/>
      </w:pPr>
      <w:r>
        <w:t>El desglose de eventos por ráfaga revela un total de 5 intervalos con concentración inusual de consultas en ventanas de 60 segundos. El pico de mayor intensidad registró 13 consultas (0.22 consultas/segundo) el día 09/10/2026 a las 06:06:52 por el usuario con DNI 41651124. Esta concentración de solicitudes consecutivas en periodos de un minuto refleja la automatización de procesos de consulta en lote (ver tabla a continuación).</w:t>
      </w:r>
    </w:p>
    <w:p>
      <w:pPr>
        <w:spacing w:before="160" w:after="80"/>
        <w:ind w:left="0" w:firstLine="0"/>
        <w:jc w:val="left"/>
      </w:pPr>
      <w:r>
        <w:rPr>
          <w:b/>
        </w:rPr>
        <w:t>Tabla: Top 5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2026-10-09 06:06:52</w:t>
            </w:r>
          </w:p>
        </w:tc>
        <w:tc>
          <w:tcPr>
            <w:tcW w:type="dxa" w:w="2160"/>
          </w:tcPr>
          <w:p>
            <w:pPr>
              <w:jc w:val="center"/>
            </w:pPr>
            <w:r>
              <w:rPr>
                <w:sz w:val="17"/>
              </w:rPr>
              <w:t>41651124</w:t>
            </w:r>
          </w:p>
        </w:tc>
        <w:tc>
          <w:tcPr>
            <w:tcW w:type="dxa" w:w="1872"/>
          </w:tcPr>
          <w:p>
            <w:pPr>
              <w:jc w:val="right"/>
            </w:pPr>
            <w:r>
              <w:rPr>
                <w:sz w:val="17"/>
              </w:rPr>
              <w:t>13</w:t>
            </w:r>
          </w:p>
        </w:tc>
        <w:tc>
          <w:tcPr>
            <w:tcW w:type="dxa" w:w="2016"/>
          </w:tcPr>
          <w:p>
            <w:pPr>
              <w:jc w:val="right"/>
            </w:pPr>
            <w:r>
              <w:rPr>
                <w:sz w:val="17"/>
              </w:rPr>
              <w:t>0.22</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2026-10-09 07:35:53</w:t>
            </w:r>
          </w:p>
        </w:tc>
        <w:tc>
          <w:tcPr>
            <w:tcW w:type="dxa" w:w="2160"/>
            <w:shd w:val="clear" w:color="auto" w:fill="F2F2F2"/>
          </w:tcPr>
          <w:p>
            <w:pPr>
              <w:jc w:val="center"/>
            </w:pPr>
            <w:r>
              <w:rPr>
                <w:sz w:val="17"/>
              </w:rPr>
              <w:t>41651124</w:t>
            </w:r>
          </w:p>
        </w:tc>
        <w:tc>
          <w:tcPr>
            <w:tcW w:type="dxa" w:w="1872"/>
            <w:shd w:val="clear" w:color="auto" w:fill="F2F2F2"/>
          </w:tcPr>
          <w:p>
            <w:pPr>
              <w:jc w:val="right"/>
            </w:pPr>
            <w:r>
              <w:rPr>
                <w:sz w:val="17"/>
              </w:rPr>
              <w:t>13</w:t>
            </w:r>
          </w:p>
        </w:tc>
        <w:tc>
          <w:tcPr>
            <w:tcW w:type="dxa" w:w="2016"/>
            <w:shd w:val="clear" w:color="auto" w:fill="F2F2F2"/>
          </w:tcPr>
          <w:p>
            <w:pPr>
              <w:jc w:val="right"/>
            </w:pPr>
            <w:r>
              <w:rPr>
                <w:sz w:val="17"/>
              </w:rPr>
              <w:t>0.22</w:t>
            </w:r>
          </w:p>
        </w:tc>
      </w:tr>
      <w:tr>
        <w:tc>
          <w:tcPr>
            <w:tcW w:type="dxa" w:w="720"/>
          </w:tcPr>
          <w:p>
            <w:pPr>
              <w:jc w:val="center"/>
            </w:pPr>
            <w:r>
              <w:rPr>
                <w:sz w:val="17"/>
              </w:rPr>
              <w:t>3</w:t>
            </w:r>
          </w:p>
        </w:tc>
        <w:tc>
          <w:tcPr>
            <w:tcW w:type="dxa" w:w="3456"/>
          </w:tcPr>
          <w:p>
            <w:pPr>
              <w:jc w:val="center"/>
            </w:pPr>
            <w:r>
              <w:rPr>
                <w:sz w:val="17"/>
              </w:rPr>
              <w:t>2026-10-09 06:10:56</w:t>
            </w:r>
          </w:p>
        </w:tc>
        <w:tc>
          <w:tcPr>
            <w:tcW w:type="dxa" w:w="2160"/>
          </w:tcPr>
          <w:p>
            <w:pPr>
              <w:jc w:val="center"/>
            </w:pPr>
            <w:r>
              <w:rPr>
                <w:sz w:val="17"/>
              </w:rPr>
              <w:t>41651124</w:t>
            </w:r>
          </w:p>
        </w:tc>
        <w:tc>
          <w:tcPr>
            <w:tcW w:type="dxa" w:w="1872"/>
          </w:tcPr>
          <w:p>
            <w:pPr>
              <w:jc w:val="right"/>
            </w:pPr>
            <w:r>
              <w:rPr>
                <w:sz w:val="17"/>
              </w:rPr>
              <w:t>13</w:t>
            </w:r>
          </w:p>
        </w:tc>
        <w:tc>
          <w:tcPr>
            <w:tcW w:type="dxa" w:w="2016"/>
          </w:tcPr>
          <w:p>
            <w:pPr>
              <w:jc w:val="right"/>
            </w:pPr>
            <w:r>
              <w:rPr>
                <w:sz w:val="17"/>
              </w:rPr>
              <w:t>0.22</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2026-10-02 15:36:00</w:t>
            </w:r>
          </w:p>
        </w:tc>
        <w:tc>
          <w:tcPr>
            <w:tcW w:type="dxa" w:w="2160"/>
            <w:shd w:val="clear" w:color="auto" w:fill="F2F2F2"/>
          </w:tcPr>
          <w:p>
            <w:pPr>
              <w:jc w:val="center"/>
            </w:pPr>
            <w:r>
              <w:rPr>
                <w:sz w:val="17"/>
              </w:rPr>
              <w:t>41651124</w:t>
            </w:r>
          </w:p>
        </w:tc>
        <w:tc>
          <w:tcPr>
            <w:tcW w:type="dxa" w:w="1872"/>
            <w:shd w:val="clear" w:color="auto" w:fill="F2F2F2"/>
          </w:tcPr>
          <w:p>
            <w:pPr>
              <w:jc w:val="right"/>
            </w:pPr>
            <w:r>
              <w:rPr>
                <w:sz w:val="17"/>
              </w:rPr>
              <w:t>12</w:t>
            </w:r>
          </w:p>
        </w:tc>
        <w:tc>
          <w:tcPr>
            <w:tcW w:type="dxa" w:w="2016"/>
            <w:shd w:val="clear" w:color="auto" w:fill="F2F2F2"/>
          </w:tcPr>
          <w:p>
            <w:pPr>
              <w:jc w:val="right"/>
            </w:pPr>
            <w:r>
              <w:rPr>
                <w:sz w:val="17"/>
              </w:rPr>
              <w:t>0.20</w:t>
            </w:r>
          </w:p>
        </w:tc>
      </w:tr>
      <w:tr>
        <w:tc>
          <w:tcPr>
            <w:tcW w:type="dxa" w:w="720"/>
          </w:tcPr>
          <w:p>
            <w:pPr>
              <w:jc w:val="center"/>
            </w:pPr>
            <w:r>
              <w:rPr>
                <w:sz w:val="17"/>
              </w:rPr>
              <w:t>5</w:t>
            </w:r>
          </w:p>
        </w:tc>
        <w:tc>
          <w:tcPr>
            <w:tcW w:type="dxa" w:w="3456"/>
          </w:tcPr>
          <w:p>
            <w:pPr>
              <w:jc w:val="center"/>
            </w:pPr>
            <w:r>
              <w:rPr>
                <w:sz w:val="17"/>
              </w:rPr>
              <w:t>2026-10-02 15:35:59</w:t>
            </w:r>
          </w:p>
        </w:tc>
        <w:tc>
          <w:tcPr>
            <w:tcW w:type="dxa" w:w="2160"/>
          </w:tcPr>
          <w:p>
            <w:pPr>
              <w:jc w:val="center"/>
            </w:pPr>
            <w:r>
              <w:rPr>
                <w:sz w:val="17"/>
              </w:rPr>
              <w:t>41651124</w:t>
            </w:r>
          </w:p>
        </w:tc>
        <w:tc>
          <w:tcPr>
            <w:tcW w:type="dxa" w:w="1872"/>
          </w:tcPr>
          <w:p>
            <w:pPr>
              <w:jc w:val="right"/>
            </w:pPr>
            <w:r>
              <w:rPr>
                <w:sz w:val="17"/>
              </w:rPr>
              <w:t>11</w:t>
            </w:r>
          </w:p>
        </w:tc>
        <w:tc>
          <w:tcPr>
            <w:tcW w:type="dxa" w:w="2016"/>
          </w:tcPr>
          <w:p>
            <w:pPr>
              <w:jc w:val="right"/>
            </w:pPr>
            <w:r>
              <w:rPr>
                <w:sz w:val="17"/>
              </w:rPr>
              <w:t>0.18</w:t>
            </w:r>
          </w:p>
        </w:tc>
      </w:tr>
    </w:tbl>
    <w:p>
      <w:pPr>
        <w:spacing w:after="240"/>
      </w:pPr>
    </w:p>
    <w:p>
      <w:r>
        <w:br w:type="page"/>
      </w:r>
    </w:p>
    <w:p>
      <w:pPr>
        <w:spacing w:before="120" w:after="80"/>
        <w:ind w:left="0" w:firstLine="0"/>
        <w:jc w:val="left"/>
      </w:pPr>
      <w:r>
        <w:rPr>
          <w:b/>
        </w:rPr>
        <w:t>4.2.6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18216367 con un total de 6 consultas, registrando mayor actividad por parte del usuario Ojeda Miñano Abel Oscar (DNI: 41651124). Esta consulta intensiva y reiterada sobre un conjunto acotado de DNIs requiere la verificación inmediata de las justificaciones de negocio de las operaciones realizadas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tabla_top10_dni.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4.2.7 Mapa de Calor de Consumo (Hora × Día)</w:t>
        <w:br/>
      </w:r>
    </w:p>
    <w:p>
      <w:pPr>
        <w:spacing w:after="120"/>
        <w:jc w:val="both"/>
      </w:pPr>
      <w:r>
        <w:t>El mapa de calor de intensidad de consultas (Hora × Día) revela una concentración crítica focalizada en la jornada laboral de días hábiles. El bloque de mayor intensidad operativa se registró los días viernes a las 15:00 horas, alcanzando un pico de 128 consultas en esa casilla temporal (3.9% del volumen total). El 70.4% de la densidad calórica coincide con el horario de oficina (08:00 a 18:00 h), lo que demuestra un patrón de uso intensivo o ráfagas masivas integradas a la operación diaria (ver imagen 6).</w:t>
      </w:r>
    </w:p>
    <w:p>
      <w:pPr>
        <w:jc w:val="center"/>
      </w:pPr>
      <w:r>
        <w:drawing>
          <wp:inline xmlns:a="http://schemas.openxmlformats.org/drawingml/2006/main" xmlns:pic="http://schemas.openxmlformats.org/drawingml/2006/picture">
            <wp:extent cx="5220000" cy="4176000"/>
            <wp:docPr id="1266372530" name="Picture 1266372530"/>
            <wp:cNvGraphicFramePr>
              <a:graphicFrameLocks noChangeAspect="1"/>
            </wp:cNvGraphicFramePr>
            <a:graphic>
              <a:graphicData uri="http://schemas.openxmlformats.org/drawingml/2006/picture">
                <pic:pic>
                  <pic:nvPicPr>
                    <pic:cNvPr id="0" name="heatmap_hora_dia.png"/>
                    <pic:cNvPicPr/>
                  </pic:nvPicPr>
                  <pic:blipFill>
                    <a:blip r:embed="rId18"/>
                    <a:stretch>
                      <a:fillRect/>
                    </a:stretch>
                  </pic:blipFill>
                  <pic:spPr>
                    <a:xfrm>
                      <a:off x="0" y="0"/>
                      <a:ext cx="5220000" cy="4176000"/>
                    </a:xfrm>
                    <a:prstGeom prst="rect"/>
                  </pic:spPr>
                </pic:pic>
              </a:graphicData>
            </a:graphic>
          </wp:inline>
        </w:drawing>
      </w:r>
    </w:p>
    <w:p>
      <w:pPr>
        <w:spacing w:after="240"/>
        <w:jc w:val="center"/>
      </w:pPr>
      <w:r>
        <w:t>(Imagen 6)</w:t>
      </w:r>
    </w:p>
    <w:p/>
    <w:p>
      <w:pPr>
        <w:ind w:left="0" w:firstLine="0"/>
        <w:jc w:val="left"/>
      </w:pPr>
      <w:r>
        <w:rPr>
          <w:b/>
        </w:rPr>
        <w:t>4.3. Conclusiones:</w:t>
        <w:br/>
      </w:r>
    </w:p>
    <w:p>
      <w:pPr>
        <w:spacing w:after="120"/>
        <w:jc w:val="both"/>
      </w:pPr>
      <w:r>
        <w:t>Evidencia de Automatización: La detección de 5 ráfagas masivas y un pico máximo de 13 consultas en 60 segundos (0.2 consultas/segundo) presume técnicamente el uso de software de consulta automatizado o scripts sin restricción de tasa de peticiones.</w:t>
      </w:r>
    </w:p>
    <w:p>
      <w:pPr>
        <w:spacing w:after="120"/>
        <w:jc w:val="both"/>
      </w:pPr>
      <w:r>
        <w:t>Concentración Extrema del Consumo: Más de 3,243 consultas (más del 100.0% del total institucional de 3,243 filas) fueron ejecutadas por la cuenta de usuario (Ojeda Miñano Abel Oscar (DNI: 41651124)), situando en ella(s) la prioridad del control interno.</w:t>
      </w:r>
    </w:p>
    <w:p>
      <w:pPr>
        <w:spacing w:after="120"/>
        <w:jc w:val="both"/>
      </w:pPr>
      <w:r>
        <w:t>Reincidencia Anómala en Documentos de Identidad: La consulta de un mismo DNI hasta 6 veces en el mes (DNI 18216367) sugiere la filtración, monitoreo continuo o fallas en el software de integración cliente de ORGANISMO DE FORMALIZACION DE LA PROPIEDAD INFORMAL - COFOPRI,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Ojeda Miñano Abel Oscar (DNI: 41651124), en los sistemas de autenticación de RENIEC. Paralelamente, se formalizará una exigencia de descargos a ORGANISMO DE FORMALIZACION DE LA PROPIEDAD INFORMAL - COFOPRI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