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SUPERINTENDENCIA DE BANCA SEGUROS Y AFP</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20131370564</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r>
        <w:t>Cantidad de usuarios del Servicio: 272 usuarios</w:t>
      </w:r>
    </w:p>
    <w:p w14:paraId="71E1563C" w14:textId="1FB4930C" w:rsidR="004E4A9C" w:rsidRDefault="00597396" w:rsidP="001B48CE">
      <w:pPr>
        <w:pStyle w:val="Prrafodelista"/>
        <w:numPr>
          <w:ilvl w:val="0"/>
          <w:numId w:val="19"/>
        </w:numPr>
        <w:rPr>
          <w:rFonts w:ascii="Arial" w:hAnsi="Arial" w:cs="Arial"/>
          <w:sz w:val="22"/>
          <w:szCs w:val="22"/>
        </w:rPr>
      </w:pPr>
      <w:r>
        <w:t>Miguel Rivera Melgar (DNI: 29721406)</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02-10-2026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02-10-2026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Septiembre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septiembre,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CONSULTAS EN LINEA VIA LINEA DEDICADA</w:t>
            </w:r>
          </w:p>
        </w:tc>
        <w:tc>
          <w:tcPr>
            <w:tcW w:w="1937" w:type="dxa"/>
            <w:vMerge w:val="restart"/>
            <w:vAlign w:val="center"/>
          </w:tcPr>
          <w:p>
            <w:r>
              <w:t>Miguel Rivera Melgar (DNI: 29721406) / Juan Alejandro Diaz Romero (DNI: 20118850)</w:t>
            </w:r>
          </w:p>
        </w:tc>
        <w:tc>
          <w:tcPr>
            <w:tcW w:w="1937" w:type="dxa"/>
            <w:vAlign w:val="center"/>
            <w:shd w:val="clear" w:color="auto" w:fill="F2F2F2"/>
          </w:tcPr>
          <w:p>
            <w:r>
              <w:t>Volumen diario Promedio (VNP)</w:t>
            </w:r>
          </w:p>
        </w:tc>
        <w:tc>
          <w:tcPr>
            <w:tcW w:w="2129" w:type="dxa"/>
            <w:vAlign w:val="center"/>
          </w:tcPr>
          <w:p>
            <w:r>
              <w:t>5908.0</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15,664</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165.1 %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Septiembre 2026)</w:t>
        <w:br/>
      </w:r>
    </w:p>
    <w:p>
      <w:pPr>
        <w:ind w:left="0" w:firstLine="0"/>
        <w:jc w:val="left"/>
      </w:pPr>
      <w:r>
        <w:t>Usuario: Juan Alejandro Diaz Romero (DNI: 20118850)</w:t>
        <w:br/>
      </w:r>
    </w:p>
    <w:p>
      <w:pPr>
        <w:spacing w:after="120"/>
        <w:jc w:val="both"/>
      </w:pPr>
      <w:r>
        <w:t>En el caso particular de la entidad analizada, el volumen diario de consultas se mantuvo en niveles bajos hasta registrar picos históricos en los últimos meses que bordean los 15,664 consultas, teniendo el día 14/09/2026 un pico de 15,664 consultas. Este volumen representa un incremento porcentual (IP%) de 165.1 % sobre su promedio diario registrado de 5908.0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423571"/>
            <wp:docPr id="1266372525" name="Picture 1266372525"/>
            <wp:cNvGraphicFramePr>
              <a:graphicFrameLocks noChangeAspect="1"/>
            </wp:cNvGraphicFramePr>
            <a:graphic>
              <a:graphicData uri="http://schemas.openxmlformats.org/drawingml/2006/picture">
                <pic:pic>
                  <pic:nvPicPr>
                    <pic:cNvPr id="0" name="consumo_diario.png"/>
                    <pic:cNvPicPr/>
                  </pic:nvPicPr>
                  <pic:blipFill>
                    <a:blip r:embed="rId13"/>
                    <a:stretch>
                      <a:fillRect/>
                    </a:stretch>
                  </pic:blipFill>
                  <pic:spPr>
                    <a:xfrm>
                      <a:off x="0" y="0"/>
                      <a:ext cx="5220000" cy="2423571"/>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se identifica una concentración atípica fuera del horario operativo tradicional. El 35.6% de las consultas se realizó entre las 18:00 y las 07:59 h (incluyendo un 6.6% en la madrugada). El pico máximo de consultas se registra a las 16:00 horas, acumulando 15,539 consultas. Este patrón fuera de horas de oficina sugiere la ejecución de scripts o tareas de fondo programadas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Al analizar la distribución por día de la semana, el consumo se concentra principalmente en días laborables (lunes a viernes), acumulando el 88.9% del volumen total (151,020 consultas). El volumen máximo semanal se registró el día martes con 38,379 consultas (representando el 22.6% del total semanal). Asimismo, se observa una actividad sostenida en fines de semana de 18,848 consultas (9,089 el domingo), evidenciando que el uso principal ocurre en días hábiles con alta carga en días centrales de la semana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Distribución por Usuario/Código</w:t>
        <w:br/>
      </w:r>
    </w:p>
    <w:p>
      <w:pPr>
        <w:spacing w:after="120"/>
        <w:jc w:val="both"/>
      </w:pPr>
      <w:r>
        <w:t>La actividad global de la entidad muestra una distribución donde dos cuentas concentran la mayor carga de uso: el usuario Miguel Rivera Melgar (DNI: 29721406) ejecutó 106,352 consultas (62.61% del total), seguido por Juan Alejandro Diaz Romero (DNI: 20118850) con 20,457 consultas. Esta concentración exige una auditoría directa a los perfiles y atribuciones de negocio de ambos operadores. (ver imagen 4).</w:t>
      </w:r>
    </w:p>
    <w:p>
      <w:pPr>
        <w:jc w:val="center"/>
      </w:pPr>
      <w:r>
        <w:drawing>
          <wp:inline xmlns:a="http://schemas.openxmlformats.org/drawingml/2006/main" xmlns:pic="http://schemas.openxmlformats.org/drawingml/2006/picture">
            <wp:extent cx="5220000" cy="4176000"/>
            <wp:docPr id="1266372528" name="Picture 1266372528"/>
            <wp:cNvGraphicFramePr>
              <a:graphicFrameLocks noChangeAspect="1"/>
            </wp:cNvGraphicFramePr>
            <a:graphic>
              <a:graphicData uri="http://schemas.openxmlformats.org/drawingml/2006/picture">
                <pic:pic>
                  <pic:nvPicPr>
                    <pic:cNvPr id="0" name="distribucion_usuario.png"/>
                    <pic:cNvPicPr/>
                  </pic:nvPicPr>
                  <pic:blipFill>
                    <a:blip r:embed="rId16"/>
                    <a:stretch>
                      <a:fillRect/>
                    </a:stretch>
                  </pic:blipFill>
                  <pic:spPr>
                    <a:xfrm>
                      <a:off x="0" y="0"/>
                      <a:ext cx="5220000" cy="4176000"/>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Frecuencia de Ráfagas por Hora del Día</w:t>
        <w:br/>
      </w:r>
    </w:p>
    <w:p>
      <w:pPr>
        <w:spacing w:after="120"/>
        <w:jc w:val="both"/>
      </w:pPr>
      <w:r>
        <w:t>Se detectaron un total de 3,433 eventos de ráfagas masivas en ventanas de 60 segundos. La ráfaga más intensa alcanzó un pico de 310 consultas en un minuto el día 14/09/2026 a las 23:52:04 por el usuario 18136513, lo que representa una velocidad inaccesible para un operador manual y confirma una ejecución automatizada por software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rafagas_por_hora.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4.2.6 Top 10 Ráfagas de Mayor Intensidad en 60 Segundos</w:t>
        <w:br/>
      </w:r>
    </w:p>
    <w:p>
      <w:pPr>
        <w:spacing w:after="120"/>
        <w:jc w:val="both"/>
      </w:pPr>
      <w:r>
        <w:t>En el análisis detallado de velocidad de respuesta, se identificaron 3,433 ráfagas inusuales en ventanas de 60 segundos. La ráfaga de mayor intensidad alcanzó un consumo masivo de 310 consultas en solo un minuto (5.17 consultas/segundo), registrada el día 14/09/2026 a las 23:52:04 por el usuario con DNI 18136513. Esta velocidad de procesamiento supera la capacidad de interacción humana regular, confirmando técnicamente el uso de herramientas o scripts automatizados de consulta (ver tabla a continuación).</w:t>
      </w:r>
    </w:p>
    <w:p>
      <w:pPr>
        <w:spacing w:before="160" w:after="80"/>
        <w:ind w:left="0" w:firstLine="0"/>
        <w:jc w:val="left"/>
      </w:pPr>
      <w:r>
        <w:rPr>
          <w:b/>
        </w:rPr>
        <w:t>Tabla: Top 10 Ráfagas de Mayor Intensidad en 60 Segundos</w:t>
      </w:r>
    </w:p>
    <w:tbl>
      <w:tblPr>
        <w:tblStyle w:val="Tablaconcuadrcula"/>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20"/>
            <w:shd w:val="clear" w:color="auto" w:fill="1F497D"/>
          </w:tcPr>
          <w:p>
            <w:pPr>
              <w:jc w:val="center"/>
            </w:pPr>
            <w:r>
              <w:rPr>
                <w:b/>
                <w:color w:val="FFFFFF"/>
                <w:sz w:val="18"/>
              </w:rPr>
              <w:t>N°</w:t>
            </w:r>
          </w:p>
        </w:tc>
        <w:tc>
          <w:tcPr>
            <w:tcW w:type="dxa" w:w="3456"/>
            <w:shd w:val="clear" w:color="auto" w:fill="1F497D"/>
          </w:tcPr>
          <w:p>
            <w:pPr>
              <w:jc w:val="center"/>
            </w:pPr>
            <w:r>
              <w:rPr>
                <w:b/>
                <w:color w:val="FFFFFF"/>
                <w:sz w:val="18"/>
              </w:rPr>
              <w:t>Fecha y Hora (Inicio Ventana)</w:t>
            </w:r>
          </w:p>
        </w:tc>
        <w:tc>
          <w:tcPr>
            <w:tcW w:type="dxa" w:w="2160"/>
            <w:shd w:val="clear" w:color="auto" w:fill="1F497D"/>
          </w:tcPr>
          <w:p>
            <w:pPr>
              <w:jc w:val="center"/>
            </w:pPr>
            <w:r>
              <w:rPr>
                <w:b/>
                <w:color w:val="FFFFFF"/>
                <w:sz w:val="18"/>
              </w:rPr>
              <w:t>DNI / Código</w:t>
            </w:r>
          </w:p>
        </w:tc>
        <w:tc>
          <w:tcPr>
            <w:tcW w:type="dxa" w:w="1872"/>
            <w:shd w:val="clear" w:color="auto" w:fill="1F497D"/>
          </w:tcPr>
          <w:p>
            <w:pPr>
              <w:jc w:val="center"/>
            </w:pPr>
            <w:r>
              <w:rPr>
                <w:b/>
                <w:color w:val="FFFFFF"/>
                <w:sz w:val="18"/>
              </w:rPr>
              <w:t>Consultas en 60s</w:t>
            </w:r>
          </w:p>
        </w:tc>
        <w:tc>
          <w:tcPr>
            <w:tcW w:type="dxa" w:w="2016"/>
            <w:shd w:val="clear" w:color="auto" w:fill="1F497D"/>
          </w:tcPr>
          <w:p>
            <w:pPr>
              <w:jc w:val="center"/>
            </w:pPr>
            <w:r>
              <w:rPr>
                <w:b/>
                <w:color w:val="FFFFFF"/>
                <w:sz w:val="18"/>
              </w:rPr>
              <w:t>Velocidad (cons/seg)</w:t>
            </w:r>
          </w:p>
        </w:tc>
      </w:tr>
      <w:tr>
        <w:tc>
          <w:tcPr>
            <w:tcW w:type="dxa" w:w="720"/>
          </w:tcPr>
          <w:p>
            <w:pPr>
              <w:jc w:val="center"/>
            </w:pPr>
            <w:r>
              <w:rPr>
                <w:sz w:val="17"/>
              </w:rPr>
              <w:t>1</w:t>
            </w:r>
          </w:p>
        </w:tc>
        <w:tc>
          <w:tcPr>
            <w:tcW w:type="dxa" w:w="3456"/>
          </w:tcPr>
          <w:p>
            <w:pPr>
              <w:jc w:val="center"/>
            </w:pPr>
            <w:r>
              <w:rPr>
                <w:sz w:val="17"/>
              </w:rPr>
              <w:t>2026-09-14 23:52:04</w:t>
            </w:r>
          </w:p>
        </w:tc>
        <w:tc>
          <w:tcPr>
            <w:tcW w:type="dxa" w:w="2160"/>
          </w:tcPr>
          <w:p>
            <w:pPr>
              <w:jc w:val="center"/>
            </w:pPr>
            <w:r>
              <w:rPr>
                <w:sz w:val="17"/>
              </w:rPr>
              <w:t>18136513</w:t>
            </w:r>
          </w:p>
        </w:tc>
        <w:tc>
          <w:tcPr>
            <w:tcW w:type="dxa" w:w="1872"/>
          </w:tcPr>
          <w:p>
            <w:pPr>
              <w:jc w:val="right"/>
            </w:pPr>
            <w:r>
              <w:rPr>
                <w:sz w:val="17"/>
              </w:rPr>
              <w:t>310</w:t>
            </w:r>
          </w:p>
        </w:tc>
        <w:tc>
          <w:tcPr>
            <w:tcW w:type="dxa" w:w="2016"/>
          </w:tcPr>
          <w:p>
            <w:pPr>
              <w:jc w:val="right"/>
            </w:pPr>
            <w:r>
              <w:rPr>
                <w:sz w:val="17"/>
              </w:rPr>
              <w:t>5.17</w:t>
            </w:r>
          </w:p>
        </w:tc>
      </w:tr>
      <w:tr>
        <w:tc>
          <w:tcPr>
            <w:tcW w:type="dxa" w:w="720"/>
            <w:shd w:val="clear" w:color="auto" w:fill="F2F2F2"/>
          </w:tcPr>
          <w:p>
            <w:pPr>
              <w:jc w:val="center"/>
            </w:pPr>
            <w:r>
              <w:rPr>
                <w:sz w:val="17"/>
              </w:rPr>
              <w:t>2</w:t>
            </w:r>
          </w:p>
        </w:tc>
        <w:tc>
          <w:tcPr>
            <w:tcW w:type="dxa" w:w="3456"/>
            <w:shd w:val="clear" w:color="auto" w:fill="F2F2F2"/>
          </w:tcPr>
          <w:p>
            <w:pPr>
              <w:jc w:val="center"/>
            </w:pPr>
            <w:r>
              <w:rPr>
                <w:sz w:val="17"/>
              </w:rPr>
              <w:t>2026-09-14 23:51:42</w:t>
            </w:r>
          </w:p>
        </w:tc>
        <w:tc>
          <w:tcPr>
            <w:tcW w:type="dxa" w:w="2160"/>
            <w:shd w:val="clear" w:color="auto" w:fill="F2F2F2"/>
          </w:tcPr>
          <w:p>
            <w:pPr>
              <w:jc w:val="center"/>
            </w:pPr>
            <w:r>
              <w:rPr>
                <w:sz w:val="17"/>
              </w:rPr>
              <w:t>18136513</w:t>
            </w:r>
          </w:p>
        </w:tc>
        <w:tc>
          <w:tcPr>
            <w:tcW w:type="dxa" w:w="1872"/>
            <w:shd w:val="clear" w:color="auto" w:fill="F2F2F2"/>
          </w:tcPr>
          <w:p>
            <w:pPr>
              <w:jc w:val="right"/>
            </w:pPr>
            <w:r>
              <w:rPr>
                <w:sz w:val="17"/>
              </w:rPr>
              <w:t>309</w:t>
            </w:r>
          </w:p>
        </w:tc>
        <w:tc>
          <w:tcPr>
            <w:tcW w:type="dxa" w:w="2016"/>
            <w:shd w:val="clear" w:color="auto" w:fill="F2F2F2"/>
          </w:tcPr>
          <w:p>
            <w:pPr>
              <w:jc w:val="right"/>
            </w:pPr>
            <w:r>
              <w:rPr>
                <w:sz w:val="17"/>
              </w:rPr>
              <w:t>5.15</w:t>
            </w:r>
          </w:p>
        </w:tc>
      </w:tr>
      <w:tr>
        <w:tc>
          <w:tcPr>
            <w:tcW w:type="dxa" w:w="720"/>
          </w:tcPr>
          <w:p>
            <w:pPr>
              <w:jc w:val="center"/>
            </w:pPr>
            <w:r>
              <w:rPr>
                <w:sz w:val="17"/>
              </w:rPr>
              <w:t>3</w:t>
            </w:r>
          </w:p>
        </w:tc>
        <w:tc>
          <w:tcPr>
            <w:tcW w:type="dxa" w:w="3456"/>
          </w:tcPr>
          <w:p>
            <w:pPr>
              <w:jc w:val="center"/>
            </w:pPr>
            <w:r>
              <w:rPr>
                <w:sz w:val="17"/>
              </w:rPr>
              <w:t>2026-09-14 23:53:00</w:t>
            </w:r>
          </w:p>
        </w:tc>
        <w:tc>
          <w:tcPr>
            <w:tcW w:type="dxa" w:w="2160"/>
          </w:tcPr>
          <w:p>
            <w:pPr>
              <w:jc w:val="center"/>
            </w:pPr>
            <w:r>
              <w:rPr>
                <w:sz w:val="17"/>
              </w:rPr>
              <w:t>18136513</w:t>
            </w:r>
          </w:p>
        </w:tc>
        <w:tc>
          <w:tcPr>
            <w:tcW w:type="dxa" w:w="1872"/>
          </w:tcPr>
          <w:p>
            <w:pPr>
              <w:jc w:val="right"/>
            </w:pPr>
            <w:r>
              <w:rPr>
                <w:sz w:val="17"/>
              </w:rPr>
              <w:t>307</w:t>
            </w:r>
          </w:p>
        </w:tc>
        <w:tc>
          <w:tcPr>
            <w:tcW w:type="dxa" w:w="2016"/>
          </w:tcPr>
          <w:p>
            <w:pPr>
              <w:jc w:val="right"/>
            </w:pPr>
            <w:r>
              <w:rPr>
                <w:sz w:val="17"/>
              </w:rPr>
              <w:t>5.12</w:t>
            </w:r>
          </w:p>
        </w:tc>
      </w:tr>
      <w:tr>
        <w:tc>
          <w:tcPr>
            <w:tcW w:type="dxa" w:w="720"/>
            <w:shd w:val="clear" w:color="auto" w:fill="F2F2F2"/>
          </w:tcPr>
          <w:p>
            <w:pPr>
              <w:jc w:val="center"/>
            </w:pPr>
            <w:r>
              <w:rPr>
                <w:sz w:val="17"/>
              </w:rPr>
              <w:t>4</w:t>
            </w:r>
          </w:p>
        </w:tc>
        <w:tc>
          <w:tcPr>
            <w:tcW w:type="dxa" w:w="3456"/>
            <w:shd w:val="clear" w:color="auto" w:fill="F2F2F2"/>
          </w:tcPr>
          <w:p>
            <w:pPr>
              <w:jc w:val="center"/>
            </w:pPr>
            <w:r>
              <w:rPr>
                <w:sz w:val="17"/>
              </w:rPr>
              <w:t>2026-09-14 23:32:40</w:t>
            </w:r>
          </w:p>
        </w:tc>
        <w:tc>
          <w:tcPr>
            <w:tcW w:type="dxa" w:w="2160"/>
            <w:shd w:val="clear" w:color="auto" w:fill="F2F2F2"/>
          </w:tcPr>
          <w:p>
            <w:pPr>
              <w:jc w:val="center"/>
            </w:pPr>
            <w:r>
              <w:rPr>
                <w:sz w:val="17"/>
              </w:rPr>
              <w:t>18136513</w:t>
            </w:r>
          </w:p>
        </w:tc>
        <w:tc>
          <w:tcPr>
            <w:tcW w:type="dxa" w:w="1872"/>
            <w:shd w:val="clear" w:color="auto" w:fill="F2F2F2"/>
          </w:tcPr>
          <w:p>
            <w:pPr>
              <w:jc w:val="right"/>
            </w:pPr>
            <w:r>
              <w:rPr>
                <w:sz w:val="17"/>
              </w:rPr>
              <w:t>305</w:t>
            </w:r>
          </w:p>
        </w:tc>
        <w:tc>
          <w:tcPr>
            <w:tcW w:type="dxa" w:w="2016"/>
            <w:shd w:val="clear" w:color="auto" w:fill="F2F2F2"/>
          </w:tcPr>
          <w:p>
            <w:pPr>
              <w:jc w:val="right"/>
            </w:pPr>
            <w:r>
              <w:rPr>
                <w:sz w:val="17"/>
              </w:rPr>
              <w:t>5.08</w:t>
            </w:r>
          </w:p>
        </w:tc>
      </w:tr>
      <w:tr>
        <w:tc>
          <w:tcPr>
            <w:tcW w:type="dxa" w:w="720"/>
          </w:tcPr>
          <w:p>
            <w:pPr>
              <w:jc w:val="center"/>
            </w:pPr>
            <w:r>
              <w:rPr>
                <w:sz w:val="17"/>
              </w:rPr>
              <w:t>5</w:t>
            </w:r>
          </w:p>
        </w:tc>
        <w:tc>
          <w:tcPr>
            <w:tcW w:type="dxa" w:w="3456"/>
          </w:tcPr>
          <w:p>
            <w:pPr>
              <w:jc w:val="center"/>
            </w:pPr>
            <w:r>
              <w:rPr>
                <w:sz w:val="17"/>
              </w:rPr>
              <w:t>2026-09-14 23:31:58</w:t>
            </w:r>
          </w:p>
        </w:tc>
        <w:tc>
          <w:tcPr>
            <w:tcW w:type="dxa" w:w="2160"/>
          </w:tcPr>
          <w:p>
            <w:pPr>
              <w:jc w:val="center"/>
            </w:pPr>
            <w:r>
              <w:rPr>
                <w:sz w:val="17"/>
              </w:rPr>
              <w:t>18136513</w:t>
            </w:r>
          </w:p>
        </w:tc>
        <w:tc>
          <w:tcPr>
            <w:tcW w:type="dxa" w:w="1872"/>
          </w:tcPr>
          <w:p>
            <w:pPr>
              <w:jc w:val="right"/>
            </w:pPr>
            <w:r>
              <w:rPr>
                <w:sz w:val="17"/>
              </w:rPr>
              <w:t>302</w:t>
            </w:r>
          </w:p>
        </w:tc>
        <w:tc>
          <w:tcPr>
            <w:tcW w:type="dxa" w:w="2016"/>
          </w:tcPr>
          <w:p>
            <w:pPr>
              <w:jc w:val="right"/>
            </w:pPr>
            <w:r>
              <w:rPr>
                <w:sz w:val="17"/>
              </w:rPr>
              <w:t>5.03</w:t>
            </w:r>
          </w:p>
        </w:tc>
      </w:tr>
      <w:tr>
        <w:tc>
          <w:tcPr>
            <w:tcW w:type="dxa" w:w="720"/>
            <w:shd w:val="clear" w:color="auto" w:fill="F2F2F2"/>
          </w:tcPr>
          <w:p>
            <w:pPr>
              <w:jc w:val="center"/>
            </w:pPr>
            <w:r>
              <w:rPr>
                <w:sz w:val="17"/>
              </w:rPr>
              <w:t>6</w:t>
            </w:r>
          </w:p>
        </w:tc>
        <w:tc>
          <w:tcPr>
            <w:tcW w:type="dxa" w:w="3456"/>
            <w:shd w:val="clear" w:color="auto" w:fill="F2F2F2"/>
          </w:tcPr>
          <w:p>
            <w:pPr>
              <w:jc w:val="center"/>
            </w:pPr>
            <w:r>
              <w:rPr>
                <w:sz w:val="17"/>
              </w:rPr>
              <w:t>2026-09-14 23:33:00</w:t>
            </w:r>
          </w:p>
        </w:tc>
        <w:tc>
          <w:tcPr>
            <w:tcW w:type="dxa" w:w="2160"/>
            <w:shd w:val="clear" w:color="auto" w:fill="F2F2F2"/>
          </w:tcPr>
          <w:p>
            <w:pPr>
              <w:jc w:val="center"/>
            </w:pPr>
            <w:r>
              <w:rPr>
                <w:sz w:val="17"/>
              </w:rPr>
              <w:t>18136513</w:t>
            </w:r>
          </w:p>
        </w:tc>
        <w:tc>
          <w:tcPr>
            <w:tcW w:type="dxa" w:w="1872"/>
            <w:shd w:val="clear" w:color="auto" w:fill="F2F2F2"/>
          </w:tcPr>
          <w:p>
            <w:pPr>
              <w:jc w:val="right"/>
            </w:pPr>
            <w:r>
              <w:rPr>
                <w:sz w:val="17"/>
              </w:rPr>
              <w:t>301</w:t>
            </w:r>
          </w:p>
        </w:tc>
        <w:tc>
          <w:tcPr>
            <w:tcW w:type="dxa" w:w="2016"/>
            <w:shd w:val="clear" w:color="auto" w:fill="F2F2F2"/>
          </w:tcPr>
          <w:p>
            <w:pPr>
              <w:jc w:val="right"/>
            </w:pPr>
            <w:r>
              <w:rPr>
                <w:sz w:val="17"/>
              </w:rPr>
              <w:t>5.02</w:t>
            </w:r>
          </w:p>
        </w:tc>
      </w:tr>
      <w:tr>
        <w:tc>
          <w:tcPr>
            <w:tcW w:type="dxa" w:w="720"/>
          </w:tcPr>
          <w:p>
            <w:pPr>
              <w:jc w:val="center"/>
            </w:pPr>
            <w:r>
              <w:rPr>
                <w:sz w:val="17"/>
              </w:rPr>
              <w:t>7</w:t>
            </w:r>
          </w:p>
        </w:tc>
        <w:tc>
          <w:tcPr>
            <w:tcW w:type="dxa" w:w="3456"/>
          </w:tcPr>
          <w:p>
            <w:pPr>
              <w:jc w:val="center"/>
            </w:pPr>
            <w:r>
              <w:rPr>
                <w:sz w:val="17"/>
              </w:rPr>
              <w:t>2026-09-14 23:38:00</w:t>
            </w:r>
          </w:p>
        </w:tc>
        <w:tc>
          <w:tcPr>
            <w:tcW w:type="dxa" w:w="2160"/>
          </w:tcPr>
          <w:p>
            <w:pPr>
              <w:jc w:val="center"/>
            </w:pPr>
            <w:r>
              <w:rPr>
                <w:sz w:val="17"/>
              </w:rPr>
              <w:t>18136513</w:t>
            </w:r>
          </w:p>
        </w:tc>
        <w:tc>
          <w:tcPr>
            <w:tcW w:type="dxa" w:w="1872"/>
          </w:tcPr>
          <w:p>
            <w:pPr>
              <w:jc w:val="right"/>
            </w:pPr>
            <w:r>
              <w:rPr>
                <w:sz w:val="17"/>
              </w:rPr>
              <w:t>282</w:t>
            </w:r>
          </w:p>
        </w:tc>
        <w:tc>
          <w:tcPr>
            <w:tcW w:type="dxa" w:w="2016"/>
          </w:tcPr>
          <w:p>
            <w:pPr>
              <w:jc w:val="right"/>
            </w:pPr>
            <w:r>
              <w:rPr>
                <w:sz w:val="17"/>
              </w:rPr>
              <w:t>4.70</w:t>
            </w:r>
          </w:p>
        </w:tc>
      </w:tr>
      <w:tr>
        <w:tc>
          <w:tcPr>
            <w:tcW w:type="dxa" w:w="720"/>
            <w:shd w:val="clear" w:color="auto" w:fill="F2F2F2"/>
          </w:tcPr>
          <w:p>
            <w:pPr>
              <w:jc w:val="center"/>
            </w:pPr>
            <w:r>
              <w:rPr>
                <w:sz w:val="17"/>
              </w:rPr>
              <w:t>8</w:t>
            </w:r>
          </w:p>
        </w:tc>
        <w:tc>
          <w:tcPr>
            <w:tcW w:type="dxa" w:w="3456"/>
            <w:shd w:val="clear" w:color="auto" w:fill="F2F2F2"/>
          </w:tcPr>
          <w:p>
            <w:pPr>
              <w:jc w:val="center"/>
            </w:pPr>
            <w:r>
              <w:rPr>
                <w:sz w:val="17"/>
              </w:rPr>
              <w:t>2026-09-14 23:37:59</w:t>
            </w:r>
          </w:p>
        </w:tc>
        <w:tc>
          <w:tcPr>
            <w:tcW w:type="dxa" w:w="2160"/>
            <w:shd w:val="clear" w:color="auto" w:fill="F2F2F2"/>
          </w:tcPr>
          <w:p>
            <w:pPr>
              <w:jc w:val="center"/>
            </w:pPr>
            <w:r>
              <w:rPr>
                <w:sz w:val="17"/>
              </w:rPr>
              <w:t>18136513</w:t>
            </w:r>
          </w:p>
        </w:tc>
        <w:tc>
          <w:tcPr>
            <w:tcW w:type="dxa" w:w="1872"/>
            <w:shd w:val="clear" w:color="auto" w:fill="F2F2F2"/>
          </w:tcPr>
          <w:p>
            <w:pPr>
              <w:jc w:val="right"/>
            </w:pPr>
            <w:r>
              <w:rPr>
                <w:sz w:val="17"/>
              </w:rPr>
              <w:t>281</w:t>
            </w:r>
          </w:p>
        </w:tc>
        <w:tc>
          <w:tcPr>
            <w:tcW w:type="dxa" w:w="2016"/>
            <w:shd w:val="clear" w:color="auto" w:fill="F2F2F2"/>
          </w:tcPr>
          <w:p>
            <w:pPr>
              <w:jc w:val="right"/>
            </w:pPr>
            <w:r>
              <w:rPr>
                <w:sz w:val="17"/>
              </w:rPr>
              <w:t>4.68</w:t>
            </w:r>
          </w:p>
        </w:tc>
      </w:tr>
      <w:tr>
        <w:tc>
          <w:tcPr>
            <w:tcW w:type="dxa" w:w="720"/>
          </w:tcPr>
          <w:p>
            <w:pPr>
              <w:jc w:val="center"/>
            </w:pPr>
            <w:r>
              <w:rPr>
                <w:sz w:val="17"/>
              </w:rPr>
              <w:t>9</w:t>
            </w:r>
          </w:p>
        </w:tc>
        <w:tc>
          <w:tcPr>
            <w:tcW w:type="dxa" w:w="3456"/>
          </w:tcPr>
          <w:p>
            <w:pPr>
              <w:jc w:val="center"/>
            </w:pPr>
            <w:r>
              <w:rPr>
                <w:sz w:val="17"/>
              </w:rPr>
              <w:t>2026-09-14 23:49:22</w:t>
            </w:r>
          </w:p>
        </w:tc>
        <w:tc>
          <w:tcPr>
            <w:tcW w:type="dxa" w:w="2160"/>
          </w:tcPr>
          <w:p>
            <w:pPr>
              <w:jc w:val="center"/>
            </w:pPr>
            <w:r>
              <w:rPr>
                <w:sz w:val="17"/>
              </w:rPr>
              <w:t>18136513</w:t>
            </w:r>
          </w:p>
        </w:tc>
        <w:tc>
          <w:tcPr>
            <w:tcW w:type="dxa" w:w="1872"/>
          </w:tcPr>
          <w:p>
            <w:pPr>
              <w:jc w:val="right"/>
            </w:pPr>
            <w:r>
              <w:rPr>
                <w:sz w:val="17"/>
              </w:rPr>
              <w:t>270</w:t>
            </w:r>
          </w:p>
        </w:tc>
        <w:tc>
          <w:tcPr>
            <w:tcW w:type="dxa" w:w="2016"/>
          </w:tcPr>
          <w:p>
            <w:pPr>
              <w:jc w:val="right"/>
            </w:pPr>
            <w:r>
              <w:rPr>
                <w:sz w:val="17"/>
              </w:rPr>
              <w:t>4.50</w:t>
            </w:r>
          </w:p>
        </w:tc>
      </w:tr>
      <w:tr>
        <w:tc>
          <w:tcPr>
            <w:tcW w:type="dxa" w:w="720"/>
            <w:shd w:val="clear" w:color="auto" w:fill="F2F2F2"/>
          </w:tcPr>
          <w:p>
            <w:pPr>
              <w:jc w:val="center"/>
            </w:pPr>
            <w:r>
              <w:rPr>
                <w:sz w:val="17"/>
              </w:rPr>
              <w:t>10</w:t>
            </w:r>
          </w:p>
        </w:tc>
        <w:tc>
          <w:tcPr>
            <w:tcW w:type="dxa" w:w="3456"/>
            <w:shd w:val="clear" w:color="auto" w:fill="F2F2F2"/>
          </w:tcPr>
          <w:p>
            <w:pPr>
              <w:jc w:val="center"/>
            </w:pPr>
            <w:r>
              <w:rPr>
                <w:sz w:val="17"/>
              </w:rPr>
              <w:t>2026-09-14 23:48:59</w:t>
            </w:r>
          </w:p>
        </w:tc>
        <w:tc>
          <w:tcPr>
            <w:tcW w:type="dxa" w:w="2160"/>
            <w:shd w:val="clear" w:color="auto" w:fill="F2F2F2"/>
          </w:tcPr>
          <w:p>
            <w:pPr>
              <w:jc w:val="center"/>
            </w:pPr>
            <w:r>
              <w:rPr>
                <w:sz w:val="17"/>
              </w:rPr>
              <w:t>18136513</w:t>
            </w:r>
          </w:p>
        </w:tc>
        <w:tc>
          <w:tcPr>
            <w:tcW w:type="dxa" w:w="1872"/>
            <w:shd w:val="clear" w:color="auto" w:fill="F2F2F2"/>
          </w:tcPr>
          <w:p>
            <w:pPr>
              <w:jc w:val="right"/>
            </w:pPr>
            <w:r>
              <w:rPr>
                <w:sz w:val="17"/>
              </w:rPr>
              <w:t>269</w:t>
            </w:r>
          </w:p>
        </w:tc>
        <w:tc>
          <w:tcPr>
            <w:tcW w:type="dxa" w:w="2016"/>
            <w:shd w:val="clear" w:color="auto" w:fill="F2F2F2"/>
          </w:tcPr>
          <w:p>
            <w:pPr>
              <w:jc w:val="right"/>
            </w:pPr>
            <w:r>
              <w:rPr>
                <w:sz w:val="17"/>
              </w:rPr>
              <w:t>4.48</w:t>
            </w:r>
          </w:p>
        </w:tc>
      </w:tr>
    </w:tbl>
    <w:p>
      <w:pPr>
        <w:spacing w:after="240"/>
      </w:pPr>
    </w:p>
    <w:p>
      <w:r>
        <w:br w:type="page"/>
      </w:r>
    </w:p>
    <w:p>
      <w:pPr>
        <w:spacing w:before="120" w:after="80"/>
        <w:ind w:left="0" w:firstLine="0"/>
        <w:jc w:val="left"/>
      </w:pPr>
      <w:r>
        <w:rPr>
          <w:b/>
        </w:rPr>
        <w:t>4.2.7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72564110 con un total de 139 consultas, registrando mayor actividad por parte del usuario Miguel Rivera Melgar (DNI: 29721406). Esta consulta intensiva y reiterada sobre un conjunto acotado de DNIs requiere la verificación inmediata de las justificaciones de negocio de las operaciones realizadas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tabla_top10_dni.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4.2.8 Mapa de Calor de Consumo (Hora × Día)</w:t>
        <w:br/>
      </w:r>
    </w:p>
    <w:p>
      <w:pPr>
        <w:spacing w:after="120"/>
        <w:jc w:val="both"/>
      </w:pPr>
      <w:r>
        <w:t>El mapa de calor muestra puntos calientes de alta densidad fuera de la jornada de oficina tradicional. La casilla con el mayor consumo concentrado ocurrió los días lunes a las 23:00 horas con 6,115 consultas. El 41.9% del consumo se distribuye en bloques nocturnos y/o fines de semana, lo que confirma que la actividad está guiada por scripts desatendidos programados fuera del horario laboral (ver imagen 7).</w:t>
      </w:r>
    </w:p>
    <w:p>
      <w:pPr>
        <w:jc w:val="center"/>
      </w:pPr>
      <w:r>
        <w:drawing>
          <wp:inline xmlns:a="http://schemas.openxmlformats.org/drawingml/2006/main" xmlns:pic="http://schemas.openxmlformats.org/drawingml/2006/picture">
            <wp:extent cx="5220000" cy="4176000"/>
            <wp:docPr id="1266372531" name="Picture 1266372531"/>
            <wp:cNvGraphicFramePr>
              <a:graphicFrameLocks noChangeAspect="1"/>
            </wp:cNvGraphicFramePr>
            <a:graphic>
              <a:graphicData uri="http://schemas.openxmlformats.org/drawingml/2006/picture">
                <pic:pic>
                  <pic:nvPicPr>
                    <pic:cNvPr id="0" name="heatmap_hora_dia.png"/>
                    <pic:cNvPicPr/>
                  </pic:nvPicPr>
                  <pic:blipFill>
                    <a:blip r:embed="rId19"/>
                    <a:stretch>
                      <a:fillRect/>
                    </a:stretch>
                  </pic:blipFill>
                  <pic:spPr>
                    <a:xfrm>
                      <a:off x="0" y="0"/>
                      <a:ext cx="5220000" cy="4176000"/>
                    </a:xfrm>
                    <a:prstGeom prst="rect"/>
                  </pic:spPr>
                </pic:pic>
              </a:graphicData>
            </a:graphic>
          </wp:inline>
        </w:drawing>
      </w:r>
    </w:p>
    <w:p>
      <w:pPr>
        <w:spacing w:after="240"/>
        <w:jc w:val="center"/>
      </w:pPr>
      <w:r>
        <w:t>(Imagen 7)</w:t>
      </w:r>
    </w:p>
    <w:p/>
    <w:p>
      <w:pPr>
        <w:ind w:left="0" w:firstLine="0"/>
        <w:jc w:val="left"/>
      </w:pPr>
      <w:r>
        <w:rPr>
          <w:b/>
        </w:rPr>
        <w:t>4.3. Conclusiones:</w:t>
        <w:br/>
      </w:r>
    </w:p>
    <w:p>
      <w:pPr>
        <w:spacing w:after="120"/>
        <w:jc w:val="both"/>
      </w:pPr>
      <w:r>
        <w:t>Evidencia de Automatización: La detección de 3,433 ráfagas masivas y un pico máximo de 310 consultas en 60 segundos (5.2 consultas/segundo) presume técnicamente el uso de software de consulta automatizado o scripts sin restricción de tasa de peticiones.</w:t>
      </w:r>
    </w:p>
    <w:p>
      <w:pPr>
        <w:spacing w:after="120"/>
        <w:jc w:val="both"/>
      </w:pPr>
      <w:r>
        <w:t>Concentración Extrema del Consumo: Más de 106,352 consultas (más del 62.6% del total institucional de 169,868 filas) fueron ejecutadas por 2 cuentas de usuario (Miguel Rivera Melgar (DNI: 29721406) / Juan Alejandro Diaz Romero (DNI: 20118850)), situando en ella(s) la prioridad del control interno.</w:t>
      </w:r>
    </w:p>
    <w:p>
      <w:pPr>
        <w:spacing w:after="120"/>
        <w:jc w:val="both"/>
      </w:pPr>
      <w:r>
        <w:t>Reincidencia Anómala en Documentos de Identidad: La consulta de un mismo DNI hasta 139 veces en el mes (DNI 72564110) sugiere la filtración, monitoreo continuo o fallas en el software de integración cliente de SUPERINTENDENCIA DE BANCA SEGUROS Y AFP, violando la finalidad del servicio.</w:t>
      </w:r>
    </w:p>
    <w:p/>
    <w:p>
      <w:pPr>
        <w:ind w:left="0" w:firstLine="0"/>
        <w:jc w:val="left"/>
      </w:pPr>
      <w:r>
        <w:rPr>
          <w:b/>
        </w:rPr>
        <w:t>4.4. Recomendaciones:</w:t>
        <w:br/>
      </w:r>
    </w:p>
    <w:p>
      <w:pPr>
        <w:spacing w:after="120"/>
        <w:jc w:val="both"/>
      </w:pPr>
      <w:r>
        <w:t>Se recomienda evaluar el bloqueo preventivo inmediato del código de usuario y credenciales asociadas a Miguel Rivera Melgar (DNI: 29721406) / Juan Alejandro Diaz Romero (DNI: 20118850), en los sistemas de autenticación de RENIEC. Paralelamente, se formalizará una exigencia de descargos a SUPERINTENDENCIA DE BANCA SEGUROS Y AFP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