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CFA6" w14:textId="77777777" w:rsidR="001C510B" w:rsidRDefault="001C510B" w:rsidP="001C510B">
      <w:pPr>
        <w:pStyle w:val="NormalWeb"/>
        <w:jc w:val="center"/>
      </w:pPr>
      <w:r>
        <w:t>ROI Note</w:t>
      </w:r>
    </w:p>
    <w:p w14:paraId="6374FFA7" w14:textId="77777777" w:rsidR="001C510B" w:rsidRDefault="001C510B" w:rsidP="001C510B">
      <w:pPr>
        <w:pStyle w:val="NormalWeb"/>
        <w:ind w:firstLine="720"/>
      </w:pPr>
      <w:r>
        <w:t>Patry’s maintenance triage process currently takes the staff members 6-8 hours per week. Assuming a fully loaded staff costs about $20/hour with the inclusive benefits, this represents approximately $8,320-$10,400 annually on labour cost for a single task.</w:t>
      </w:r>
    </w:p>
    <w:p w14:paraId="1A808D2D" w14:textId="77777777" w:rsidR="001C510B" w:rsidRDefault="001C510B" w:rsidP="001C510B">
      <w:pPr>
        <w:pStyle w:val="NormalWeb"/>
      </w:pPr>
      <w:r>
        <w:t>This workflow that I created eliminates that time. All 51 rows are processed in under two minutes with consistent classification, zero manual input, and a complete audit trail in the output log. Beyond labour savings, the faster identification of Emergency-tier requests reduces risk. A missed water leak or electrical fault can cost $5000-$20000 in property damage. Even preventing one of these types of incidents annually justifies the implementation cost many times over.</w:t>
      </w:r>
    </w:p>
    <w:p w14:paraId="443025F6" w14:textId="77777777" w:rsidR="001C510B" w:rsidRDefault="001C510B" w:rsidP="001C510B">
      <w:pPr>
        <w:pStyle w:val="NormalWeb"/>
      </w:pPr>
      <w:r>
        <w:t>Conservative annual value estimate: $15,000-$20,000, composed of:</w:t>
      </w:r>
    </w:p>
    <w:p w14:paraId="731DC7CB" w14:textId="5886B05B" w:rsidR="001C510B" w:rsidRDefault="001C510B" w:rsidP="001C510B">
      <w:pPr>
        <w:pStyle w:val="NormalWeb"/>
        <w:numPr>
          <w:ilvl w:val="0"/>
          <w:numId w:val="2"/>
        </w:numPr>
      </w:pPr>
      <w:r>
        <w:t>~</w:t>
      </w:r>
      <w:r>
        <w:t>$9,000 in recovered staff time</w:t>
      </w:r>
    </w:p>
    <w:p w14:paraId="6707C74B" w14:textId="32B43FEA" w:rsidR="001C510B" w:rsidRDefault="001C510B" w:rsidP="001C510B">
      <w:pPr>
        <w:pStyle w:val="NormalWeb"/>
        <w:numPr>
          <w:ilvl w:val="0"/>
          <w:numId w:val="2"/>
        </w:numPr>
      </w:pPr>
      <w:r>
        <w:t>~6,000-$11,000 in risk reduction from faster emergency response</w:t>
      </w:r>
    </w:p>
    <w:p w14:paraId="3075806F" w14:textId="77777777" w:rsidR="001C510B" w:rsidRDefault="001C510B" w:rsidP="001C510B">
      <w:pPr>
        <w:pStyle w:val="NormalWeb"/>
      </w:pPr>
      <w:r>
        <w:t>This workflow is also replicable anywhere. Patry manages multiple properties with the same automation deployed across additional inboxes, which multiples the value without additional labour. At the scale, the ROI compounds significantly.</w:t>
      </w:r>
    </w:p>
    <w:p w14:paraId="26CCE34A" w14:textId="77777777" w:rsidR="001C510B" w:rsidRDefault="001C510B" w:rsidP="001C510B">
      <w:pPr>
        <w:pStyle w:val="NormalWeb"/>
      </w:pPr>
      <w:r w:rsidRPr="00232EB6">
        <w:rPr>
          <w:i/>
          <w:iCs/>
        </w:rPr>
        <w:t>Assumptions</w:t>
      </w:r>
      <w:r>
        <w:t>: $20/hour inclusive rate, 7 hours/week average, 50 working weeks/year, one avoided emergency incident annually.</w:t>
      </w:r>
    </w:p>
    <w:p w14:paraId="18AE9E0D" w14:textId="77777777" w:rsidR="001C510B" w:rsidRPr="001C510B" w:rsidRDefault="001C510B" w:rsidP="001C510B">
      <w:pPr>
        <w:rPr>
          <w:rFonts w:ascii="Times New Roman" w:hAnsi="Times New Roman" w:cs="Times New Roman"/>
        </w:rPr>
      </w:pPr>
    </w:p>
    <w:p w14:paraId="054B45BC" w14:textId="77777777" w:rsidR="00024351" w:rsidRPr="00024351" w:rsidRDefault="00024351" w:rsidP="00024351">
      <w:pPr>
        <w:rPr>
          <w:rFonts w:ascii="Times New Roman" w:hAnsi="Times New Roman" w:cs="Times New Roman"/>
        </w:rPr>
      </w:pPr>
    </w:p>
    <w:sectPr w:rsidR="00024351" w:rsidRPr="000243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24C"/>
    <w:multiLevelType w:val="hybridMultilevel"/>
    <w:tmpl w:val="91DC09EC"/>
    <w:lvl w:ilvl="0" w:tplc="49E8D2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80A3E"/>
    <w:multiLevelType w:val="hybridMultilevel"/>
    <w:tmpl w:val="BEC87BB6"/>
    <w:lvl w:ilvl="0" w:tplc="911077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9141088">
    <w:abstractNumId w:val="1"/>
  </w:num>
  <w:num w:numId="2" w16cid:durableId="79083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351"/>
    <w:rsid w:val="00024351"/>
    <w:rsid w:val="000D49BB"/>
    <w:rsid w:val="00180429"/>
    <w:rsid w:val="001C510B"/>
    <w:rsid w:val="00232EB6"/>
    <w:rsid w:val="00AF3512"/>
    <w:rsid w:val="00C004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2E2FA20"/>
  <w15:chartTrackingRefBased/>
  <w15:docId w15:val="{C22F9CFC-DBA6-D94E-8DE9-A2C5B987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351"/>
    <w:rPr>
      <w:rFonts w:eastAsiaTheme="majorEastAsia" w:cstheme="majorBidi"/>
      <w:color w:val="272727" w:themeColor="text1" w:themeTint="D8"/>
    </w:rPr>
  </w:style>
  <w:style w:type="paragraph" w:styleId="Title">
    <w:name w:val="Title"/>
    <w:basedOn w:val="Normal"/>
    <w:next w:val="Normal"/>
    <w:link w:val="TitleChar"/>
    <w:uiPriority w:val="10"/>
    <w:qFormat/>
    <w:rsid w:val="00024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351"/>
    <w:pPr>
      <w:spacing w:before="160"/>
      <w:jc w:val="center"/>
    </w:pPr>
    <w:rPr>
      <w:i/>
      <w:iCs/>
      <w:color w:val="404040" w:themeColor="text1" w:themeTint="BF"/>
    </w:rPr>
  </w:style>
  <w:style w:type="character" w:customStyle="1" w:styleId="QuoteChar">
    <w:name w:val="Quote Char"/>
    <w:basedOn w:val="DefaultParagraphFont"/>
    <w:link w:val="Quote"/>
    <w:uiPriority w:val="29"/>
    <w:rsid w:val="00024351"/>
    <w:rPr>
      <w:i/>
      <w:iCs/>
      <w:color w:val="404040" w:themeColor="text1" w:themeTint="BF"/>
    </w:rPr>
  </w:style>
  <w:style w:type="paragraph" w:styleId="ListParagraph">
    <w:name w:val="List Paragraph"/>
    <w:basedOn w:val="Normal"/>
    <w:uiPriority w:val="34"/>
    <w:qFormat/>
    <w:rsid w:val="00024351"/>
    <w:pPr>
      <w:ind w:left="720"/>
      <w:contextualSpacing/>
    </w:pPr>
  </w:style>
  <w:style w:type="character" w:styleId="IntenseEmphasis">
    <w:name w:val="Intense Emphasis"/>
    <w:basedOn w:val="DefaultParagraphFont"/>
    <w:uiPriority w:val="21"/>
    <w:qFormat/>
    <w:rsid w:val="00024351"/>
    <w:rPr>
      <w:i/>
      <w:iCs/>
      <w:color w:val="0F4761" w:themeColor="accent1" w:themeShade="BF"/>
    </w:rPr>
  </w:style>
  <w:style w:type="paragraph" w:styleId="IntenseQuote">
    <w:name w:val="Intense Quote"/>
    <w:basedOn w:val="Normal"/>
    <w:next w:val="Normal"/>
    <w:link w:val="IntenseQuoteChar"/>
    <w:uiPriority w:val="30"/>
    <w:qFormat/>
    <w:rsid w:val="00024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351"/>
    <w:rPr>
      <w:i/>
      <w:iCs/>
      <w:color w:val="0F4761" w:themeColor="accent1" w:themeShade="BF"/>
    </w:rPr>
  </w:style>
  <w:style w:type="character" w:styleId="IntenseReference">
    <w:name w:val="Intense Reference"/>
    <w:basedOn w:val="DefaultParagraphFont"/>
    <w:uiPriority w:val="32"/>
    <w:qFormat/>
    <w:rsid w:val="00024351"/>
    <w:rPr>
      <w:b/>
      <w:bCs/>
      <w:smallCaps/>
      <w:color w:val="0F4761" w:themeColor="accent1" w:themeShade="BF"/>
      <w:spacing w:val="5"/>
    </w:rPr>
  </w:style>
  <w:style w:type="paragraph" w:styleId="NormalWeb">
    <w:name w:val="Normal (Web)"/>
    <w:basedOn w:val="Normal"/>
    <w:uiPriority w:val="99"/>
    <w:semiHidden/>
    <w:unhideWhenUsed/>
    <w:rsid w:val="001C510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Sadat Tanzim</dc:creator>
  <cp:keywords/>
  <dc:description/>
  <cp:lastModifiedBy>Sadat Tanzim</cp:lastModifiedBy>
  <cp:revision>2</cp:revision>
  <dcterms:created xsi:type="dcterms:W3CDTF">2026-04-01T05:21:00Z</dcterms:created>
  <dcterms:modified xsi:type="dcterms:W3CDTF">2026-04-01T05:41:00Z</dcterms:modified>
</cp:coreProperties>
</file>