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color w:val="4A7FB0"/>
          <w:sz w:val="24"/>
          <w:szCs w:val="24"/>
        </w:rPr>
        <w:t xml:space="preserve">Mental Health CRM</w:t>
      </w:r>
    </w:p>
    <w:p>
      <w:pPr>
        <w:spacing w:after="240"/>
      </w:pPr>
      <w:r>
        <w:rPr>
          <w:b/>
          <w:bCs/>
          <w:color w:val="1F3A5F"/>
          <w:sz w:val="44"/>
          <w:szCs w:val="44"/>
        </w:rPr>
        <w:t xml:space="preserve">Scanning &amp; Discovery Methodology</w:t>
      </w:r>
    </w:p>
    <w:p>
      <w:pPr>
        <w:spacing w:after="360"/>
      </w:pPr>
      <w:r>
        <w:rPr>
          <w:i/>
          <w:iCs/>
          <w:color w:val="555555"/>
          <w:sz w:val="22"/>
          <w:szCs w:val="22"/>
        </w:rPr>
        <w:t xml:space="preserve">A step-by-step guide for auditing two existing CRMs, deciding what to keep, discard, combine, and add — producing a full PRD and phased roadmap.</w:t>
      </w:r>
    </w:p>
    <w:p>
      <w:pPr>
        <w:spacing w:after="120"/>
      </w:pPr>
      <w:r>
        <w:rPr>
          <w:b/>
          <w:bCs/>
          <w:color w:val="1F3A5F"/>
          <w:sz w:val="26"/>
          <w:szCs w:val="26"/>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Overview</w:t>
      </w:r>
    </w:p>
    <w:p>
      <w:pPr>
        <w:spacing w:after="120"/>
      </w:pPr>
      <w:r>
        <w:rPr>
          <w:sz w:val="22"/>
          <w:szCs w:val="22"/>
        </w:rPr>
        <w:t xml:space="preserve">You are replicating a CRM for a mental-health group of psychiatrists and psychologists by studying two existing systems, merging the features you want, dropping the ones you do not, and adding your own differentiators ("flair"). This document is the scanning and synthesis process. It pairs with two companion files:</w:t>
      </w:r>
    </w:p>
    <w:p>
      <w:pPr>
        <w:pStyle w:val="ListParagraph"/>
        <w:numPr>
          <w:ilvl w:val="0"/>
          <w:numId w:val="2"/>
        </w:numPr>
      </w:pPr>
      <w:r>
        <w:rPr>
          <w:sz w:val="22"/>
          <w:szCs w:val="22"/>
        </w:rPr>
        <w:t xml:space="preserve">02_Capture_Workbook.xlsx — every spreadsheet template you will fill in as you scan.</w:t>
      </w:r>
    </w:p>
    <w:p>
      <w:pPr>
        <w:pStyle w:val="ListParagraph"/>
        <w:numPr>
          <w:ilvl w:val="0"/>
          <w:numId w:val="2"/>
        </w:numPr>
      </w:pPr>
      <w:r>
        <w:rPr>
          <w:sz w:val="22"/>
          <w:szCs w:val="22"/>
        </w:rPr>
        <w:t xml:space="preserve">03_PRD_Skeleton.docx — the PRD you will assemble after scanning is complete.</w:t>
      </w:r>
    </w:p>
    <w:p>
      <w:pPr>
        <w:spacing w:after="120"/>
      </w:pPr>
      <w:r>
        <w:rPr>
          <w:sz w:val="22"/>
          <w:szCs w:val="22"/>
        </w:rPr>
        <w:t xml:space="preserve">The work is organized into six phases. Do not skip ahead. Each phase is the input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Phase</w:t>
            </w:r>
          </w:p>
        </w:tc>
        <w:tc>
          <w:tcPr>
            <w:tcW w:type="dxa" w:w="5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What you produce</w:t>
            </w:r>
          </w:p>
        </w:tc>
        <w:tc>
          <w:tcPr>
            <w:tcW w:type="dxa" w:w="2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Est. calendar time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 Prep</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Access, tooling, vocabulary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1–2 days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 Reconnaissance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Sitemaps, role inventory, module list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2–3 days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 Deep capture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Screens, fields, flows, permissions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5–10 days per CRM</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 Synthesis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Feature matrix, keep/discard decisions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3–5 days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 Design</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Unified data model, flows, wireframes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1–2 weeks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 PRD + roadmap</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PRD doc, phased backlog, estimates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3–5 days</w:t>
            </w:r>
          </w:p>
        </w:tc>
      </w:tr>
    </w:tbl>
    <w:p>
      <w:r>
        <w:br w:type="page"/>
      </w:r>
    </w:p>
    <w:p>
      <w:pPr>
        <w:pStyle w:val="Heading1"/>
      </w:pPr>
      <w:r>
        <w:t xml:space="preserve">Phase 0 — Prep</w:t>
      </w:r>
    </w:p>
    <w:p>
      <w:pPr>
        <w:pStyle w:val="Heading2"/>
      </w:pPr>
      <w:r>
        <w:t xml:space="preserve">0.1  Access &amp; evidence capture</w:t>
      </w:r>
    </w:p>
    <w:p>
      <w:pPr>
        <w:spacing w:after="120"/>
      </w:pPr>
      <w:r>
        <w:rPr>
          <w:sz w:val="22"/>
          <w:szCs w:val="22"/>
        </w:rPr>
        <w:t xml:space="preserve">You have full admin access to both CRMs. Before you touch them, set up the infrastructure you will need to capture evidence efficiently.</w:t>
      </w:r>
    </w:p>
    <w:p>
      <w:pPr>
        <w:pStyle w:val="ListParagraph"/>
        <w:numPr>
          <w:ilvl w:val="0"/>
          <w:numId w:val="2"/>
        </w:numPr>
      </w:pPr>
      <w:r>
        <w:rPr>
          <w:sz w:val="22"/>
          <w:szCs w:val="22"/>
        </w:rPr>
        <w:t xml:space="preserve">Create two top-level folders: /CRM_A/ and /CRM_B/. Under each, create sub-folders: screenshots/, videos/, exports/, notes/.</w:t>
      </w:r>
    </w:p>
    <w:p>
      <w:pPr>
        <w:pStyle w:val="ListParagraph"/>
        <w:numPr>
          <w:ilvl w:val="0"/>
          <w:numId w:val="2"/>
        </w:numPr>
      </w:pPr>
      <w:r>
        <w:rPr>
          <w:sz w:val="22"/>
          <w:szCs w:val="22"/>
        </w:rPr>
        <w:t xml:space="preserve">Adopt a filename convention up front and do not deviate: CRM_Module_Subscreen_Role.png (e.g., A_Patients_Chart_Overview_Psychiatrist.png). Renaming 500 screenshots later is painful.</w:t>
      </w:r>
    </w:p>
    <w:p>
      <w:pPr>
        <w:pStyle w:val="ListParagraph"/>
        <w:numPr>
          <w:ilvl w:val="0"/>
          <w:numId w:val="2"/>
        </w:numPr>
      </w:pPr>
      <w:r>
        <w:rPr>
          <w:sz w:val="22"/>
          <w:szCs w:val="22"/>
        </w:rPr>
        <w:t xml:space="preserve">Install a screenshot tool with scrolling capture and annotation — Shottr, CleanShot X, or Greenshot. Built-in OS screenshot tools miss scrolled content.</w:t>
      </w:r>
    </w:p>
    <w:p>
      <w:pPr>
        <w:pStyle w:val="ListParagraph"/>
        <w:numPr>
          <w:ilvl w:val="0"/>
          <w:numId w:val="2"/>
        </w:numPr>
      </w:pPr>
      <w:r>
        <w:rPr>
          <w:sz w:val="22"/>
          <w:szCs w:val="22"/>
        </w:rPr>
        <w:t xml:space="preserve">Install a screen recorder for flows — Loom, ScreenStudio, or OBS. Record end-to-end workflows (2–5 min each) rather than clicking through silently. Narrate what you are doing; future-you will thank past-you.</w:t>
      </w:r>
    </w:p>
    <w:p>
      <w:pPr>
        <w:pStyle w:val="ListParagraph"/>
        <w:numPr>
          <w:ilvl w:val="0"/>
          <w:numId w:val="2"/>
        </w:numPr>
      </w:pPr>
      <w:r>
        <w:rPr>
          <w:sz w:val="22"/>
          <w:szCs w:val="22"/>
        </w:rPr>
        <w:t xml:space="preserve">Create a dummy tenant / test environment if either CRM supports it. You need to be able to click Delete without anxiety.</w:t>
      </w:r>
    </w:p>
    <w:p>
      <w:pPr>
        <w:pStyle w:val="Heading2"/>
      </w:pPr>
      <w:r>
        <w:t xml:space="preserve">0.2  Create realistic test data</w:t>
      </w:r>
    </w:p>
    <w:p>
      <w:pPr>
        <w:spacing w:after="120"/>
      </w:pPr>
      <w:r>
        <w:rPr>
          <w:sz w:val="22"/>
          <w:szCs w:val="22"/>
        </w:rPr>
        <w:t xml:space="preserve">You cannot capture real workflows with empty databases. In each CRM, seed at minimum:</w:t>
      </w:r>
    </w:p>
    <w:p>
      <w:pPr>
        <w:pStyle w:val="ListParagraph"/>
        <w:numPr>
          <w:ilvl w:val="0"/>
          <w:numId w:val="2"/>
        </w:numPr>
      </w:pPr>
      <w:r>
        <w:rPr>
          <w:sz w:val="22"/>
          <w:szCs w:val="22"/>
        </w:rPr>
        <w:t xml:space="preserve">5–10 test patients with varied demographics (pediatric, geriatric, commercial insurance, Medicaid, self-pay, no insurance).</w:t>
      </w:r>
    </w:p>
    <w:p>
      <w:pPr>
        <w:pStyle w:val="ListParagraph"/>
        <w:numPr>
          <w:ilvl w:val="0"/>
          <w:numId w:val="2"/>
        </w:numPr>
      </w:pPr>
      <w:r>
        <w:rPr>
          <w:sz w:val="22"/>
          <w:szCs w:val="22"/>
        </w:rPr>
        <w:t xml:space="preserve">At least one active psychiatrist, one psychologist, one therapist, one front-desk user, one billing user, one admin.</w:t>
      </w:r>
    </w:p>
    <w:p>
      <w:pPr>
        <w:pStyle w:val="ListParagraph"/>
        <w:numPr>
          <w:ilvl w:val="0"/>
          <w:numId w:val="2"/>
        </w:numPr>
      </w:pPr>
      <w:r>
        <w:rPr>
          <w:sz w:val="22"/>
          <w:szCs w:val="22"/>
        </w:rPr>
        <w:t xml:space="preserve">30+ appointments across different statuses: scheduled, confirmed, checked-in, completed, no-show, cancelled.</w:t>
      </w:r>
    </w:p>
    <w:p>
      <w:pPr>
        <w:pStyle w:val="ListParagraph"/>
        <w:numPr>
          <w:ilvl w:val="0"/>
          <w:numId w:val="2"/>
        </w:numPr>
      </w:pPr>
      <w:r>
        <w:rPr>
          <w:sz w:val="22"/>
          <w:szCs w:val="22"/>
        </w:rPr>
        <w:t xml:space="preserve">Sample clinical notes in every template type. Sample prescriptions including a controlled substance. Sample assessments (PHQ-9, GAD-7). Sample claims in each status (draft, submitted, denied, paid).</w:t>
      </w:r>
    </w:p>
    <w:p>
      <w:pPr>
        <w:pBdr>
          <w:left w:val="single" w:color="4A7FB0" w:sz="12" w:space="12"/>
        </w:pBdr>
        <w:spacing w:after="120" w:before="60"/>
        <w:ind w:left="360"/>
      </w:pPr>
      <w:r>
        <w:rPr>
          <w:i/>
          <w:iCs/>
          <w:color w:val="444444"/>
          <w:sz w:val="22"/>
          <w:szCs w:val="22"/>
        </w:rPr>
        <w:t xml:space="preserve">If you only test with one patient and two appointments, you will miss every edge-case screen: bulk actions, filtered views, exception flows, denial queues, no-show workflows.</w:t>
      </w:r>
    </w:p>
    <w:p>
      <w:pPr>
        <w:pStyle w:val="Heading2"/>
      </w:pPr>
      <w:r>
        <w:t xml:space="preserve">0.3  Build your vocabulary</w:t>
      </w:r>
    </w:p>
    <w:p>
      <w:pPr>
        <w:spacing w:after="120"/>
      </w:pPr>
      <w:r>
        <w:rPr>
          <w:sz w:val="22"/>
          <w:szCs w:val="22"/>
        </w:rPr>
        <w:t xml:space="preserve">Two CRMs will use different words for the same thing. Maintain a glossary from day one — in the Screens_Inventory sheet of the Capture Workbook add a column "Internal term" and "CRM A term" and "CRM B term" if helpful. Examples of language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Your internal term</w:t>
            </w:r>
          </w:p>
        </w:tc>
        <w:tc>
          <w:tcPr>
            <w:tcW w:type="dxa" w:w="624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Likely vendor variations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Patient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Client, consumer, member, case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Appointment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Visit, session, encounter, event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Progress note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Chart note, SOAP, encounter note, service note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Psychotherapy note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Process note, private note, personal note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Provider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Clinician, rendering provider, staff</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Front desk</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Reception, scheduler, intake coordinator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Intake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Onboarding, registration, new-patient paperwork</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Claim</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Superbill, invoice, encounter for billing</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Assessment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Questionnaire, measure, outcome tool, screener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Portal</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Client portal, member area, patient app</w:t>
            </w:r>
          </w:p>
        </w:tc>
      </w:tr>
    </w:tbl>
    <w:p>
      <w:r>
        <w:br w:type="page"/>
      </w:r>
    </w:p>
    <w:p>
      <w:pPr>
        <w:pStyle w:val="Heading1"/>
      </w:pPr>
      <w:r>
        <w:t xml:space="preserve">Phase 1 — Reconnaissance</w:t>
      </w:r>
    </w:p>
    <w:p>
      <w:pPr>
        <w:spacing w:after="120"/>
      </w:pPr>
      <w:r>
        <w:rPr>
          <w:sz w:val="22"/>
          <w:szCs w:val="22"/>
        </w:rPr>
        <w:t xml:space="preserve">Do not start deep capture yet. First, build a map.</w:t>
      </w:r>
    </w:p>
    <w:p>
      <w:pPr>
        <w:pStyle w:val="Heading2"/>
      </w:pPr>
      <w:r>
        <w:t xml:space="preserve">1.1  Enumerate modules (top-level nav)</w:t>
      </w:r>
    </w:p>
    <w:p>
      <w:pPr>
        <w:spacing w:after="120"/>
      </w:pPr>
      <w:r>
        <w:rPr>
          <w:sz w:val="22"/>
          <w:szCs w:val="22"/>
        </w:rPr>
        <w:t xml:space="preserve">Log in as admin. Click every top-level nav item. Hover over every dropdown. In Sitemap_A (and later Sitemap_B) in the workbook, record every destination. Do not capture details yet — you are just making a table of contents.</w:t>
      </w:r>
    </w:p>
    <w:p>
      <w:pPr>
        <w:pStyle w:val="ListParagraph"/>
        <w:numPr>
          <w:ilvl w:val="0"/>
          <w:numId w:val="2"/>
        </w:numPr>
      </w:pPr>
      <w:r>
        <w:rPr>
          <w:sz w:val="22"/>
          <w:szCs w:val="22"/>
        </w:rPr>
        <w:t xml:space="preserve">Aim for a complete list of modules within 30–60 minutes per CRM.</w:t>
      </w:r>
    </w:p>
    <w:p>
      <w:pPr>
        <w:pStyle w:val="ListParagraph"/>
        <w:numPr>
          <w:ilvl w:val="0"/>
          <w:numId w:val="2"/>
        </w:numPr>
      </w:pPr>
      <w:r>
        <w:rPr>
          <w:sz w:val="22"/>
          <w:szCs w:val="22"/>
        </w:rPr>
        <w:t xml:space="preserve">For each module, add one-line purpose and which roles see it.</w:t>
      </w:r>
    </w:p>
    <w:p>
      <w:pPr>
        <w:pStyle w:val="ListParagraph"/>
        <w:numPr>
          <w:ilvl w:val="0"/>
          <w:numId w:val="2"/>
        </w:numPr>
      </w:pPr>
      <w:r>
        <w:rPr>
          <w:sz w:val="22"/>
          <w:szCs w:val="22"/>
        </w:rPr>
        <w:t xml:space="preserve">If a nav item changes behavior based on role, duplicate the row and mark the role.</w:t>
      </w:r>
    </w:p>
    <w:p>
      <w:pPr>
        <w:pStyle w:val="Heading2"/>
      </w:pPr>
      <w:r>
        <w:t xml:space="preserve">1.2  Enumerate roles</w:t>
      </w:r>
    </w:p>
    <w:p>
      <w:pPr>
        <w:spacing w:after="120"/>
      </w:pPr>
      <w:r>
        <w:rPr>
          <w:sz w:val="22"/>
          <w:szCs w:val="22"/>
        </w:rPr>
        <w:t xml:space="preserve">Open Users / Roles / Permissions admin. Export the role list. In Roles_Permissions, add every role you find. Common ones for mental-health practices:</w:t>
      </w:r>
    </w:p>
    <w:p>
      <w:pPr>
        <w:pStyle w:val="ListParagraph"/>
        <w:numPr>
          <w:ilvl w:val="0"/>
          <w:numId w:val="2"/>
        </w:numPr>
      </w:pPr>
      <w:r>
        <w:rPr>
          <w:sz w:val="22"/>
          <w:szCs w:val="22"/>
        </w:rPr>
        <w:t xml:space="preserve">Psychiatrist (prescriber)</w:t>
      </w:r>
    </w:p>
    <w:p>
      <w:pPr>
        <w:pStyle w:val="ListParagraph"/>
        <w:numPr>
          <w:ilvl w:val="0"/>
          <w:numId w:val="2"/>
        </w:numPr>
      </w:pPr>
      <w:r>
        <w:rPr>
          <w:sz w:val="22"/>
          <w:szCs w:val="22"/>
        </w:rPr>
        <w:t xml:space="preserve">Psychologist (non-prescriber, may do testing)</w:t>
      </w:r>
    </w:p>
    <w:p>
      <w:pPr>
        <w:pStyle w:val="ListParagraph"/>
        <w:numPr>
          <w:ilvl w:val="0"/>
          <w:numId w:val="2"/>
        </w:numPr>
      </w:pPr>
      <w:r>
        <w:rPr>
          <w:sz w:val="22"/>
          <w:szCs w:val="22"/>
        </w:rPr>
        <w:t xml:space="preserve">Therapist / LCSW / LMFT / LPC</w:t>
      </w:r>
    </w:p>
    <w:p>
      <w:pPr>
        <w:pStyle w:val="ListParagraph"/>
        <w:numPr>
          <w:ilvl w:val="0"/>
          <w:numId w:val="2"/>
        </w:numPr>
      </w:pPr>
      <w:r>
        <w:rPr>
          <w:sz w:val="22"/>
          <w:szCs w:val="22"/>
        </w:rPr>
        <w:t xml:space="preserve">Intern / supervisee (needs co-sign)</w:t>
      </w:r>
    </w:p>
    <w:p>
      <w:pPr>
        <w:pStyle w:val="ListParagraph"/>
        <w:numPr>
          <w:ilvl w:val="0"/>
          <w:numId w:val="2"/>
        </w:numPr>
      </w:pPr>
      <w:r>
        <w:rPr>
          <w:sz w:val="22"/>
          <w:szCs w:val="22"/>
        </w:rPr>
        <w:t xml:space="preserve">Front desk / scheduler</w:t>
      </w:r>
    </w:p>
    <w:p>
      <w:pPr>
        <w:pStyle w:val="ListParagraph"/>
        <w:numPr>
          <w:ilvl w:val="0"/>
          <w:numId w:val="2"/>
        </w:numPr>
      </w:pPr>
      <w:r>
        <w:rPr>
          <w:sz w:val="22"/>
          <w:szCs w:val="22"/>
        </w:rPr>
        <w:t xml:space="preserve">Biller</w:t>
      </w:r>
    </w:p>
    <w:p>
      <w:pPr>
        <w:pStyle w:val="ListParagraph"/>
        <w:numPr>
          <w:ilvl w:val="0"/>
          <w:numId w:val="2"/>
        </w:numPr>
      </w:pPr>
      <w:r>
        <w:rPr>
          <w:sz w:val="22"/>
          <w:szCs w:val="22"/>
        </w:rPr>
        <w:t xml:space="preserve">Practice manager / admin</w:t>
      </w:r>
    </w:p>
    <w:p>
      <w:pPr>
        <w:pStyle w:val="ListParagraph"/>
        <w:numPr>
          <w:ilvl w:val="0"/>
          <w:numId w:val="2"/>
        </w:numPr>
      </w:pPr>
      <w:r>
        <w:rPr>
          <w:sz w:val="22"/>
          <w:szCs w:val="22"/>
        </w:rPr>
        <w:t xml:space="preserve">Optional: Clinical supervisor, Medical director, External referring provider (read-only)</w:t>
      </w:r>
    </w:p>
    <w:p>
      <w:pPr>
        <w:spacing w:after="120"/>
      </w:pPr>
      <w:r>
        <w:rPr>
          <w:sz w:val="22"/>
          <w:szCs w:val="22"/>
        </w:rPr>
        <w:t xml:space="preserve">Note which roles are first-class (have their own permission set) versus derived from a generic "staff" bucket. This decision has huge downstream implications.</w:t>
      </w:r>
    </w:p>
    <w:p>
      <w:pPr>
        <w:pStyle w:val="Heading2"/>
      </w:pPr>
      <w:r>
        <w:t xml:space="preserve">1.3  Log in as each role</w:t>
      </w:r>
    </w:p>
    <w:p>
      <w:pPr>
        <w:spacing w:after="120"/>
      </w:pPr>
      <w:r>
        <w:rPr>
          <w:sz w:val="22"/>
          <w:szCs w:val="22"/>
        </w:rPr>
        <w:t xml:space="preserve">This is the step most teams skip. Create a test user for each role and log in as them. Screenshots taken only as admin hide entire workflows. Pay attention to:</w:t>
      </w:r>
    </w:p>
    <w:p>
      <w:pPr>
        <w:pStyle w:val="ListParagraph"/>
        <w:numPr>
          <w:ilvl w:val="0"/>
          <w:numId w:val="2"/>
        </w:numPr>
      </w:pPr>
      <w:r>
        <w:rPr>
          <w:sz w:val="22"/>
          <w:szCs w:val="22"/>
        </w:rPr>
        <w:t xml:space="preserve">What menu items disappear.</w:t>
      </w:r>
    </w:p>
    <w:p>
      <w:pPr>
        <w:pStyle w:val="ListParagraph"/>
        <w:numPr>
          <w:ilvl w:val="0"/>
          <w:numId w:val="2"/>
        </w:numPr>
      </w:pPr>
      <w:r>
        <w:rPr>
          <w:sz w:val="22"/>
          <w:szCs w:val="22"/>
        </w:rPr>
        <w:t xml:space="preserve">What data is masked or redacted.</w:t>
      </w:r>
    </w:p>
    <w:p>
      <w:pPr>
        <w:pStyle w:val="ListParagraph"/>
        <w:numPr>
          <w:ilvl w:val="0"/>
          <w:numId w:val="2"/>
        </w:numPr>
      </w:pPr>
      <w:r>
        <w:rPr>
          <w:sz w:val="22"/>
          <w:szCs w:val="22"/>
        </w:rPr>
        <w:t xml:space="preserve">Whether the default landing page changes.</w:t>
      </w:r>
    </w:p>
    <w:p>
      <w:pPr>
        <w:pStyle w:val="ListParagraph"/>
        <w:numPr>
          <w:ilvl w:val="0"/>
          <w:numId w:val="2"/>
        </w:numPr>
      </w:pPr>
      <w:r>
        <w:rPr>
          <w:sz w:val="22"/>
          <w:szCs w:val="22"/>
        </w:rPr>
        <w:t xml:space="preserve">Whether dashboards / todos differ per role.</w:t>
      </w:r>
    </w:p>
    <w:p>
      <w:pPr>
        <w:pStyle w:val="Heading2"/>
      </w:pPr>
      <w:r>
        <w:t xml:space="preserve">1.4  Produce a one-page module map per CRM</w:t>
      </w:r>
    </w:p>
    <w:p>
      <w:pPr>
        <w:spacing w:after="120"/>
      </w:pPr>
      <w:r>
        <w:rPr>
          <w:sz w:val="22"/>
          <w:szCs w:val="22"/>
        </w:rPr>
        <w:t xml:space="preserve">At the end of Phase 1 you should be able to describe each CRM in a single page: the 8–15 top-level modules, what each does, who uses it. If you cannot, do not advance to Phase 2.</w:t>
      </w:r>
    </w:p>
    <w:p>
      <w:r>
        <w:br w:type="page"/>
      </w:r>
    </w:p>
    <w:p>
      <w:pPr>
        <w:pStyle w:val="Heading1"/>
      </w:pPr>
      <w:r>
        <w:t xml:space="preserve">Phase 2 — Deep capture</w:t>
      </w:r>
    </w:p>
    <w:p>
      <w:pPr>
        <w:spacing w:after="120"/>
      </w:pPr>
      <w:r>
        <w:rPr>
          <w:sz w:val="22"/>
          <w:szCs w:val="22"/>
        </w:rPr>
        <w:t xml:space="preserve">Now you go deep. Do one CRM end-to-end before starting the other; context-switching between two unfamiliar systems creates blind spots.</w:t>
      </w:r>
    </w:p>
    <w:p>
      <w:pPr>
        <w:pStyle w:val="Heading2"/>
      </w:pPr>
      <w:r>
        <w:t xml:space="preserve">2.1  Screens inventory</w:t>
      </w:r>
    </w:p>
    <w:p>
      <w:pPr>
        <w:spacing w:after="120"/>
      </w:pPr>
      <w:r>
        <w:rPr>
          <w:sz w:val="22"/>
          <w:szCs w:val="22"/>
        </w:rPr>
        <w:t xml:space="preserve">Walk every screen in the CRM systematically, module by module. For each screen, fill a row in Screens_Inventory with:</w:t>
      </w:r>
    </w:p>
    <w:p>
      <w:pPr>
        <w:pStyle w:val="ListParagraph"/>
        <w:numPr>
          <w:ilvl w:val="0"/>
          <w:numId w:val="2"/>
        </w:numPr>
      </w:pPr>
      <w:r>
        <w:rPr>
          <w:sz w:val="22"/>
          <w:szCs w:val="22"/>
        </w:rPr>
        <w:t xml:space="preserve">Screen name and path (how to navigate there).</w:t>
      </w:r>
    </w:p>
    <w:p>
      <w:pPr>
        <w:pStyle w:val="ListParagraph"/>
        <w:numPr>
          <w:ilvl w:val="0"/>
          <w:numId w:val="2"/>
        </w:numPr>
      </w:pPr>
      <w:r>
        <w:rPr>
          <w:sz w:val="22"/>
          <w:szCs w:val="22"/>
        </w:rPr>
        <w:t xml:space="preserve">Primary purpose in one sentence.</w:t>
      </w:r>
    </w:p>
    <w:p>
      <w:pPr>
        <w:pStyle w:val="ListParagraph"/>
        <w:numPr>
          <w:ilvl w:val="0"/>
          <w:numId w:val="2"/>
        </w:numPr>
      </w:pPr>
      <w:r>
        <w:rPr>
          <w:sz w:val="22"/>
          <w:szCs w:val="22"/>
        </w:rPr>
        <w:t xml:space="preserve">Key UI elements (tabs, panels, modals, tables, action buttons, filters).</w:t>
      </w:r>
    </w:p>
    <w:p>
      <w:pPr>
        <w:pStyle w:val="ListParagraph"/>
        <w:numPr>
          <w:ilvl w:val="0"/>
          <w:numId w:val="2"/>
        </w:numPr>
      </w:pPr>
      <w:r>
        <w:rPr>
          <w:sz w:val="22"/>
          <w:szCs w:val="22"/>
        </w:rPr>
        <w:t xml:space="preserve">Data shown (what fields are visible).</w:t>
      </w:r>
    </w:p>
    <w:p>
      <w:pPr>
        <w:pStyle w:val="ListParagraph"/>
        <w:numPr>
          <w:ilvl w:val="0"/>
          <w:numId w:val="2"/>
        </w:numPr>
      </w:pPr>
      <w:r>
        <w:rPr>
          <w:sz w:val="22"/>
          <w:szCs w:val="22"/>
        </w:rPr>
        <w:t xml:space="preserve">Actions available from this screen.</w:t>
      </w:r>
    </w:p>
    <w:p>
      <w:pPr>
        <w:pStyle w:val="ListParagraph"/>
        <w:numPr>
          <w:ilvl w:val="0"/>
          <w:numId w:val="2"/>
        </w:numPr>
      </w:pPr>
      <w:r>
        <w:rPr>
          <w:sz w:val="22"/>
          <w:szCs w:val="22"/>
        </w:rPr>
        <w:t xml:space="preserve">Observations / pain points — what is awkward, missing, or unclear.</w:t>
      </w:r>
    </w:p>
    <w:p>
      <w:pPr>
        <w:pStyle w:val="ListParagraph"/>
        <w:numPr>
          <w:ilvl w:val="0"/>
          <w:numId w:val="2"/>
        </w:numPr>
      </w:pPr>
      <w:r>
        <w:rPr>
          <w:sz w:val="22"/>
          <w:szCs w:val="22"/>
        </w:rPr>
        <w:t xml:space="preserve">Screenshot filename you captured.</w:t>
      </w:r>
    </w:p>
    <w:p>
      <w:pPr>
        <w:spacing w:after="120"/>
      </w:pPr>
      <w:r>
        <w:rPr>
          <w:sz w:val="22"/>
          <w:szCs w:val="22"/>
        </w:rPr>
        <w:t xml:space="preserve">Rule of thumb: if a screen has a noticeably different layout or data set, it is a distinct screen. Do not collapse.</w:t>
      </w:r>
    </w:p>
    <w:p>
      <w:pPr>
        <w:pStyle w:val="Heading2"/>
      </w:pPr>
      <w:r>
        <w:t xml:space="preserve">2.2  Feature inventory</w:t>
      </w:r>
    </w:p>
    <w:p>
      <w:pPr>
        <w:spacing w:after="120"/>
      </w:pPr>
      <w:r>
        <w:rPr>
          <w:sz w:val="22"/>
          <w:szCs w:val="22"/>
        </w:rPr>
        <w:t xml:space="preserve">Open Feature_Matrix in the workbook. It already has ~65 seeded rows covering the core modules. For each row, mark whether CRM A has it, whether CRM B has it, and a subjective 1-5 quality score. Do not fill the Decision or Priority columns yet.</w:t>
      </w:r>
    </w:p>
    <w:p>
      <w:pPr>
        <w:spacing w:after="120"/>
      </w:pPr>
      <w:r>
        <w:rPr>
          <w:sz w:val="22"/>
          <w:szCs w:val="22"/>
        </w:rPr>
        <w:t xml:space="preserve">Add new rows whenever you find a capability that is not already listed. By the end of scanning you should have 100–200 rows.</w:t>
      </w:r>
    </w:p>
    <w:p>
      <w:pPr>
        <w:spacing w:after="120"/>
      </w:pPr>
      <w:r>
        <w:rPr>
          <w:sz w:val="22"/>
          <w:szCs w:val="22"/>
        </w:rPr>
        <w:t xml:space="preserve">Quality scoring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Score</w:t>
            </w:r>
          </w:p>
        </w:tc>
        <w:tc>
          <w:tcPr>
            <w:tcW w:type="dxa" w:w="7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Meaning</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Best-in-class. You would not touch this.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Good. Minor polish.</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Works, but you would redesign it.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Exists but frustrating.</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Technically present, unusable in practice.</w:t>
            </w:r>
          </w:p>
        </w:tc>
      </w:tr>
    </w:tbl>
    <w:p>
      <w:pPr>
        <w:pStyle w:val="Heading2"/>
      </w:pPr>
      <w:r>
        <w:t xml:space="preserve">2.3  Data model capture</w:t>
      </w:r>
    </w:p>
    <w:p>
      <w:pPr>
        <w:spacing w:after="120"/>
      </w:pPr>
      <w:r>
        <w:rPr>
          <w:sz w:val="22"/>
          <w:szCs w:val="22"/>
        </w:rPr>
        <w:t xml:space="preserve">Open the Data_Model sheet. For every entity (Patient, Appointment, Note, Diagnosis, Medication, Claim, etc.) list every field visible in the UI. If the CRM has a data-export / API / report-builder screen, use it — it surfaces fields the UI hides.</w:t>
      </w:r>
    </w:p>
    <w:p>
      <w:pPr>
        <w:pStyle w:val="ListParagraph"/>
        <w:numPr>
          <w:ilvl w:val="0"/>
          <w:numId w:val="2"/>
        </w:numPr>
      </w:pPr>
      <w:r>
        <w:rPr>
          <w:sz w:val="22"/>
          <w:szCs w:val="22"/>
        </w:rPr>
        <w:t xml:space="preserve">Flag every field that is PHI (anything that identifies a patient or relates to their care) or PII.</w:t>
      </w:r>
    </w:p>
    <w:p>
      <w:pPr>
        <w:pStyle w:val="ListParagraph"/>
        <w:numPr>
          <w:ilvl w:val="0"/>
          <w:numId w:val="2"/>
        </w:numPr>
      </w:pPr>
      <w:r>
        <w:rPr>
          <w:sz w:val="22"/>
          <w:szCs w:val="22"/>
        </w:rPr>
        <w:t xml:space="preserve">Record the field type (string, date, enum, json, relation) and any enum values.</w:t>
      </w:r>
    </w:p>
    <w:p>
      <w:pPr>
        <w:pStyle w:val="ListParagraph"/>
        <w:numPr>
          <w:ilvl w:val="0"/>
          <w:numId w:val="2"/>
        </w:numPr>
      </w:pPr>
      <w:r>
        <w:rPr>
          <w:sz w:val="22"/>
          <w:szCs w:val="22"/>
        </w:rPr>
        <w:t xml:space="preserve">Record relationships between entities (Patient → Appointments → Notes).</w:t>
      </w:r>
    </w:p>
    <w:p>
      <w:pPr>
        <w:pStyle w:val="ListParagraph"/>
        <w:numPr>
          <w:ilvl w:val="0"/>
          <w:numId w:val="2"/>
        </w:numPr>
      </w:pPr>
      <w:r>
        <w:rPr>
          <w:sz w:val="22"/>
          <w:szCs w:val="22"/>
        </w:rPr>
        <w:t xml:space="preserve">Mark which CRM the field came from — you will often find A has fields B does not, and vice versa.</w:t>
      </w:r>
    </w:p>
    <w:p>
      <w:pPr>
        <w:pStyle w:val="Heading2"/>
      </w:pPr>
      <w:r>
        <w:t xml:space="preserve">2.4  User flow capture</w:t>
      </w:r>
    </w:p>
    <w:p>
      <w:pPr>
        <w:spacing w:after="120"/>
      </w:pPr>
      <w:r>
        <w:rPr>
          <w:sz w:val="22"/>
          <w:szCs w:val="22"/>
        </w:rPr>
        <w:t xml:space="preserve">Screenshots are static. Flows are what actually matter. In User_Flows, capture the sequence of steps for each critical workflow:</w:t>
      </w:r>
    </w:p>
    <w:p>
      <w:pPr>
        <w:pStyle w:val="ListParagraph"/>
        <w:numPr>
          <w:ilvl w:val="0"/>
          <w:numId w:val="2"/>
        </w:numPr>
      </w:pPr>
      <w:r>
        <w:rPr>
          <w:sz w:val="22"/>
          <w:szCs w:val="22"/>
        </w:rPr>
        <w:t xml:space="preserve">New-patient intake (from first call through first appointment).</w:t>
      </w:r>
    </w:p>
    <w:p>
      <w:pPr>
        <w:pStyle w:val="ListParagraph"/>
        <w:numPr>
          <w:ilvl w:val="0"/>
          <w:numId w:val="2"/>
        </w:numPr>
      </w:pPr>
      <w:r>
        <w:rPr>
          <w:sz w:val="22"/>
          <w:szCs w:val="22"/>
        </w:rPr>
        <w:t xml:space="preserve">Appointment lifecycle (book → remind → confirm → check-in → complete → charge).</w:t>
      </w:r>
    </w:p>
    <w:p>
      <w:pPr>
        <w:pStyle w:val="ListParagraph"/>
        <w:numPr>
          <w:ilvl w:val="0"/>
          <w:numId w:val="2"/>
        </w:numPr>
      </w:pPr>
      <w:r>
        <w:rPr>
          <w:sz w:val="22"/>
          <w:szCs w:val="22"/>
        </w:rPr>
        <w:t xml:space="preserve">Clinical note creation and signing.</w:t>
      </w:r>
    </w:p>
    <w:p>
      <w:pPr>
        <w:pStyle w:val="ListParagraph"/>
        <w:numPr>
          <w:ilvl w:val="0"/>
          <w:numId w:val="2"/>
        </w:numPr>
      </w:pPr>
      <w:r>
        <w:rPr>
          <w:sz w:val="22"/>
          <w:szCs w:val="22"/>
        </w:rPr>
        <w:t xml:space="preserve">Co-sign / supervisor workflow (for interns and unlicensed staff).</w:t>
      </w:r>
    </w:p>
    <w:p>
      <w:pPr>
        <w:pStyle w:val="ListParagraph"/>
        <w:numPr>
          <w:ilvl w:val="0"/>
          <w:numId w:val="2"/>
        </w:numPr>
      </w:pPr>
      <w:r>
        <w:rPr>
          <w:sz w:val="22"/>
          <w:szCs w:val="22"/>
        </w:rPr>
        <w:t xml:space="preserve">Medication refill request.</w:t>
      </w:r>
    </w:p>
    <w:p>
      <w:pPr>
        <w:pStyle w:val="ListParagraph"/>
        <w:numPr>
          <w:ilvl w:val="0"/>
          <w:numId w:val="2"/>
        </w:numPr>
      </w:pPr>
      <w:r>
        <w:rPr>
          <w:sz w:val="22"/>
          <w:szCs w:val="22"/>
        </w:rPr>
        <w:t xml:space="preserve">Prescription issuance (including EPCS for controlled substances).</w:t>
      </w:r>
    </w:p>
    <w:p>
      <w:pPr>
        <w:pStyle w:val="ListParagraph"/>
        <w:numPr>
          <w:ilvl w:val="0"/>
          <w:numId w:val="2"/>
        </w:numPr>
      </w:pPr>
      <w:r>
        <w:rPr>
          <w:sz w:val="22"/>
          <w:szCs w:val="22"/>
        </w:rPr>
        <w:t xml:space="preserve">Assessment delivery and scoring.</w:t>
      </w:r>
    </w:p>
    <w:p>
      <w:pPr>
        <w:pStyle w:val="ListParagraph"/>
        <w:numPr>
          <w:ilvl w:val="0"/>
          <w:numId w:val="2"/>
        </w:numPr>
      </w:pPr>
      <w:r>
        <w:rPr>
          <w:sz w:val="22"/>
          <w:szCs w:val="22"/>
        </w:rPr>
        <w:t xml:space="preserve">Suicide-risk / safety-plan workflow.</w:t>
      </w:r>
    </w:p>
    <w:p>
      <w:pPr>
        <w:pStyle w:val="ListParagraph"/>
        <w:numPr>
          <w:ilvl w:val="0"/>
          <w:numId w:val="2"/>
        </w:numPr>
      </w:pPr>
      <w:r>
        <w:rPr>
          <w:sz w:val="22"/>
          <w:szCs w:val="22"/>
        </w:rPr>
        <w:t xml:space="preserve">Telehealth session join.</w:t>
      </w:r>
    </w:p>
    <w:p>
      <w:pPr>
        <w:pStyle w:val="ListParagraph"/>
        <w:numPr>
          <w:ilvl w:val="0"/>
          <w:numId w:val="2"/>
        </w:numPr>
      </w:pPr>
      <w:r>
        <w:rPr>
          <w:sz w:val="22"/>
          <w:szCs w:val="22"/>
        </w:rPr>
        <w:t xml:space="preserve">Billing cycle (charge → claim → ERA → posting).</w:t>
      </w:r>
    </w:p>
    <w:p>
      <w:pPr>
        <w:pStyle w:val="ListParagraph"/>
        <w:numPr>
          <w:ilvl w:val="0"/>
          <w:numId w:val="2"/>
        </w:numPr>
      </w:pPr>
      <w:r>
        <w:rPr>
          <w:sz w:val="22"/>
          <w:szCs w:val="22"/>
        </w:rPr>
        <w:t xml:space="preserve">Patient portal: self-schedule, intake forms, messaging, bill pay.</w:t>
      </w:r>
    </w:p>
    <w:p>
      <w:pPr>
        <w:pStyle w:val="ListParagraph"/>
        <w:numPr>
          <w:ilvl w:val="0"/>
          <w:numId w:val="2"/>
        </w:numPr>
      </w:pPr>
      <w:r>
        <w:rPr>
          <w:sz w:val="22"/>
          <w:szCs w:val="22"/>
        </w:rPr>
        <w:t xml:space="preserve">Release of records to another provider.</w:t>
      </w:r>
    </w:p>
    <w:p>
      <w:pPr>
        <w:spacing w:after="120"/>
      </w:pPr>
      <w:r>
        <w:rPr>
          <w:sz w:val="22"/>
          <w:szCs w:val="22"/>
        </w:rPr>
        <w:t xml:space="preserve">Record the workflow by role, step-by-step, with the system response at each step. Capture at least one loom/video per major flow. Videos often reveal that what looks like one button press is actually a three-modal dance.</w:t>
      </w:r>
    </w:p>
    <w:p>
      <w:pPr>
        <w:pStyle w:val="Heading2"/>
      </w:pPr>
      <w:r>
        <w:t xml:space="preserve">2.5  Permissions capture</w:t>
      </w:r>
    </w:p>
    <w:p>
      <w:pPr>
        <w:spacing w:after="120"/>
      </w:pPr>
      <w:r>
        <w:rPr>
          <w:sz w:val="22"/>
          <w:szCs w:val="22"/>
        </w:rPr>
        <w:t xml:space="preserve">In Roles_Permissions, go capability-by-capability and mark what each role can do: Full / Read / Own-only / No. "Own-only" means e.g. a psychiatrist can only see notes they authored. This column saves major rework later.</w:t>
      </w:r>
    </w:p>
    <w:p>
      <w:pPr>
        <w:pStyle w:val="Heading2"/>
      </w:pPr>
      <w:r>
        <w:t xml:space="preserve">2.6  Integrations capture</w:t>
      </w:r>
    </w:p>
    <w:p>
      <w:pPr>
        <w:spacing w:after="120"/>
      </w:pPr>
      <w:r>
        <w:rPr>
          <w:sz w:val="22"/>
          <w:szCs w:val="22"/>
        </w:rPr>
        <w:t xml:space="preserve">Open Integrations. For each CRM, enumerate every external system it connects to — check the Settings &gt; Integrations screen, then cross-check by looking for telltale data (RxNorm codes → e-Rx; ERA files → clearinghouse; video URLs → telehealth). Note:</w:t>
      </w:r>
    </w:p>
    <w:p>
      <w:pPr>
        <w:pStyle w:val="ListParagraph"/>
        <w:numPr>
          <w:ilvl w:val="0"/>
          <w:numId w:val="2"/>
        </w:numPr>
      </w:pPr>
      <w:r>
        <w:rPr>
          <w:sz w:val="22"/>
          <w:szCs w:val="22"/>
        </w:rPr>
        <w:t xml:space="preserve">Category (identity, clinical, billing, comms).</w:t>
      </w:r>
    </w:p>
    <w:p>
      <w:pPr>
        <w:pStyle w:val="ListParagraph"/>
        <w:numPr>
          <w:ilvl w:val="0"/>
          <w:numId w:val="2"/>
        </w:numPr>
      </w:pPr>
      <w:r>
        <w:rPr>
          <w:sz w:val="22"/>
          <w:szCs w:val="22"/>
        </w:rPr>
        <w:t xml:space="preserve">Specific vendor (Surescripts, Availity, Twilio, Stripe).</w:t>
      </w:r>
    </w:p>
    <w:p>
      <w:pPr>
        <w:pStyle w:val="ListParagraph"/>
        <w:numPr>
          <w:ilvl w:val="0"/>
          <w:numId w:val="2"/>
        </w:numPr>
      </w:pPr>
      <w:r>
        <w:rPr>
          <w:sz w:val="22"/>
          <w:szCs w:val="22"/>
        </w:rPr>
        <w:t xml:space="preserve">Direction: inbound, outbound, or both.</w:t>
      </w:r>
    </w:p>
    <w:p>
      <w:pPr>
        <w:pStyle w:val="ListParagraph"/>
        <w:numPr>
          <w:ilvl w:val="0"/>
          <w:numId w:val="2"/>
        </w:numPr>
      </w:pPr>
      <w:r>
        <w:rPr>
          <w:sz w:val="22"/>
          <w:szCs w:val="22"/>
        </w:rPr>
        <w:t xml:space="preserve">Protocol (HL7, FHIR, X12, REST, SFTP).</w:t>
      </w:r>
    </w:p>
    <w:p>
      <w:pPr>
        <w:pStyle w:val="ListParagraph"/>
        <w:numPr>
          <w:ilvl w:val="0"/>
          <w:numId w:val="2"/>
        </w:numPr>
      </w:pPr>
      <w:r>
        <w:rPr>
          <w:sz w:val="22"/>
          <w:szCs w:val="22"/>
        </w:rPr>
        <w:t xml:space="preserve">Whether a BAA is in place — critical for HIPAA.</w:t>
      </w:r>
    </w:p>
    <w:p>
      <w:pPr>
        <w:pStyle w:val="Heading2"/>
      </w:pPr>
      <w:r>
        <w:t xml:space="preserve">2.7  Exports, reports, and hidden surface area</w:t>
      </w:r>
    </w:p>
    <w:p>
      <w:pPr>
        <w:spacing w:after="120"/>
      </w:pPr>
      <w:r>
        <w:rPr>
          <w:sz w:val="22"/>
          <w:szCs w:val="22"/>
        </w:rPr>
        <w:t xml:space="preserve">Three places where important features hide:</w:t>
      </w:r>
    </w:p>
    <w:p>
      <w:pPr>
        <w:pStyle w:val="ListParagraph"/>
        <w:numPr>
          <w:ilvl w:val="0"/>
          <w:numId w:val="2"/>
        </w:numPr>
      </w:pPr>
      <w:r>
        <w:rPr>
          <w:sz w:val="22"/>
          <w:szCs w:val="22"/>
        </w:rPr>
        <w:t xml:space="preserve">Reports / Analytics — reveals fields and aggregations the UI does not.</w:t>
      </w:r>
    </w:p>
    <w:p>
      <w:pPr>
        <w:pStyle w:val="ListParagraph"/>
        <w:numPr>
          <w:ilvl w:val="0"/>
          <w:numId w:val="2"/>
        </w:numPr>
      </w:pPr>
      <w:r>
        <w:rPr>
          <w:sz w:val="22"/>
          <w:szCs w:val="22"/>
        </w:rPr>
        <w:t xml:space="preserve">Admin settings — workflow configuration, alerts, automations, templates.</w:t>
      </w:r>
    </w:p>
    <w:p>
      <w:pPr>
        <w:pStyle w:val="ListParagraph"/>
        <w:numPr>
          <w:ilvl w:val="0"/>
          <w:numId w:val="2"/>
        </w:numPr>
      </w:pPr>
      <w:r>
        <w:rPr>
          <w:sz w:val="22"/>
          <w:szCs w:val="22"/>
        </w:rPr>
        <w:t xml:space="preserve">Data export / API docs — surfaces the true data model.</w:t>
      </w:r>
    </w:p>
    <w:p>
      <w:pPr>
        <w:spacing w:after="120"/>
      </w:pPr>
      <w:r>
        <w:rPr>
          <w:sz w:val="22"/>
          <w:szCs w:val="22"/>
        </w:rPr>
        <w:t xml:space="preserve">Do not skip these. Practices often customize behavior that only appears in obscure settings.</w:t>
      </w:r>
    </w:p>
    <w:p>
      <w:pPr>
        <w:pStyle w:val="Heading2"/>
      </w:pPr>
      <w:r>
        <w:t xml:space="preserve">2.8  Pain-point interviews</w:t>
      </w:r>
    </w:p>
    <w:p>
      <w:pPr>
        <w:spacing w:after="120"/>
      </w:pPr>
      <w:r>
        <w:rPr>
          <w:sz w:val="22"/>
          <w:szCs w:val="22"/>
        </w:rPr>
        <w:t xml:space="preserve">Your staff are the most valuable data source. Schedule 30-minute interviews with at least one person per role. Ask them:</w:t>
      </w:r>
    </w:p>
    <w:p>
      <w:pPr>
        <w:pStyle w:val="ListParagraph"/>
        <w:numPr>
          <w:ilvl w:val="0"/>
          <w:numId w:val="2"/>
        </w:numPr>
      </w:pPr>
      <w:r>
        <w:rPr>
          <w:sz w:val="22"/>
          <w:szCs w:val="22"/>
        </w:rPr>
        <w:t xml:space="preserve">"Walk me through a typical day in this tool."</w:t>
      </w:r>
    </w:p>
    <w:p>
      <w:pPr>
        <w:pStyle w:val="ListParagraph"/>
        <w:numPr>
          <w:ilvl w:val="0"/>
          <w:numId w:val="2"/>
        </w:numPr>
      </w:pPr>
      <w:r>
        <w:rPr>
          <w:sz w:val="22"/>
          <w:szCs w:val="22"/>
        </w:rPr>
        <w:t xml:space="preserve">"What do you do that feels stupid or repetitive?"</w:t>
      </w:r>
    </w:p>
    <w:p>
      <w:pPr>
        <w:pStyle w:val="ListParagraph"/>
        <w:numPr>
          <w:ilvl w:val="0"/>
          <w:numId w:val="2"/>
        </w:numPr>
      </w:pPr>
      <w:r>
        <w:rPr>
          <w:sz w:val="22"/>
          <w:szCs w:val="22"/>
        </w:rPr>
        <w:t xml:space="preserve">"What does the tool not let you do that you wish it would?"</w:t>
      </w:r>
    </w:p>
    <w:p>
      <w:pPr>
        <w:pStyle w:val="ListParagraph"/>
        <w:numPr>
          <w:ilvl w:val="0"/>
          <w:numId w:val="2"/>
        </w:numPr>
      </w:pPr>
      <w:r>
        <w:rPr>
          <w:sz w:val="22"/>
          <w:szCs w:val="22"/>
        </w:rPr>
        <w:t xml:space="preserve">"What do you do outside the tool — in a spreadsheet, on paper, in your head — because the tool cannot?"</w:t>
      </w:r>
    </w:p>
    <w:p>
      <w:pPr>
        <w:pStyle w:val="ListParagraph"/>
        <w:numPr>
          <w:ilvl w:val="0"/>
          <w:numId w:val="2"/>
        </w:numPr>
      </w:pPr>
      <w:r>
        <w:rPr>
          <w:sz w:val="22"/>
          <w:szCs w:val="22"/>
        </w:rPr>
        <w:t xml:space="preserve">"If I gave you one wish for this tool, what would it be?"</w:t>
      </w:r>
    </w:p>
    <w:p>
      <w:pPr>
        <w:spacing w:after="120"/>
      </w:pPr>
      <w:r>
        <w:rPr>
          <w:sz w:val="22"/>
          <w:szCs w:val="22"/>
        </w:rPr>
        <w:t xml:space="preserve">Record the conversations (with consent). Transcribe. Put observations in Pain_Points_Flair. The last question tends to produce your best flair ideas.</w:t>
      </w:r>
    </w:p>
    <w:p>
      <w:r>
        <w:br w:type="page"/>
      </w:r>
    </w:p>
    <w:p>
      <w:pPr>
        <w:pStyle w:val="Heading1"/>
      </w:pPr>
      <w:r>
        <w:t xml:space="preserve">Phase 3 — Synthesis &amp; decisions</w:t>
      </w:r>
    </w:p>
    <w:p>
      <w:pPr>
        <w:spacing w:after="120"/>
      </w:pPr>
      <w:r>
        <w:rPr>
          <w:sz w:val="22"/>
          <w:szCs w:val="22"/>
        </w:rPr>
        <w:t xml:space="preserve">Now both CRMs are captured. Put them side by side and decide.</w:t>
      </w:r>
    </w:p>
    <w:p>
      <w:pPr>
        <w:pStyle w:val="Heading2"/>
      </w:pPr>
      <w:r>
        <w:t xml:space="preserve">3.1  Run the Decision Grid</w:t>
      </w:r>
    </w:p>
    <w:p>
      <w:pPr>
        <w:spacing w:after="120"/>
      </w:pPr>
      <w:r>
        <w:rPr>
          <w:sz w:val="22"/>
          <w:szCs w:val="22"/>
        </w:rPr>
        <w:t xml:space="preserve">Work row-by-row through Feature_Matrix. For each feature, pick one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Decision</w:t>
            </w:r>
          </w:p>
        </w:tc>
        <w:tc>
          <w:tcPr>
            <w:tcW w:type="dxa" w:w="7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When to pick 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Keep as-is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Both CRMs do it similarly; a proven, boring implementation is fine.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Keep-from-A</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does it clearly better. Copy A's model.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Keep-from-B</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 does it clearly better. Copy B's model.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Modify / combine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You want A's structure + B's UX, or an improvement on both.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Discard</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Neither implementation is worth replicating; the feature is low value; or it's redundant with something else you are keeping.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New (our flair)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Not present (or present poorly) in either; this is your differentiator.</w:t>
            </w:r>
          </w:p>
        </w:tc>
      </w:tr>
    </w:tbl>
    <w:p>
      <w:pPr>
        <w:spacing w:after="120"/>
      </w:pPr>
      <w:r>
        <w:rPr>
          <w:sz w:val="22"/>
          <w:szCs w:val="22"/>
        </w:rPr>
        <w:t xml:space="preserve">Then set Priority: MVP, V1, V2, or Cut.</w:t>
      </w:r>
    </w:p>
    <w:p>
      <w:pPr>
        <w:pStyle w:val="ListParagraph"/>
        <w:numPr>
          <w:ilvl w:val="0"/>
          <w:numId w:val="2"/>
        </w:numPr>
      </w:pPr>
      <w:r>
        <w:rPr>
          <w:sz w:val="22"/>
          <w:szCs w:val="22"/>
        </w:rPr>
        <w:t xml:space="preserve">MVP: if missing, the practice cannot operate at all.</w:t>
      </w:r>
    </w:p>
    <w:p>
      <w:pPr>
        <w:pStyle w:val="ListParagraph"/>
        <w:numPr>
          <w:ilvl w:val="0"/>
          <w:numId w:val="2"/>
        </w:numPr>
      </w:pPr>
      <w:r>
        <w:rPr>
          <w:sz w:val="22"/>
          <w:szCs w:val="22"/>
        </w:rPr>
        <w:t xml:space="preserve">V1: major workflow accelerator; expected by staff within months.</w:t>
      </w:r>
    </w:p>
    <w:p>
      <w:pPr>
        <w:pStyle w:val="ListParagraph"/>
        <w:numPr>
          <w:ilvl w:val="0"/>
          <w:numId w:val="2"/>
        </w:numPr>
      </w:pPr>
      <w:r>
        <w:rPr>
          <w:sz w:val="22"/>
          <w:szCs w:val="22"/>
        </w:rPr>
        <w:t xml:space="preserve">V2: nice to have, flair items, differentiators that are not urgent.</w:t>
      </w:r>
    </w:p>
    <w:p>
      <w:pPr>
        <w:pStyle w:val="ListParagraph"/>
        <w:numPr>
          <w:ilvl w:val="0"/>
          <w:numId w:val="2"/>
        </w:numPr>
      </w:pPr>
      <w:r>
        <w:rPr>
          <w:sz w:val="22"/>
          <w:szCs w:val="22"/>
        </w:rPr>
        <w:t xml:space="preserve">Cut: sounded good; on reflection, not worth it.</w:t>
      </w:r>
    </w:p>
    <w:p>
      <w:pPr>
        <w:pStyle w:val="Heading2"/>
      </w:pPr>
      <w:r>
        <w:t xml:space="preserve">3.2  Guard against feature envy</w:t>
      </w:r>
    </w:p>
    <w:p>
      <w:pPr>
        <w:spacing w:after="120"/>
      </w:pPr>
      <w:r>
        <w:rPr>
          <w:sz w:val="22"/>
          <w:szCs w:val="22"/>
        </w:rPr>
        <w:t xml:space="preserve">The most common failure in this process is copying both CRMs completely plus adding flair. The resulting product is three times the scope and ships late or not at all. Use these guardrails:</w:t>
      </w:r>
    </w:p>
    <w:p>
      <w:pPr>
        <w:pBdr>
          <w:left w:val="single" w:color="4A7FB0" w:sz="12" w:space="12"/>
        </w:pBdr>
        <w:spacing w:after="120" w:before="60"/>
        <w:ind w:left="360"/>
      </w:pPr>
      <w:r>
        <w:rPr>
          <w:i/>
          <w:iCs/>
          <w:color w:val="444444"/>
          <w:sz w:val="22"/>
          <w:szCs w:val="22"/>
        </w:rPr>
        <w:t xml:space="preserve">If a feature is in both CRMs but neither of your clinicians has mentioned it in interviews, default to "Discard" or "V2". Presence in existing tools is not evidence of value.</w:t>
      </w:r>
    </w:p>
    <w:p>
      <w:pPr>
        <w:pStyle w:val="ListParagraph"/>
        <w:numPr>
          <w:ilvl w:val="0"/>
          <w:numId w:val="2"/>
        </w:numPr>
      </w:pPr>
      <w:r>
        <w:rPr>
          <w:sz w:val="22"/>
          <w:szCs w:val="22"/>
        </w:rPr>
        <w:t xml:space="preserve">Set a hard MVP budget (e.g., "MVP = 30–40 features maximum"). If it doesn't fit, something must be cut, not deferred.</w:t>
      </w:r>
    </w:p>
    <w:p>
      <w:pPr>
        <w:pStyle w:val="ListParagraph"/>
        <w:numPr>
          <w:ilvl w:val="0"/>
          <w:numId w:val="2"/>
        </w:numPr>
      </w:pPr>
      <w:r>
        <w:rPr>
          <w:sz w:val="22"/>
          <w:szCs w:val="22"/>
        </w:rPr>
        <w:t xml:space="preserve">For every "New (our flair)" item, name one feature you will discard to pay for it.</w:t>
      </w:r>
    </w:p>
    <w:p>
      <w:pPr>
        <w:pStyle w:val="Heading2"/>
      </w:pPr>
      <w:r>
        <w:t xml:space="preserve">3.3  Document every decision</w:t>
      </w:r>
    </w:p>
    <w:p>
      <w:pPr>
        <w:spacing w:after="120"/>
      </w:pPr>
      <w:r>
        <w:rPr>
          <w:sz w:val="22"/>
          <w:szCs w:val="22"/>
        </w:rPr>
        <w:t xml:space="preserve">Open Decisions_Log. Every non-trivial decision gets a row: date, feature, decision, rationale, impact-if-wrong. In two months you will forget why you chose what you did, and the log saves arguments.</w:t>
      </w:r>
    </w:p>
    <w:p>
      <w:r>
        <w:br w:type="page"/>
      </w:r>
    </w:p>
    <w:p>
      <w:pPr>
        <w:pStyle w:val="Heading1"/>
      </w:pPr>
      <w:r>
        <w:t xml:space="preserve">Phase 4 — Design</w:t>
      </w:r>
    </w:p>
    <w:p>
      <w:pPr>
        <w:pStyle w:val="Heading2"/>
      </w:pPr>
      <w:r>
        <w:t xml:space="preserve">4.1  Unified data model</w:t>
      </w:r>
    </w:p>
    <w:p>
      <w:pPr>
        <w:spacing w:after="120"/>
      </w:pPr>
      <w:r>
        <w:rPr>
          <w:sz w:val="22"/>
          <w:szCs w:val="22"/>
        </w:rPr>
        <w:t xml:space="preserve">Take Data_Model and normalize across the two CRMs. For every entity:</w:t>
      </w:r>
    </w:p>
    <w:p>
      <w:pPr>
        <w:pStyle w:val="ListParagraph"/>
        <w:numPr>
          <w:ilvl w:val="0"/>
          <w:numId w:val="2"/>
        </w:numPr>
      </w:pPr>
      <w:r>
        <w:rPr>
          <w:sz w:val="22"/>
          <w:szCs w:val="22"/>
        </w:rPr>
        <w:t xml:space="preserve">Keep union of fields where both value them, intersection where both bloat.</w:t>
      </w:r>
    </w:p>
    <w:p>
      <w:pPr>
        <w:pStyle w:val="ListParagraph"/>
        <w:numPr>
          <w:ilvl w:val="0"/>
          <w:numId w:val="2"/>
        </w:numPr>
      </w:pPr>
      <w:r>
        <w:rPr>
          <w:sz w:val="22"/>
          <w:szCs w:val="22"/>
        </w:rPr>
        <w:t xml:space="preserve">Resolve naming (use one vocabulary — probably ICD/DSM/FHIR aligned where possible).</w:t>
      </w:r>
    </w:p>
    <w:p>
      <w:pPr>
        <w:pStyle w:val="ListParagraph"/>
        <w:numPr>
          <w:ilvl w:val="0"/>
          <w:numId w:val="2"/>
        </w:numPr>
      </w:pPr>
      <w:r>
        <w:rPr>
          <w:sz w:val="22"/>
          <w:szCs w:val="22"/>
        </w:rPr>
        <w:t xml:space="preserve">Flag every field: PHI, PII, high-risk (SSN, DEA, full insurance), low-risk.</w:t>
      </w:r>
    </w:p>
    <w:p>
      <w:pPr>
        <w:pStyle w:val="ListParagraph"/>
        <w:numPr>
          <w:ilvl w:val="0"/>
          <w:numId w:val="2"/>
        </w:numPr>
      </w:pPr>
      <w:r>
        <w:rPr>
          <w:sz w:val="22"/>
          <w:szCs w:val="22"/>
        </w:rPr>
        <w:t xml:space="preserve">Define enum values fully — do not leave them "TBD".</w:t>
      </w:r>
    </w:p>
    <w:p>
      <w:pPr>
        <w:pStyle w:val="ListParagraph"/>
        <w:numPr>
          <w:ilvl w:val="0"/>
          <w:numId w:val="2"/>
        </w:numPr>
      </w:pPr>
      <w:r>
        <w:rPr>
          <w:sz w:val="22"/>
          <w:szCs w:val="22"/>
        </w:rPr>
        <w:t xml:space="preserve">Sketch the relationships in a diagram (dbdiagram.io, Whimsical, or Miro).</w:t>
      </w:r>
    </w:p>
    <w:p>
      <w:pPr>
        <w:pStyle w:val="Heading2"/>
      </w:pPr>
      <w:r>
        <w:t xml:space="preserve">4.2  Wireflow the must-win journeys</w:t>
      </w:r>
    </w:p>
    <w:p>
      <w:pPr>
        <w:spacing w:after="120"/>
      </w:pPr>
      <w:r>
        <w:rPr>
          <w:sz w:val="22"/>
          <w:szCs w:val="22"/>
        </w:rPr>
        <w:t xml:space="preserve">Pick five journeys that most differentiate you: new-patient intake, progress-note-with-assessment, med refill, billing cycle, patient self-service. Wireframe each as a flow (not as individual screens). Use Whimsical, Figma, or pencil — fidelity does not matter yet.</w:t>
      </w:r>
    </w:p>
    <w:p>
      <w:pPr>
        <w:pStyle w:val="Heading2"/>
      </w:pPr>
      <w:r>
        <w:t xml:space="preserve">4.3  Compliance-by-design</w:t>
      </w:r>
    </w:p>
    <w:p>
      <w:pPr>
        <w:spacing w:after="120"/>
      </w:pPr>
      <w:r>
        <w:rPr>
          <w:sz w:val="22"/>
          <w:szCs w:val="22"/>
        </w:rPr>
        <w:t xml:space="preserve">Before you draft the PRD, walk the Compliance_Risks sheet and translate each requirement into a design decision:</w:t>
      </w:r>
    </w:p>
    <w:p>
      <w:pPr>
        <w:pStyle w:val="ListParagraph"/>
        <w:numPr>
          <w:ilvl w:val="0"/>
          <w:numId w:val="2"/>
        </w:numPr>
      </w:pPr>
      <w:r>
        <w:rPr>
          <w:sz w:val="22"/>
          <w:szCs w:val="22"/>
        </w:rPr>
        <w:t xml:space="preserve">HIPAA minimum-necessary → RBAC + field-level masking.</w:t>
      </w:r>
    </w:p>
    <w:p>
      <w:pPr>
        <w:pStyle w:val="ListParagraph"/>
        <w:numPr>
          <w:ilvl w:val="0"/>
          <w:numId w:val="2"/>
        </w:numPr>
      </w:pPr>
      <w:r>
        <w:rPr>
          <w:sz w:val="22"/>
          <w:szCs w:val="22"/>
        </w:rPr>
        <w:t xml:space="preserve">Audit log → event on every read/write of PHI, immutable, 6+ year retention.</w:t>
      </w:r>
    </w:p>
    <w:p>
      <w:pPr>
        <w:pStyle w:val="ListParagraph"/>
        <w:numPr>
          <w:ilvl w:val="0"/>
          <w:numId w:val="2"/>
        </w:numPr>
      </w:pPr>
      <w:r>
        <w:rPr>
          <w:sz w:val="22"/>
          <w:szCs w:val="22"/>
        </w:rPr>
        <w:t xml:space="preserve">Psychotherapy notes → segregated storage + stricter ACL + separate authorization for release.</w:t>
      </w:r>
    </w:p>
    <w:p>
      <w:pPr>
        <w:pStyle w:val="ListParagraph"/>
        <w:numPr>
          <w:ilvl w:val="0"/>
          <w:numId w:val="2"/>
        </w:numPr>
      </w:pPr>
      <w:r>
        <w:rPr>
          <w:sz w:val="22"/>
          <w:szCs w:val="22"/>
        </w:rPr>
        <w:t xml:space="preserve">42 CFR Part 2 (SUD) → separate consent record, tagged data, redaction on export without consent.</w:t>
      </w:r>
    </w:p>
    <w:p>
      <w:pPr>
        <w:pStyle w:val="ListParagraph"/>
        <w:numPr>
          <w:ilvl w:val="0"/>
          <w:numId w:val="2"/>
        </w:numPr>
      </w:pPr>
      <w:r>
        <w:rPr>
          <w:sz w:val="22"/>
          <w:szCs w:val="22"/>
        </w:rPr>
        <w:t xml:space="preserve">EPCS → identity proofing for prescribers, 2-factor at each controlled-substance Rx, DEA validation, logging.</w:t>
      </w:r>
    </w:p>
    <w:p>
      <w:pPr>
        <w:pStyle w:val="ListParagraph"/>
        <w:numPr>
          <w:ilvl w:val="0"/>
          <w:numId w:val="2"/>
        </w:numPr>
      </w:pPr>
      <w:r>
        <w:rPr>
          <w:sz w:val="22"/>
          <w:szCs w:val="22"/>
        </w:rPr>
        <w:t xml:space="preserve">Break-the-glass access → mandatory reason string, immediate notification to compliance officer.</w:t>
      </w:r>
    </w:p>
    <w:p>
      <w:pPr>
        <w:spacing w:after="120"/>
      </w:pPr>
      <w:r>
        <w:rPr>
          <w:sz w:val="22"/>
          <w:szCs w:val="22"/>
        </w:rPr>
        <w:t xml:space="preserve">Retrofitting compliance is 10× the work. Bake it in.</w:t>
      </w:r>
    </w:p>
    <w:p>
      <w:r>
        <w:br w:type="page"/>
      </w:r>
    </w:p>
    <w:p>
      <w:pPr>
        <w:pStyle w:val="Heading1"/>
      </w:pPr>
      <w:r>
        <w:t xml:space="preserve">Phase 5 — Write the PRD</w:t>
      </w:r>
    </w:p>
    <w:p>
      <w:pPr>
        <w:spacing w:after="120"/>
      </w:pPr>
      <w:r>
        <w:rPr>
          <w:sz w:val="22"/>
          <w:szCs w:val="22"/>
        </w:rPr>
        <w:t xml:space="preserve">Open 03_PRD_Skeleton.docx. It has the sections pre-structured; your job is to fill each with findings from the workbook. Cross-link rather than retype: "see Feature_Matrix row 42" beats re-writing the feature in two places.</w:t>
      </w:r>
    </w:p>
    <w:p>
      <w:pPr>
        <w:spacing w:after="120"/>
      </w:pPr>
      <w:r>
        <w:rPr>
          <w:sz w:val="22"/>
          <w:szCs w:val="22"/>
        </w:rPr>
        <w:t xml:space="preserve">Keep the PRD living — it is a working document for the team, not a deliverable to hand off. Add a "version history" table and update it.</w:t>
      </w:r>
    </w:p>
    <w:p>
      <w:pPr>
        <w:pStyle w:val="Heading2"/>
      </w:pPr>
      <w:r>
        <w:t xml:space="preserve">5.1  PRD section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Section</w:t>
            </w:r>
          </w:p>
        </w:tc>
        <w:tc>
          <w:tcPr>
            <w:tcW w:type="dxa" w:w="6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Source sheet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Problem &amp; users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Pain_Points_Flair + interviews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Scope (in / out / later)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Feature_Matrix (Priority column)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Functional requirements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Feature_Matrix + User_Flows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Non-functional requirements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Compliance_Risks + your own perf/scale targets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Data model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Data_Model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Integrations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Integrations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Roles &amp; permissions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Roles_Permissions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Success metrics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Derived from pain points (time saved, no-show rate, clean-claim rate)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Roadmap</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Roadmap sheet</w:t>
            </w:r>
          </w:p>
        </w:tc>
      </w:tr>
    </w:tbl>
    <w:p>
      <w:pPr>
        <w:pStyle w:val="Heading1"/>
      </w:pPr>
      <w:r>
        <w:t xml:space="preserve">Phase 6 — Estimate &amp; sequence</w:t>
      </w:r>
    </w:p>
    <w:p>
      <w:pPr>
        <w:spacing w:after="120"/>
      </w:pPr>
      <w:r>
        <w:rPr>
          <w:sz w:val="22"/>
          <w:szCs w:val="22"/>
        </w:rPr>
        <w:t xml:space="preserve">With the PRD in hand, fill the Roadmap sheet. For each feature, add effort (S/M/L/XL) and dependencies. Then draw the critical path.</w:t>
      </w:r>
    </w:p>
    <w:p>
      <w:pPr>
        <w:pStyle w:val="Heading2"/>
      </w:pPr>
      <w:r>
        <w:t xml:space="preserve">6.1  Sequencing heuristics</w:t>
      </w:r>
    </w:p>
    <w:p>
      <w:pPr>
        <w:pStyle w:val="ListParagraph"/>
        <w:numPr>
          <w:ilvl w:val="0"/>
          <w:numId w:val="2"/>
        </w:numPr>
      </w:pPr>
      <w:r>
        <w:rPr>
          <w:sz w:val="22"/>
          <w:szCs w:val="22"/>
        </w:rPr>
        <w:t xml:space="preserve">Identity and RBAC must be built before any PHI-bearing feature.</w:t>
      </w:r>
    </w:p>
    <w:p>
      <w:pPr>
        <w:pStyle w:val="ListParagraph"/>
        <w:numPr>
          <w:ilvl w:val="0"/>
          <w:numId w:val="2"/>
        </w:numPr>
      </w:pPr>
      <w:r>
        <w:rPr>
          <w:sz w:val="22"/>
          <w:szCs w:val="22"/>
        </w:rPr>
        <w:t xml:space="preserve">Patient record is the root of everything; build it second.</w:t>
      </w:r>
    </w:p>
    <w:p>
      <w:pPr>
        <w:pStyle w:val="ListParagraph"/>
        <w:numPr>
          <w:ilvl w:val="0"/>
          <w:numId w:val="2"/>
        </w:numPr>
      </w:pPr>
      <w:r>
        <w:rPr>
          <w:sz w:val="22"/>
          <w:szCs w:val="22"/>
        </w:rPr>
        <w:t xml:space="preserve">Scheduling drives revenue; build it early so you can start using the tool in production even before billing is done.</w:t>
      </w:r>
    </w:p>
    <w:p>
      <w:pPr>
        <w:pStyle w:val="ListParagraph"/>
        <w:numPr>
          <w:ilvl w:val="0"/>
          <w:numId w:val="2"/>
        </w:numPr>
      </w:pPr>
      <w:r>
        <w:rPr>
          <w:sz w:val="22"/>
          <w:szCs w:val="22"/>
        </w:rPr>
        <w:t xml:space="preserve">Defer EPCS until after non-controlled e-Rx is stable — it requires third-party certification and extra time.</w:t>
      </w:r>
    </w:p>
    <w:p>
      <w:pPr>
        <w:pStyle w:val="ListParagraph"/>
        <w:numPr>
          <w:ilvl w:val="0"/>
          <w:numId w:val="2"/>
        </w:numPr>
      </w:pPr>
      <w:r>
        <w:rPr>
          <w:sz w:val="22"/>
          <w:szCs w:val="22"/>
        </w:rPr>
        <w:t xml:space="preserve">Build the audit log from day one. Bolting it on later means backfilling and risks non-compliance.</w:t>
      </w:r>
    </w:p>
    <w:p>
      <w:pPr>
        <w:pStyle w:val="Heading2"/>
      </w:pPr>
      <w:r>
        <w:t xml:space="preserve">6.2  Decide build vs. buy</w:t>
      </w:r>
    </w:p>
    <w:p>
      <w:pPr>
        <w:spacing w:after="120"/>
      </w:pPr>
      <w:r>
        <w:rPr>
          <w:sz w:val="22"/>
          <w:szCs w:val="22"/>
        </w:rPr>
        <w:t xml:space="preserve">For each integration-adjacent feature, ask whether to build or buy.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Capability</w:t>
            </w:r>
          </w:p>
        </w:tc>
        <w:tc>
          <w:tcPr>
            <w:tcW w:type="dxa" w:w="2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Default</w:t>
            </w:r>
          </w:p>
        </w:tc>
        <w:tc>
          <w:tcPr>
            <w:tcW w:type="dxa" w:w="49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Why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e-Prescribing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Buy (Surescripts via DoseSpot/NewCrop)</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Certification is expensive and slow</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EPCS (controlled)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Buy</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Even harder than e-Rx</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Clearinghouse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Buy (Availity/Waystar/Change Healthcare)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X12 is a world of pain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Telehealth video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Buy (Zoom for Healthcare, Doxy.me)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Commodity, BAA signed, ignore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Scheduling engine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Build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Too specific to your practice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Clinical notes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Build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Core differentiator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Assessments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Buy scoring, build UX</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Instruments are licensed but scoring is trivial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Eligibility check</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Buy</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Real-time 270/271 transactions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Payments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Buy (Stripe)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PCI scope-reduction alone is worth it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Identity / SSO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Buy (Auth0, WorkOS, Clerk)</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 not roll your own auth</w:t>
            </w:r>
          </w:p>
        </w:tc>
      </w:tr>
    </w:tbl>
    <w:p>
      <w:r>
        <w:br w:type="page"/>
      </w:r>
    </w:p>
    <w:p>
      <w:pPr>
        <w:pStyle w:val="Heading1"/>
      </w:pPr>
      <w:r>
        <w:t xml:space="preserve">Appendix A — Compliance crib sheet</w:t>
      </w:r>
    </w:p>
    <w:p>
      <w:pPr>
        <w:spacing w:after="120"/>
      </w:pPr>
      <w:r>
        <w:rPr>
          <w:sz w:val="22"/>
          <w:szCs w:val="22"/>
        </w:rPr>
        <w:t xml:space="preserve">You are handling mental-health PHI. The bar is higher than a generic CRM. Non-exhaustive but essential:</w:t>
      </w:r>
    </w:p>
    <w:p>
      <w:pPr>
        <w:pStyle w:val="ListParagraph"/>
        <w:numPr>
          <w:ilvl w:val="0"/>
          <w:numId w:val="2"/>
        </w:numPr>
      </w:pPr>
      <w:r>
        <w:rPr>
          <w:sz w:val="22"/>
          <w:szCs w:val="22"/>
        </w:rPr>
        <w:t xml:space="preserve">HIPAA Privacy Rule — rules of use and disclosure. Minimum necessary, patient rights (access, amend, accounting of disclosures), authorization for uses beyond treatment/payment/operations.</w:t>
      </w:r>
    </w:p>
    <w:p>
      <w:pPr>
        <w:pStyle w:val="ListParagraph"/>
        <w:numPr>
          <w:ilvl w:val="0"/>
          <w:numId w:val="2"/>
        </w:numPr>
      </w:pPr>
      <w:r>
        <w:rPr>
          <w:sz w:val="22"/>
          <w:szCs w:val="22"/>
        </w:rPr>
        <w:t xml:space="preserve">HIPAA Security Rule — technical, physical, administrative safeguards. Encryption, audit, access control, workforce training, risk analysis.</w:t>
      </w:r>
    </w:p>
    <w:p>
      <w:pPr>
        <w:pStyle w:val="ListParagraph"/>
        <w:numPr>
          <w:ilvl w:val="0"/>
          <w:numId w:val="2"/>
        </w:numPr>
      </w:pPr>
      <w:r>
        <w:rPr>
          <w:sz w:val="22"/>
          <w:szCs w:val="22"/>
        </w:rPr>
        <w:t xml:space="preserve">HIPAA Breach Notification — detect, assess, notify within 60 days (60 for individuals, 60 for HHS for &lt;500, 60 + press release for ≥500).</w:t>
      </w:r>
    </w:p>
    <w:p>
      <w:pPr>
        <w:pStyle w:val="ListParagraph"/>
        <w:numPr>
          <w:ilvl w:val="0"/>
          <w:numId w:val="2"/>
        </w:numPr>
      </w:pPr>
      <w:r>
        <w:rPr>
          <w:sz w:val="22"/>
          <w:szCs w:val="22"/>
        </w:rPr>
        <w:t xml:space="preserve">42 CFR Part 2 — extra consent bar for records of substance-use treatment. Practical effect: you need a separate data tag + specific redisclosure consent.</w:t>
      </w:r>
    </w:p>
    <w:p>
      <w:pPr>
        <w:pStyle w:val="ListParagraph"/>
        <w:numPr>
          <w:ilvl w:val="0"/>
          <w:numId w:val="2"/>
        </w:numPr>
      </w:pPr>
      <w:r>
        <w:rPr>
          <w:sz w:val="22"/>
          <w:szCs w:val="22"/>
        </w:rPr>
        <w:t xml:space="preserve">Psychotherapy notes (HIPAA-defined) — process notes the clinician keeps. Excluded from general release authorizations. Store separately.</w:t>
      </w:r>
    </w:p>
    <w:p>
      <w:pPr>
        <w:pStyle w:val="ListParagraph"/>
        <w:numPr>
          <w:ilvl w:val="0"/>
          <w:numId w:val="2"/>
        </w:numPr>
      </w:pPr>
      <w:r>
        <w:rPr>
          <w:sz w:val="22"/>
          <w:szCs w:val="22"/>
        </w:rPr>
        <w:t xml:space="preserve">State law — frequently stricter than HIPAA. California (CMIA), New York (SHIELD), Texas (MRTPA), others. Telehealth consent requirements vary by state.</w:t>
      </w:r>
    </w:p>
    <w:p>
      <w:pPr>
        <w:pStyle w:val="ListParagraph"/>
        <w:numPr>
          <w:ilvl w:val="0"/>
          <w:numId w:val="2"/>
        </w:numPr>
      </w:pPr>
      <w:r>
        <w:rPr>
          <w:sz w:val="22"/>
          <w:szCs w:val="22"/>
        </w:rPr>
        <w:t xml:space="preserve">EPCS — DEA rule for electronic prescribing of controlled substances. Identity proofing, two-factor, audit.</w:t>
      </w:r>
    </w:p>
    <w:p>
      <w:pPr>
        <w:pStyle w:val="ListParagraph"/>
        <w:numPr>
          <w:ilvl w:val="0"/>
          <w:numId w:val="2"/>
        </w:numPr>
      </w:pPr>
      <w:r>
        <w:rPr>
          <w:sz w:val="22"/>
          <w:szCs w:val="22"/>
        </w:rPr>
        <w:t xml:space="preserve">21st Century Cures Act — information-blocking rule. You must make electronic health info available to the patient on request.</w:t>
      </w:r>
    </w:p>
    <w:p>
      <w:pPr>
        <w:pStyle w:val="ListParagraph"/>
        <w:numPr>
          <w:ilvl w:val="0"/>
          <w:numId w:val="2"/>
        </w:numPr>
      </w:pPr>
      <w:r>
        <w:rPr>
          <w:sz w:val="22"/>
          <w:szCs w:val="22"/>
        </w:rPr>
        <w:t xml:space="preserve">PSYPACT / licensure compacts — for psychologists practicing across state lines.</w:t>
      </w:r>
    </w:p>
    <w:p>
      <w:pPr>
        <w:pStyle w:val="ListParagraph"/>
        <w:numPr>
          <w:ilvl w:val="0"/>
          <w:numId w:val="2"/>
        </w:numPr>
      </w:pPr>
      <w:r>
        <w:rPr>
          <w:sz w:val="22"/>
          <w:szCs w:val="22"/>
        </w:rPr>
        <w:t xml:space="preserve">Payment — if you handle cards yourself you are in PCI DSS scope. Scope-out via tokenization (Stripe/Square).</w:t>
      </w:r>
    </w:p>
    <w:p>
      <w:pPr>
        <w:pBdr>
          <w:left w:val="single" w:color="4A7FB0" w:sz="12" w:space="12"/>
        </w:pBdr>
        <w:spacing w:after="120" w:before="60"/>
        <w:ind w:left="360"/>
      </w:pPr>
      <w:r>
        <w:rPr>
          <w:i/>
          <w:iCs/>
          <w:color w:val="444444"/>
          <w:sz w:val="22"/>
          <w:szCs w:val="22"/>
        </w:rPr>
        <w:t xml:space="preserve">Hire a HIPAA-knowledgeable lawyer before you write the PRD. Not after.</w:t>
      </w:r>
    </w:p>
    <w:p>
      <w:pPr>
        <w:pStyle w:val="Heading1"/>
      </w:pPr>
      <w:r>
        <w:t xml:space="preserve">Appendix B — Recommended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Task</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Recommended tools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Screenshots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Shottr (mac), CleanShot X, Greenshot (win)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Screen recording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Loom, ScreenStudio, OBS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Annotation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Skitch, CleanShot X, Preview</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Sitemap / map</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Whimsical, Miro, Figjam, draw.io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Wireframing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Figma, Whimsical, Balsamiq</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Data model diagram</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dbdiagram.io, DrawSQL, Lucidchart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PRD drafting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This doc, Notion, Coda, Linear docs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Feature tracking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Linear, Jira, GitHub Projects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Transcription (interviews)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Otter.ai, Fireflies, Granola</w:t>
            </w:r>
          </w:p>
        </w:tc>
      </w:tr>
    </w:tbl>
    <w:p>
      <w:pPr>
        <w:pStyle w:val="Heading1"/>
      </w:pPr>
      <w:r>
        <w:t xml:space="preserve">Appendix C — Common pitfalls</w:t>
      </w:r>
    </w:p>
    <w:p>
      <w:pPr>
        <w:pStyle w:val="ListParagraph"/>
        <w:numPr>
          <w:ilvl w:val="0"/>
          <w:numId w:val="2"/>
        </w:numPr>
      </w:pPr>
      <w:r>
        <w:rPr>
          <w:sz w:val="22"/>
          <w:szCs w:val="22"/>
        </w:rPr>
        <w:t xml:space="preserve">Starting feature-by-feature instead of module-by-module. You lose context and miss entire screens.</w:t>
      </w:r>
    </w:p>
    <w:p>
      <w:pPr>
        <w:pStyle w:val="ListParagraph"/>
        <w:numPr>
          <w:ilvl w:val="0"/>
          <w:numId w:val="2"/>
        </w:numPr>
      </w:pPr>
      <w:r>
        <w:rPr>
          <w:sz w:val="22"/>
          <w:szCs w:val="22"/>
        </w:rPr>
        <w:t xml:space="preserve">Capturing only as admin. You miss role-specific UX completely.</w:t>
      </w:r>
    </w:p>
    <w:p>
      <w:pPr>
        <w:pStyle w:val="ListParagraph"/>
        <w:numPr>
          <w:ilvl w:val="0"/>
          <w:numId w:val="2"/>
        </w:numPr>
      </w:pPr>
      <w:r>
        <w:rPr>
          <w:sz w:val="22"/>
          <w:szCs w:val="22"/>
        </w:rPr>
        <w:t xml:space="preserve">Skipping videos. Static screenshots hide timing, animations, modals, and multi-step interactions.</w:t>
      </w:r>
    </w:p>
    <w:p>
      <w:pPr>
        <w:pStyle w:val="ListParagraph"/>
        <w:numPr>
          <w:ilvl w:val="0"/>
          <w:numId w:val="2"/>
        </w:numPr>
      </w:pPr>
      <w:r>
        <w:rPr>
          <w:sz w:val="22"/>
          <w:szCs w:val="22"/>
        </w:rPr>
        <w:t xml:space="preserve">Deciding as you go. Premature decisions during capture bias the final synthesis.</w:t>
      </w:r>
    </w:p>
    <w:p>
      <w:pPr>
        <w:pStyle w:val="ListParagraph"/>
        <w:numPr>
          <w:ilvl w:val="0"/>
          <w:numId w:val="2"/>
        </w:numPr>
      </w:pPr>
      <w:r>
        <w:rPr>
          <w:sz w:val="22"/>
          <w:szCs w:val="22"/>
        </w:rPr>
        <w:t xml:space="preserve">Underestimating billing. It is 30–40% of a full CRM and always takes longer than expected.</w:t>
      </w:r>
    </w:p>
    <w:p>
      <w:pPr>
        <w:pStyle w:val="ListParagraph"/>
        <w:numPr>
          <w:ilvl w:val="0"/>
          <w:numId w:val="2"/>
        </w:numPr>
      </w:pPr>
      <w:r>
        <w:rPr>
          <w:sz w:val="22"/>
          <w:szCs w:val="22"/>
        </w:rPr>
        <w:t xml:space="preserve">Bolting compliance on at the end. Especially audit log, encryption, RBAC, consent.</w:t>
      </w:r>
    </w:p>
    <w:p>
      <w:pPr>
        <w:pStyle w:val="ListParagraph"/>
        <w:numPr>
          <w:ilvl w:val="0"/>
          <w:numId w:val="2"/>
        </w:numPr>
      </w:pPr>
      <w:r>
        <w:rPr>
          <w:sz w:val="22"/>
          <w:szCs w:val="22"/>
        </w:rPr>
        <w:t xml:space="preserve">Ignoring empty-state design. The first week of using your new system has no data — design those screens deliberately.</w:t>
      </w:r>
    </w:p>
    <w:p>
      <w:pPr>
        <w:pStyle w:val="ListParagraph"/>
        <w:numPr>
          <w:ilvl w:val="0"/>
          <w:numId w:val="2"/>
        </w:numPr>
      </w:pPr>
      <w:r>
        <w:rPr>
          <w:sz w:val="22"/>
          <w:szCs w:val="22"/>
        </w:rPr>
        <w:t xml:space="preserve">Copying both systems 1:1. If you can't answer "what would you cut to pay for this?", you are going to ship late.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8"/>
        <w:szCs w:val="18"/>
      </w:rPr>
      <w:t xml:space="preserve">CRM Scanning Methodology</w:t>
    </w:r>
    <w:r>
      <w:rPr>
        <w:sz w:val="18"/>
        <w:szCs w:val="18"/>
      </w:rPr>
      <w:t xml:space="preserve">	</w:t>
    </w: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4A7FB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Scanning &amp; Discovery Methodology</dc:title>
  <dc:creator>Claude</dc:creator>
  <dc:description>Step-by-step guide to replicating a mental-health CRM from two existing systems.</dc:description>
  <cp:lastModifiedBy>Un-named</cp:lastModifiedBy>
  <cp:revision>1</cp:revision>
  <dcterms:created xsi:type="dcterms:W3CDTF">2026-04-18T10:06:25.278Z</dcterms:created>
  <dcterms:modified xsi:type="dcterms:W3CDTF">2026-04-18T10:06:25.278Z</dcterms:modified>
</cp:coreProperties>
</file>

<file path=docProps/custom.xml><?xml version="1.0" encoding="utf-8"?>
<Properties xmlns="http://schemas.openxmlformats.org/officeDocument/2006/custom-properties" xmlns:vt="http://schemas.openxmlformats.org/officeDocument/2006/docPropsVTypes"/>
</file>