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84E42" w14:textId="77777777" w:rsidR="00864660" w:rsidRDefault="00000000">
      <w:pPr>
        <w:spacing w:after="0"/>
      </w:pPr>
      <w:r>
        <w:rPr>
          <w:noProof/>
        </w:rPr>
        <mc:AlternateContent>
          <mc:Choice Requires="wps">
            <w:drawing>
              <wp:anchor distT="0" distB="0" distL="114300" distR="114300" simplePos="0" relativeHeight="251657216" behindDoc="0" locked="0" layoutInCell="1" allowOverlap="1" wp14:anchorId="7CEFFD0F" wp14:editId="1DCC35FE">
                <wp:simplePos x="0" y="0"/>
                <wp:positionH relativeFrom="page">
                  <wp:posOffset>200000</wp:posOffset>
                </wp:positionH>
                <wp:positionV relativeFrom="page">
                  <wp:posOffset>900000</wp:posOffset>
                </wp:positionV>
                <wp:extent cx="7000000" cy="1000000"/>
                <wp:effectExtent l="0" t="0" r="0" b="0"/>
                <wp:wrapSquare wrapText="bothSides"/>
                <wp:docPr id="1" name="Text Box"/>
                <wp:cNvGraphicFramePr/>
                <a:graphic xmlns:a="http://schemas.openxmlformats.org/drawingml/2006/main">
                  <a:graphicData uri="http://schemas.microsoft.com/office/word/2010/wordprocessingShape">
                    <wps:wsp>
                      <wps:cNvSpPr txBox="1"/>
                      <wps:spPr>
                        <a:xfrm>
                          <a:off x="0" y="0"/>
                          <a:ext cx="7000000" cy="1000000"/>
                        </a:xfrm>
                        <a:prstGeom prst="rect">
                          <a:avLst/>
                        </a:prstGeom>
                      </wps:spPr>
                      <wps:txbx>
                        <w:txbxContent>
                          <w:p w14:paraId="0C61E771" w14:textId="77777777" w:rsidR="00864660" w:rsidRDefault="00000000">
                            <w:pPr>
                              <w:spacing w:before="10" w:after="10"/>
                              <w:rPr>
                                <w:b/>
                                <w:color w:val="0079C1"/>
                                <w:sz w:val="28"/>
                              </w:rPr>
                            </w:pPr>
                            <w:r>
                              <w:rPr>
                                <w:b/>
                                <w:color w:val="0079C1"/>
                                <w:sz w:val="28"/>
                              </w:rPr>
                              <w:t xml:space="preserve">BMO Callable Contingent Income Barrier Notes, Series 1679 (CAD) Due February 17, 2032, </w:t>
                            </w:r>
                          </w:p>
                          <w:p w14:paraId="22F88E6E" w14:textId="77777777" w:rsidR="00864660" w:rsidRDefault="00000000">
                            <w:pPr>
                              <w:spacing w:before="10" w:after="10"/>
                              <w:rPr>
                                <w:color w:val="0079C1"/>
                                <w:sz w:val="24"/>
                              </w:rPr>
                            </w:pPr>
                            <w:r>
                              <w:rPr>
                                <w:color w:val="0079C1"/>
                                <w:sz w:val="24"/>
                              </w:rPr>
                              <w:t>Linked to Solactive Equal Weight Canada Bank 27 AR Index</w:t>
                            </w:r>
                          </w:p>
                        </w:txbxContent>
                      </wps:txbx>
                      <wps:bodyPr/>
                    </wps:wsp>
                  </a:graphicData>
                </a:graphic>
              </wp:anchor>
            </w:drawing>
          </mc:Choice>
          <mc:Fallback>
            <w:pict>
              <v:shapetype w14:anchorId="7CEFFD0F" id="_x0000_t202" coordsize="21600,21600" o:spt="202" path="m,l,21600r21600,l21600,xe">
                <v:stroke joinstyle="miter"/>
                <v:path gradientshapeok="t" o:connecttype="rect"/>
              </v:shapetype>
              <v:shape id="Text Box" o:spid="_x0000_s1026" type="#_x0000_t202" style="position:absolute;margin-left:15.75pt;margin-top:70.85pt;width:551.2pt;height:78.7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" filled="f" stroked="f">
                <v:textbox>
                  <w:txbxContent>
                    <w:p w14:paraId="0C61E771" w14:textId="77777777" w:rsidR="00864660" w:rsidRDefault="00000000">
                      <w:pPr>
                        <w:spacing w:before="10" w:after="10"/>
                        <w:rPr>
                          <w:b/>
                          <w:color w:val="0079C1"/>
                          <w:sz w:val="28"/>
                        </w:rPr>
                      </w:pPr>
                      <w:r>
                        <w:rPr>
                          <w:b/>
                          <w:color w:val="0079C1"/>
                          <w:sz w:val="28"/>
                        </w:rPr>
                        <w:t xml:space="preserve">BMO Callable Contingent Income Barrier Notes, Series 1679 (CAD) Due February 17, 2032, </w:t>
                      </w:r>
                    </w:p>
                    <w:p w14:paraId="22F88E6E" w14:textId="77777777" w:rsidR="00864660" w:rsidRDefault="00000000">
                      <w:pPr>
                        <w:spacing w:before="10" w:after="10"/>
                        <w:rPr>
                          <w:color w:val="0079C1"/>
                          <w:sz w:val="24"/>
                        </w:rPr>
                      </w:pPr>
                      <w:r>
                        <w:rPr>
                          <w:color w:val="0079C1"/>
                          <w:sz w:val="24"/>
                        </w:rPr>
                        <w:t>Linked to Solactive Equal Weight Canada Bank 27 AR Index</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E400965" wp14:editId="39B54368">
                <wp:simplePos x="0" y="0"/>
                <wp:positionH relativeFrom="page">
                  <wp:posOffset>6000000</wp:posOffset>
                </wp:positionH>
                <wp:positionV relativeFrom="page">
                  <wp:posOffset>180000</wp:posOffset>
                </wp:positionV>
                <wp:extent cx="1400000" cy="500000"/>
                <wp:effectExtent l="0" t="0" r="0" b="0"/>
                <wp:wrapSquare wrapText="bothSides"/>
                <wp:docPr id="2" name="Text Box"/>
                <wp:cNvGraphicFramePr/>
                <a:graphic xmlns:a="http://schemas.openxmlformats.org/drawingml/2006/main">
                  <a:graphicData uri="http://schemas.microsoft.com/office/word/2010/wordprocessingShape">
                    <wps:wsp>
                      <wps:cNvSpPr txBox="1"/>
                      <wps:spPr>
                        <a:xfrm>
                          <a:off x="0" y="0"/>
                          <a:ext cx="1400000" cy="500000"/>
                        </a:xfrm>
                        <a:prstGeom prst="rect">
                          <a:avLst/>
                        </a:prstGeom>
                      </wps:spPr>
                      <wps:txbx>
                        <w:txbxContent>
                          <w:p w14:paraId="557239AB" w14:textId="77777777" w:rsidR="00864660" w:rsidRDefault="00000000">
                            <w:pPr>
                              <w:spacing w:after="0"/>
                              <w:jc w:val="right"/>
                              <w:rPr>
                                <w:color w:val="FFFFFF"/>
                                <w:sz w:val="24"/>
                              </w:rPr>
                            </w:pPr>
                            <w:r>
                              <w:rPr>
                                <w:color w:val="FFFFFF"/>
                                <w:sz w:val="24"/>
                              </w:rPr>
                              <w:t>Client Brochure</w:t>
                            </w:r>
                          </w:p>
                          <w:p w14:paraId="1A1B4358" w14:textId="77777777" w:rsidR="00864660" w:rsidRDefault="00000000">
                            <w:pPr>
                              <w:spacing w:after="0"/>
                              <w:jc w:val="right"/>
                              <w:rPr>
                                <w:color w:val="FFFFFF"/>
                                <w:sz w:val="16"/>
                              </w:rPr>
                            </w:pPr>
                            <w:r>
                              <w:rPr>
                                <w:color w:val="FFFFFF"/>
                                <w:sz w:val="16"/>
                              </w:rPr>
                              <w:t>Dated: January 27, 2025</w:t>
                            </w:r>
                          </w:p>
                        </w:txbxContent>
                      </wps:txbx>
                      <wps:bodyPr/>
                    </wps:wsp>
                  </a:graphicData>
                </a:graphic>
              </wp:anchor>
            </w:drawing>
          </mc:Choice>
          <mc:Fallback>
            <w:pict>
              <v:shape w14:anchorId="3E400965" id="_x0000_s1027" type="#_x0000_t202" style="position:absolute;margin-left:472.45pt;margin-top:14.15pt;width:110.25pt;height:39.3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" filled="f" stroked="f">
                <v:textbox>
                  <w:txbxContent>
                    <w:p w14:paraId="557239AB" w14:textId="77777777" w:rsidR="00864660" w:rsidRDefault="00000000">
                      <w:pPr>
                        <w:spacing w:after="0"/>
                        <w:jc w:val="right"/>
                        <w:rPr>
                          <w:color w:val="FFFFFF"/>
                          <w:sz w:val="24"/>
                        </w:rPr>
                      </w:pPr>
                      <w:r>
                        <w:rPr>
                          <w:color w:val="FFFFFF"/>
                          <w:sz w:val="24"/>
                        </w:rPr>
                        <w:t>Client Brochure</w:t>
                      </w:r>
                    </w:p>
                    <w:p w14:paraId="1A1B4358" w14:textId="77777777" w:rsidR="00864660" w:rsidRDefault="00000000">
                      <w:pPr>
                        <w:spacing w:after="0"/>
                        <w:jc w:val="right"/>
                        <w:rPr>
                          <w:color w:val="FFFFFF"/>
                          <w:sz w:val="16"/>
                        </w:rPr>
                      </w:pPr>
                      <w:r>
                        <w:rPr>
                          <w:color w:val="FFFFFF"/>
                          <w:sz w:val="16"/>
                        </w:rPr>
                        <w:t>Dated: January 27, 2025</w:t>
                      </w:r>
                    </w:p>
                  </w:txbxContent>
                </v:textbox>
                <w10:wrap type="square" anchorx="page" anchory="page"/>
              </v:shape>
            </w:pict>
          </mc:Fallback>
        </mc:AlternateContent>
      </w:r>
    </w:p>
    <w:tbl>
      <w:tblPr>
        <w:tblW w:w="11327" w:type="dxa"/>
        <w:tblLook w:val="04A0" w:firstRow="1" w:lastRow="0" w:firstColumn="1" w:lastColumn="0" w:noHBand="0" w:noVBand="1"/>
      </w:tblPr>
      <w:tblGrid>
        <w:gridCol w:w="1003"/>
        <w:gridCol w:w="1831"/>
        <w:gridCol w:w="1003"/>
        <w:gridCol w:w="1820"/>
        <w:gridCol w:w="1003"/>
        <w:gridCol w:w="1832"/>
        <w:gridCol w:w="1003"/>
        <w:gridCol w:w="1832"/>
      </w:tblGrid>
      <w:tr w:rsidR="00864660" w14:paraId="24F7F10B" w14:textId="77777777">
        <w:tc>
          <w:tcPr>
            <w:tcW w:w="943" w:type="dxa"/>
            <w:shd w:val="clear" w:color="auto" w:fill="F2F2F2"/>
            <w:tcMar>
              <w:top w:w="300" w:type="dxa"/>
              <w:bottom w:w="300" w:type="dxa"/>
            </w:tcMar>
            <w:vAlign w:val="center"/>
          </w:tcPr>
          <w:p w14:paraId="22F341DD" w14:textId="77777777" w:rsidR="00864660" w:rsidRDefault="00000000">
            <w:pPr>
              <w:spacing w:before="10" w:after="0"/>
              <w:jc w:val="right"/>
              <w:rPr>
                <w:b/>
              </w:rPr>
            </w:pPr>
            <w:r>
              <w:rPr>
                <w:b/>
                <w:noProof/>
              </w:rPr>
              <w:drawing>
                <wp:inline distT="0" distB="0" distL="0" distR="0" wp14:anchorId="79E7ACD7" wp14:editId="47DEBFEC">
                  <wp:extent cx="500000" cy="500000"/>
                  <wp:effectExtent l="0" t="0" r="0" b="0"/>
                  <wp:docPr id="3" name="Image"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descr="Calendar"/>
                          <pic:cNvPicPr/>
                        </pic:nvPicPr>
                        <pic:blipFill>
                          <a:blip r:embed="rId7" cstate="print"/>
                          <a:stretch>
                            <a:fillRect/>
                          </a:stretch>
                        </pic:blipFill>
                        <pic:spPr>
                          <a:xfrm>
                            <a:off x="0" y="0"/>
                            <a:ext cx="500000" cy="500000"/>
                          </a:xfrm>
                          <a:prstGeom prst="rect">
                            <a:avLst/>
                          </a:prstGeom>
                        </pic:spPr>
                      </pic:pic>
                    </a:graphicData>
                  </a:graphic>
                </wp:inline>
              </w:drawing>
            </w:r>
          </w:p>
        </w:tc>
        <w:tc>
          <w:tcPr>
            <w:tcW w:w="1887" w:type="dxa"/>
            <w:shd w:val="clear" w:color="auto" w:fill="F2F2F2"/>
            <w:tcMar>
              <w:top w:w="300" w:type="dxa"/>
              <w:bottom w:w="300" w:type="dxa"/>
            </w:tcMar>
            <w:vAlign w:val="center"/>
          </w:tcPr>
          <w:p w14:paraId="69328C48" w14:textId="77777777" w:rsidR="00864660" w:rsidRDefault="00000000">
            <w:pPr>
              <w:spacing w:before="10" w:after="0"/>
              <w:rPr>
                <w:b/>
              </w:rPr>
            </w:pPr>
            <w:r>
              <w:rPr>
                <w:b/>
                <w:color w:val="0079C1"/>
              </w:rPr>
              <w:t>7</w:t>
            </w:r>
            <w:r>
              <w:rPr>
                <w:b/>
              </w:rPr>
              <w:t xml:space="preserve"> - Year Term</w:t>
            </w:r>
          </w:p>
          <w:p w14:paraId="533C8D8E" w14:textId="77777777" w:rsidR="00864660" w:rsidRDefault="00000000">
            <w:pPr>
              <w:spacing w:before="10" w:after="0"/>
              <w:rPr>
                <w:i/>
                <w:sz w:val="18"/>
              </w:rPr>
            </w:pPr>
            <w:r>
              <w:rPr>
                <w:i/>
                <w:sz w:val="18"/>
              </w:rPr>
              <w:t>Subject to the notes being automatically called by Bank of Montreal</w:t>
            </w:r>
          </w:p>
        </w:tc>
        <w:tc>
          <w:tcPr>
            <w:tcW w:w="943" w:type="dxa"/>
            <w:shd w:val="clear" w:color="auto" w:fill="F2F2F2"/>
            <w:tcMar>
              <w:top w:w="300" w:type="dxa"/>
              <w:bottom w:w="300" w:type="dxa"/>
            </w:tcMar>
            <w:vAlign w:val="center"/>
          </w:tcPr>
          <w:p w14:paraId="550F73E6" w14:textId="77777777" w:rsidR="00864660" w:rsidRDefault="00000000">
            <w:pPr>
              <w:spacing w:before="10" w:after="0"/>
              <w:jc w:val="right"/>
              <w:rPr>
                <w:b/>
              </w:rPr>
            </w:pPr>
            <w:r>
              <w:rPr>
                <w:b/>
                <w:noProof/>
              </w:rPr>
              <w:drawing>
                <wp:inline distT="0" distB="0" distL="0" distR="0" wp14:anchorId="4775987A" wp14:editId="05674EB3">
                  <wp:extent cx="500000" cy="500000"/>
                  <wp:effectExtent l="0" t="0" r="0" b="0"/>
                  <wp:docPr id="4" name="Image" descr="Ticked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descr="Ticked Calendar"/>
                          <pic:cNvPicPr/>
                        </pic:nvPicPr>
                        <pic:blipFill>
                          <a:blip r:embed="rId8" cstate="print"/>
                          <a:stretch>
                            <a:fillRect/>
                          </a:stretch>
                        </pic:blipFill>
                        <pic:spPr>
                          <a:xfrm>
                            <a:off x="0" y="0"/>
                            <a:ext cx="500000" cy="500000"/>
                          </a:xfrm>
                          <a:prstGeom prst="rect">
                            <a:avLst/>
                          </a:prstGeom>
                        </pic:spPr>
                      </pic:pic>
                    </a:graphicData>
                  </a:graphic>
                </wp:inline>
              </w:drawing>
            </w:r>
          </w:p>
        </w:tc>
        <w:tc>
          <w:tcPr>
            <w:tcW w:w="1887" w:type="dxa"/>
            <w:shd w:val="clear" w:color="auto" w:fill="F2F2F2"/>
            <w:tcMar>
              <w:top w:w="300" w:type="dxa"/>
              <w:bottom w:w="300" w:type="dxa"/>
            </w:tcMar>
            <w:vAlign w:val="center"/>
          </w:tcPr>
          <w:p w14:paraId="4CDE2D4C" w14:textId="77777777" w:rsidR="00864660" w:rsidRDefault="00000000">
            <w:pPr>
              <w:spacing w:before="10" w:after="0"/>
              <w:rPr>
                <w:b/>
              </w:rPr>
            </w:pPr>
            <w:r>
              <w:rPr>
                <w:b/>
                <w:color w:val="0079C1"/>
              </w:rPr>
              <w:t xml:space="preserve">Monthly </w:t>
            </w:r>
            <w:r>
              <w:rPr>
                <w:b/>
              </w:rPr>
              <w:t>Call Feature</w:t>
            </w:r>
          </w:p>
          <w:p w14:paraId="027CA849" w14:textId="77777777" w:rsidR="00864660" w:rsidRDefault="00000000">
            <w:pPr>
              <w:spacing w:before="10" w:after="0"/>
              <w:rPr>
                <w:i/>
                <w:sz w:val="18"/>
              </w:rPr>
            </w:pPr>
            <w:r>
              <w:rPr>
                <w:i/>
                <w:sz w:val="18"/>
              </w:rPr>
              <w:t>* starting after the 5</w:t>
            </w:r>
            <w:r>
              <w:rPr>
                <w:i/>
                <w:sz w:val="18"/>
                <w:vertAlign w:val="superscript"/>
              </w:rPr>
              <w:t>th</w:t>
            </w:r>
            <w:r>
              <w:rPr>
                <w:i/>
                <w:sz w:val="18"/>
              </w:rPr>
              <w:t xml:space="preserve"> observation date</w:t>
            </w:r>
          </w:p>
        </w:tc>
        <w:tc>
          <w:tcPr>
            <w:tcW w:w="943" w:type="dxa"/>
            <w:shd w:val="clear" w:color="auto" w:fill="F2F2F2"/>
            <w:tcMar>
              <w:top w:w="300" w:type="dxa"/>
              <w:bottom w:w="300" w:type="dxa"/>
            </w:tcMar>
            <w:vAlign w:val="center"/>
          </w:tcPr>
          <w:p w14:paraId="0350ACAC" w14:textId="77777777" w:rsidR="00864660" w:rsidRDefault="00000000">
            <w:pPr>
              <w:spacing w:before="10" w:after="0"/>
              <w:jc w:val="right"/>
              <w:rPr>
                <w:b/>
              </w:rPr>
            </w:pPr>
            <w:r>
              <w:rPr>
                <w:b/>
                <w:noProof/>
              </w:rPr>
              <w:drawing>
                <wp:inline distT="0" distB="0" distL="0" distR="0" wp14:anchorId="6742DC5A" wp14:editId="0B0C52CC">
                  <wp:extent cx="500000" cy="500000"/>
                  <wp:effectExtent l="0" t="0" r="0" b="0"/>
                  <wp:docPr id="5" name="Image" descr="Grap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descr="Graph icon"/>
                          <pic:cNvPicPr/>
                        </pic:nvPicPr>
                        <pic:blipFill>
                          <a:blip r:embed="rId9" cstate="print"/>
                          <a:stretch>
                            <a:fillRect/>
                          </a:stretch>
                        </pic:blipFill>
                        <pic:spPr>
                          <a:xfrm>
                            <a:off x="0" y="0"/>
                            <a:ext cx="500000" cy="500000"/>
                          </a:xfrm>
                          <a:prstGeom prst="rect">
                            <a:avLst/>
                          </a:prstGeom>
                        </pic:spPr>
                      </pic:pic>
                    </a:graphicData>
                  </a:graphic>
                </wp:inline>
              </w:drawing>
            </w:r>
          </w:p>
        </w:tc>
        <w:tc>
          <w:tcPr>
            <w:tcW w:w="1887" w:type="dxa"/>
            <w:shd w:val="clear" w:color="auto" w:fill="F2F2F2"/>
            <w:tcMar>
              <w:top w:w="300" w:type="dxa"/>
              <w:bottom w:w="300" w:type="dxa"/>
            </w:tcMar>
            <w:vAlign w:val="center"/>
          </w:tcPr>
          <w:p w14:paraId="48FD0626" w14:textId="77777777" w:rsidR="00864660" w:rsidRDefault="00000000">
            <w:pPr>
              <w:spacing w:before="10" w:after="0"/>
              <w:rPr>
                <w:b/>
              </w:rPr>
            </w:pPr>
            <w:r>
              <w:rPr>
                <w:b/>
                <w:color w:val="0079C1"/>
              </w:rPr>
              <w:t xml:space="preserve">7.44% per annum </w:t>
            </w:r>
            <w:r>
              <w:rPr>
                <w:b/>
              </w:rPr>
              <w:t>Contingent Coupon Paid Monthly</w:t>
            </w:r>
          </w:p>
        </w:tc>
        <w:tc>
          <w:tcPr>
            <w:tcW w:w="943" w:type="dxa"/>
            <w:shd w:val="clear" w:color="auto" w:fill="F2F2F2"/>
            <w:tcMar>
              <w:top w:w="300" w:type="dxa"/>
              <w:bottom w:w="300" w:type="dxa"/>
            </w:tcMar>
            <w:vAlign w:val="center"/>
          </w:tcPr>
          <w:p w14:paraId="2DE1AB1B" w14:textId="77777777" w:rsidR="00864660" w:rsidRDefault="00000000">
            <w:pPr>
              <w:spacing w:before="10" w:after="0"/>
              <w:jc w:val="right"/>
              <w:rPr>
                <w:b/>
              </w:rPr>
            </w:pPr>
            <w:r>
              <w:rPr>
                <w:b/>
                <w:noProof/>
              </w:rPr>
              <w:drawing>
                <wp:inline distT="0" distB="0" distL="0" distR="0" wp14:anchorId="72D11760" wp14:editId="5A7AB1B6">
                  <wp:extent cx="500000" cy="500000"/>
                  <wp:effectExtent l="0" t="0" r="0" b="0"/>
                  <wp:docPr id="6" name="Image" descr="P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descr="Padlock"/>
                          <pic:cNvPicPr/>
                        </pic:nvPicPr>
                        <pic:blipFill>
                          <a:blip r:embed="rId10" cstate="print"/>
                          <a:stretch>
                            <a:fillRect/>
                          </a:stretch>
                        </pic:blipFill>
                        <pic:spPr>
                          <a:xfrm>
                            <a:off x="0" y="0"/>
                            <a:ext cx="500000" cy="500000"/>
                          </a:xfrm>
                          <a:prstGeom prst="rect">
                            <a:avLst/>
                          </a:prstGeom>
                        </pic:spPr>
                      </pic:pic>
                    </a:graphicData>
                  </a:graphic>
                </wp:inline>
              </w:drawing>
            </w:r>
          </w:p>
        </w:tc>
        <w:tc>
          <w:tcPr>
            <w:tcW w:w="1887" w:type="dxa"/>
            <w:shd w:val="clear" w:color="auto" w:fill="F2F2F2"/>
            <w:tcMar>
              <w:top w:w="300" w:type="dxa"/>
              <w:bottom w:w="300" w:type="dxa"/>
            </w:tcMar>
            <w:vAlign w:val="center"/>
          </w:tcPr>
          <w:p w14:paraId="456DEBB2" w14:textId="77777777" w:rsidR="00864660" w:rsidRDefault="00000000">
            <w:pPr>
              <w:spacing w:before="10" w:after="0"/>
              <w:rPr>
                <w:b/>
              </w:rPr>
            </w:pPr>
            <w:r>
              <w:rPr>
                <w:b/>
                <w:color w:val="0079C1"/>
              </w:rPr>
              <w:t xml:space="preserve">20% </w:t>
            </w:r>
            <w:r>
              <w:rPr>
                <w:b/>
              </w:rPr>
              <w:t>Contingent Protection at Maturity</w:t>
            </w:r>
          </w:p>
        </w:tc>
      </w:tr>
    </w:tbl>
    <w:p w14:paraId="3F255FAE" w14:textId="77777777" w:rsidR="00864660" w:rsidRDefault="00864660">
      <w:pPr>
        <w:sectPr w:rsidR="00864660">
          <w:headerReference w:type="default" r:id="rId11"/>
          <w:footerReference w:type="default" r:id="rId12"/>
          <w:pgSz w:w="11906" w:h="16838"/>
          <w:pgMar w:top="720" w:right="285" w:bottom="140" w:left="285" w:header="200" w:footer="708" w:gutter="0"/>
          <w:cols w:space="708"/>
          <w:docGrid w:linePitch="360"/>
        </w:sectPr>
      </w:pPr>
    </w:p>
    <w:p w14:paraId="17D47AC4" w14:textId="77777777" w:rsidR="00864660" w:rsidRDefault="00000000">
      <w:pPr>
        <w:pStyle w:val="IBSubtitle"/>
        <w:outlineLvl w:val="2"/>
      </w:pPr>
      <w:r>
        <w:t>Investment Highlights</w:t>
      </w:r>
    </w:p>
    <w:p w14:paraId="4D7681E7" w14:textId="77777777" w:rsidR="00864660" w:rsidRDefault="00000000">
      <w:pPr>
        <w:pStyle w:val="InvestmentHighlights"/>
      </w:pPr>
      <w:r>
        <w:t xml:space="preserve">The notes offered by the pricing supplement are unsecured debt securities issued by Bank of Montreal. The objective of the notes is to offer investors an income stream via potential periodic coupon payments with contingent downside protection against the loss of their principal investment from any negative performance above the barrier level of Solactive Equal Weight Canada Bank 27 AR Index over the term of the notes. </w:t>
      </w:r>
      <w:r>
        <w:rPr>
          <w:b/>
        </w:rPr>
        <w:t>The principal amount is NOT fully protected under the notes.</w:t>
      </w:r>
    </w:p>
    <w:p w14:paraId="56624672" w14:textId="77777777" w:rsidR="00864660" w:rsidRDefault="00000000">
      <w:pPr>
        <w:pStyle w:val="InvestmentHighlights"/>
        <w:numPr>
          <w:ilvl w:val="1"/>
          <w:numId w:val="2"/>
        </w:numPr>
        <w:ind w:left="426"/>
      </w:pPr>
      <w:r>
        <w:rPr>
          <w:b/>
        </w:rPr>
        <w:t xml:space="preserve">Contingent coupon: </w:t>
      </w:r>
      <w:r>
        <w:t>0.62% monthly (equivalent to 7.44% per annum) provided that the closing level is at or above the coupon payment level.</w:t>
      </w:r>
    </w:p>
    <w:p w14:paraId="133560DA" w14:textId="77777777" w:rsidR="00864660" w:rsidRDefault="00000000">
      <w:pPr>
        <w:pStyle w:val="InvestmentHighlights"/>
        <w:numPr>
          <w:ilvl w:val="1"/>
          <w:numId w:val="2"/>
        </w:numPr>
        <w:ind w:left="426"/>
      </w:pPr>
      <w:r>
        <w:rPr>
          <w:b/>
        </w:rPr>
        <w:t xml:space="preserve">Coupon payment level: </w:t>
      </w:r>
      <w:r>
        <w:t>80.00% of the initial level.</w:t>
      </w:r>
    </w:p>
    <w:p w14:paraId="01D15215" w14:textId="77777777" w:rsidR="00864660" w:rsidRDefault="00000000">
      <w:pPr>
        <w:pStyle w:val="InvestmentHighlights"/>
        <w:numPr>
          <w:ilvl w:val="1"/>
          <w:numId w:val="2"/>
        </w:numPr>
        <w:ind w:left="426"/>
      </w:pPr>
      <w:r>
        <w:rPr>
          <w:b/>
        </w:rPr>
        <w:t xml:space="preserve">Autocall: </w:t>
      </w:r>
      <w:r>
        <w:t>Automatic early redemption at par plus any final coupon payment if the closing level is at or above the autocall level on any autocall observation date. The notes cannot be automatically called prior to the sixth observation date.</w:t>
      </w:r>
    </w:p>
    <w:p w14:paraId="56469CA9" w14:textId="77777777" w:rsidR="00864660" w:rsidRDefault="00000000">
      <w:pPr>
        <w:pStyle w:val="InvestmentHighlights"/>
        <w:numPr>
          <w:ilvl w:val="1"/>
          <w:numId w:val="2"/>
        </w:numPr>
        <w:ind w:left="426"/>
      </w:pPr>
      <w:r>
        <w:rPr>
          <w:b/>
        </w:rPr>
        <w:t xml:space="preserve">Autocall level: </w:t>
      </w:r>
      <w:r>
        <w:t>105.00% of the initial level.</w:t>
      </w:r>
    </w:p>
    <w:p w14:paraId="6DF4DF9A" w14:textId="77777777" w:rsidR="00864660" w:rsidRDefault="00000000">
      <w:pPr>
        <w:pStyle w:val="InvestmentHighlights"/>
        <w:numPr>
          <w:ilvl w:val="1"/>
          <w:numId w:val="2"/>
        </w:numPr>
        <w:ind w:left="426"/>
      </w:pPr>
      <w:r>
        <w:rPr>
          <w:b/>
        </w:rPr>
        <w:t xml:space="preserve">Barrier protection: </w:t>
      </w:r>
      <w:r>
        <w:t>20.00%</w:t>
      </w:r>
    </w:p>
    <w:p w14:paraId="6633107A" w14:textId="77777777" w:rsidR="00864660" w:rsidRDefault="00000000">
      <w:pPr>
        <w:pStyle w:val="InvestmentHighlights"/>
        <w:keepNext w:val="0"/>
        <w:numPr>
          <w:ilvl w:val="1"/>
          <w:numId w:val="2"/>
        </w:numPr>
        <w:ind w:left="426"/>
      </w:pPr>
      <w:r>
        <w:rPr>
          <w:b/>
        </w:rPr>
        <w:t xml:space="preserve">Downside participation: </w:t>
      </w:r>
      <w:r>
        <w:t>100.00%, below the barrier level.</w:t>
      </w:r>
    </w:p>
    <w:p w14:paraId="7CBD1588" w14:textId="77777777" w:rsidR="00707D86" w:rsidRDefault="00707D86" w:rsidP="00707D86">
      <w:pPr>
        <w:pStyle w:val="InvestmentHighlights"/>
        <w:keepNext w:val="0"/>
        <w:ind w:left="426"/>
      </w:pPr>
    </w:p>
    <w:tbl>
      <w:tblPr>
        <w:tblStyle w:val="CoverPageTable"/>
        <w:tblW w:w="0" w:type="auto"/>
        <w:tblInd w:w="0" w:type="dxa"/>
        <w:tblLook w:val="04A0" w:firstRow="1" w:lastRow="0" w:firstColumn="1" w:lastColumn="0" w:noHBand="0" w:noVBand="1"/>
      </w:tblPr>
      <w:tblGrid>
        <w:gridCol w:w="4006"/>
        <w:gridCol w:w="1288"/>
      </w:tblGrid>
      <w:tr w:rsidR="00864660" w14:paraId="78EDB72E" w14:textId="77777777">
        <w:tc>
          <w:tcPr>
            <w:tcW w:w="9514" w:type="dxa"/>
            <w:gridSpan w:val="2"/>
          </w:tcPr>
          <w:p w14:paraId="500C0A23" w14:textId="77777777" w:rsidR="00864660" w:rsidRDefault="00000000">
            <w:pPr>
              <w:keepNext/>
              <w:spacing w:after="0"/>
              <w:jc w:val="center"/>
              <w:rPr>
                <w:b/>
                <w:color w:val="0079C1"/>
              </w:rPr>
            </w:pPr>
            <w:r>
              <w:rPr>
                <w:b/>
                <w:color w:val="0079C1"/>
              </w:rPr>
              <w:t>Reference Portfolio</w:t>
            </w:r>
          </w:p>
        </w:tc>
      </w:tr>
      <w:tr w:rsidR="00864660" w14:paraId="4333971F" w14:textId="77777777">
        <w:tc>
          <w:tcPr>
            <w:tcW w:w="9514" w:type="dxa"/>
            <w:shd w:val="clear" w:color="auto" w:fill="C7D8EF"/>
          </w:tcPr>
          <w:p w14:paraId="52995114" w14:textId="77777777" w:rsidR="00864660" w:rsidRDefault="00000000">
            <w:pPr>
              <w:keepNext/>
              <w:spacing w:after="0"/>
              <w:rPr>
                <w:b/>
                <w:color w:val="0079C1"/>
                <w:sz w:val="20"/>
              </w:rPr>
            </w:pPr>
            <w:r>
              <w:rPr>
                <w:b/>
                <w:color w:val="0079C1"/>
                <w:sz w:val="20"/>
              </w:rPr>
              <w:t>Reference asset</w:t>
            </w:r>
          </w:p>
        </w:tc>
        <w:tc>
          <w:tcPr>
            <w:tcW w:w="1812" w:type="dxa"/>
            <w:shd w:val="clear" w:color="auto" w:fill="C7D8EF"/>
          </w:tcPr>
          <w:p w14:paraId="5EC83F5C" w14:textId="77777777" w:rsidR="00864660" w:rsidRDefault="00000000">
            <w:pPr>
              <w:keepNext/>
              <w:spacing w:after="0"/>
              <w:rPr>
                <w:b/>
                <w:color w:val="0079C1"/>
                <w:sz w:val="20"/>
              </w:rPr>
            </w:pPr>
            <w:r>
              <w:rPr>
                <w:b/>
                <w:color w:val="0079C1"/>
                <w:sz w:val="20"/>
              </w:rPr>
              <w:t>Ticker symbol</w:t>
            </w:r>
          </w:p>
        </w:tc>
      </w:tr>
      <w:tr w:rsidR="00864660" w14:paraId="1A5EB089" w14:textId="77777777">
        <w:tc>
          <w:tcPr>
            <w:tcW w:w="9514" w:type="dxa"/>
            <w:vAlign w:val="top"/>
          </w:tcPr>
          <w:p w14:paraId="2D394CEA" w14:textId="77777777" w:rsidR="00864660" w:rsidRDefault="00000000">
            <w:pPr>
              <w:keepNext/>
              <w:spacing w:after="0"/>
              <w:rPr>
                <w:sz w:val="20"/>
              </w:rPr>
            </w:pPr>
            <w:r>
              <w:rPr>
                <w:sz w:val="20"/>
              </w:rPr>
              <w:t>Solactive Equal Weight Canada Bank 27 AR Index</w:t>
            </w:r>
          </w:p>
        </w:tc>
        <w:tc>
          <w:tcPr>
            <w:tcW w:w="1812" w:type="dxa"/>
            <w:vAlign w:val="top"/>
          </w:tcPr>
          <w:p w14:paraId="0A487FE2" w14:textId="77777777" w:rsidR="00864660" w:rsidRDefault="00000000">
            <w:pPr>
              <w:keepNext/>
              <w:spacing w:after="0"/>
              <w:rPr>
                <w:sz w:val="20"/>
              </w:rPr>
            </w:pPr>
            <w:r>
              <w:rPr>
                <w:sz w:val="20"/>
              </w:rPr>
              <w:t>SOLBEW27</w:t>
            </w:r>
          </w:p>
        </w:tc>
      </w:tr>
    </w:tbl>
    <w:p w14:paraId="3DA72A6C" w14:textId="77777777" w:rsidR="00864660" w:rsidRDefault="00000000">
      <w:pPr>
        <w:spacing w:before="40"/>
        <w:rPr>
          <w:sz w:val="16"/>
        </w:rPr>
      </w:pPr>
      <w:r>
        <w:rPr>
          <w:sz w:val="16"/>
        </w:rPr>
        <w:t>The Solactive Equal Weight Canada Bank 27 AR Index is an adjusted return index. It aims to track the gross total return performance of the Solactive Equal Weight Canada Banks Index (the “underlying index”), calculated in Canadian dollars, less an adjusted return factor of 27 index points per annum that will be calculated daily in arrears (the “adjusted return factor”). The underlying index is an equally-weighted free-float market capitalization index of common stock of Canadian issuers. The methodology of the underlying index provides that the constituent securities fulfill the following criteria: primarily listed on the Toronto Stock Exchange; classified by the index sponsor as “Major Banks” or “Regional Banks”; have a minimum free-float market capitalization of CAD $10 billion for new index members and CAD $5 billion for current index members; and have a minimum average daily trading value of CAD $10 million, as calculated by the index sponsor. The closing level on December 31, 2024 was 523.20. The adjusted return factor divided by the closing level was therefore equal to 5.16% on December 31, 2024. Over the term of the notes, the sum of the adjusted return factor will be approximately 189 index points, representing 36.18% of the closing level on December 31, 2024.</w:t>
      </w:r>
    </w:p>
    <w:p w14:paraId="511342FB" w14:textId="77777777" w:rsidR="00864660" w:rsidRDefault="00000000">
      <w:pPr>
        <w:spacing w:before="200"/>
        <w:rPr>
          <w:sz w:val="16"/>
        </w:rPr>
      </w:pPr>
      <w:r>
        <w:rPr>
          <w:sz w:val="16"/>
        </w:rPr>
        <w:t>The dividend yield of the underlying index on December 31, 2024 was 4.09%, representing an aggregate dividend yield of approximately 28.67% over the term of the notes (assuming the dividend yield remains constant and the dividends are not reinvested).</w:t>
      </w:r>
    </w:p>
    <w:p w14:paraId="6AFD778A" w14:textId="77777777" w:rsidR="00864660" w:rsidRDefault="00000000">
      <w:pPr>
        <w:rPr>
          <w:sz w:val="16"/>
        </w:rPr>
      </w:pPr>
      <w:r>
        <w:rPr>
          <w:sz w:val="16"/>
        </w:rPr>
        <w:t>An investment in the notes does not represent a direct or indirect investment in the reference asset. You have no right or entitlement to the dividends or distributions paid on the reference asset.</w:t>
      </w:r>
    </w:p>
    <w:p w14:paraId="18DFD99A" w14:textId="77777777" w:rsidR="00864660" w:rsidRDefault="00864660">
      <w:pPr>
        <w:sectPr w:rsidR="00864660">
          <w:type w:val="continuous"/>
          <w:pgSz w:w="11906" w:h="16838"/>
          <w:pgMar w:top="720" w:right="285" w:bottom="140" w:left="285" w:header="200" w:footer="708" w:gutter="0"/>
          <w:cols w:num="2" w:space="708"/>
          <w:docGrid w:linePitch="360"/>
        </w:sectPr>
      </w:pPr>
    </w:p>
    <w:tbl>
      <w:tblPr>
        <w:tblStyle w:val="FirstBoldBlueTable"/>
        <w:tblW w:w="0" w:type="auto"/>
        <w:tblInd w:w="0" w:type="dxa"/>
        <w:tblLook w:val="04A0" w:firstRow="1" w:lastRow="0" w:firstColumn="1" w:lastColumn="0" w:noHBand="0" w:noVBand="1"/>
      </w:tblPr>
      <w:tblGrid>
        <w:gridCol w:w="2263"/>
        <w:gridCol w:w="9053"/>
      </w:tblGrid>
      <w:tr w:rsidR="00864660" w14:paraId="7C51423A" w14:textId="77777777" w:rsidTr="00314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6" w:type="dxa"/>
            <w:gridSpan w:val="2"/>
          </w:tcPr>
          <w:p w14:paraId="5EABB525" w14:textId="77777777" w:rsidR="00864660" w:rsidRDefault="00000000">
            <w:pPr>
              <w:pageBreakBefore/>
              <w:spacing w:after="0"/>
              <w:outlineLvl w:val="2"/>
              <w:rPr>
                <w:sz w:val="28"/>
              </w:rPr>
            </w:pPr>
            <w:r>
              <w:rPr>
                <w:sz w:val="28"/>
              </w:rPr>
              <w:lastRenderedPageBreak/>
              <w:t>Additional Offering Details</w:t>
            </w:r>
          </w:p>
        </w:tc>
      </w:tr>
      <w:tr w:rsidR="00864660" w14:paraId="6536F682"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4669997" w14:textId="77777777" w:rsidR="00864660" w:rsidRDefault="00000000">
            <w:pPr>
              <w:spacing w:after="0"/>
            </w:pPr>
            <w:r>
              <w:t>Issuer</w:t>
            </w:r>
          </w:p>
        </w:tc>
        <w:tc>
          <w:tcPr>
            <w:tcW w:w="9053" w:type="dxa"/>
          </w:tcPr>
          <w:p w14:paraId="7F1F0CB2"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Bank of Montreal</w:t>
            </w:r>
          </w:p>
        </w:tc>
      </w:tr>
      <w:tr w:rsidR="00864660" w14:paraId="3AABEA0A"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89BBE29" w14:textId="77777777" w:rsidR="00864660" w:rsidRDefault="00000000">
            <w:pPr>
              <w:spacing w:after="0"/>
            </w:pPr>
            <w:r>
              <w:t>Issuer rating</w:t>
            </w:r>
          </w:p>
        </w:tc>
        <w:tc>
          <w:tcPr>
            <w:tcW w:w="9053" w:type="dxa"/>
          </w:tcPr>
          <w:p w14:paraId="59DAD1B5"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Moody’s: Aa2; S&amp;P: A+; DBRS: AA (long‐term deposits &gt; 1 year).</w:t>
            </w:r>
          </w:p>
        </w:tc>
      </w:tr>
      <w:tr w:rsidR="00864660" w14:paraId="0EADE5F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03E60F0" w14:textId="77777777" w:rsidR="00864660" w:rsidRDefault="00000000">
            <w:pPr>
              <w:spacing w:after="0"/>
            </w:pPr>
            <w:r>
              <w:t>Reference asset</w:t>
            </w:r>
          </w:p>
        </w:tc>
        <w:tc>
          <w:tcPr>
            <w:tcW w:w="9053" w:type="dxa"/>
          </w:tcPr>
          <w:p w14:paraId="2419D9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Solactive Equal Weight Canada Bank 27 AR Index (ticker: SOLBEW27).</w:t>
            </w:r>
          </w:p>
        </w:tc>
      </w:tr>
      <w:tr w:rsidR="00864660" w14:paraId="1FF6E46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05C4BA3" w14:textId="77777777" w:rsidR="00864660" w:rsidRDefault="00000000">
            <w:pPr>
              <w:spacing w:after="0"/>
            </w:pPr>
            <w:r>
              <w:t>Currency of notes</w:t>
            </w:r>
          </w:p>
        </w:tc>
        <w:tc>
          <w:tcPr>
            <w:tcW w:w="9053" w:type="dxa"/>
          </w:tcPr>
          <w:p w14:paraId="2FCE7F50"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Canadian dollar (CAD).</w:t>
            </w:r>
          </w:p>
        </w:tc>
      </w:tr>
      <w:tr w:rsidR="00864660" w14:paraId="0413AAE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DA4E9B4" w14:textId="77777777" w:rsidR="00864660" w:rsidRDefault="00000000">
            <w:pPr>
              <w:spacing w:after="0"/>
            </w:pPr>
            <w:r>
              <w:t>Stated principal amount</w:t>
            </w:r>
          </w:p>
        </w:tc>
        <w:tc>
          <w:tcPr>
            <w:tcW w:w="9053" w:type="dxa"/>
          </w:tcPr>
          <w:p w14:paraId="1AA697A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CAD $100.00 per note.</w:t>
            </w:r>
          </w:p>
        </w:tc>
      </w:tr>
      <w:tr w:rsidR="00864660" w14:paraId="62BCB37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190D264" w14:textId="77777777" w:rsidR="00864660" w:rsidRDefault="00000000">
            <w:pPr>
              <w:spacing w:after="0"/>
            </w:pPr>
            <w:r>
              <w:t>Minimum investment</w:t>
            </w:r>
          </w:p>
        </w:tc>
        <w:tc>
          <w:tcPr>
            <w:tcW w:w="9053" w:type="dxa"/>
          </w:tcPr>
          <w:p w14:paraId="2BE3F1B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CAD $2,000.00 (20 notes).</w:t>
            </w:r>
          </w:p>
        </w:tc>
      </w:tr>
      <w:tr w:rsidR="00864660" w14:paraId="7314342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C3E24EC" w14:textId="77777777" w:rsidR="00864660" w:rsidRDefault="00000000">
            <w:pPr>
              <w:spacing w:after="0"/>
            </w:pPr>
            <w:r>
              <w:t>Issue date</w:t>
            </w:r>
          </w:p>
        </w:tc>
        <w:tc>
          <w:tcPr>
            <w:tcW w:w="9053" w:type="dxa"/>
          </w:tcPr>
          <w:p w14:paraId="771B72E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On or around February 14, 2025.</w:t>
            </w:r>
          </w:p>
        </w:tc>
      </w:tr>
      <w:tr w:rsidR="00864660" w14:paraId="63081D31"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92292F6" w14:textId="77777777" w:rsidR="00864660" w:rsidRDefault="00000000">
            <w:pPr>
              <w:spacing w:after="0"/>
            </w:pPr>
            <w:r>
              <w:t>Final valuation date</w:t>
            </w:r>
          </w:p>
        </w:tc>
        <w:tc>
          <w:tcPr>
            <w:tcW w:w="9053" w:type="dxa"/>
          </w:tcPr>
          <w:p w14:paraId="6E6CE7D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February 9, 2032, subject to postponement if such date is not an exchange day or a market disruption event occurs.</w:t>
            </w:r>
          </w:p>
        </w:tc>
      </w:tr>
      <w:tr w:rsidR="00864660" w14:paraId="7AB94C2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954D038" w14:textId="77777777" w:rsidR="00864660" w:rsidRDefault="00000000">
            <w:pPr>
              <w:spacing w:after="0"/>
            </w:pPr>
            <w:r>
              <w:t>Maturity date</w:t>
            </w:r>
          </w:p>
        </w:tc>
        <w:tc>
          <w:tcPr>
            <w:tcW w:w="9053" w:type="dxa"/>
          </w:tcPr>
          <w:p w14:paraId="55C4D20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February 17, 2032, subject to the notes being automatically called by us.</w:t>
            </w:r>
          </w:p>
        </w:tc>
      </w:tr>
      <w:tr w:rsidR="00864660" w14:paraId="6C6073E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1AB3B34" w14:textId="77777777" w:rsidR="00864660" w:rsidRDefault="00000000">
            <w:pPr>
              <w:spacing w:after="0"/>
            </w:pPr>
            <w:r>
              <w:t>Term</w:t>
            </w:r>
          </w:p>
        </w:tc>
        <w:tc>
          <w:tcPr>
            <w:tcW w:w="9053" w:type="dxa"/>
          </w:tcPr>
          <w:p w14:paraId="110AF4DD"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Approximately seven (7) years.</w:t>
            </w:r>
          </w:p>
        </w:tc>
      </w:tr>
      <w:tr w:rsidR="00864660" w14:paraId="3157EB3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B4AAEBF" w14:textId="77777777" w:rsidR="00864660" w:rsidRDefault="00000000">
            <w:pPr>
              <w:spacing w:after="0"/>
            </w:pPr>
            <w:r>
              <w:t>Observation and Payment Dates</w:t>
            </w:r>
          </w:p>
        </w:tc>
        <w:tc>
          <w:tcPr>
            <w:tcW w:w="9053" w:type="dxa"/>
          </w:tcPr>
          <w:p w14:paraId="0B1EA2C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See "Observation and Payment Dates" below.</w:t>
            </w:r>
          </w:p>
        </w:tc>
      </w:tr>
      <w:tr w:rsidR="00864660" w14:paraId="34D60BC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4E74991" w14:textId="77777777" w:rsidR="00864660" w:rsidRDefault="00000000">
            <w:pPr>
              <w:spacing w:after="0"/>
            </w:pPr>
            <w:r>
              <w:t>Coupon rate</w:t>
            </w:r>
          </w:p>
        </w:tc>
        <w:tc>
          <w:tcPr>
            <w:tcW w:w="9053" w:type="dxa"/>
          </w:tcPr>
          <w:p w14:paraId="07FDF61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0.62% monthly (equivalent to 7.44% per annum).</w:t>
            </w:r>
          </w:p>
        </w:tc>
      </w:tr>
      <w:tr w:rsidR="00864660" w14:paraId="765D51E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28F633C" w14:textId="77777777" w:rsidR="00864660" w:rsidRDefault="00000000">
            <w:pPr>
              <w:spacing w:after="0"/>
            </w:pPr>
            <w:r>
              <w:t>Coupon payment level</w:t>
            </w:r>
          </w:p>
        </w:tc>
        <w:tc>
          <w:tcPr>
            <w:tcW w:w="9053" w:type="dxa"/>
          </w:tcPr>
          <w:p w14:paraId="21DEAB4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80.00% of the initial level.</w:t>
            </w:r>
          </w:p>
        </w:tc>
      </w:tr>
      <w:tr w:rsidR="00864660" w14:paraId="447BF73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51CE575" w14:textId="77777777" w:rsidR="00864660" w:rsidRDefault="00000000">
            <w:pPr>
              <w:spacing w:after="0"/>
            </w:pPr>
            <w:r>
              <w:t>Contingent coupon payments</w:t>
            </w:r>
          </w:p>
        </w:tc>
        <w:tc>
          <w:tcPr>
            <w:tcW w:w="9053" w:type="dxa"/>
          </w:tcPr>
          <w:p w14:paraId="709BBD26" w14:textId="77777777" w:rsidR="00864660" w:rsidRDefault="00000000">
            <w:pPr>
              <w:keepNext/>
              <w:spacing w:after="0"/>
              <w:cnfStyle w:val="000000000000" w:firstRow="0" w:lastRow="0" w:firstColumn="0" w:lastColumn="0" w:oddVBand="0" w:evenVBand="0" w:oddHBand="0" w:evenHBand="0" w:firstRowFirstColumn="0" w:firstRowLastColumn="0" w:lastRowFirstColumn="0" w:lastRowLastColumn="0"/>
            </w:pPr>
            <w:r>
              <w:t>If the notes have not been redeemed, on each coupon payment date there are two scenarios:</w:t>
            </w:r>
          </w:p>
          <w:p w14:paraId="21B4608E" w14:textId="77777777" w:rsidR="00864660" w:rsidRDefault="00000000">
            <w:pPr>
              <w:pStyle w:val="BodyTextSmallSpacing"/>
              <w:numPr>
                <w:ilvl w:val="1"/>
                <w:numId w:val="3"/>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If the closing level on the immediately preceding coupon observation date is at or above the coupon payment level, you will receive a coupon payment equal to the stated principal amount multiplied by the coupon rate.</w:t>
            </w:r>
          </w:p>
          <w:p w14:paraId="1FE8E3E8" w14:textId="77777777" w:rsidR="00864660" w:rsidRDefault="00000000">
            <w:pPr>
              <w:pStyle w:val="BodyTextSmallSpacing"/>
              <w:numPr>
                <w:ilvl w:val="1"/>
                <w:numId w:val="3"/>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Otherwise, you will not receive a payment on such coupon payment date.</w:t>
            </w:r>
          </w:p>
        </w:tc>
      </w:tr>
      <w:tr w:rsidR="00864660" w14:paraId="55B5DC4D"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2C82B88" w14:textId="77777777" w:rsidR="00864660" w:rsidRDefault="00000000">
            <w:pPr>
              <w:spacing w:after="0"/>
            </w:pPr>
            <w:r>
              <w:t>Autocall level</w:t>
            </w:r>
          </w:p>
        </w:tc>
        <w:tc>
          <w:tcPr>
            <w:tcW w:w="9053" w:type="dxa"/>
          </w:tcPr>
          <w:p w14:paraId="343AFAD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105.00% of the initial level.</w:t>
            </w:r>
          </w:p>
        </w:tc>
      </w:tr>
      <w:tr w:rsidR="00864660" w14:paraId="04DDCAA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CD159C7" w14:textId="77777777" w:rsidR="00864660" w:rsidRDefault="00000000">
            <w:pPr>
              <w:spacing w:after="0"/>
            </w:pPr>
            <w:r>
              <w:t>Automatic early redemption</w:t>
            </w:r>
          </w:p>
        </w:tc>
        <w:tc>
          <w:tcPr>
            <w:tcW w:w="9053" w:type="dxa"/>
          </w:tcPr>
          <w:p w14:paraId="466DFF0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The notes will be automatically redeemed on any autocall payment date if, on the corresponding autocall observation date, the closing level is at or above the autocall level. On any such redemption, you will receive a cash payment equal to the stated principal amount, in addition to any final contingent coupon payment. No further payments will be made after such autocall payment date. The notes cannot be automatically called prior to the sixth observation date. </w:t>
            </w:r>
          </w:p>
        </w:tc>
      </w:tr>
      <w:tr w:rsidR="00864660" w14:paraId="0E405B21"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4BB3F5A1" w14:textId="77777777" w:rsidR="00864660" w:rsidRDefault="00000000">
            <w:pPr>
              <w:spacing w:after="0"/>
            </w:pPr>
            <w:r>
              <w:t>Initial level</w:t>
            </w:r>
          </w:p>
        </w:tc>
        <w:tc>
          <w:tcPr>
            <w:tcW w:w="9053" w:type="dxa"/>
          </w:tcPr>
          <w:p w14:paraId="51E30B9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The closing level on the issue date.</w:t>
            </w:r>
          </w:p>
        </w:tc>
      </w:tr>
      <w:tr w:rsidR="00864660" w14:paraId="6098D959"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5F4A81A" w14:textId="77777777" w:rsidR="00864660" w:rsidRDefault="00000000">
            <w:pPr>
              <w:spacing w:after="0"/>
            </w:pPr>
            <w:r>
              <w:t>Final level</w:t>
            </w:r>
          </w:p>
        </w:tc>
        <w:tc>
          <w:tcPr>
            <w:tcW w:w="9053" w:type="dxa"/>
          </w:tcPr>
          <w:p w14:paraId="25E1C03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The closing level on the final valuation date.</w:t>
            </w:r>
          </w:p>
        </w:tc>
      </w:tr>
      <w:tr w:rsidR="00864660" w14:paraId="5F7EBE00"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2D70877" w14:textId="77777777" w:rsidR="00864660" w:rsidRDefault="00000000">
            <w:pPr>
              <w:spacing w:after="0"/>
            </w:pPr>
            <w:r>
              <w:t>Reference asset return</w:t>
            </w:r>
          </w:p>
        </w:tc>
        <w:tc>
          <w:tcPr>
            <w:tcW w:w="9053" w:type="dxa"/>
          </w:tcPr>
          <w:p w14:paraId="6E6CB4F7" w14:textId="77777777" w:rsidR="00864660" w:rsidRDefault="00000000">
            <w:pPr>
              <w:spacing w:after="60"/>
              <w:cnfStyle w:val="000000000000" w:firstRow="0" w:lastRow="0" w:firstColumn="0" w:lastColumn="0" w:oddVBand="0" w:evenVBand="0" w:oddHBand="0" w:evenHBand="0" w:firstRowFirstColumn="0" w:firstRowLastColumn="0" w:lastRowFirstColumn="0" w:lastRowLastColumn="0"/>
            </w:pPr>
            <w:r>
              <w:t xml:space="preserve">In respect of any given date, the reference asset return shall be determined in accordance with the following formula: </w:t>
            </w:r>
          </w:p>
          <w:p w14:paraId="5B674B9C" w14:textId="77777777" w:rsidR="00864660" w:rsidRDefault="00000000">
            <w:pPr>
              <w:spacing w:after="120"/>
              <w:cnfStyle w:val="000000000000" w:firstRow="0" w:lastRow="0" w:firstColumn="0" w:lastColumn="0" w:oddVBand="0" w:evenVBand="0" w:oddHBand="0" w:evenHBand="0" w:firstRowFirstColumn="0" w:firstRowLastColumn="0" w:lastRowFirstColumn="0" w:lastRowLastColumn="0"/>
            </w:pPr>
            <m:oMathPara>
              <m:oMathParaPr>
                <m:jc m:val="left"/>
              </m:oMathParaPr>
              <m:oMath>
                <m:r>
                  <m:rPr>
                    <m:nor/>
                  </m:rPr>
                  <w:rPr>
                    <w:rFonts w:ascii="Cambria Math" w:eastAsia="Cambria Math" w:hAnsi="Cambria Math" w:cs="Cambria Math"/>
                    <w:i/>
                  </w:rPr>
                  <m:t xml:space="preserve">= </m:t>
                </m:r>
                <m:f>
                  <m:fPr>
                    <m:ctrlPr>
                      <w:rPr>
                        <w:rFonts w:ascii="Cambria Math" w:hAnsi="Cambria Math"/>
                      </w:rPr>
                    </m:ctrlPr>
                  </m:fPr>
                  <m:num>
                    <m:r>
                      <m:rPr>
                        <m:nor/>
                      </m:rPr>
                      <w:rPr>
                        <w:rFonts w:ascii="Cambria Math" w:eastAsia="Cambria Math" w:hAnsi="Cambria Math" w:cs="Cambria Math"/>
                        <w:i/>
                      </w:rPr>
                      <m:t>closing level</m:t>
                    </m:r>
                    <m:r>
                      <w:rPr>
                        <w:rFonts w:ascii="Cambria Math" w:eastAsia="Cambria Math" w:hAnsi="Cambria Math" w:cs="Cambria Math"/>
                      </w:rPr>
                      <m:t xml:space="preserve"> - </m:t>
                    </m:r>
                    <m:r>
                      <m:rPr>
                        <m:nor/>
                      </m:rPr>
                      <w:rPr>
                        <w:rFonts w:ascii="Cambria Math" w:eastAsia="Cambria Math" w:hAnsi="Cambria Math" w:cs="Cambria Math"/>
                        <w:i/>
                      </w:rPr>
                      <m:t>initial level</m:t>
                    </m:r>
                  </m:num>
                  <m:den>
                    <m:r>
                      <m:rPr>
                        <m:nor/>
                      </m:rPr>
                      <w:rPr>
                        <w:rFonts w:ascii="Cambria Math" w:eastAsia="Cambria Math" w:hAnsi="Cambria Math" w:cs="Cambria Math"/>
                        <w:i/>
                      </w:rPr>
                      <m:t>initial level</m:t>
                    </m:r>
                  </m:den>
                </m:f>
              </m:oMath>
            </m:oMathPara>
          </w:p>
        </w:tc>
      </w:tr>
      <w:tr w:rsidR="00864660" w14:paraId="7D0690F7"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C4BE72F" w14:textId="77777777" w:rsidR="00864660" w:rsidRDefault="00000000">
            <w:pPr>
              <w:spacing w:after="0"/>
            </w:pPr>
            <w:r>
              <w:t>Final reference asset return</w:t>
            </w:r>
          </w:p>
        </w:tc>
        <w:tc>
          <w:tcPr>
            <w:tcW w:w="9053" w:type="dxa"/>
          </w:tcPr>
          <w:p w14:paraId="26F0C01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The reference asset return on the final valuation date.</w:t>
            </w:r>
          </w:p>
        </w:tc>
      </w:tr>
      <w:tr w:rsidR="00864660" w14:paraId="3A496FB2"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FF446AB" w14:textId="77777777" w:rsidR="00864660" w:rsidRDefault="00000000">
            <w:pPr>
              <w:spacing w:after="0"/>
            </w:pPr>
            <w:r>
              <w:lastRenderedPageBreak/>
              <w:t>Barrier level</w:t>
            </w:r>
          </w:p>
        </w:tc>
        <w:tc>
          <w:tcPr>
            <w:tcW w:w="9053" w:type="dxa"/>
          </w:tcPr>
          <w:p w14:paraId="5948008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80.00% of the initial level.</w:t>
            </w:r>
          </w:p>
        </w:tc>
      </w:tr>
      <w:tr w:rsidR="00864660" w14:paraId="7D7CE9C4"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2E4ED708" w14:textId="77777777" w:rsidR="00864660" w:rsidRDefault="00000000">
            <w:pPr>
              <w:spacing w:after="0"/>
            </w:pPr>
            <w:r>
              <w:t>Downside participation</w:t>
            </w:r>
          </w:p>
        </w:tc>
        <w:tc>
          <w:tcPr>
            <w:tcW w:w="9053" w:type="dxa"/>
          </w:tcPr>
          <w:p w14:paraId="219C1FC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below the barrier level.</w:t>
            </w:r>
          </w:p>
        </w:tc>
      </w:tr>
      <w:tr w:rsidR="00864660" w14:paraId="65984D6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3C20EC6E" w14:textId="77777777" w:rsidR="00864660" w:rsidRDefault="00000000">
            <w:pPr>
              <w:spacing w:after="0"/>
            </w:pPr>
            <w:r>
              <w:t>Barrier event</w:t>
            </w:r>
          </w:p>
        </w:tc>
        <w:tc>
          <w:tcPr>
            <w:tcW w:w="9053" w:type="dxa"/>
          </w:tcPr>
          <w:p w14:paraId="561B04E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Monitoring at maturity only.</w:t>
            </w:r>
          </w:p>
        </w:tc>
      </w:tr>
      <w:tr w:rsidR="00864660" w14:paraId="1B32BFC6"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1EDDBAA4" w14:textId="77777777" w:rsidR="00864660" w:rsidRDefault="00000000">
            <w:pPr>
              <w:spacing w:after="0"/>
            </w:pPr>
            <w:r>
              <w:t>Payment at maturity</w:t>
            </w:r>
          </w:p>
        </w:tc>
        <w:tc>
          <w:tcPr>
            <w:tcW w:w="9053" w:type="dxa"/>
          </w:tcPr>
          <w:p w14:paraId="3B4DD9B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If the notes have not been redeemed, you will receive at maturity for each note you then hold, in addition to any final contingent coupon payment:</w:t>
            </w:r>
          </w:p>
          <w:p w14:paraId="34A69E98" w14:textId="77777777" w:rsidR="00864660" w:rsidRDefault="00000000">
            <w:pPr>
              <w:pStyle w:val="BodyTextSmallSpacing"/>
              <w:numPr>
                <w:ilvl w:val="1"/>
                <w:numId w:val="4"/>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If the final level is at or above the barrier level, a maturity payment equal to CAD $100.00.</w:t>
            </w:r>
          </w:p>
          <w:p w14:paraId="771F07E1" w14:textId="77777777" w:rsidR="00864660" w:rsidRDefault="00000000">
            <w:pPr>
              <w:pStyle w:val="BodyTextSmallSpacing"/>
              <w:numPr>
                <w:ilvl w:val="1"/>
                <w:numId w:val="4"/>
              </w:numPr>
              <w:spacing w:after="60"/>
              <w:cnfStyle w:val="000000000000" w:firstRow="0" w:lastRow="0" w:firstColumn="0" w:lastColumn="0" w:oddVBand="0" w:evenVBand="0" w:oddHBand="0" w:evenHBand="0" w:firstRowFirstColumn="0" w:firstRowLastColumn="0" w:lastRowFirstColumn="0" w:lastRowLastColumn="0"/>
              <w:rPr>
                <w:sz w:val="22"/>
              </w:rPr>
            </w:pPr>
            <w:r>
              <w:rPr>
                <w:sz w:val="22"/>
              </w:rPr>
              <w:t>If the final level is below the barrier level, a maturity payment directly linked to the performance of the reference asset. The maturity payment will be equal to the following formula, subject to a minimum payment of CAD $1.00:</w:t>
            </w:r>
          </w:p>
          <w:tbl>
            <w:tblPr>
              <w:tblStyle w:val="FormulaStyle"/>
              <w:tblW w:w="0" w:type="auto"/>
              <w:tblInd w:w="0" w:type="dxa"/>
              <w:tblLook w:val="04A0" w:firstRow="1" w:lastRow="0" w:firstColumn="1" w:lastColumn="0" w:noHBand="0" w:noVBand="1"/>
            </w:tblPr>
            <w:tblGrid>
              <w:gridCol w:w="503"/>
              <w:gridCol w:w="8350"/>
            </w:tblGrid>
            <w:tr w:rsidR="00864660" w14:paraId="763351FA" w14:textId="77777777">
              <w:tc>
                <w:tcPr>
                  <w:tcW w:w="3099" w:type="dxa"/>
                </w:tcPr>
                <w:p w14:paraId="7C7E3AB2" w14:textId="77777777" w:rsidR="00864660" w:rsidRDefault="00864660">
                  <w:pPr>
                    <w:spacing w:after="0"/>
                    <w:rPr>
                      <w:rFonts w:ascii="Cambria Math" w:eastAsia="Cambria Math" w:hAnsi="Cambria Math" w:cs="Cambria Math"/>
                      <w:i/>
                    </w:rPr>
                  </w:pPr>
                </w:p>
              </w:tc>
              <w:tc>
                <w:tcPr>
                  <w:tcW w:w="20660" w:type="dxa"/>
                </w:tcPr>
                <w:p w14:paraId="119EB787" w14:textId="77777777" w:rsidR="00864660" w:rsidRDefault="00000000">
                  <w:pPr>
                    <w:spacing w:after="0"/>
                    <w:rPr>
                      <w:rFonts w:ascii="Cambria Math" w:eastAsia="Cambria Math" w:hAnsi="Cambria Math" w:cs="Cambria Math"/>
                      <w:i/>
                    </w:rPr>
                  </w:pPr>
                  <m:oMathPara>
                    <m:oMathParaPr>
                      <m:jc m:val="left"/>
                    </m:oMathParaPr>
                    <m:oMath>
                      <m:r>
                        <m:rPr>
                          <m:nor/>
                        </m:rPr>
                        <w:rPr>
                          <w:rFonts w:ascii="Cambria Math" w:eastAsia="Cambria Math" w:hAnsi="Cambria Math" w:cs="Cambria Math"/>
                          <w:i/>
                        </w:rPr>
                        <m:t xml:space="preserve">= CAD $100.00 + </m:t>
                      </m:r>
                      <m:d>
                        <m:dPr>
                          <m:ctrlPr>
                            <w:rPr>
                              <w:rFonts w:ascii="Cambria Math" w:hAnsi="Cambria Math"/>
                            </w:rPr>
                          </m:ctrlPr>
                        </m:dPr>
                        <m:e>
                          <m:r>
                            <m:rPr>
                              <m:nor/>
                            </m:rPr>
                            <w:rPr>
                              <w:rFonts w:ascii="Cambria Math" w:eastAsia="Cambria Math" w:hAnsi="Cambria Math" w:cs="Cambria Math"/>
                              <w:i/>
                            </w:rPr>
                            <m:t>CAD $100.00 × final reference asset return</m:t>
                          </m:r>
                        </m:e>
                      </m:d>
                      <m:r>
                        <m:rPr>
                          <m:nor/>
                        </m:rPr>
                        <w:rPr>
                          <w:rFonts w:ascii="Cambria Math" w:eastAsia="Cambria Math" w:hAnsi="Cambria Math" w:cs="Cambria Math"/>
                          <w:i/>
                        </w:rPr>
                        <m:t xml:space="preserve">  </m:t>
                      </m:r>
                    </m:oMath>
                  </m:oMathPara>
                </w:p>
              </w:tc>
            </w:tr>
          </w:tbl>
          <w:p w14:paraId="29DCEB11" w14:textId="77777777" w:rsidR="00864660" w:rsidRDefault="00000000">
            <w:pPr>
              <w:pStyle w:val="MainBodyTextNoSpacing"/>
              <w:spacing w:after="10"/>
              <w:cnfStyle w:val="000000000000" w:firstRow="0" w:lastRow="0" w:firstColumn="0" w:lastColumn="0" w:oddVBand="0" w:evenVBand="0" w:oddHBand="0" w:evenHBand="0" w:firstRowFirstColumn="0" w:firstRowLastColumn="0" w:lastRowFirstColumn="0" w:lastRowLastColumn="0"/>
              <w:rPr>
                <w:b/>
              </w:rPr>
            </w:pPr>
            <w:r>
              <w:rPr>
                <w:b/>
              </w:rPr>
              <w:t>If the notes have not been redeemed early, and the final level is below the barrier level, the payment you receive at maturity may be significantly below the stated principal amount of your notes and may be as little as CAD $1.00.</w:t>
            </w:r>
          </w:p>
        </w:tc>
      </w:tr>
      <w:tr w:rsidR="00864660" w14:paraId="3384467C"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04F3C52F" w14:textId="77777777" w:rsidR="00864660" w:rsidRDefault="00000000">
            <w:pPr>
              <w:spacing w:after="0"/>
            </w:pPr>
            <w:r>
              <w:t>Minimum payment</w:t>
            </w:r>
          </w:p>
        </w:tc>
        <w:tc>
          <w:tcPr>
            <w:tcW w:w="9053" w:type="dxa"/>
          </w:tcPr>
          <w:p w14:paraId="16E03CAC"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CAD $1.00 per note.</w:t>
            </w:r>
          </w:p>
        </w:tc>
      </w:tr>
      <w:tr w:rsidR="00864660" w14:paraId="3034160A"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7490DF22" w14:textId="77777777" w:rsidR="00864660" w:rsidRDefault="00000000">
            <w:pPr>
              <w:spacing w:after="0"/>
            </w:pPr>
            <w:r>
              <w:t>Additional tax information</w:t>
            </w:r>
          </w:p>
        </w:tc>
        <w:tc>
          <w:tcPr>
            <w:tcW w:w="9053" w:type="dxa"/>
          </w:tcPr>
          <w:p w14:paraId="74CCFE4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For information about the Canadian federal income tax considerations associated with an investment in the notes, see “Tax Considerations – Certain Canadian Federal Income Tax Considerations” in the income product supplement, as amended pursuant to the section titled “Certain Canadian Federal Income Tax Considerations” in the pricing supplement.</w:t>
            </w:r>
          </w:p>
          <w:p w14:paraId="7742FAD2" w14:textId="77777777" w:rsidR="00864660" w:rsidRDefault="00864660">
            <w:pPr>
              <w:spacing w:after="0"/>
              <w:cnfStyle w:val="000000000000" w:firstRow="0" w:lastRow="0" w:firstColumn="0" w:lastColumn="0" w:oddVBand="0" w:evenVBand="0" w:oddHBand="0" w:evenHBand="0" w:firstRowFirstColumn="0" w:firstRowLastColumn="0" w:lastRowFirstColumn="0" w:lastRowLastColumn="0"/>
            </w:pPr>
          </w:p>
          <w:p w14:paraId="5F9D4A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For information about the eligibility of the notes for investment for certain registered plans, see “Eligibility for Investment” in the income product supplement.</w:t>
            </w:r>
          </w:p>
        </w:tc>
      </w:tr>
      <w:tr w:rsidR="00864660" w14:paraId="403FC44B"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93E481C" w14:textId="77777777" w:rsidR="00864660" w:rsidRDefault="00000000">
            <w:pPr>
              <w:spacing w:after="0"/>
            </w:pPr>
            <w:r>
              <w:t>Fundserv code</w:t>
            </w:r>
          </w:p>
        </w:tc>
        <w:tc>
          <w:tcPr>
            <w:tcW w:w="9053" w:type="dxa"/>
          </w:tcPr>
          <w:p w14:paraId="4561492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JHN19116</w:t>
            </w:r>
          </w:p>
        </w:tc>
      </w:tr>
      <w:tr w:rsidR="00864660" w14:paraId="77AA3833"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695A3F65" w14:textId="77777777" w:rsidR="00864660" w:rsidRDefault="00000000">
            <w:pPr>
              <w:spacing w:after="0"/>
            </w:pPr>
            <w:r>
              <w:t>Calculation agent</w:t>
            </w:r>
          </w:p>
        </w:tc>
        <w:tc>
          <w:tcPr>
            <w:tcW w:w="9053" w:type="dxa"/>
          </w:tcPr>
          <w:p w14:paraId="463EF0D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BMO Capital Markets</w:t>
            </w:r>
          </w:p>
        </w:tc>
      </w:tr>
      <w:tr w:rsidR="00864660" w14:paraId="35BADAF8" w14:textId="77777777" w:rsidTr="00314A08">
        <w:tc>
          <w:tcPr>
            <w:cnfStyle w:val="001000000000" w:firstRow="0" w:lastRow="0" w:firstColumn="1" w:lastColumn="0" w:oddVBand="0" w:evenVBand="0" w:oddHBand="0" w:evenHBand="0" w:firstRowFirstColumn="0" w:firstRowLastColumn="0" w:lastRowFirstColumn="0" w:lastRowLastColumn="0"/>
            <w:tcW w:w="2263" w:type="dxa"/>
          </w:tcPr>
          <w:p w14:paraId="583B0366" w14:textId="77777777" w:rsidR="00864660" w:rsidRDefault="00000000">
            <w:pPr>
              <w:spacing w:after="0"/>
            </w:pPr>
            <w:r>
              <w:t>Dealer</w:t>
            </w:r>
          </w:p>
        </w:tc>
        <w:tc>
          <w:tcPr>
            <w:tcW w:w="9053" w:type="dxa"/>
          </w:tcPr>
          <w:p w14:paraId="6AFE381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BMO Nesbitt Burns Inc., an affiliate of ours, and Manulife Wealth Inc., acting as an independent dealer.</w:t>
            </w:r>
          </w:p>
        </w:tc>
      </w:tr>
    </w:tbl>
    <w:p w14:paraId="13631D67" w14:textId="012F1AD5" w:rsidR="00864660" w:rsidRDefault="00864660" w:rsidP="00FA144F"/>
    <w:sectPr w:rsidR="00864660">
      <w:headerReference w:type="default" r:id="rId13"/>
      <w:footerReference w:type="default" r:id="rId14"/>
      <w:type w:val="continuous"/>
      <w:pgSz w:w="11906" w:h="16838"/>
      <w:pgMar w:top="720" w:right="285" w:bottom="140" w:left="285" w:header="200"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559E3" w14:textId="77777777" w:rsidR="00BC5BEC" w:rsidRDefault="00BC5BEC">
      <w:pPr>
        <w:spacing w:after="0"/>
      </w:pPr>
      <w:r>
        <w:separator/>
      </w:r>
    </w:p>
  </w:endnote>
  <w:endnote w:type="continuationSeparator" w:id="0">
    <w:p w14:paraId="39E4A161" w14:textId="77777777" w:rsidR="00BC5BEC" w:rsidRDefault="00BC5B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3609D" w14:textId="77777777" w:rsidR="00864660" w:rsidRDefault="00864660">
    <w:pPr>
      <w:spacing w:after="0"/>
      <w:rPr>
        <w:sz w:val="8"/>
      </w:rPr>
    </w:pPr>
  </w:p>
  <w:tbl>
    <w:tblPr>
      <w:tblStyle w:val="CoverPageTable"/>
      <w:tblW w:w="0" w:type="auto"/>
      <w:tblInd w:w="0" w:type="dxa"/>
      <w:tblLook w:val="04A0" w:firstRow="1" w:lastRow="0" w:firstColumn="1" w:lastColumn="0" w:noHBand="0" w:noVBand="1"/>
    </w:tblPr>
    <w:tblGrid>
      <w:gridCol w:w="1886"/>
      <w:gridCol w:w="1886"/>
      <w:gridCol w:w="1886"/>
      <w:gridCol w:w="1886"/>
      <w:gridCol w:w="1886"/>
      <w:gridCol w:w="1886"/>
    </w:tblGrid>
    <w:tr w:rsidR="00864660" w14:paraId="54017357" w14:textId="77777777">
      <w:tc>
        <w:tcPr>
          <w:tcW w:w="1887" w:type="dxa"/>
          <w:gridSpan w:val="6"/>
        </w:tcPr>
        <w:p w14:paraId="5CDE376F" w14:textId="77777777" w:rsidR="00864660" w:rsidRDefault="00000000">
          <w:pPr>
            <w:spacing w:after="0"/>
            <w:jc w:val="center"/>
            <w:rPr>
              <w:b/>
              <w:color w:val="0079C1"/>
            </w:rPr>
          </w:pPr>
          <w:r>
            <w:rPr>
              <w:b/>
              <w:color w:val="0079C1"/>
            </w:rPr>
            <w:t>Additional Details</w:t>
          </w:r>
        </w:p>
      </w:tc>
    </w:tr>
    <w:tr w:rsidR="00864660" w14:paraId="0CB576ED" w14:textId="77777777">
      <w:tc>
        <w:tcPr>
          <w:tcW w:w="1887" w:type="dxa"/>
          <w:shd w:val="clear" w:color="auto" w:fill="C7D8EF"/>
        </w:tcPr>
        <w:p w14:paraId="56B2BE86" w14:textId="77777777" w:rsidR="00864660" w:rsidRDefault="00000000">
          <w:pPr>
            <w:spacing w:after="0"/>
            <w:jc w:val="center"/>
            <w:rPr>
              <w:b/>
              <w:color w:val="0079C1"/>
            </w:rPr>
          </w:pPr>
          <w:r>
            <w:rPr>
              <w:b/>
              <w:color w:val="0079C1"/>
            </w:rPr>
            <w:t>Fundserv Code</w:t>
          </w:r>
        </w:p>
      </w:tc>
      <w:tc>
        <w:tcPr>
          <w:tcW w:w="1887" w:type="dxa"/>
          <w:shd w:val="clear" w:color="auto" w:fill="C7D8EF"/>
        </w:tcPr>
        <w:p w14:paraId="2244066E" w14:textId="77777777" w:rsidR="00864660" w:rsidRDefault="00000000">
          <w:pPr>
            <w:spacing w:after="0"/>
            <w:jc w:val="center"/>
            <w:rPr>
              <w:b/>
              <w:color w:val="0079C1"/>
            </w:rPr>
          </w:pPr>
          <w:r>
            <w:rPr>
              <w:b/>
              <w:color w:val="0079C1"/>
            </w:rPr>
            <w:t>Available Until</w:t>
          </w:r>
        </w:p>
      </w:tc>
      <w:tc>
        <w:tcPr>
          <w:tcW w:w="1887" w:type="dxa"/>
          <w:shd w:val="clear" w:color="auto" w:fill="C7D8EF"/>
        </w:tcPr>
        <w:p w14:paraId="26B76515" w14:textId="77777777" w:rsidR="00864660" w:rsidRDefault="00000000">
          <w:pPr>
            <w:spacing w:after="0"/>
            <w:jc w:val="center"/>
            <w:rPr>
              <w:b/>
              <w:color w:val="0079C1"/>
            </w:rPr>
          </w:pPr>
          <w:r>
            <w:rPr>
              <w:b/>
              <w:color w:val="0079C1"/>
            </w:rPr>
            <w:t>Issue Date</w:t>
          </w:r>
        </w:p>
      </w:tc>
      <w:tc>
        <w:tcPr>
          <w:tcW w:w="1887" w:type="dxa"/>
          <w:shd w:val="clear" w:color="auto" w:fill="C7D8EF"/>
        </w:tcPr>
        <w:p w14:paraId="64AD962B" w14:textId="77777777" w:rsidR="00864660" w:rsidRDefault="00000000">
          <w:pPr>
            <w:spacing w:after="0"/>
            <w:jc w:val="center"/>
            <w:rPr>
              <w:b/>
              <w:color w:val="0079C1"/>
            </w:rPr>
          </w:pPr>
          <w:r>
            <w:rPr>
              <w:b/>
              <w:color w:val="0079C1"/>
            </w:rPr>
            <w:t>Maturity Date</w:t>
          </w:r>
        </w:p>
      </w:tc>
      <w:tc>
        <w:tcPr>
          <w:tcW w:w="1887" w:type="dxa"/>
          <w:shd w:val="clear" w:color="auto" w:fill="C7D8EF"/>
        </w:tcPr>
        <w:p w14:paraId="7266CAA8" w14:textId="77777777" w:rsidR="00864660" w:rsidRDefault="00000000">
          <w:pPr>
            <w:spacing w:after="0"/>
            <w:jc w:val="center"/>
            <w:rPr>
              <w:b/>
              <w:color w:val="0079C1"/>
            </w:rPr>
          </w:pPr>
          <w:r>
            <w:rPr>
              <w:b/>
              <w:color w:val="0079C1"/>
            </w:rPr>
            <w:t>Minimum Investment</w:t>
          </w:r>
        </w:p>
      </w:tc>
      <w:tc>
        <w:tcPr>
          <w:tcW w:w="1887" w:type="dxa"/>
          <w:shd w:val="clear" w:color="auto" w:fill="C7D8EF"/>
        </w:tcPr>
        <w:p w14:paraId="6C798378" w14:textId="77777777" w:rsidR="00864660" w:rsidRDefault="00000000">
          <w:pPr>
            <w:spacing w:after="0"/>
            <w:jc w:val="center"/>
            <w:rPr>
              <w:b/>
              <w:color w:val="0079C1"/>
            </w:rPr>
          </w:pPr>
          <w:r>
            <w:rPr>
              <w:b/>
              <w:color w:val="0079C1"/>
            </w:rPr>
            <w:t>Selling Concession</w:t>
          </w:r>
        </w:p>
      </w:tc>
    </w:tr>
    <w:tr w:rsidR="00864660" w14:paraId="676FA4E6" w14:textId="77777777">
      <w:tc>
        <w:tcPr>
          <w:tcW w:w="1887" w:type="dxa"/>
        </w:tcPr>
        <w:p w14:paraId="28A01DF8" w14:textId="77777777" w:rsidR="00864660" w:rsidRDefault="00000000">
          <w:pPr>
            <w:spacing w:after="0"/>
            <w:jc w:val="center"/>
          </w:pPr>
          <w:r>
            <w:t>JHN19116</w:t>
          </w:r>
        </w:p>
      </w:tc>
      <w:tc>
        <w:tcPr>
          <w:tcW w:w="1887" w:type="dxa"/>
        </w:tcPr>
        <w:p w14:paraId="21AA6B98" w14:textId="77777777" w:rsidR="00864660" w:rsidRDefault="00000000">
          <w:pPr>
            <w:spacing w:after="0"/>
            <w:jc w:val="center"/>
          </w:pPr>
          <w:r>
            <w:t>February 11, 2025</w:t>
          </w:r>
        </w:p>
      </w:tc>
      <w:tc>
        <w:tcPr>
          <w:tcW w:w="1887" w:type="dxa"/>
        </w:tcPr>
        <w:p w14:paraId="21EE580C" w14:textId="77777777" w:rsidR="00864660" w:rsidRDefault="00000000">
          <w:pPr>
            <w:spacing w:after="0"/>
            <w:jc w:val="center"/>
          </w:pPr>
          <w:r>
            <w:t>February 14, 2025</w:t>
          </w:r>
        </w:p>
      </w:tc>
      <w:tc>
        <w:tcPr>
          <w:tcW w:w="1887" w:type="dxa"/>
        </w:tcPr>
        <w:p w14:paraId="4FB4962E" w14:textId="77777777" w:rsidR="00864660" w:rsidRDefault="00000000">
          <w:pPr>
            <w:spacing w:after="0"/>
            <w:jc w:val="center"/>
          </w:pPr>
          <w:r>
            <w:t>February 17, 2032</w:t>
          </w:r>
        </w:p>
      </w:tc>
      <w:tc>
        <w:tcPr>
          <w:tcW w:w="1887" w:type="dxa"/>
        </w:tcPr>
        <w:p w14:paraId="5DF24A09" w14:textId="77777777" w:rsidR="00864660" w:rsidRDefault="00000000">
          <w:pPr>
            <w:spacing w:after="0"/>
            <w:jc w:val="center"/>
          </w:pPr>
          <w:r>
            <w:t>CAD $2,000.00</w:t>
          </w:r>
        </w:p>
      </w:tc>
      <w:tc>
        <w:tcPr>
          <w:tcW w:w="1887" w:type="dxa"/>
        </w:tcPr>
        <w:p w14:paraId="330F279E" w14:textId="77777777" w:rsidR="00864660" w:rsidRDefault="00000000">
          <w:pPr>
            <w:spacing w:after="0"/>
            <w:jc w:val="center"/>
          </w:pPr>
          <w:r>
            <w:t>CAD $2.50</w:t>
          </w:r>
        </w:p>
      </w:tc>
    </w:tr>
  </w:tbl>
  <w:p w14:paraId="4115F6DA" w14:textId="77777777" w:rsidR="00864660" w:rsidRDefault="00000000">
    <w:pPr>
      <w:rPr>
        <w:i/>
        <w:sz w:val="14"/>
      </w:rPr>
    </w:pPr>
    <w:r>
      <w:rPr>
        <w:i/>
        <w:sz w:val="14"/>
      </w:rPr>
      <w:t>A final base shelf prospectus containing important information relating to the securities described in this document has been filed with the securities regulatory authorities in each of the provinces and territories of Canada. A copy of the final base shelf prospectus, any amendment to the final base shelf prospectus and any applicable base shelf prospectus supplement that has been filed, is required to be delivered with this document. This document does not provide full disclosure of all material facts relating to the securities offered. Investors should read the final base shelf prospectus, any amendment and any applicable base shelf prospectus supplement for disclosure of those facts, especially risk factors relating to the securities offered, before making an investment decision.</w:t>
    </w:r>
  </w:p>
  <w:tbl>
    <w:tblPr>
      <w:tblW w:w="11327" w:type="dxa"/>
      <w:tblLook w:val="04A0" w:firstRow="1" w:lastRow="0" w:firstColumn="1" w:lastColumn="0" w:noHBand="0" w:noVBand="1"/>
    </w:tblPr>
    <w:tblGrid>
      <w:gridCol w:w="3575"/>
      <w:gridCol w:w="7752"/>
    </w:tblGrid>
    <w:tr w:rsidR="00864660" w14:paraId="72045522" w14:textId="77777777">
      <w:tc>
        <w:tcPr>
          <w:tcW w:w="0" w:type="auto"/>
        </w:tcPr>
        <w:p w14:paraId="02ABE73C" w14:textId="77777777" w:rsidR="00864660" w:rsidRDefault="00000000">
          <w:pPr>
            <w:spacing w:after="0"/>
          </w:pPr>
          <w:r>
            <w:rPr>
              <w:noProof/>
            </w:rPr>
            <w:drawing>
              <wp:inline distT="0" distB="0" distL="0" distR="0" wp14:anchorId="02C1136D" wp14:editId="4413013B">
                <wp:extent cx="1426450" cy="500000"/>
                <wp:effectExtent l="0" t="0" r="0" b="0"/>
                <wp:docPr id="9" name="Image" descr="BM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descr="BMO Logo"/>
                        <pic:cNvPicPr/>
                      </pic:nvPicPr>
                      <pic:blipFill>
                        <a:blip r:embed="rId1" cstate="print"/>
                        <a:stretch>
                          <a:fillRect/>
                        </a:stretch>
                      </pic:blipFill>
                      <pic:spPr>
                        <a:xfrm>
                          <a:off x="0" y="0"/>
                          <a:ext cx="1426450" cy="500000"/>
                        </a:xfrm>
                        <a:prstGeom prst="rect">
                          <a:avLst/>
                        </a:prstGeom>
                      </pic:spPr>
                    </pic:pic>
                  </a:graphicData>
                </a:graphic>
              </wp:inline>
            </w:drawing>
          </w:r>
        </w:p>
      </w:tc>
      <w:tc>
        <w:tcPr>
          <w:tcW w:w="0" w:type="auto"/>
          <w:vAlign w:val="center"/>
        </w:tcPr>
        <w:p w14:paraId="17D29AB4" w14:textId="77777777" w:rsidR="00864660" w:rsidRDefault="00000000">
          <w:pPr>
            <w:spacing w:after="120"/>
            <w:jc w:val="right"/>
            <w:rPr>
              <w:sz w:val="20"/>
            </w:rPr>
          </w:pPr>
          <w:r>
            <w:rPr>
              <w:sz w:val="20"/>
            </w:rPr>
            <w:t>For more information, please contact your Investment Advisor.</w:t>
          </w:r>
        </w:p>
        <w:p w14:paraId="05859DD3" w14:textId="77777777" w:rsidR="00864660" w:rsidRDefault="00864660">
          <w:pPr>
            <w:jc w:val="right"/>
          </w:pPr>
          <w:hyperlink r:id="rId2">
            <w:r>
              <w:rPr>
                <w:rStyle w:val="Hyperlink1"/>
                <w:color w:val="0000FF"/>
                <w:u w:val="single"/>
              </w:rPr>
              <w:t>www.bmonotes.com</w:t>
            </w:r>
          </w:hyperlink>
        </w:p>
      </w:tc>
    </w:tr>
  </w:tbl>
  <w:p w14:paraId="2B42DD02" w14:textId="77777777" w:rsidR="00864660" w:rsidRDefault="00864660">
    <w:pPr>
      <w:spacing w:after="0"/>
      <w:rPr>
        <w:sz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27" w:type="dxa"/>
      <w:tblLook w:val="04A0" w:firstRow="1" w:lastRow="0" w:firstColumn="1" w:lastColumn="0" w:noHBand="0" w:noVBand="1"/>
    </w:tblPr>
    <w:tblGrid>
      <w:gridCol w:w="5309"/>
      <w:gridCol w:w="6018"/>
    </w:tblGrid>
    <w:tr w:rsidR="00864660" w14:paraId="0CEF5E27" w14:textId="77777777">
      <w:tc>
        <w:tcPr>
          <w:tcW w:w="0" w:type="auto"/>
        </w:tcPr>
        <w:p w14:paraId="2D98A696" w14:textId="77777777" w:rsidR="00864660" w:rsidRDefault="00000000">
          <w:pPr>
            <w:spacing w:after="0"/>
          </w:pPr>
          <w:r>
            <w:rPr>
              <w:noProof/>
            </w:rPr>
            <w:drawing>
              <wp:inline distT="0" distB="0" distL="0" distR="0" wp14:anchorId="129B8D7B" wp14:editId="748F5AA2">
                <wp:extent cx="1426450" cy="500000"/>
                <wp:effectExtent l="0" t="0" r="0" b="0"/>
                <wp:docPr id="32" name="Image" descr="BM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descr="BMO Logo"/>
                        <pic:cNvPicPr/>
                      </pic:nvPicPr>
                      <pic:blipFill>
                        <a:blip r:embed="rId1" cstate="print"/>
                        <a:stretch>
                          <a:fillRect/>
                        </a:stretch>
                      </pic:blipFill>
                      <pic:spPr>
                        <a:xfrm>
                          <a:off x="0" y="0"/>
                          <a:ext cx="1426450" cy="500000"/>
                        </a:xfrm>
                        <a:prstGeom prst="rect">
                          <a:avLst/>
                        </a:prstGeom>
                      </pic:spPr>
                    </pic:pic>
                  </a:graphicData>
                </a:graphic>
              </wp:inline>
            </w:drawing>
          </w:r>
        </w:p>
      </w:tc>
      <w:tc>
        <w:tcPr>
          <w:tcW w:w="0" w:type="auto"/>
          <w:vAlign w:val="center"/>
        </w:tcPr>
        <w:p w14:paraId="543B95D1" w14:textId="77777777" w:rsidR="00864660" w:rsidRDefault="00000000">
          <w:pPr>
            <w:spacing w:after="0"/>
            <w:jc w:val="right"/>
            <w:rPr>
              <w:b/>
              <w:color w:val="0079C1"/>
              <w:sz w:val="40"/>
            </w:rPr>
          </w:pPr>
          <w:r>
            <w:rPr>
              <w:b/>
              <w:color w:val="0079C1"/>
              <w:sz w:val="40"/>
            </w:rPr>
            <w:t>Client Brochure</w:t>
          </w:r>
        </w:p>
      </w:tc>
    </w:tr>
  </w:tbl>
  <w:p w14:paraId="55FBAEDF" w14:textId="77777777" w:rsidR="00864660" w:rsidRDefault="00000000">
    <w:pPr>
      <w:spacing w:after="0"/>
      <w:jc w:val="center"/>
    </w:pPr>
    <w:r>
      <w:t>IB-</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8E8E1" w14:textId="77777777" w:rsidR="00BC5BEC" w:rsidRDefault="00BC5BEC">
      <w:pPr>
        <w:spacing w:after="0"/>
      </w:pPr>
      <w:r>
        <w:separator/>
      </w:r>
    </w:p>
  </w:footnote>
  <w:footnote w:type="continuationSeparator" w:id="0">
    <w:p w14:paraId="3FD5EB41" w14:textId="77777777" w:rsidR="00BC5BEC" w:rsidRDefault="00BC5B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D56BA" w14:textId="77777777" w:rsidR="00864660" w:rsidRDefault="00000000">
    <w:pPr>
      <w:spacing w:after="0"/>
      <w:jc w:val="center"/>
    </w:pPr>
    <w:r>
      <w:rPr>
        <w:noProof/>
      </w:rPr>
      <w:drawing>
        <wp:inline distT="0" distB="0" distL="0" distR="0" wp14:anchorId="5B60D986" wp14:editId="2D85D820">
          <wp:extent cx="7186560" cy="1824000"/>
          <wp:effectExtent l="0" t="0" r="0" b="0"/>
          <wp:docPr id="7" name="Imag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descr="Header"/>
                  <pic:cNvPicPr/>
                </pic:nvPicPr>
                <pic:blipFill>
                  <a:blip r:embed="rId1" cstate="print"/>
                  <a:stretch>
                    <a:fillRect/>
                  </a:stretch>
                </pic:blipFill>
                <pic:spPr>
                  <a:xfrm>
                    <a:off x="0" y="0"/>
                    <a:ext cx="7186560" cy="1824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54D7B" w14:textId="77777777" w:rsidR="00864660" w:rsidRDefault="00000000">
    <w:pPr>
      <w:spacing w:after="0"/>
      <w:jc w:val="center"/>
    </w:pPr>
    <w:r>
      <w:rPr>
        <w:noProof/>
      </w:rPr>
      <w:drawing>
        <wp:inline distT="0" distB="0" distL="0" distR="0" wp14:anchorId="0DCF0926" wp14:editId="5A9EA136">
          <wp:extent cx="7230000" cy="723000"/>
          <wp:effectExtent l="0" t="0" r="0" b="0"/>
          <wp:docPr id="31" name="Imag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descr="Header"/>
                  <pic:cNvPicPr/>
                </pic:nvPicPr>
                <pic:blipFill>
                  <a:blip r:embed="rId1" cstate="print"/>
                  <a:stretch>
                    <a:fillRect/>
                  </a:stretch>
                </pic:blipFill>
                <pic:spPr>
                  <a:xfrm>
                    <a:off x="0" y="0"/>
                    <a:ext cx="7230000" cy="723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319D7"/>
    <w:multiLevelType w:val="multilevel"/>
    <w:tmpl w:val="24C88618"/>
    <w:lvl w:ilvl="0">
      <w:start w:val="1"/>
      <w:numFmt w:val="bullet"/>
      <w:lvlText w:val="o"/>
      <w:lvlJc w:val="left"/>
      <w:pPr>
        <w:ind w:left="720" w:hanging="360"/>
      </w:pPr>
      <w:rPr>
        <w:rFonts w:ascii="Symbol" w:eastAsia="Symbol" w:hAnsi="Symbol" w:cs="Symbol"/>
      </w:rPr>
    </w:lvl>
    <w:lvl w:ilvl="1">
      <w:start w:val="1"/>
      <w:numFmt w:val="bullet"/>
      <w:pStyle w:val="CouponStepBodyTextSmallSpacing"/>
      <w:lvlText w:val="o"/>
      <w:lvlJc w:val="left"/>
      <w:pPr>
        <w:ind w:left="1080" w:hanging="360"/>
      </w:pPr>
      <w:rPr>
        <w:rFonts w:ascii="Symbol" w:eastAsia="Symbol" w:hAnsi="Symbol" w:cs="Symbol"/>
      </w:rPr>
    </w:lvl>
    <w:lvl w:ilvl="2">
      <w:start w:val="1"/>
      <w:numFmt w:val="bullet"/>
      <w:lvlText w:val="o"/>
      <w:lvlJc w:val="left"/>
      <w:pPr>
        <w:ind w:left="1420" w:hanging="360"/>
      </w:pPr>
      <w:rPr>
        <w:rFonts w:ascii="Symbol" w:eastAsia="Symbol" w:hAnsi="Symbol" w:cs="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A469E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091428"/>
    <w:multiLevelType w:val="multilevel"/>
    <w:tmpl w:val="02DAD9EA"/>
    <w:lvl w:ilvl="0">
      <w:start w:val="1"/>
      <w:numFmt w:val="bullet"/>
      <w:lvlText w:val=""/>
      <w:lvlJc w:val="left"/>
      <w:pPr>
        <w:ind w:left="720" w:hanging="360"/>
      </w:pPr>
      <w:rPr>
        <w:rFonts w:ascii="Symbol" w:eastAsia="Symbol" w:hAnsi="Symbol" w:cs="Symbol"/>
      </w:rPr>
    </w:lvl>
    <w:lvl w:ilvl="1">
      <w:start w:val="1"/>
      <w:numFmt w:val="bullet"/>
      <w:lvlText w:val=""/>
      <w:lvlJc w:val="left"/>
      <w:pPr>
        <w:ind w:left="1080" w:hanging="360"/>
      </w:pPr>
      <w:rPr>
        <w:rFonts w:ascii="Symbol" w:eastAsia="Symbol" w:hAnsi="Symbol" w:cs="Symbol"/>
      </w:rPr>
    </w:lvl>
    <w:lvl w:ilvl="2">
      <w:start w:val="1"/>
      <w:numFmt w:val="bullet"/>
      <w:lvlText w:val=""/>
      <w:lvlJc w:val="left"/>
      <w:pPr>
        <w:ind w:left="1420" w:hanging="360"/>
      </w:pPr>
      <w:rPr>
        <w:rFonts w:ascii="Symbol" w:eastAsia="Symbol" w:hAnsi="Symbol" w:cs="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7A3E64"/>
    <w:multiLevelType w:val="singleLevel"/>
    <w:tmpl w:val="78B40F6E"/>
    <w:lvl w:ilvl="0">
      <w:start w:val="1"/>
      <w:numFmt w:val="decimal"/>
      <w:lvlText w:val="(%1)"/>
      <w:lvlJc w:val="left"/>
      <w:pPr>
        <w:ind w:left="360" w:hanging="360"/>
      </w:pPr>
    </w:lvl>
  </w:abstractNum>
  <w:num w:numId="1" w16cid:durableId="646476138">
    <w:abstractNumId w:val="0"/>
  </w:num>
  <w:num w:numId="2" w16cid:durableId="1134174587">
    <w:abstractNumId w:val="2"/>
  </w:num>
  <w:num w:numId="3" w16cid:durableId="276718435">
    <w:abstractNumId w:val="2"/>
  </w:num>
  <w:num w:numId="4" w16cid:durableId="1035273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E4"/>
    <w:rsid w:val="00202F35"/>
    <w:rsid w:val="00247AC1"/>
    <w:rsid w:val="002548E4"/>
    <w:rsid w:val="00314A08"/>
    <w:rsid w:val="004D3611"/>
    <w:rsid w:val="00707D86"/>
    <w:rsid w:val="00864660"/>
    <w:rsid w:val="00BC5BEC"/>
    <w:rsid w:val="00F556E9"/>
    <w:rsid w:val="00FA14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D32"/>
  <w15:chartTrackingRefBased/>
  <w15:docId w15:val="{DC905098-68CE-46F9-9D23-F85D7D36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Body)" w:eastAsia="Calibri (Body)" w:hAnsi="Calibri (Body)" w:cs="Calibri (Body)"/>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Caption">
    <w:name w:val="caption"/>
    <w:basedOn w:val="Normal"/>
    <w:next w:val="Normal"/>
    <w:uiPriority w:val="35"/>
    <w:semiHidden/>
    <w:unhideWhenUsed/>
    <w:qFormat/>
    <w:rPr>
      <w:b/>
      <w:bCs/>
      <w:color w:val="4472C4" w:themeColor="accent1"/>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pPr>
  </w:style>
  <w:style w:type="table" w:customStyle="1" w:styleId="FirstBoldBlueTable">
    <w:name w:val="First Bold Blue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20" w:type="dxa"/>
        <w:left w:w="100" w:type="dxa"/>
        <w:bottom w:w="120" w:type="dxa"/>
        <w:right w:w="100" w:type="dxa"/>
      </w:tblCellMar>
    </w:tblPr>
    <w:tblStylePr w:type="firstRow">
      <w:pPr>
        <w:jc w:val="center"/>
      </w:pPr>
      <w:rPr>
        <w:b/>
      </w:rPr>
      <w:tblPr/>
      <w:tcPr>
        <w:shd w:val="clear" w:color="auto" w:fill="C7D8EF"/>
        <w:vAlign w:val="center"/>
      </w:tcPr>
    </w:tblStylePr>
    <w:tblStylePr w:type="firstCol">
      <w:rPr>
        <w:b/>
        <w:color w:val="0079C1"/>
      </w:rPr>
    </w:tblStylePr>
  </w:style>
  <w:style w:type="table" w:customStyle="1" w:styleId="FormulaStyleCumulative">
    <w:name w:val="Formula Style Cumulative"/>
    <w:qFormat/>
    <w:pPr>
      <w:spacing w:after="60"/>
    </w:pPr>
    <w:tblPr>
      <w:tblInd w:w="720" w:type="dxa"/>
      <w:tblCellMar>
        <w:top w:w="0" w:type="dxa"/>
        <w:left w:w="0" w:type="dxa"/>
        <w:bottom w:w="0" w:type="dxa"/>
        <w:right w:w="0" w:type="dxa"/>
      </w:tblCellMar>
    </w:tblPr>
    <w:tcPr>
      <w:vAlign w:val="center"/>
    </w:tcPr>
  </w:style>
  <w:style w:type="table" w:customStyle="1" w:styleId="FormulaStyleCumulative1">
    <w:name w:val="Formula Style Cumulative 1"/>
    <w:qFormat/>
    <w:pPr>
      <w:spacing w:after="60"/>
    </w:pPr>
    <w:tblPr>
      <w:tblCellMar>
        <w:top w:w="0" w:type="dxa"/>
        <w:left w:w="0" w:type="dxa"/>
        <w:bottom w:w="0" w:type="dxa"/>
        <w:right w:w="0" w:type="dxa"/>
      </w:tblCellMar>
    </w:tblPr>
    <w:tcPr>
      <w:vAlign w:val="center"/>
    </w:tcPr>
  </w:style>
  <w:style w:type="table" w:customStyle="1" w:styleId="HypoCashSummaryTable">
    <w:name w:val="Hypo Cash Summary Table"/>
    <w:qFormat/>
    <w:pPr>
      <w:jc w:val="right"/>
    </w:pPr>
    <w:rPr>
      <w:sz w:val="20"/>
      <w:szCs w:val="20"/>
      <w:lang w:val="en-CA" w:eastAsia="en-CA"/>
    </w:rPr>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0" w:type="dxa"/>
        <w:left w:w="100" w:type="dxa"/>
        <w:bottom w:w="100" w:type="dxa"/>
        <w:right w:w="100" w:type="dxa"/>
      </w:tblCellMar>
    </w:tblPr>
    <w:tblStylePr w:type="firstRow">
      <w:pPr>
        <w:jc w:val="center"/>
      </w:pPr>
      <w:rPr>
        <w:b/>
        <w:color w:val="0079C1"/>
      </w:rPr>
      <w:tblPr/>
      <w:tcPr>
        <w:shd w:val="clear" w:color="auto" w:fill="C7D8EF"/>
        <w:vAlign w:val="center"/>
      </w:tcPr>
    </w:tblStylePr>
    <w:tblStylePr w:type="firstCol">
      <w:pPr>
        <w:jc w:val="left"/>
      </w:pPr>
      <w:rPr>
        <w:b/>
        <w:color w:val="000000"/>
      </w:rPr>
    </w:tblStylePr>
  </w:style>
  <w:style w:type="table" w:customStyle="1" w:styleId="HypoLevelTable">
    <w:name w:val="Hypo Level Table"/>
    <w:qFormat/>
    <w:pPr>
      <w:jc w:val="right"/>
    </w:pPr>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0" w:type="dxa"/>
        <w:left w:w="100" w:type="dxa"/>
        <w:bottom w:w="100" w:type="dxa"/>
        <w:right w:w="100" w:type="dxa"/>
      </w:tblCellMar>
    </w:tblPr>
    <w:tblStylePr w:type="firstRow">
      <w:pPr>
        <w:jc w:val="center"/>
      </w:pPr>
      <w:rPr>
        <w:b/>
        <w:color w:val="0079C1"/>
      </w:rPr>
      <w:tblPr/>
      <w:tcPr>
        <w:shd w:val="clear" w:color="auto" w:fill="C7D8EF"/>
        <w:vAlign w:val="center"/>
      </w:tcPr>
    </w:tblStylePr>
  </w:style>
  <w:style w:type="table" w:customStyle="1" w:styleId="AdjustedReturnTable">
    <w:name w:val="Adjusted Return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20" w:type="dxa"/>
        <w:left w:w="100" w:type="dxa"/>
        <w:bottom w:w="120" w:type="dxa"/>
        <w:right w:w="100" w:type="dxa"/>
      </w:tblCellMar>
    </w:tblPr>
    <w:tblStylePr w:type="firstRow">
      <w:pPr>
        <w:jc w:val="center"/>
      </w:pPr>
      <w:rPr>
        <w:b/>
        <w:color w:val="0079C1"/>
      </w:rPr>
      <w:tblPr/>
      <w:tcPr>
        <w:shd w:val="clear" w:color="auto" w:fill="C7D8EF"/>
        <w:vAlign w:val="center"/>
      </w:tcPr>
    </w:tblStylePr>
  </w:style>
  <w:style w:type="table" w:customStyle="1" w:styleId="FormulaStyle">
    <w:name w:val="Formula Style"/>
    <w:qFormat/>
    <w:tblPr>
      <w:jc w:val="center"/>
      <w:tblCellMar>
        <w:top w:w="0" w:type="dxa"/>
        <w:left w:w="0" w:type="dxa"/>
        <w:bottom w:w="0" w:type="dxa"/>
        <w:right w:w="0" w:type="dxa"/>
      </w:tblCellMar>
    </w:tblPr>
    <w:trPr>
      <w:jc w:val="center"/>
    </w:trPr>
    <w:tcPr>
      <w:vAlign w:val="center"/>
    </w:tcPr>
  </w:style>
  <w:style w:type="table" w:customStyle="1" w:styleId="DatesTable">
    <w:name w:val="Dates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 w:type="dxa"/>
        <w:left w:w="10" w:type="dxa"/>
        <w:bottom w:w="10" w:type="dxa"/>
        <w:right w:w="10" w:type="dxa"/>
      </w:tblCellMar>
    </w:tblPr>
    <w:tblStylePr w:type="firstRow">
      <w:pPr>
        <w:jc w:val="left"/>
      </w:pPr>
      <w:rPr>
        <w:b/>
        <w:color w:val="0079C1"/>
      </w:rPr>
      <w:tblPr/>
      <w:tcPr>
        <w:shd w:val="clear" w:color="auto" w:fill="C7D8EF"/>
        <w:vAlign w:val="center"/>
      </w:tcPr>
    </w:tblStylePr>
  </w:style>
  <w:style w:type="table" w:customStyle="1" w:styleId="CoverPageTable">
    <w:name w:val="Cover Page Table"/>
    <w:qFormat/>
    <w:tblPr>
      <w:jc w:val="cente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50" w:type="dxa"/>
        <w:left w:w="50" w:type="dxa"/>
        <w:bottom w:w="50" w:type="dxa"/>
        <w:right w:w="50" w:type="dxa"/>
      </w:tblCellMar>
    </w:tblPr>
    <w:trPr>
      <w:jc w:val="center"/>
    </w:trPr>
    <w:tcPr>
      <w:vAlign w:val="center"/>
    </w:tcPr>
  </w:style>
  <w:style w:type="table" w:customStyle="1" w:styleId="HyposHeadingTable">
    <w:name w:val="Hypos Heading Table"/>
    <w:qFormat/>
    <w:tblPr>
      <w:tblCellMar>
        <w:top w:w="80" w:type="dxa"/>
        <w:left w:w="80" w:type="dxa"/>
        <w:bottom w:w="80" w:type="dxa"/>
        <w:right w:w="80" w:type="dxa"/>
      </w:tblCellMar>
    </w:tblPr>
    <w:tcPr>
      <w:shd w:val="clear" w:color="auto" w:fill="3394CD"/>
    </w:tcPr>
    <w:tblStylePr w:type="firstCol">
      <w:pPr>
        <w:spacing w:before="0" w:after="40"/>
      </w:pPr>
      <w:rPr>
        <w:b/>
        <w:color w:val="FFFFFF"/>
      </w:rPr>
    </w:tblStylePr>
  </w:style>
  <w:style w:type="paragraph" w:customStyle="1" w:styleId="IBSubtitle">
    <w:name w:val="IB Subtitle"/>
    <w:qFormat/>
    <w:rPr>
      <w:b/>
      <w:color w:val="0079C1"/>
      <w:sz w:val="28"/>
    </w:rPr>
  </w:style>
  <w:style w:type="paragraph" w:customStyle="1" w:styleId="InvestmentHighlights">
    <w:name w:val="Investment Highlights"/>
    <w:qFormat/>
    <w:pPr>
      <w:keepNext/>
      <w:keepLines/>
      <w:spacing w:after="60"/>
    </w:pPr>
    <w:rPr>
      <w:rFonts w:ascii="Calibri (Body)" w:eastAsia="Calibri (Body)" w:hAnsi="Calibri (Body)" w:cs="Calibri (Body)"/>
      <w:sz w:val="17"/>
    </w:rPr>
  </w:style>
  <w:style w:type="paragraph" w:customStyle="1" w:styleId="InvestmentHighlightsStepUp">
    <w:name w:val="Investment Highlights StepUp"/>
    <w:qFormat/>
    <w:pPr>
      <w:keepNext/>
      <w:keepLines/>
      <w:spacing w:after="60"/>
      <w:ind w:left="360"/>
    </w:pPr>
    <w:rPr>
      <w:rFonts w:ascii="Calibri (Body)" w:eastAsia="Calibri (Body)" w:hAnsi="Calibri (Body)" w:cs="Calibri (Body)"/>
      <w:sz w:val="16"/>
    </w:rPr>
  </w:style>
  <w:style w:type="paragraph" w:customStyle="1" w:styleId="CoverIBBody">
    <w:name w:val="Cover IB Body"/>
    <w:qFormat/>
    <w:pPr>
      <w:spacing w:after="0"/>
    </w:pPr>
    <w:rPr>
      <w:rFonts w:ascii="Calibri (Body)" w:eastAsia="Calibri (Body)" w:hAnsi="Calibri (Body)" w:cs="Calibri (Body)"/>
    </w:rPr>
  </w:style>
  <w:style w:type="paragraph" w:customStyle="1" w:styleId="MainTitle">
    <w:name w:val="Main Title"/>
    <w:qFormat/>
    <w:pPr>
      <w:spacing w:after="0"/>
      <w:jc w:val="center"/>
    </w:pPr>
    <w:rPr>
      <w:color w:val="0079C1"/>
      <w:sz w:val="28"/>
    </w:rPr>
  </w:style>
  <w:style w:type="paragraph" w:customStyle="1" w:styleId="MainSubtitle">
    <w:name w:val="Main Subtitle"/>
    <w:qFormat/>
    <w:pPr>
      <w:spacing w:after="0"/>
      <w:jc w:val="center"/>
    </w:pPr>
    <w:rPr>
      <w:color w:val="0079C1"/>
      <w:sz w:val="20"/>
    </w:rPr>
  </w:style>
  <w:style w:type="paragraph" w:customStyle="1" w:styleId="TitleAltSpacing">
    <w:name w:val="Title Alt Spacing"/>
    <w:qFormat/>
    <w:pPr>
      <w:spacing w:before="200"/>
      <w:outlineLvl w:val="2"/>
    </w:pPr>
    <w:rPr>
      <w:color w:val="0079C1"/>
      <w:sz w:val="28"/>
    </w:rPr>
  </w:style>
  <w:style w:type="paragraph" w:customStyle="1" w:styleId="MainBodyText">
    <w:name w:val="Main Body Text"/>
    <w:qFormat/>
  </w:style>
  <w:style w:type="paragraph" w:customStyle="1" w:styleId="MainBodyTextNoSpacing">
    <w:name w:val="Main Body Text No Spacing"/>
    <w:basedOn w:val="MainBodyText"/>
    <w:qFormat/>
    <w:pPr>
      <w:spacing w:after="0"/>
      <w:ind w:left="90"/>
    </w:pPr>
    <w:rPr>
      <w:rFonts w:ascii="Calibri (Body)" w:eastAsia="Calibri (Body)" w:hAnsi="Calibri (Body)" w:cs="Calibri (Body)"/>
    </w:rPr>
  </w:style>
  <w:style w:type="paragraph" w:customStyle="1" w:styleId="BodyTextAltSpacing">
    <w:name w:val="Body Text Alt Spacing"/>
    <w:qFormat/>
    <w:pPr>
      <w:spacing w:before="100" w:after="100"/>
    </w:pPr>
  </w:style>
  <w:style w:type="paragraph" w:customStyle="1" w:styleId="BodyTextSmallSpacing">
    <w:name w:val="Body Text Small Spacing"/>
    <w:qFormat/>
    <w:pPr>
      <w:spacing w:before="10" w:after="10"/>
    </w:pPr>
    <w:rPr>
      <w:rFonts w:ascii="Calibri (Body)" w:eastAsia="Calibri (Body)" w:hAnsi="Calibri (Body)" w:cs="Calibri (Body)"/>
      <w:sz w:val="16"/>
    </w:rPr>
  </w:style>
  <w:style w:type="paragraph" w:customStyle="1" w:styleId="CouponStepBodyTextSmallSpacing">
    <w:name w:val="Coupon Step Body Text Small Spacing"/>
    <w:qFormat/>
    <w:pPr>
      <w:numPr>
        <w:ilvl w:val="1"/>
        <w:numId w:val="1"/>
      </w:numPr>
      <w:spacing w:after="10"/>
      <w:ind w:left="720" w:hanging="300"/>
    </w:pPr>
    <w:rPr>
      <w:rFonts w:ascii="Calibri (Body)" w:eastAsia="Calibri (Body)" w:hAnsi="Calibri (Body)" w:cs="Calibri (Body)"/>
      <w:sz w:val="18"/>
    </w:rPr>
  </w:style>
  <w:style w:type="character" w:customStyle="1" w:styleId="Hyperlink1">
    <w:name w:val="Hyperlink1"/>
    <w:basedOn w:val="DefaultParagraphFont"/>
    <w:uiPriority w:val="99"/>
    <w:unhideWhenUsed/>
    <w:qFormat/>
    <w:rPr>
      <w:color w:val="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www.bmonotes.com"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1048</Words>
  <Characters>5976</Characters>
  <Application>Microsoft Office Word</Application>
  <DocSecurity>0</DocSecurity>
  <Lines>49</Lines>
  <Paragraphs>14</Paragraphs>
  <ScaleCrop>false</ScaleCrop>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dc:creator>
  <cp:keywords/>
  <dc:description/>
  <cp:lastModifiedBy>Louis Ulmer</cp:lastModifiedBy>
  <cp:revision>4</cp:revision>
  <dcterms:created xsi:type="dcterms:W3CDTF">2021-12-12T22:38:00Z</dcterms:created>
  <dcterms:modified xsi:type="dcterms:W3CDTF">2025-02-27T17:26:00Z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164912-68a2-4d1c-9f19-4fddc6fb72a9_Enabled">
    <vt:lpwstr>true</vt:lpwstr>
  </property>
  <property fmtid="{D5CDD505-2E9C-101B-9397-08002B2CF9AE}" pid="3" name="MSIP_Label_d1164912-68a2-4d1c-9f19-4fddc6fb72a9_SetDate">
    <vt:lpwstr>2025-01-27T17:13:29Z</vt:lpwstr>
  </property>
  <property fmtid="{D5CDD505-2E9C-101B-9397-08002B2CF9AE}" pid="4" name="MSIP_Label_d1164912-68a2-4d1c-9f19-4fddc6fb72a9_Method">
    <vt:lpwstr>Standard</vt:lpwstr>
  </property>
  <property fmtid="{D5CDD505-2E9C-101B-9397-08002B2CF9AE}" pid="5" name="MSIP_Label_d1164912-68a2-4d1c-9f19-4fddc6fb72a9_Name">
    <vt:lpwstr>Confidential</vt:lpwstr>
  </property>
  <property fmtid="{D5CDD505-2E9C-101B-9397-08002B2CF9AE}" pid="6" name="MSIP_Label_d1164912-68a2-4d1c-9f19-4fddc6fb72a9_SiteId">
    <vt:lpwstr>ece76e02-a02b-4c4a-906d-98a34c5ce07a</vt:lpwstr>
  </property>
  <property fmtid="{D5CDD505-2E9C-101B-9397-08002B2CF9AE}" pid="7" name="MSIP_Label_d1164912-68a2-4d1c-9f19-4fddc6fb72a9_ActionId">
    <vt:lpwstr>e0d6a7bd-a60d-4662-9b51-5b8244064108</vt:lpwstr>
  </property>
  <property fmtid="{D5CDD505-2E9C-101B-9397-08002B2CF9AE}" pid="8" name="MSIP_Label_d1164912-68a2-4d1c-9f19-4fddc6fb72a9_ContentBits">
    <vt:lpwstr>0</vt:lpwstr>
  </property>
</Properties>
</file>