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4E42" w14:textId="77777777" w:rsidR="00864660" w:rsidRDefault="00000000">
      <w:pPr>
        <w:spacing w:after="0"/>
      </w:pPr>
      <w:r>
        <w:rPr>
          <w:noProof/>
        </w:rPr>
      </w:r>
      <w:r>
        <w:rPr>
          <w:noProof/>
        </w:rPr>
      </w:r>
    </w:p>
    <w:tbl>
      <w:tblPr>
        <w:tblW w:w="11327" w:type="dxa"/>
        <w:tblLook w:val="04A0" w:firstRow="1" w:lastRow="0" w:firstColumn="1" w:lastColumn="0" w:noHBand="0" w:noVBand="1"/>
      </w:tblPr>
      <w:tblGrid>
        <w:gridCol w:w="1003"/>
        <w:gridCol w:w="1831"/>
        <w:gridCol w:w="1003"/>
        <w:gridCol w:w="1820"/>
        <w:gridCol w:w="1003"/>
        <w:gridCol w:w="1832"/>
        <w:gridCol w:w="1003"/>
        <w:gridCol w:w="1832"/>
      </w:tblGrid>
      <w:tr w:rsidR="00864660" w14:paraId="24F7F10B" w14:textId="77777777">
        <w:tc>
          <w:tcPr>
            <w:tcW w:w="943" w:type="dxa"/>
            <w:shd w:val="clear" w:color="auto" w:fill="F2F2F2"/>
            <w:tcMar>
              <w:top w:w="300" w:type="dxa"/>
              <w:bottom w:w="300" w:type="dxa"/>
            </w:tcMar>
            <w:vAlign w:val="center"/>
          </w:tcPr>
          <w:p w14:paraId="22F341DD" w14:textId="77777777" w:rsidR="00864660" w:rsidRDefault="00000000">
            <w:pPr>
              <w:spacing w:before="10" w:after="0"/>
              <w:jc w:val="right"/>
              <w:rPr>
                <w:b/>
              </w:rPr>
            </w:pPr>
            <w:r>
              <w:rPr>
                <w:b/>
                <w:noProof/>
              </w:rPr>
            </w:r>
          </w:p>
        </w:tc>
        <w:tc>
          <w:tcPr>
            <w:tcW w:w="1887" w:type="dxa"/>
            <w:shd w:val="clear" w:color="auto" w:fill="F2F2F2"/>
            <w:tcMar>
              <w:top w:w="300" w:type="dxa"/>
              <w:bottom w:w="300" w:type="dxa"/>
            </w:tcMar>
            <w:vAlign w:val="center"/>
          </w:tcPr>
          <w:p w14:paraId="69328C48" w14:textId="77777777" w:rsidR="00864660" w:rsidRDefault="00000000">
            <w:pPr>
              <w:spacing w:before="10" w:after="0"/>
              <w:rPr>
                <w:b/>
              </w:rPr>
            </w:pPr>
            <w:r>
              <w:rPr>
                <w:b/>
                <w:color w:val="0079C1"/>
              </w:rPr>
              <w:t xml:space="preserve">Durée de </w:t>
            </w:r>
            <w:r>
              <w:rPr>
                <w:b/>
              </w:rPr>
              <w:t>7 ans</w:t>
            </w:r>
          </w:p>
          <w:p w14:paraId="533C8D8E" w14:textId="77777777" w:rsidR="00864660" w:rsidRDefault="00000000">
            <w:pPr>
              <w:spacing w:before="10" w:after="0"/>
              <w:rPr>
                <w:i/>
                <w:sz w:val="18"/>
              </w:rPr>
            </w:pPr>
            <w:r>
              <w:rPr>
                <w:i/>
                <w:sz w:val="18"/>
              </w:rPr>
              <w:t>sous réserve du fait que les billets soient automatiquement remboursés par la Banque de Montréal</w:t>
            </w:r>
          </w:p>
        </w:tc>
        <w:tc>
          <w:tcPr>
            <w:tcW w:w="943" w:type="dxa"/>
            <w:shd w:val="clear" w:color="auto" w:fill="F2F2F2"/>
            <w:tcMar>
              <w:top w:w="300" w:type="dxa"/>
              <w:bottom w:w="300" w:type="dxa"/>
            </w:tcMar>
            <w:vAlign w:val="center"/>
          </w:tcPr>
          <w:p w14:paraId="550F73E6" w14:textId="77777777" w:rsidR="00864660" w:rsidRDefault="00000000">
            <w:pPr>
              <w:spacing w:before="10" w:after="0"/>
              <w:jc w:val="right"/>
              <w:rPr>
                <w:b/>
              </w:rPr>
            </w:pPr>
            <w:r>
              <w:rPr>
                <w:b/>
                <w:noProof/>
              </w:rPr>
            </w:r>
          </w:p>
        </w:tc>
        <w:tc>
          <w:tcPr>
            <w:tcW w:w="1887" w:type="dxa"/>
            <w:shd w:val="clear" w:color="auto" w:fill="F2F2F2"/>
            <w:tcMar>
              <w:top w:w="300" w:type="dxa"/>
              <w:bottom w:w="300" w:type="dxa"/>
            </w:tcMar>
            <w:vAlign w:val="center"/>
          </w:tcPr>
          <w:p w14:paraId="4CDE2D4C" w14:textId="77777777" w:rsidR="00864660" w:rsidRDefault="00000000">
            <w:pPr>
              <w:spacing w:before="10" w:after="0"/>
              <w:rPr>
                <w:b/>
              </w:rPr>
            </w:pPr>
            <w:r>
              <w:rPr>
                <w:b/>
                <w:color w:val="0079C1"/>
              </w:rPr>
              <w:t xml:space="preserve">This document contained 2 instances of </w:t>
            </w:r>
            <w:r>
              <w:rPr>
                <w:b/>
              </w:rPr>
              <w:t>[INSERT]</w:t>
            </w:r>
          </w:p>
          <w:p w14:paraId="027CA849" w14:textId="77777777" w:rsidR="00864660" w:rsidRDefault="00000000">
            <w:pPr>
              <w:spacing w:before="10" w:after="0"/>
              <w:rPr>
                <w:i/>
                <w:sz w:val="18"/>
              </w:rPr>
            </w:pPr>
            <w:r>
              <w:rPr>
                <w:i/>
                <w:sz w:val="18"/>
              </w:rPr>
              <w:t>* après la 5</w:t>
            </w:r>
            <w:r>
              <w:rPr>
                <w:i/>
                <w:sz w:val="18"/>
                <w:vertAlign w:val="superscript"/>
              </w:rPr>
              <w:t>e</w:t>
            </w:r>
            <w:r>
              <w:rPr>
                <w:i/>
                <w:sz w:val="18"/>
              </w:rPr>
              <w:t xml:space="preserve"> date d’observation</w:t>
            </w:r>
          </w:p>
        </w:tc>
        <w:tc>
          <w:tcPr>
            <w:tcW w:w="943" w:type="dxa"/>
            <w:shd w:val="clear" w:color="auto" w:fill="F2F2F2"/>
            <w:tcMar>
              <w:top w:w="300" w:type="dxa"/>
              <w:bottom w:w="300" w:type="dxa"/>
            </w:tcMar>
            <w:vAlign w:val="center"/>
          </w:tcPr>
          <w:p w14:paraId="0350ACAC" w14:textId="77777777" w:rsidR="00864660" w:rsidRDefault="00000000">
            <w:pPr>
              <w:spacing w:before="10" w:after="0"/>
              <w:jc w:val="right"/>
              <w:rPr>
                <w:b/>
              </w:rPr>
            </w:pPr>
            <w:r>
              <w:rPr>
                <w:b/>
                <w:noProof/>
              </w:rPr>
            </w:r>
          </w:p>
        </w:tc>
        <w:tc>
          <w:tcPr>
            <w:tcW w:w="1887" w:type="dxa"/>
            <w:shd w:val="clear" w:color="auto" w:fill="F2F2F2"/>
            <w:tcMar>
              <w:top w:w="300" w:type="dxa"/>
              <w:bottom w:w="300" w:type="dxa"/>
            </w:tcMar>
            <w:vAlign w:val="center"/>
          </w:tcPr>
          <w:p w14:paraId="48FD0626" w14:textId="77777777" w:rsidR="00864660" w:rsidRDefault="00000000">
            <w:pPr>
              <w:spacing w:before="10" w:after="0"/>
              <w:rPr>
                <w:b/>
              </w:rPr>
            </w:pPr>
            <w:r>
              <w:rPr>
                <w:b/>
                <w:color w:val="0079C1"/>
              </w:rPr>
              <w:t xml:space="preserve">Coupon éventuel </w:t>
            </w:r>
            <w:r>
              <w:rPr>
                <w:b/>
              </w:rPr>
              <w:t>de 7,44 % par an versé mensuellement</w:t>
            </w:r>
          </w:p>
        </w:tc>
        <w:tc>
          <w:tcPr>
            <w:tcW w:w="943" w:type="dxa"/>
            <w:shd w:val="clear" w:color="auto" w:fill="F2F2F2"/>
            <w:tcMar>
              <w:top w:w="300" w:type="dxa"/>
              <w:bottom w:w="300" w:type="dxa"/>
            </w:tcMar>
            <w:vAlign w:val="center"/>
          </w:tcPr>
          <w:p w14:paraId="2DE1AB1B" w14:textId="77777777" w:rsidR="00864660" w:rsidRDefault="00000000">
            <w:pPr>
              <w:spacing w:before="10" w:after="0"/>
              <w:jc w:val="right"/>
              <w:rPr>
                <w:b/>
              </w:rPr>
            </w:pPr>
            <w:r>
              <w:rPr>
                <w:b/>
                <w:noProof/>
              </w:rPr>
            </w:r>
          </w:p>
        </w:tc>
        <w:tc>
          <w:tcPr>
            <w:tcW w:w="1887" w:type="dxa"/>
            <w:shd w:val="clear" w:color="auto" w:fill="F2F2F2"/>
            <w:tcMar>
              <w:top w:w="300" w:type="dxa"/>
              <w:bottom w:w="300" w:type="dxa"/>
            </w:tcMar>
            <w:vAlign w:val="center"/>
          </w:tcPr>
          <w:p w14:paraId="456DEBB2" w14:textId="77777777" w:rsidR="00864660" w:rsidRDefault="00000000">
            <w:pPr>
              <w:spacing w:before="10" w:after="0"/>
              <w:rPr>
                <w:b/>
              </w:rPr>
            </w:pPr>
            <w:r>
              <w:rPr>
                <w:b/>
                <w:color w:val="0079C1"/>
              </w:rPr>
              <w:t>Protection éventuelle à l’échéance</w:t>
            </w:r>
            <w:r>
              <w:rPr>
                <w:b/>
              </w:rPr>
              <w:t xml:space="preserve"> de 20 % </w:t>
            </w:r>
          </w:p>
        </w:tc>
      </w:tr>
    </w:tbl>
    <w:p w14:paraId="3F255FAE" w14:textId="77777777" w:rsidR="00864660" w:rsidRDefault="00864660">
      <w:pPr>
        <w:sectPr w:rsidR="00864660">
          <w:headerReference w:type="default" r:id="rId11"/>
          <w:footerReference w:type="default" r:id="rId12"/>
          <w:pgSz w:w="11906" w:h="16838"/>
          <w:pgMar w:top="720" w:right="285" w:bottom="140" w:left="285" w:header="200" w:footer="708" w:gutter="0"/>
          <w:cols w:space="708"/>
          <w:docGrid w:linePitch="360"/>
        </w:sectPr>
      </w:pPr>
    </w:p>
    <w:p w14:paraId="17D47AC4" w14:textId="77777777" w:rsidR="00864660" w:rsidRDefault="00000000">
      <w:pPr>
        <w:pStyle w:val="IBSubtitle"/>
        <w:outlineLvl w:val="2"/>
      </w:pPr>
      <w:r>
        <w:t>Mise en garde</w:t>
      </w:r>
    </w:p>
    <w:p w14:paraId="4D7681E7" w14:textId="77777777" w:rsidR="00864660" w:rsidRDefault="00000000">
      <w:pPr>
        <w:pStyle w:val="InvestmentHighlights"/>
      </w:pPr>
      <w:r>
        <w:t xml:space="preserve">Les billets offerts aux termes du supplément de fixation du prix sont des titres de créance non garantis émis par la Banque de Montréal. L’objectif des billets est d’offrir aux investisseurs un flux de revenu au moyen de paiements de coupons potentiels périodiques, assortis d’une protection éventuelle en cas de baisse contre la perte de leur placement en capital découlant de tout rendement négatif supérieur au niveau barrière de l’indice Solactive Equal Weight Canada Bank 27 AR pendant la durée des billets. </w:t>
      </w:r>
      <w:r>
        <w:rPr>
          <w:b/>
        </w:rPr>
        <w:t>Le capital N’EST PAS entièrement protégé aux termes des billets.</w:t>
      </w:r>
    </w:p>
    <w:p w14:paraId="56624672" w14:textId="77777777" w:rsidR="00864660" w:rsidRDefault="00000000">
      <w:pPr>
        <w:pStyle w:val="InvestmentHighlights"/>
        <w:numPr>
          <w:ilvl w:val="1"/>
          <w:numId w:val="2"/>
        </w:numPr>
        <w:ind w:left="426"/>
      </w:pPr>
      <w:r>
        <w:rPr>
          <w:b/>
        </w:rPr>
        <w:t xml:space="preserve">Coupon éventuel : </w:t>
      </w:r>
      <w:r>
        <w:t>0,62 % par mois (soit 7,44 % par année) à condition que le niveau de clôture soit égal ou supérieur au niveau de paiement du coupon.</w:t>
      </w:r>
    </w:p>
    <w:p w14:paraId="133560DA" w14:textId="77777777" w:rsidR="00864660" w:rsidRDefault="00000000">
      <w:pPr>
        <w:pStyle w:val="InvestmentHighlights"/>
        <w:numPr>
          <w:ilvl w:val="1"/>
          <w:numId w:val="2"/>
        </w:numPr>
        <w:ind w:left="426"/>
      </w:pPr>
      <w:r>
        <w:rPr>
          <w:b/>
        </w:rPr>
        <w:t xml:space="preserve">Niveau de paiement du coupon : </w:t>
      </w:r>
      <w:r>
        <w:t>80,00 % du niveau initial</w:t>
      </w:r>
    </w:p>
    <w:p w14:paraId="01D15215" w14:textId="77777777" w:rsidR="00864660" w:rsidRDefault="00000000">
      <w:pPr>
        <w:pStyle w:val="InvestmentHighlights"/>
        <w:numPr>
          <w:ilvl w:val="1"/>
          <w:numId w:val="2"/>
        </w:numPr>
        <w:ind w:left="426"/>
      </w:pPr>
      <w:r>
        <w:rPr>
          <w:b/>
        </w:rPr>
        <w:t xml:space="preserve">Remboursement par anticipation : </w:t>
      </w:r>
      <w:r>
        <w:t>remboursement par anticipation automatique au pair plus tout paiement de coupons final si le niveau de clôture est égal ou supérieur au niveau de remboursement par anticipation à une date de paiement relatif au remboursement par anticipation. Les billets ne peuvent pas être automatiquement remboursés par anticipation avant la sixième date d’observation.</w:t>
      </w:r>
    </w:p>
    <w:p w14:paraId="56469CA9" w14:textId="77777777" w:rsidR="00864660" w:rsidRDefault="00000000">
      <w:pPr>
        <w:pStyle w:val="InvestmentHighlights"/>
        <w:numPr>
          <w:ilvl w:val="1"/>
          <w:numId w:val="2"/>
        </w:numPr>
        <w:ind w:left="426"/>
      </w:pPr>
      <w:r>
        <w:rPr>
          <w:b/>
        </w:rPr>
        <w:t xml:space="preserve">Niveau de remboursement par anticipation : </w:t>
      </w:r>
      <w:r>
        <w:t>105,00 % du niveau initial</w:t>
      </w:r>
    </w:p>
    <w:p w14:paraId="6DF4DF9A" w14:textId="77777777" w:rsidR="00864660" w:rsidRDefault="00000000">
      <w:pPr>
        <w:pStyle w:val="InvestmentHighlights"/>
        <w:numPr>
          <w:ilvl w:val="1"/>
          <w:numId w:val="2"/>
        </w:numPr>
        <w:ind w:left="426"/>
      </w:pPr>
      <w:r>
        <w:rPr>
          <w:b/>
        </w:rPr>
        <w:t xml:space="preserve">Protection barrière : </w:t>
      </w:r>
      <w:r>
        <w:t>20,00 %</w:t>
      </w:r>
    </w:p>
    <w:p w14:paraId="6633107A" w14:textId="77777777" w:rsidR="00864660" w:rsidRDefault="00000000">
      <w:pPr>
        <w:pStyle w:val="InvestmentHighlights"/>
        <w:keepNext w:val="0"/>
        <w:numPr>
          <w:ilvl w:val="1"/>
          <w:numId w:val="2"/>
        </w:numPr>
        <w:ind w:left="426"/>
      </w:pPr>
      <w:r>
        <w:rPr>
          <w:b/>
        </w:rPr>
        <w:t xml:space="preserve">Participation à la baisse : </w:t>
      </w:r>
      <w:r>
        <w:t>100,00 %, en dessous du niveau barrière</w:t>
      </w:r>
    </w:p>
    <w:p w14:paraId="7CBD1588" w14:textId="77777777" w:rsidR="00707D86" w:rsidRDefault="00707D86" w:rsidP="00707D86">
      <w:pPr>
        <w:pStyle w:val="InvestmentHighlights"/>
        <w:keepNext w:val="0"/>
        <w:ind w:left="426"/>
      </w:pPr>
    </w:p>
    <w:tbl>
      <w:tblPr>
        <w:tblStyle w:val="CoverPageTable"/>
        <w:tblW w:w="0" w:type="auto"/>
        <w:tblInd w:w="0" w:type="dxa"/>
        <w:tblLook w:val="04A0" w:firstRow="1" w:lastRow="0" w:firstColumn="1" w:lastColumn="0" w:noHBand="0" w:noVBand="1"/>
      </w:tblPr>
      <w:tblGrid>
        <w:gridCol w:w="4006"/>
        <w:gridCol w:w="1288"/>
      </w:tblGrid>
      <w:tr w:rsidR="00864660" w14:paraId="78EDB72E" w14:textId="77777777">
        <w:tc>
          <w:tcPr>
            <w:tcW w:w="9514" w:type="dxa"/>
            <w:gridSpan w:val="2"/>
          </w:tcPr>
          <w:p w14:paraId="500C0A23" w14:textId="77777777" w:rsidR="00864660" w:rsidRDefault="00000000">
            <w:pPr>
              <w:keepNext/>
              <w:spacing w:after="0"/>
              <w:jc w:val="center"/>
              <w:rPr>
                <w:b/>
                <w:color w:val="0079C1"/>
              </w:rPr>
            </w:pPr>
            <w:r>
              <w:rPr>
                <w:b/>
                <w:color w:val="0079C1"/>
              </w:rPr>
              <w:t>Rendement du panier</w:t>
            </w:r>
          </w:p>
        </w:tc>
      </w:tr>
      <w:tr w:rsidR="00864660" w14:paraId="4333971F" w14:textId="77777777">
        <w:tc>
          <w:tcPr>
            <w:tcW w:w="9514" w:type="dxa"/>
            <w:shd w:val="clear" w:color="auto" w:fill="C7D8EF"/>
          </w:tcPr>
          <w:p w14:paraId="52995114" w14:textId="77777777" w:rsidR="00864660" w:rsidRDefault="00000000">
            <w:pPr>
              <w:keepNext/>
              <w:spacing w:after="0"/>
              <w:rPr>
                <w:b/>
                <w:color w:val="0079C1"/>
                <w:sz w:val="20"/>
              </w:rPr>
            </w:pPr>
            <w:r>
              <w:rPr>
                <w:b/>
                <w:color w:val="0079C1"/>
                <w:sz w:val="20"/>
              </w:rPr>
              <w:t>Par billet</w:t>
            </w:r>
          </w:p>
        </w:tc>
        <w:tc>
          <w:tcPr>
            <w:tcW w:w="1812" w:type="dxa"/>
            <w:shd w:val="clear" w:color="auto" w:fill="C7D8EF"/>
          </w:tcPr>
          <w:p w14:paraId="5EC83F5C" w14:textId="77777777" w:rsidR="00864660" w:rsidRDefault="00000000">
            <w:pPr>
              <w:keepNext/>
              <w:spacing w:after="0"/>
              <w:rPr>
                <w:b/>
                <w:color w:val="0079C1"/>
                <w:sz w:val="20"/>
              </w:rPr>
            </w:pPr>
            <w:r>
              <w:rPr>
                <w:b/>
                <w:color w:val="0079C1"/>
                <w:sz w:val="20"/>
              </w:rPr>
              <w:t>Symbole</w:t>
            </w:r>
          </w:p>
        </w:tc>
      </w:tr>
      <w:tr w:rsidR="00864660" w14:paraId="1A5EB089" w14:textId="77777777">
        <w:tc>
          <w:tcPr>
            <w:tcW w:w="9514" w:type="dxa"/>
            <w:vAlign w:val="top"/>
          </w:tcPr>
          <w:p w14:paraId="2D394CEA" w14:textId="77777777" w:rsidR="00864660" w:rsidRDefault="00000000">
            <w:pPr>
              <w:keepNext/>
              <w:spacing w:after="0"/>
              <w:rPr>
                <w:sz w:val="20"/>
              </w:rPr>
            </w:pPr>
            <w:r>
              <w:rPr>
                <w:sz w:val="20"/>
              </w:rPr>
              <w:t>Indice Solactive Equal Weight Canada Bank 27 AR</w:t>
            </w:r>
          </w:p>
        </w:tc>
        <w:tc>
          <w:tcPr>
            <w:tcW w:w="1812" w:type="dxa"/>
            <w:vAlign w:val="top"/>
          </w:tcPr>
          <w:p w14:paraId="0A487FE2" w14:textId="77777777" w:rsidR="00864660" w:rsidRDefault="00000000">
            <w:pPr>
              <w:keepNext/>
              <w:spacing w:after="0"/>
              <w:rPr>
                <w:sz w:val="20"/>
              </w:rPr>
            </w:pPr>
            <w:r>
              <w:rPr>
                <w:sz w:val="20"/>
              </w:rPr>
              <w:t>SOLBEW27</w:t>
            </w:r>
          </w:p>
        </w:tc>
      </w:tr>
    </w:tbl>
    <w:p w14:paraId="3DA72A6C" w14:textId="77777777" w:rsidR="00864660" w:rsidRDefault="00000000">
      <w:pPr>
        <w:spacing w:before="40"/>
        <w:rPr>
          <w:sz w:val="16"/>
        </w:rPr>
      </w:pPr>
      <w:r>
        <w:rPr>
          <w:sz w:val="16"/>
        </w:rPr>
        <w:t>L’indice Solactive Equal Weight Canada Bank 27 AR est un indice à rendement ajusté. Il vise à suivre le rendement total brut de l’indice Solactive Equal Weight Canada Banks (l’« indice sous-jacent »), calculé en dollars canadiens, déduction faite d’un facteur de rendement ajusté de 27 points d’indice par année qui sera calculé quotidiennement à terme échu (le « facteur de rendement ajusté »). L’indice sous-jacent est un indice équipondéré en fonction de la capitalisation boursière flottante des actions ordinaires d’émetteurs canadiens. Selon la méthodologie de l’indice sous-jacent, les titres qui le composent répondent aux critères suivants : avoir leur inscription principale à la Bourse de Toronto, être classés par le promoteur de l’indice comme « grandes banques » ou « banques régionales », afficher une capitalisation boursière flottante minimale de 10 milliards de $ CA pour les nouveaux membres de l’indice et de 5 milliards de $ CA pour les membres actuels, et afficher une valeur quotidienne moyenne de négociation minimale de 10 millions de $ CA, selon les calculs du promoteur de l’indice. Le niveau de clôture le 31 décembre 2024 était de 523,20. Le facteur de rendement ajusté divisé par le niveau de clôture était donc égal à 5,16 % le 31 décembre 2024. Pendant la durée des billets, la somme du facteur de rendement ajusté sera d’environ 189 points d’indice, soit 36,18 % du niveau de clôture le 31 décembre 2024.</w:t>
      </w:r>
    </w:p>
    <w:p w14:paraId="511342FB" w14:textId="77777777" w:rsidR="00864660" w:rsidRDefault="00000000">
      <w:pPr>
        <w:spacing w:before="200"/>
        <w:rPr>
          <w:sz w:val="16"/>
        </w:rPr>
      </w:pPr>
      <w:r>
        <w:rPr>
          <w:sz w:val="16"/>
        </w:rPr>
        <w:t>Le 31 décembre 2024, le rendement en dividendes de l’indice sous-jacent était de 4,09 %, soit un rendement en dividendes global d’environ 28,67 % pour la durée des billets (dans l’hypothèse où le rendement en dividendes demeure constant et les dividendes ne sont pas réinvestis).</w:t>
      </w:r>
    </w:p>
    <w:p w14:paraId="6AFD778A" w14:textId="77777777" w:rsidR="00864660" w:rsidRDefault="00000000">
      <w:pPr>
        <w:rPr>
          <w:sz w:val="16"/>
        </w:rPr>
      </w:pPr>
      <w:r>
        <w:rPr>
          <w:sz w:val="16"/>
        </w:rPr>
        <w:t>Un placement dans les billets ne constitue pas un placement direct ou indirect dans l’actif de référence. Vous n’avez pas droit aux dividendes ni aux distributions versés sur l’actif de référence.</w:t>
      </w:r>
    </w:p>
    <w:p w14:paraId="18DFD99A" w14:textId="77777777" w:rsidR="00864660" w:rsidRDefault="00864660">
      <w:pPr>
        <w:sectPr w:rsidR="00864660">
          <w:type w:val="continuous"/>
          <w:pgSz w:w="11906" w:h="16838"/>
          <w:pgMar w:top="720" w:right="285" w:bottom="140" w:left="285" w:header="200" w:footer="708" w:gutter="0"/>
          <w:cols w:num="2" w:space="708"/>
          <w:docGrid w:linePitch="360"/>
        </w:sectPr>
      </w:pPr>
    </w:p>
    <w:tbl>
      <w:tblPr>
        <w:tblStyle w:val="FirstBoldBlueTable"/>
        <w:tblW w:w="0" w:type="auto"/>
        <w:tblInd w:w="0" w:type="dxa"/>
        <w:tblLook w:val="04A0" w:firstRow="1" w:lastRow="0" w:firstColumn="1" w:lastColumn="0" w:noHBand="0" w:noVBand="1"/>
      </w:tblPr>
      <w:tblGrid>
        <w:gridCol w:w="2263"/>
        <w:gridCol w:w="9053"/>
      </w:tblGrid>
      <w:tr w:rsidR="00864660" w14:paraId="7C51423A" w14:textId="77777777" w:rsidTr="00864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gridSpan w:val="2"/>
          </w:tcPr>
          <w:p w14:paraId="5EABB525" w14:textId="77777777" w:rsidR="00864660" w:rsidRDefault="00000000">
            <w:pPr>
              <w:pageBreakBefore/>
              <w:spacing w:after="0"/>
              <w:outlineLvl w:val="2"/>
              <w:rPr>
                <w:sz w:val="28"/>
              </w:rPr>
            </w:pPr>
            <w:r>
              <w:rPr>
                <w:sz w:val="28"/>
              </w:rPr>
              <w:t>Renseignements supplémentaires sur le placement</w:t>
            </w:r>
          </w:p>
        </w:tc>
      </w:tr>
      <w:tr w:rsidR="00864660" w14:paraId="6536F682"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54669997" w14:textId="77777777" w:rsidR="00864660" w:rsidRDefault="00000000">
            <w:pPr>
              <w:spacing w:after="0"/>
            </w:pPr>
            <w:r>
              <w:t>Portefeuille de référence</w:t>
            </w:r>
          </w:p>
        </w:tc>
        <w:tc>
          <w:tcPr>
            <w:tcW w:w="9061" w:type="dxa"/>
          </w:tcPr>
          <w:p w14:paraId="7F1F0CB2"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Banque de Montréal</w:t>
            </w:r>
          </w:p>
        </w:tc>
      </w:tr>
      <w:tr w:rsidR="00864660" w14:paraId="3AABEA0A"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089BBE29" w14:textId="77777777" w:rsidR="00864660" w:rsidRDefault="00000000">
            <w:pPr>
              <w:spacing w:after="0"/>
            </w:pPr>
            <w:r>
              <w:t>Panier de référence</w:t>
            </w:r>
          </w:p>
        </w:tc>
        <w:tc>
          <w:tcPr>
            <w:tcW w:w="9061" w:type="dxa"/>
          </w:tcPr>
          <w:p w14:paraId="59DAD1B5"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Moody’s : « Aa2 »; S&amp;P : « A+ »; DBRS : « AA » (dépôts à long terme &gt; 1 an)</w:t>
            </w:r>
          </w:p>
        </w:tc>
      </w:tr>
      <w:tr w:rsidR="00864660" w14:paraId="0EADE5F9"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703E60F0" w14:textId="77777777" w:rsidR="00864660" w:rsidRDefault="00000000">
            <w:pPr>
              <w:spacing w:after="0"/>
            </w:pPr>
            <w:r>
              <w:t>Par billet</w:t>
            </w:r>
          </w:p>
        </w:tc>
        <w:tc>
          <w:tcPr>
            <w:tcW w:w="9061" w:type="dxa"/>
          </w:tcPr>
          <w:p w14:paraId="2419D93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Indice Solactive Equal Weight Canada Bank 27 AR (symbole : SOLBEW27)</w:t>
            </w:r>
          </w:p>
        </w:tc>
      </w:tr>
      <w:tr w:rsidR="00864660" w14:paraId="1FF6E466"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405C4BA3" w14:textId="77777777" w:rsidR="00864660" w:rsidRDefault="00000000">
            <w:pPr>
              <w:spacing w:after="0"/>
            </w:pPr>
            <w:r>
              <w:t xml:space="preserve">Caractéristique de remboursement annuel </w:t>
            </w:r>
          </w:p>
        </w:tc>
        <w:tc>
          <w:tcPr>
            <w:tcW w:w="9061" w:type="dxa"/>
          </w:tcPr>
          <w:p w14:paraId="2FCE7F50"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Dollar canadien ($ CA)</w:t>
            </w:r>
          </w:p>
        </w:tc>
      </w:tr>
      <w:tr w:rsidR="00864660" w14:paraId="0413AAEC"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5DA4E9B4" w14:textId="77777777" w:rsidR="00864660" w:rsidRDefault="00000000">
            <w:pPr>
              <w:spacing w:after="0"/>
            </w:pPr>
            <w:r>
              <w:t>Capital déclaré</w:t>
            </w:r>
          </w:p>
        </w:tc>
        <w:tc>
          <w:tcPr>
            <w:tcW w:w="9061" w:type="dxa"/>
          </w:tcPr>
          <w:p w14:paraId="1AA697A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 CA par billet.</w:t>
            </w:r>
          </w:p>
        </w:tc>
      </w:tr>
      <w:tr w:rsidR="00864660" w14:paraId="62BCB379"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0190D264" w14:textId="77777777" w:rsidR="00864660" w:rsidRDefault="00000000">
            <w:pPr>
              <w:spacing w:after="0"/>
            </w:pPr>
            <w:r>
              <w:t>Niveau de remboursement par anticipation</w:t>
            </w:r>
          </w:p>
        </w:tc>
        <w:tc>
          <w:tcPr>
            <w:tcW w:w="9061" w:type="dxa"/>
          </w:tcPr>
          <w:p w14:paraId="2BE3F1B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2 000,00 $ CA (20 billets)</w:t>
            </w:r>
          </w:p>
        </w:tc>
      </w:tr>
      <w:tr w:rsidR="00864660" w14:paraId="7314342D"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7C3E24EC" w14:textId="77777777" w:rsidR="00864660" w:rsidRDefault="00000000">
            <w:pPr>
              <w:spacing w:after="0"/>
            </w:pPr>
            <w:r>
              <w:t>Date d’émission</w:t>
            </w:r>
          </w:p>
        </w:tc>
        <w:tc>
          <w:tcPr>
            <w:tcW w:w="9061" w:type="dxa"/>
          </w:tcPr>
          <w:p w14:paraId="771B72E8"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Le ou vers le 14 février 2025</w:t>
            </w:r>
          </w:p>
        </w:tc>
      </w:tr>
      <w:tr w:rsidR="00864660" w14:paraId="63081D31"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692292F6" w14:textId="77777777" w:rsidR="00864660" w:rsidRDefault="00000000">
            <w:pPr>
              <w:spacing w:after="0"/>
            </w:pPr>
            <w:r>
              <w:t>Date d’évaluation finale</w:t>
            </w:r>
          </w:p>
        </w:tc>
        <w:tc>
          <w:tcPr>
            <w:tcW w:w="9061" w:type="dxa"/>
          </w:tcPr>
          <w:p w14:paraId="6E6CE7D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Le 9 février 2032, sous réserve d’un report si cette date n’est pas un jour de bourse ou si un événement perturbateur des marchés se produit.</w:t>
            </w:r>
          </w:p>
        </w:tc>
      </w:tr>
      <w:tr w:rsidR="00864660" w14:paraId="7AB94C26"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4954D038" w14:textId="77777777" w:rsidR="00864660" w:rsidRDefault="00000000">
            <w:pPr>
              <w:spacing w:after="0"/>
            </w:pPr>
            <w:r>
              <w:t>Date d’échéance</w:t>
            </w:r>
          </w:p>
        </w:tc>
        <w:tc>
          <w:tcPr>
            <w:tcW w:w="9061" w:type="dxa"/>
          </w:tcPr>
          <w:p w14:paraId="55C4D20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Le 17 février 2032, sous réserve du fait que nous appelions les billets au remboursement par anticipation.</w:t>
            </w:r>
          </w:p>
        </w:tc>
      </w:tr>
      <w:tr w:rsidR="00864660" w14:paraId="6C6073E3"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31AB3B34" w14:textId="77777777" w:rsidR="00864660" w:rsidRDefault="00000000">
            <w:pPr>
              <w:spacing w:after="0"/>
            </w:pPr>
            <w:r>
              <w:t>Durée</w:t>
            </w:r>
          </w:p>
        </w:tc>
        <w:tc>
          <w:tcPr>
            <w:tcW w:w="9061" w:type="dxa"/>
          </w:tcPr>
          <w:p w14:paraId="110AF4DD"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Durée de 7 ans</w:t>
            </w:r>
          </w:p>
        </w:tc>
      </w:tr>
      <w:tr w:rsidR="00864660" w14:paraId="3157EB36"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4B4AAEBF" w14:textId="77777777" w:rsidR="00864660" w:rsidRDefault="00000000">
            <w:pPr>
              <w:spacing w:after="0"/>
            </w:pPr>
            <w:r>
              <w:t>Dates d’observation et de paiement</w:t>
            </w:r>
          </w:p>
        </w:tc>
        <w:tc>
          <w:tcPr>
            <w:tcW w:w="9061" w:type="dxa"/>
          </w:tcPr>
          <w:p w14:paraId="0B1EA2C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Date d’observation du remboursement par anticipation*</w:t>
            </w:r>
          </w:p>
        </w:tc>
      </w:tr>
      <w:tr w:rsidR="00864660" w14:paraId="34D60BCC"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14E74991" w14:textId="77777777" w:rsidR="00864660" w:rsidRDefault="00000000">
            <w:pPr>
              <w:spacing w:after="0"/>
            </w:pPr>
            <w:r>
              <w:t>Taux du coupon</w:t>
            </w:r>
          </w:p>
        </w:tc>
        <w:tc>
          <w:tcPr>
            <w:tcW w:w="9061" w:type="dxa"/>
          </w:tcPr>
          <w:p w14:paraId="07FDF614"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0,62 % par mois (soit 7,44 % par année).</w:t>
            </w:r>
          </w:p>
        </w:tc>
      </w:tr>
      <w:tr w:rsidR="00864660" w14:paraId="765D51ED"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128F633C" w14:textId="77777777" w:rsidR="00864660" w:rsidRDefault="00000000">
            <w:pPr>
              <w:spacing w:after="0"/>
            </w:pPr>
            <w:r>
              <w:t>Niveau de paiement du coupon</w:t>
            </w:r>
          </w:p>
        </w:tc>
        <w:tc>
          <w:tcPr>
            <w:tcW w:w="9061" w:type="dxa"/>
          </w:tcPr>
          <w:p w14:paraId="21DEAB4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80,00 % du niveau initial</w:t>
            </w:r>
          </w:p>
        </w:tc>
      </w:tr>
      <w:tr w:rsidR="00864660" w14:paraId="447BF739"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751CE575" w14:textId="77777777" w:rsidR="00864660" w:rsidRDefault="00000000">
            <w:pPr>
              <w:spacing w:after="0"/>
            </w:pPr>
            <w:r>
              <w:t>Paiements de coupons éventuels</w:t>
            </w:r>
          </w:p>
        </w:tc>
        <w:tc>
          <w:tcPr>
            <w:tcW w:w="9061" w:type="dxa"/>
          </w:tcPr>
          <w:p w14:paraId="709BBD26" w14:textId="77777777" w:rsidR="00864660" w:rsidRDefault="00000000">
            <w:pPr>
              <w:keepNext/>
              <w:spacing w:after="0"/>
              <w:cnfStyle w:val="000000000000" w:firstRow="0" w:lastRow="0" w:firstColumn="0" w:lastColumn="0" w:oddVBand="0" w:evenVBand="0" w:oddHBand="0" w:evenHBand="0" w:firstRowFirstColumn="0" w:firstRowLastColumn="0" w:lastRowFirstColumn="0" w:lastRowLastColumn="0"/>
            </w:pPr>
            <w:r>
              <w:t>Si les billets n’ont pas été remboursés, à chaque date de paiement des coupons, deux scénarios sont possibles :</w:t>
            </w:r>
          </w:p>
          <w:p w14:paraId="21B4608E" w14:textId="77777777" w:rsidR="00864660" w:rsidRDefault="00000000">
            <w:pPr>
              <w:pStyle w:val="BodyTextSmallSpacing"/>
              <w:numPr>
                <w:ilvl w:val="1"/>
                <w:numId w:val="3"/>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Si le niveau de clôture à la date d’observation du coupon immédiatement précédente est égal ou supérieur au niveau de paiement du coupon, vous recevrez un paiement de coupons qui correspond au capital déclaré multiplié par le taux du coupon.</w:t>
            </w:r>
          </w:p>
          <w:p w14:paraId="1FE8E3E8" w14:textId="77777777" w:rsidR="00864660" w:rsidRDefault="00000000">
            <w:pPr>
              <w:pStyle w:val="BodyTextSmallSpacing"/>
              <w:numPr>
                <w:ilvl w:val="1"/>
                <w:numId w:val="3"/>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Dans le cas contraire, vous ne recevrez pas de paiement à cette date de paiement des coupons.</w:t>
            </w:r>
          </w:p>
        </w:tc>
      </w:tr>
      <w:tr w:rsidR="00864660" w14:paraId="55B5DC4D"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62C82B88" w14:textId="77777777" w:rsidR="00864660" w:rsidRDefault="00000000">
            <w:pPr>
              <w:spacing w:after="0"/>
            </w:pPr>
            <w:r>
              <w:t>Niveau de remboursement par anticipation</w:t>
            </w:r>
          </w:p>
        </w:tc>
        <w:tc>
          <w:tcPr>
            <w:tcW w:w="9061" w:type="dxa"/>
          </w:tcPr>
          <w:p w14:paraId="343AFAD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105,00 % du niveau initial</w:t>
            </w:r>
          </w:p>
        </w:tc>
      </w:tr>
      <w:tr w:rsidR="00864660" w14:paraId="04DDCAA6"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3CD159C7" w14:textId="77777777" w:rsidR="00864660" w:rsidRDefault="00000000">
            <w:pPr>
              <w:spacing w:after="0"/>
            </w:pPr>
            <w:r>
              <w:t>Remboursement par anticipation automatique</w:t>
            </w:r>
          </w:p>
        </w:tc>
        <w:tc>
          <w:tcPr>
            <w:tcW w:w="9061" w:type="dxa"/>
          </w:tcPr>
          <w:p w14:paraId="466DFF0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Les billets seront remboursés par anticipation à une date de paiement relatif au remboursement par anticipation si, à la date d’observation du remboursement par anticipation correspondante, le niveau de clôture est égal ou supérieur au niveau de remboursement par anticipation. Dans le cadre d’un tel remboursement par anticipation, vous recevrez un paiement en espèces qui correspond au capital déclaré, en plus de tout paiement de coupons éventuels final. Aucun autre paiement ne sera effectué après cette date de paiement relatif au remboursement par anticipation. Les billets ne peuvent pas être automatiquement remboursés par anticipation avant la sixième date d’observation. </w:t>
            </w:r>
          </w:p>
        </w:tc>
      </w:tr>
      <w:tr w:rsidR="00864660" w14:paraId="0E405B21"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4BB3F5A1" w14:textId="77777777" w:rsidR="00864660" w:rsidRDefault="00000000">
            <w:pPr>
              <w:spacing w:after="0"/>
            </w:pPr>
            <w:r>
              <w:t>Initial level</w:t>
            </w:r>
          </w:p>
        </w:tc>
        <w:tc>
          <w:tcPr>
            <w:tcW w:w="9061" w:type="dxa"/>
          </w:tcPr>
          <w:p w14:paraId="51E30B9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Le niveau de clôture à la date d’émission</w:t>
            </w:r>
          </w:p>
        </w:tc>
      </w:tr>
      <w:tr w:rsidR="00864660" w14:paraId="6098D959"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55F4A81A" w14:textId="77777777" w:rsidR="00864660" w:rsidRDefault="00000000">
            <w:pPr>
              <w:spacing w:after="0"/>
            </w:pPr>
            <w:r>
              <w:t>Niveau final</w:t>
            </w:r>
          </w:p>
        </w:tc>
        <w:tc>
          <w:tcPr>
            <w:tcW w:w="9061" w:type="dxa"/>
          </w:tcPr>
          <w:p w14:paraId="25E1C03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Le niveau de clôture à la date d’évaluation finale</w:t>
            </w:r>
          </w:p>
        </w:tc>
      </w:tr>
      <w:tr w:rsidR="00864660" w14:paraId="5F7EBE00"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62D70877" w14:textId="77777777" w:rsidR="00864660" w:rsidRDefault="00000000">
            <w:pPr>
              <w:spacing w:after="0"/>
            </w:pPr>
            <w:r>
              <w:t>Rendement de l’actif de référence</w:t>
            </w:r>
          </w:p>
        </w:tc>
        <w:tc>
          <w:tcPr>
            <w:tcW w:w="9061" w:type="dxa"/>
          </w:tcPr>
          <w:p w14:paraId="6E6CB4F7" w14:textId="77777777" w:rsidR="00864660" w:rsidRDefault="00000000">
            <w:pPr>
              <w:spacing w:after="60"/>
              <w:cnfStyle w:val="000000000000" w:firstRow="0" w:lastRow="0" w:firstColumn="0" w:lastColumn="0" w:oddVBand="0" w:evenVBand="0" w:oddHBand="0" w:evenHBand="0" w:firstRowFirstColumn="0" w:firstRowLastColumn="0" w:lastRowFirstColumn="0" w:lastRowLastColumn="0"/>
            </w:pPr>
            <w:r>
              <w:t xml:space="preserve">À l’égard d’une date donnée, le rendement de l’actif de référence est déterminé selon la formule suivante : </w:t>
            </w:r>
          </w:p>
          <w:p w14:paraId="5B674B9C" w14:textId="77777777" w:rsidR="00864660" w:rsidRDefault="00000000">
            <w:pPr>
              <w:spacing w:after="120"/>
              <w:cnfStyle w:val="000000000000" w:firstRow="0" w:lastRow="0" w:firstColumn="0" w:lastColumn="0" w:oddVBand="0" w:evenVBand="0" w:oddHBand="0" w:evenHBand="0" w:firstRowFirstColumn="0" w:firstRowLastColumn="0" w:lastRowFirstColumn="0" w:lastRowLastColumn="0"/>
            </w:pPr>
            <m:oMathPara>
              <m:oMathParaPr>
                <m:jc m:val="left"/>
              </m:oMathParaPr>
              <m:oMath>
                <m:r>
                  <m:rPr>
                    <m:nor/>
                  </m:rPr>
                  <w:rPr>
                    <w:rFonts w:ascii="Cambria Math" w:eastAsia="Cambria Math" w:hAnsi="Cambria Math" w:cs="Cambria Math"/>
                    <w:i/>
                  </w:rPr>
                  <m:t xml:space="preserve">= </m:t>
                </m:r>
                <m:f>
                  <m:fPr>
                    <m:ctrlPr>
                      <w:rPr>
                        <w:rFonts w:ascii="Cambria Math" w:hAnsi="Cambria Math"/>
                      </w:rPr>
                    </m:ctrlPr>
                  </m:fPr>
                  <m:num>
                    <m:r>
                      <m:rPr>
                        <m:nor/>
                      </m:rPr>
                      <w:rPr>
                        <w:rFonts w:ascii="Cambria Math" w:eastAsia="Cambria Math" w:hAnsi="Cambria Math" w:cs="Cambria Math"/>
                        <w:i/>
                      </w:rPr>
                      <m:t>closing level</m:t>
                    </m:r>
                    <m:r>
                      <w:rPr>
                        <w:rFonts w:ascii="Cambria Math" w:eastAsia="Cambria Math" w:hAnsi="Cambria Math" w:cs="Cambria Math"/>
                      </w:rPr>
                      <m:t xml:space="preserve"> - </m:t>
                    </m:r>
                    <m:r>
                      <m:rPr>
                        <m:nor/>
                      </m:rPr>
                      <w:rPr>
                        <w:rFonts w:ascii="Cambria Math" w:eastAsia="Cambria Math" w:hAnsi="Cambria Math" w:cs="Cambria Math"/>
                        <w:i/>
                      </w:rPr>
                      <m:t>initial level</m:t>
                    </m:r>
                  </m:num>
                  <m:den>
                    <m:r>
                      <m:rPr>
                        <m:nor/>
                      </m:rPr>
                      <w:rPr>
                        <w:rFonts w:ascii="Cambria Math" w:eastAsia="Cambria Math" w:hAnsi="Cambria Math" w:cs="Cambria Math"/>
                        <w:i/>
                      </w:rPr>
                      <m:t>initial level</m:t>
                    </m:r>
                  </m:den>
                </m:f>
              </m:oMath>
            </m:oMathPara>
          </w:p>
        </w:tc>
      </w:tr>
      <w:tr w:rsidR="00864660" w14:paraId="7D0690F7"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1C4BE72F" w14:textId="77777777" w:rsidR="00864660" w:rsidRDefault="00000000">
            <w:pPr>
              <w:spacing w:after="0"/>
            </w:pPr>
            <w:r>
              <w:t>Rendement final de l’actif de référence</w:t>
            </w:r>
          </w:p>
        </w:tc>
        <w:tc>
          <w:tcPr>
            <w:tcW w:w="9061" w:type="dxa"/>
          </w:tcPr>
          <w:p w14:paraId="26F0C01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Le rendement de l’actif de référence à la date d’évaluation finale</w:t>
            </w:r>
          </w:p>
        </w:tc>
      </w:tr>
      <w:tr w:rsidR="00864660" w14:paraId="3A496FB2"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7FF446AB" w14:textId="77777777" w:rsidR="00864660" w:rsidRDefault="00000000">
            <w:pPr>
              <w:spacing w:after="0"/>
            </w:pPr>
            <w:r>
              <w:t>Niveau barrière</w:t>
            </w:r>
          </w:p>
        </w:tc>
        <w:tc>
          <w:tcPr>
            <w:tcW w:w="9061" w:type="dxa"/>
          </w:tcPr>
          <w:p w14:paraId="5948008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80,00 % du niveau initial</w:t>
            </w:r>
          </w:p>
        </w:tc>
      </w:tr>
      <w:tr w:rsidR="00864660" w14:paraId="7D7CE9C4"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2E4ED708" w14:textId="77777777" w:rsidR="00864660" w:rsidRDefault="00000000">
            <w:pPr>
              <w:spacing w:after="0"/>
            </w:pPr>
            <w:r>
              <w:t>Participation à la baisse</w:t>
            </w:r>
          </w:p>
        </w:tc>
        <w:tc>
          <w:tcPr>
            <w:tcW w:w="9061" w:type="dxa"/>
          </w:tcPr>
          <w:p w14:paraId="219C1FC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 en dessous du niveau barrière</w:t>
            </w:r>
          </w:p>
        </w:tc>
      </w:tr>
      <w:tr w:rsidR="00864660" w14:paraId="65984D63"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3C20EC6E" w14:textId="77777777" w:rsidR="00864660" w:rsidRDefault="00000000">
            <w:pPr>
              <w:spacing w:after="0"/>
            </w:pPr>
            <w:r>
              <w:t>Événement barrière</w:t>
            </w:r>
          </w:p>
        </w:tc>
        <w:tc>
          <w:tcPr>
            <w:tcW w:w="9061" w:type="dxa"/>
          </w:tcPr>
          <w:p w14:paraId="561B04E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Surveillance à l’échéance uniquement</w:t>
            </w:r>
          </w:p>
        </w:tc>
      </w:tr>
      <w:tr w:rsidR="00864660" w14:paraId="1B32BFC6"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1EDDBAA4" w14:textId="77777777" w:rsidR="00864660" w:rsidRDefault="00000000">
            <w:pPr>
              <w:spacing w:after="0"/>
            </w:pPr>
            <w:r>
              <w:t>Paiement à l’échéance</w:t>
            </w:r>
          </w:p>
        </w:tc>
        <w:tc>
          <w:tcPr>
            <w:tcW w:w="9061" w:type="dxa"/>
          </w:tcPr>
          <w:p w14:paraId="3B4DD9B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Si les billets n’ont pas été remboursés par anticipation, à l’échéance, vous recevrez pour chaque billet que vous détenez alors, en plus de tout paiement de coupons éventuels final :</w:t>
            </w:r>
          </w:p>
          <w:p w14:paraId="34A69E98" w14:textId="77777777" w:rsidR="00864660" w:rsidRDefault="00000000">
            <w:pPr>
              <w:pStyle w:val="BodyTextSmallSpacing"/>
              <w:numPr>
                <w:ilvl w:val="1"/>
                <w:numId w:val="4"/>
              </w:numPr>
              <w:spacing w:after="0"/>
              <w:cnfStyle w:val="000000000000" w:firstRow="0" w:lastRow="0" w:firstColumn="0" w:lastColumn="0" w:oddVBand="0" w:evenVBand="0" w:oddHBand="0" w:evenHBand="0" w:firstRowFirstColumn="0" w:firstRowLastColumn="0" w:lastRowFirstColumn="0" w:lastRowLastColumn="0"/>
              <w:rPr>
                <w:sz w:val="22"/>
              </w:rPr>
            </w:pPr>
            <w:r>
              <w:rPr>
                <w:sz w:val="22"/>
              </w:rPr>
              <w:t>Si le niveau final est égal ou supérieur au niveau barrière, un paiement à l’échéance égal à 100,00 $ CA.</w:t>
            </w:r>
          </w:p>
          <w:p w14:paraId="771F07E1" w14:textId="77777777" w:rsidR="00864660" w:rsidRDefault="00000000">
            <w:pPr>
              <w:pStyle w:val="BodyTextSmallSpacing"/>
              <w:numPr>
                <w:ilvl w:val="1"/>
                <w:numId w:val="4"/>
              </w:numPr>
              <w:spacing w:after="60"/>
              <w:cnfStyle w:val="000000000000" w:firstRow="0" w:lastRow="0" w:firstColumn="0" w:lastColumn="0" w:oddVBand="0" w:evenVBand="0" w:oddHBand="0" w:evenHBand="0" w:firstRowFirstColumn="0" w:firstRowLastColumn="0" w:lastRowFirstColumn="0" w:lastRowLastColumn="0"/>
              <w:rPr>
                <w:sz w:val="22"/>
              </w:rPr>
            </w:pPr>
            <w:r>
              <w:rPr>
                <w:sz w:val="22"/>
              </w:rPr>
              <w:t>Si le niveau final est inférieur au niveau barrière, un paiement à l’échéance directement lié au rendement de l’actif de référence. Le paiement à l’échéance correspondra à la formule suivante, sous réserve d’un paiement minimal de 1,00 $ CA :</w:t>
            </w:r>
          </w:p>
          <w:tbl>
            <w:tblPr>
              <w:tblStyle w:val="FormulaStyle"/>
              <w:tblW w:w="0" w:type="auto"/>
              <w:tblInd w:w="0" w:type="dxa"/>
              <w:tblCellMar>
                <w:top w:w="0" w:type="dxa"/>
                <w:left w:w="0" w:type="dxa"/>
                <w:bottom w:w="0" w:type="dxa"/>
                <w:right w:w="0" w:type="dxa"/>
              </w:tblCellMar>
              <w:tblLook w:val="04A0" w:firstRow="1" w:lastRow="0" w:firstColumn="1" w:lastColumn="0" w:noHBand="0" w:noVBand="1"/>
            </w:tblPr>
            <w:tblGrid>
              <w:gridCol w:w="503"/>
              <w:gridCol w:w="8350"/>
            </w:tblGrid>
            <w:tr w:rsidR="00864660" w14:paraId="763351FA" w14:textId="77777777">
              <w:tblPrEx>
                <w:tblCellMar>
                  <w:top w:w="0" w:type="dxa"/>
                  <w:left w:w="0" w:type="dxa"/>
                  <w:bottom w:w="0" w:type="dxa"/>
                  <w:right w:w="0" w:type="dxa"/>
                </w:tblCellMar>
              </w:tblPrEx>
              <w:tc>
                <w:tcPr>
                  <w:tcW w:w="3099" w:type="dxa"/>
                </w:tcPr>
                <w:p w14:paraId="7C7E3AB2" w14:textId="77777777" w:rsidR="00864660" w:rsidRDefault="00864660">
                  <w:pPr>
                    <w:spacing w:after="0"/>
                    <w:rPr>
                      <w:rFonts w:ascii="Cambria Math" w:eastAsia="Cambria Math" w:hAnsi="Cambria Math" w:cs="Cambria Math"/>
                      <w:i/>
                    </w:rPr>
                  </w:pPr>
                </w:p>
              </w:tc>
              <w:tc>
                <w:tcPr>
                  <w:tcW w:w="20660" w:type="dxa"/>
                </w:tcPr>
                <w:p w14:paraId="119EB787" w14:textId="77777777" w:rsidR="00864660" w:rsidRDefault="00000000">
                  <w:pPr>
                    <w:spacing w:after="0"/>
                    <w:rPr>
                      <w:rFonts w:ascii="Cambria Math" w:eastAsia="Cambria Math" w:hAnsi="Cambria Math" w:cs="Cambria Math"/>
                      <w:i/>
                    </w:rPr>
                  </w:pPr>
                  <m:oMathPara>
                    <m:oMathParaPr>
                      <m:jc m:val="left"/>
                    </m:oMathParaPr>
                    <m:oMath>
                      <m:r>
                        <m:rPr>
                          <m:nor/>
                        </m:rPr>
                        <w:rPr>
                          <w:rFonts w:ascii="Cambria Math" w:eastAsia="Cambria Math" w:hAnsi="Cambria Math" w:cs="Cambria Math"/>
                          <w:i/>
                        </w:rPr>
                        <m:t xml:space="preserve">= CAD $100.00 + </m:t>
                      </m:r>
                      <m:d>
                        <m:dPr>
                          <m:ctrlPr>
                            <w:rPr>
                              <w:rFonts w:ascii="Cambria Math" w:hAnsi="Cambria Math"/>
                            </w:rPr>
                          </m:ctrlPr>
                        </m:dPr>
                        <m:e>
                          <m:r>
                            <m:rPr>
                              <m:nor/>
                            </m:rPr>
                            <w:rPr>
                              <w:rFonts w:ascii="Cambria Math" w:eastAsia="Cambria Math" w:hAnsi="Cambria Math" w:cs="Cambria Math"/>
                              <w:i/>
                            </w:rPr>
                            <m:t>CAD $100.00 × final reference asset return</m:t>
                          </m:r>
                        </m:e>
                      </m:d>
                      <m:r>
                        <m:rPr>
                          <m:nor/>
                        </m:rPr>
                        <w:rPr>
                          <w:rFonts w:ascii="Cambria Math" w:eastAsia="Cambria Math" w:hAnsi="Cambria Math" w:cs="Cambria Math"/>
                          <w:i/>
                        </w:rPr>
                        <m:t xml:space="preserve">  </m:t>
                      </m:r>
                    </m:oMath>
                  </m:oMathPara>
                </w:p>
              </w:tc>
            </w:tr>
          </w:tbl>
          <w:p w14:paraId="29DCEB11" w14:textId="77777777" w:rsidR="00864660" w:rsidRDefault="00000000">
            <w:pPr>
              <w:pStyle w:val="MainBodyTextNoSpacing"/>
              <w:spacing w:after="10"/>
              <w:cnfStyle w:val="000000000000" w:firstRow="0" w:lastRow="0" w:firstColumn="0" w:lastColumn="0" w:oddVBand="0" w:evenVBand="0" w:oddHBand="0" w:evenHBand="0" w:firstRowFirstColumn="0" w:firstRowLastColumn="0" w:lastRowFirstColumn="0" w:lastRowLastColumn="0"/>
              <w:rPr>
                <w:b/>
              </w:rPr>
            </w:pPr>
            <w:r>
              <w:rPr>
                <w:b/>
              </w:rPr>
              <w:t>Si les billets n’ont pas été remboursés par anticipation et que le niveau final est inférieur au niveau barrière, le paiement que vous recevez à l’échéance pourrait être considérablement inférieur au capital déclaré de vos billets et être aussi peu que 1,00 $ CA.</w:t>
            </w:r>
          </w:p>
        </w:tc>
      </w:tr>
      <w:tr w:rsidR="00864660" w14:paraId="3384467C"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04F3C52F" w14:textId="77777777" w:rsidR="00864660" w:rsidRDefault="00000000">
            <w:pPr>
              <w:spacing w:after="0"/>
            </w:pPr>
            <w:r>
              <w:t>Paiement minimal</w:t>
            </w:r>
          </w:p>
        </w:tc>
        <w:tc>
          <w:tcPr>
            <w:tcW w:w="9061" w:type="dxa"/>
          </w:tcPr>
          <w:p w14:paraId="16E03CAC"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1,00 $ CA par billet.</w:t>
            </w:r>
          </w:p>
        </w:tc>
      </w:tr>
      <w:tr w:rsidR="00864660" w14:paraId="3034160A"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7490DF22" w14:textId="77777777" w:rsidR="00864660" w:rsidRDefault="00000000">
            <w:pPr>
              <w:spacing w:after="0"/>
            </w:pPr>
            <w:r>
              <w:t>Information fiscale additionnelle</w:t>
            </w:r>
          </w:p>
        </w:tc>
        <w:tc>
          <w:tcPr>
            <w:tcW w:w="9061" w:type="dxa"/>
          </w:tcPr>
          <w:p w14:paraId="74CCFE4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Pour de l’information sur les incidences fiscales fédérales canadiennes liées à un placement dans les billets, se reporter à la rubrique « Incidences fiscales – Certaines incidences fiscales fédérales canadiennes » du supplément relatif au produit visant les billets à revenu, telle qu’elle est modifiée conformément à la rubrique intitulée « Certaines incidences fiscales fédérales canadiennes » du supplément de fixation du prix.</w:t>
            </w:r>
          </w:p>
          <w:p w14:paraId="7742FAD2" w14:textId="77777777" w:rsidR="00864660" w:rsidRDefault="00864660">
            <w:pPr>
              <w:spacing w:after="0"/>
              <w:cnfStyle w:val="000000000000" w:firstRow="0" w:lastRow="0" w:firstColumn="0" w:lastColumn="0" w:oddVBand="0" w:evenVBand="0" w:oddHBand="0" w:evenHBand="0" w:firstRowFirstColumn="0" w:firstRowLastColumn="0" w:lastRowFirstColumn="0" w:lastRowLastColumn="0"/>
            </w:pPr>
          </w:p>
          <w:p w14:paraId="5F9D4A3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Pour de l’information sur l’admissibilité à des fins de placement des billets pour certains régimes enregistrés, se reporter à la rubrique « Admissibilité à des fins de placement » du supplément relatif au produit visant les billets à revenu.</w:t>
            </w:r>
          </w:p>
        </w:tc>
      </w:tr>
      <w:tr w:rsidR="00864660" w14:paraId="403FC44B"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593E481C" w14:textId="77777777" w:rsidR="00864660" w:rsidRDefault="00000000">
            <w:pPr>
              <w:spacing w:after="0"/>
            </w:pPr>
            <w:r>
              <w:t>Code Fundserv</w:t>
            </w:r>
          </w:p>
        </w:tc>
        <w:tc>
          <w:tcPr>
            <w:tcW w:w="9061" w:type="dxa"/>
          </w:tcPr>
          <w:p w14:paraId="45614924"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JHN19116</w:t>
            </w:r>
          </w:p>
        </w:tc>
      </w:tr>
      <w:tr w:rsidR="00864660" w14:paraId="77AA3833"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695A3F65" w14:textId="77777777" w:rsidR="00864660" w:rsidRDefault="00000000">
            <w:pPr>
              <w:spacing w:after="0"/>
            </w:pPr>
            <w:r>
              <w:t>Agent chargé des calculs</w:t>
            </w:r>
          </w:p>
        </w:tc>
        <w:tc>
          <w:tcPr>
            <w:tcW w:w="9061" w:type="dxa"/>
          </w:tcPr>
          <w:p w14:paraId="463EF0D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BMO Marchés des capitaux</w:t>
            </w:r>
          </w:p>
        </w:tc>
      </w:tr>
      <w:tr w:rsidR="00864660" w14:paraId="35BADAF8"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583B0366" w14:textId="77777777" w:rsidR="00864660" w:rsidRDefault="00000000">
            <w:pPr>
              <w:spacing w:after="0"/>
            </w:pPr>
            <w:r>
              <w:t>Émetteur</w:t>
            </w:r>
          </w:p>
        </w:tc>
        <w:tc>
          <w:tcPr>
            <w:tcW w:w="9061" w:type="dxa"/>
          </w:tcPr>
          <w:p w14:paraId="6AFE3818"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BMO Nesbitt Burns Inc., un membre de notre groupe, et Patrimoine Manuvie Inc., à titre de courtier indépendant</w:t>
            </w:r>
          </w:p>
        </w:tc>
      </w:tr>
      <w:tr w:rsidR="00864660" w14:paraId="07AF0426" w14:textId="77777777" w:rsidTr="00864660">
        <w:tc>
          <w:tcPr>
            <w:cnfStyle w:val="001000000000" w:firstRow="0" w:lastRow="0" w:firstColumn="1" w:lastColumn="0" w:oddVBand="0" w:evenVBand="0" w:oddHBand="0" w:evenHBand="0" w:firstRowFirstColumn="0" w:firstRowLastColumn="0" w:lastRowFirstColumn="0" w:lastRowLastColumn="0"/>
            <w:tcW w:w="2265" w:type="dxa"/>
          </w:tcPr>
          <w:p w14:paraId="5C6F2572" w14:textId="77777777" w:rsidR="00864660" w:rsidRDefault="00000000">
            <w:pPr>
              <w:spacing w:after="0"/>
            </w:pPr>
            <w:r>
              <w:t>Marché secondaire/  Frais de négociation anticipée</w:t>
            </w:r>
          </w:p>
        </w:tc>
        <w:tc>
          <w:tcPr>
            <w:tcW w:w="9061" w:type="dxa"/>
          </w:tcPr>
          <w:p w14:paraId="2EFC7FF3" w14:textId="77777777" w:rsidR="00864660" w:rsidRDefault="00000000">
            <w:pPr>
              <w:keepNext/>
              <w:spacing w:after="0"/>
              <w:cnfStyle w:val="000000000000" w:firstRow="0" w:lastRow="0" w:firstColumn="0" w:lastColumn="0" w:oddVBand="0" w:evenVBand="0" w:oddHBand="0" w:evenHBand="0" w:firstRowFirstColumn="0" w:firstRowLastColumn="0" w:lastRowFirstColumn="0" w:lastRowLastColumn="0"/>
            </w:pPr>
            <w:r>
              <w:t xml:space="preserve">Les billets ne seront inscrits à la cote d’aucune bourse. BMO Marchés des capitaux fera de son mieux dans une conjoncture de marché normale afin d’organiser un marché secondaire quotidien pour la vente des billets par l’intermédiaire du système de réception des ordres de Fundserv Inc., mais se réserve le droit de ne pas le faire à l’avenir, à son seul gré, sans vous en donner de préavis. Les demandes de vente doivent être faites au plus tard à 13 h (heure de Toronto, ou à toute autre heure fixée ultérieurement par nous ou par Fundserv) un jour ouvrable donné. Toute demande reçue après ce moment sera réputée envoyée et reçue le jour ouvrable suivant. La vente d’un billet Fundserv sera effectuée à un prix correspondant au cours acheteur du billet, déterminé par nous à notre seul gré. </w:t>
            </w:r>
          </w:p>
          <w:p w14:paraId="27C55895" w14:textId="77777777" w:rsidR="00864660" w:rsidRDefault="00864660">
            <w:pPr>
              <w:spacing w:after="0"/>
              <w:cnfStyle w:val="000000000000" w:firstRow="0" w:lastRow="0" w:firstColumn="0" w:lastColumn="0" w:oddVBand="0" w:evenVBand="0" w:oddHBand="0" w:evenHBand="0" w:firstRowFirstColumn="0" w:firstRowLastColumn="0" w:lastRowFirstColumn="0" w:lastRowLastColumn="0"/>
            </w:pPr>
          </w:p>
          <w:p w14:paraId="58E414A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 xml:space="preserve">La vente d’un billet à BMO Marchés des capitaux avant l’échéance peut être assujettie à des frais de négociation anticipée. Si vous vendez un billet dans les 180 premiers jours après la date d’émission, des frais de négociation anticipée correspondant à un pourcentage du prix de souscription établi de la façon suivante seront déduits du cours acheteur publié. </w:t>
            </w:r>
          </w:p>
          <w:p w14:paraId="40F96AA4" w14:textId="77777777" w:rsidR="00864660" w:rsidRDefault="00864660">
            <w:pPr>
              <w:spacing w:after="0"/>
              <w:cnfStyle w:val="000000000000" w:firstRow="0" w:lastRow="0" w:firstColumn="0" w:lastColumn="0" w:oddVBand="0" w:evenVBand="0" w:oddHBand="0" w:evenHBand="0" w:firstRowFirstColumn="0" w:firstRowLastColumn="0" w:lastRowFirstColumn="0" w:lastRowLastColumn="0"/>
            </w:pPr>
          </w:p>
          <w:p w14:paraId="3B7CE7DA"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ab/>
              <w:t>Si les billets sont vendus entre :</w:t>
            </w:r>
            <w:r>
              <w:tab/>
              <w:t xml:space="preserve">  Frais de négociation anticipée :</w:t>
            </w:r>
          </w:p>
          <w:p w14:paraId="41D75A9B"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ab/>
              <w:t>0 et 60 jours</w:t>
            </w:r>
            <w:r>
              <w:tab/>
            </w:r>
            <w:r>
              <w:tab/>
              <w:t>3,50 %</w:t>
            </w:r>
          </w:p>
          <w:p w14:paraId="7DBBBFED"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ab/>
              <w:t>61 et 120 jours</w:t>
            </w:r>
            <w:r>
              <w:tab/>
            </w:r>
            <w:r>
              <w:tab/>
              <w:t>2,25 %</w:t>
            </w:r>
          </w:p>
          <w:p w14:paraId="26BEDC3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ab/>
              <w:t>121 et 180 jours</w:t>
            </w:r>
            <w:r>
              <w:tab/>
            </w:r>
            <w:r>
              <w:tab/>
              <w:t>1,00 %</w:t>
            </w:r>
          </w:p>
          <w:p w14:paraId="0312D9DD"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ab/>
              <w:t>Émetteur</w:t>
            </w:r>
            <w:r>
              <w:tab/>
            </w:r>
            <w:r>
              <w:tab/>
              <w:t>Nil</w:t>
            </w:r>
          </w:p>
          <w:p w14:paraId="053CA963" w14:textId="77777777" w:rsidR="00864660" w:rsidRDefault="00864660">
            <w:pPr>
              <w:spacing w:after="0"/>
              <w:cnfStyle w:val="000000000000" w:firstRow="0" w:lastRow="0" w:firstColumn="0" w:lastColumn="0" w:oddVBand="0" w:evenVBand="0" w:oddHBand="0" w:evenHBand="0" w:firstRowFirstColumn="0" w:firstRowLastColumn="0" w:lastRowFirstColumn="0" w:lastRowLastColumn="0"/>
            </w:pPr>
          </w:p>
          <w:p w14:paraId="033AF3FE"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Par billet</w:t>
            </w:r>
          </w:p>
        </w:tc>
      </w:tr>
    </w:tbl>
    <w:p w14:paraId="603EE8D2" w14:textId="77777777" w:rsidR="00864660" w:rsidRDefault="00000000">
      <w:pPr>
        <w:pStyle w:val="IBSubtitle"/>
        <w:pageBreakBefore/>
        <w:outlineLvl w:val="2"/>
      </w:pPr>
      <w:r>
        <w:t>Dates d’observation et de paiement</w:t>
      </w:r>
    </w:p>
    <w:p w14:paraId="045E6ADA" w14:textId="77777777" w:rsidR="00864660" w:rsidRDefault="00864660">
      <w:pPr>
        <w:sectPr w:rsidR="00864660">
          <w:headerReference w:type="default" r:id="rId13"/>
          <w:footerReference w:type="default" r:id="rId14"/>
          <w:type w:val="continuous"/>
          <w:pgSz w:w="11906" w:h="16838"/>
          <w:pgMar w:top="720" w:right="285" w:bottom="140" w:left="285" w:header="200" w:footer="708" w:gutter="0"/>
          <w:cols w:space="708"/>
          <w:docGrid w:linePitch="360"/>
        </w:sectPr>
      </w:pPr>
    </w:p>
    <w:tbl>
      <w:tblPr>
        <w:tblStyle w:val="DatesTable"/>
        <w:tblW w:w="11327" w:type="dxa"/>
        <w:tblInd w:w="0" w:type="dxa"/>
        <w:tblLook w:val="04A0" w:firstRow="1" w:lastRow="0" w:firstColumn="1" w:lastColumn="0" w:noHBand="0" w:noVBand="1"/>
      </w:tblPr>
      <w:tblGrid>
        <w:gridCol w:w="2454"/>
        <w:gridCol w:w="2741"/>
        <w:gridCol w:w="2843"/>
        <w:gridCol w:w="3289"/>
      </w:tblGrid>
      <w:tr w:rsidR="00864660" w14:paraId="583AFF62" w14:textId="77777777" w:rsidTr="00864660">
        <w:trPr>
          <w:cnfStyle w:val="100000000000" w:firstRow="1" w:lastRow="0" w:firstColumn="0" w:lastColumn="0" w:oddVBand="0" w:evenVBand="0" w:oddHBand="0" w:evenHBand="0" w:firstRowFirstColumn="0" w:firstRowLastColumn="0" w:lastRowFirstColumn="0" w:lastRowLastColumn="0"/>
        </w:trPr>
        <w:tc>
          <w:tcPr>
            <w:tcW w:w="1217" w:type="dxa"/>
          </w:tcPr>
          <w:p w14:paraId="3535D25C" w14:textId="77777777" w:rsidR="00864660" w:rsidRDefault="00000000">
            <w:pPr>
              <w:pStyle w:val="MainBodyTextNoSpacing"/>
              <w:rPr>
                <w:sz w:val="20"/>
              </w:rPr>
            </w:pPr>
            <w:r>
              <w:rPr>
                <w:sz w:val="20"/>
              </w:rPr>
              <w:t>Date d’observation</w:t>
            </w:r>
          </w:p>
        </w:tc>
        <w:tc>
          <w:tcPr>
            <w:tcW w:w="1359" w:type="dxa"/>
          </w:tcPr>
          <w:p w14:paraId="6CD3F0DB" w14:textId="77777777" w:rsidR="00864660" w:rsidRDefault="00000000">
            <w:pPr>
              <w:pStyle w:val="MainBodyTextNoSpacing"/>
              <w:rPr>
                <w:sz w:val="20"/>
              </w:rPr>
            </w:pPr>
            <w:r>
              <w:rPr>
                <w:sz w:val="20"/>
              </w:rPr>
              <w:t>Date d’observation du coupon*</w:t>
            </w:r>
          </w:p>
        </w:tc>
        <w:tc>
          <w:tcPr>
            <w:tcW w:w="1410" w:type="dxa"/>
          </w:tcPr>
          <w:p w14:paraId="19CBEECF" w14:textId="77777777" w:rsidR="00864660" w:rsidRDefault="00000000">
            <w:pPr>
              <w:pStyle w:val="MainBodyTextNoSpacing"/>
              <w:rPr>
                <w:sz w:val="20"/>
              </w:rPr>
            </w:pPr>
            <w:r>
              <w:rPr>
                <w:sz w:val="20"/>
              </w:rPr>
              <w:t>Date d’observation du remboursement par anticipation*</w:t>
            </w:r>
          </w:p>
        </w:tc>
        <w:tc>
          <w:tcPr>
            <w:tcW w:w="1631" w:type="dxa"/>
          </w:tcPr>
          <w:p w14:paraId="3F952862" w14:textId="77777777" w:rsidR="00864660" w:rsidRDefault="00000000">
            <w:pPr>
              <w:pStyle w:val="MainBodyTextNoSpacing"/>
              <w:rPr>
                <w:sz w:val="20"/>
              </w:rPr>
            </w:pPr>
            <w:r>
              <w:rPr>
                <w:sz w:val="20"/>
              </w:rPr>
              <w:t>Date de paiement des coupons/date de paiement relatif au remboursement par anticipation**</w:t>
            </w:r>
          </w:p>
        </w:tc>
      </w:tr>
      <w:tr w:rsidR="00864660" w14:paraId="50631A2A" w14:textId="77777777" w:rsidTr="00864660">
        <w:tc>
          <w:tcPr>
            <w:tcW w:w="1217" w:type="dxa"/>
            <w:vMerge w:val="restart"/>
          </w:tcPr>
          <w:p w14:paraId="6A642CE3" w14:textId="77777777" w:rsidR="00864660" w:rsidRDefault="00000000">
            <w:pPr>
              <w:pStyle w:val="MainBodyTextNoSpacing"/>
              <w:rPr>
                <w:sz w:val="20"/>
              </w:rPr>
            </w:pPr>
            <w:r>
              <w:rPr>
                <w:sz w:val="20"/>
              </w:rPr>
              <w:t>1</w:t>
            </w:r>
          </w:p>
        </w:tc>
        <w:tc>
          <w:tcPr>
            <w:tcW w:w="1359" w:type="dxa"/>
            <w:noWrap/>
          </w:tcPr>
          <w:p w14:paraId="201AFBF3" w14:textId="77777777" w:rsidR="00864660" w:rsidRDefault="00000000">
            <w:pPr>
              <w:pStyle w:val="MainBodyTextNoSpacing"/>
              <w:rPr>
                <w:sz w:val="20"/>
              </w:rPr>
            </w:pPr>
            <w:r>
              <w:rPr>
                <w:sz w:val="20"/>
              </w:rPr>
              <w:t>7 mars 2025</w:t>
            </w:r>
          </w:p>
        </w:tc>
        <w:tc>
          <w:tcPr>
            <w:tcW w:w="1410" w:type="dxa"/>
          </w:tcPr>
          <w:p w14:paraId="464059F1" w14:textId="77777777" w:rsidR="00864660" w:rsidRDefault="00000000">
            <w:pPr>
              <w:pStyle w:val="MainBodyTextNoSpacing"/>
              <w:rPr>
                <w:sz w:val="20"/>
              </w:rPr>
            </w:pPr>
            <w:r>
              <w:rPr>
                <w:sz w:val="20"/>
              </w:rPr>
              <w:t>Néant</w:t>
            </w:r>
          </w:p>
        </w:tc>
        <w:tc>
          <w:tcPr>
            <w:tcW w:w="1631" w:type="dxa"/>
            <w:vMerge w:val="restart"/>
            <w:noWrap/>
          </w:tcPr>
          <w:p w14:paraId="2DC74306" w14:textId="77777777" w:rsidR="00864660" w:rsidRDefault="00000000">
            <w:pPr>
              <w:pStyle w:val="MainBodyTextNoSpacing"/>
              <w:rPr>
                <w:sz w:val="20"/>
              </w:rPr>
            </w:pPr>
            <w:r>
              <w:rPr>
                <w:sz w:val="20"/>
              </w:rPr>
              <w:t>14 mars 2025 (non remboursable)</w:t>
            </w:r>
          </w:p>
        </w:tc>
      </w:tr>
      <w:tr w:rsidR="00864660" w14:paraId="5932AA72" w14:textId="77777777" w:rsidTr="00864660">
        <w:tc>
          <w:tcPr>
            <w:tcW w:w="1217" w:type="dxa"/>
            <w:vMerge w:val="restart"/>
          </w:tcPr>
          <w:p w14:paraId="04EFA70F" w14:textId="77777777" w:rsidR="00864660" w:rsidRDefault="00000000">
            <w:pPr>
              <w:pStyle w:val="MainBodyTextNoSpacing"/>
              <w:rPr>
                <w:sz w:val="20"/>
              </w:rPr>
            </w:pPr>
            <w:r>
              <w:rPr>
                <w:sz w:val="20"/>
              </w:rPr>
              <w:t>2</w:t>
            </w:r>
          </w:p>
        </w:tc>
        <w:tc>
          <w:tcPr>
            <w:tcW w:w="1359" w:type="dxa"/>
            <w:noWrap/>
          </w:tcPr>
          <w:p w14:paraId="78E8B034" w14:textId="77777777" w:rsidR="00864660" w:rsidRDefault="00000000">
            <w:pPr>
              <w:pStyle w:val="MainBodyTextNoSpacing"/>
              <w:rPr>
                <w:sz w:val="20"/>
              </w:rPr>
            </w:pPr>
            <w:r>
              <w:rPr>
                <w:sz w:val="20"/>
              </w:rPr>
              <w:t>7 avril 2025</w:t>
            </w:r>
          </w:p>
        </w:tc>
        <w:tc>
          <w:tcPr>
            <w:tcW w:w="1410" w:type="dxa"/>
          </w:tcPr>
          <w:p w14:paraId="11BCBF38" w14:textId="77777777" w:rsidR="00864660" w:rsidRDefault="00000000">
            <w:pPr>
              <w:pStyle w:val="MainBodyTextNoSpacing"/>
              <w:rPr>
                <w:sz w:val="20"/>
              </w:rPr>
            </w:pPr>
            <w:r>
              <w:rPr>
                <w:sz w:val="20"/>
              </w:rPr>
              <w:t>Néant</w:t>
            </w:r>
          </w:p>
        </w:tc>
        <w:tc>
          <w:tcPr>
            <w:tcW w:w="1631" w:type="dxa"/>
            <w:vMerge w:val="restart"/>
            <w:noWrap/>
          </w:tcPr>
          <w:p w14:paraId="1100726E" w14:textId="77777777" w:rsidR="00864660" w:rsidRDefault="00000000">
            <w:pPr>
              <w:pStyle w:val="MainBodyTextNoSpacing"/>
              <w:rPr>
                <w:sz w:val="20"/>
              </w:rPr>
            </w:pPr>
            <w:r>
              <w:rPr>
                <w:sz w:val="20"/>
              </w:rPr>
              <w:t>14 avril 2025 (non remboursable)</w:t>
            </w:r>
          </w:p>
        </w:tc>
      </w:tr>
      <w:tr w:rsidR="00864660" w14:paraId="06AF9575" w14:textId="77777777" w:rsidTr="00864660">
        <w:tc>
          <w:tcPr>
            <w:tcW w:w="1217" w:type="dxa"/>
            <w:vMerge w:val="restart"/>
          </w:tcPr>
          <w:p w14:paraId="07C1B202" w14:textId="77777777" w:rsidR="00864660" w:rsidRDefault="00000000">
            <w:pPr>
              <w:pStyle w:val="MainBodyTextNoSpacing"/>
              <w:rPr>
                <w:sz w:val="20"/>
              </w:rPr>
            </w:pPr>
            <w:r>
              <w:rPr>
                <w:sz w:val="20"/>
              </w:rPr>
              <w:t>3</w:t>
            </w:r>
          </w:p>
        </w:tc>
        <w:tc>
          <w:tcPr>
            <w:tcW w:w="1359" w:type="dxa"/>
            <w:noWrap/>
          </w:tcPr>
          <w:p w14:paraId="2CD69AFE" w14:textId="77777777" w:rsidR="00864660" w:rsidRDefault="00000000">
            <w:pPr>
              <w:pStyle w:val="MainBodyTextNoSpacing"/>
              <w:rPr>
                <w:sz w:val="20"/>
              </w:rPr>
            </w:pPr>
            <w:r>
              <w:rPr>
                <w:sz w:val="20"/>
              </w:rPr>
              <w:t>7 mai 2025</w:t>
            </w:r>
          </w:p>
        </w:tc>
        <w:tc>
          <w:tcPr>
            <w:tcW w:w="1410" w:type="dxa"/>
          </w:tcPr>
          <w:p w14:paraId="4004D8D1" w14:textId="77777777" w:rsidR="00864660" w:rsidRDefault="00000000">
            <w:pPr>
              <w:pStyle w:val="MainBodyTextNoSpacing"/>
              <w:rPr>
                <w:sz w:val="20"/>
              </w:rPr>
            </w:pPr>
            <w:r>
              <w:rPr>
                <w:sz w:val="20"/>
              </w:rPr>
              <w:t>Néant</w:t>
            </w:r>
          </w:p>
        </w:tc>
        <w:tc>
          <w:tcPr>
            <w:tcW w:w="1631" w:type="dxa"/>
            <w:vMerge w:val="restart"/>
            <w:noWrap/>
          </w:tcPr>
          <w:p w14:paraId="14FE9BE6" w14:textId="77777777" w:rsidR="00864660" w:rsidRDefault="00000000">
            <w:pPr>
              <w:pStyle w:val="MainBodyTextNoSpacing"/>
              <w:rPr>
                <w:sz w:val="20"/>
              </w:rPr>
            </w:pPr>
            <w:r>
              <w:rPr>
                <w:sz w:val="20"/>
              </w:rPr>
              <w:t>14 mai 2025 (non remboursable)</w:t>
            </w:r>
          </w:p>
        </w:tc>
      </w:tr>
      <w:tr w:rsidR="00864660" w14:paraId="671735E8" w14:textId="77777777" w:rsidTr="00864660">
        <w:tc>
          <w:tcPr>
            <w:tcW w:w="1217" w:type="dxa"/>
            <w:vMerge w:val="restart"/>
          </w:tcPr>
          <w:p w14:paraId="1905673F" w14:textId="77777777" w:rsidR="00864660" w:rsidRDefault="00000000">
            <w:pPr>
              <w:pStyle w:val="MainBodyTextNoSpacing"/>
              <w:rPr>
                <w:sz w:val="20"/>
              </w:rPr>
            </w:pPr>
            <w:r>
              <w:rPr>
                <w:sz w:val="20"/>
              </w:rPr>
              <w:t>4</w:t>
            </w:r>
          </w:p>
        </w:tc>
        <w:tc>
          <w:tcPr>
            <w:tcW w:w="1359" w:type="dxa"/>
            <w:noWrap/>
          </w:tcPr>
          <w:p w14:paraId="7F56A922" w14:textId="77777777" w:rsidR="00864660" w:rsidRDefault="00000000">
            <w:pPr>
              <w:pStyle w:val="MainBodyTextNoSpacing"/>
              <w:rPr>
                <w:sz w:val="20"/>
              </w:rPr>
            </w:pPr>
            <w:r>
              <w:rPr>
                <w:sz w:val="20"/>
              </w:rPr>
              <w:t>9 juin 2025</w:t>
            </w:r>
          </w:p>
        </w:tc>
        <w:tc>
          <w:tcPr>
            <w:tcW w:w="1410" w:type="dxa"/>
          </w:tcPr>
          <w:p w14:paraId="3AA387F8" w14:textId="77777777" w:rsidR="00864660" w:rsidRDefault="00000000">
            <w:pPr>
              <w:pStyle w:val="MainBodyTextNoSpacing"/>
              <w:rPr>
                <w:sz w:val="20"/>
              </w:rPr>
            </w:pPr>
            <w:r>
              <w:rPr>
                <w:sz w:val="20"/>
              </w:rPr>
              <w:t>Néant</w:t>
            </w:r>
          </w:p>
        </w:tc>
        <w:tc>
          <w:tcPr>
            <w:tcW w:w="1631" w:type="dxa"/>
            <w:vMerge w:val="restart"/>
            <w:noWrap/>
          </w:tcPr>
          <w:p w14:paraId="2EA4106F" w14:textId="77777777" w:rsidR="00864660" w:rsidRDefault="00000000">
            <w:pPr>
              <w:pStyle w:val="MainBodyTextNoSpacing"/>
              <w:rPr>
                <w:sz w:val="20"/>
              </w:rPr>
            </w:pPr>
            <w:r>
              <w:rPr>
                <w:sz w:val="20"/>
              </w:rPr>
              <w:t>16 juin 2025 (non remboursable)</w:t>
            </w:r>
          </w:p>
        </w:tc>
      </w:tr>
      <w:tr w:rsidR="00864660" w14:paraId="5B7DECDC" w14:textId="77777777" w:rsidTr="00864660">
        <w:tc>
          <w:tcPr>
            <w:tcW w:w="1217" w:type="dxa"/>
            <w:vMerge w:val="restart"/>
          </w:tcPr>
          <w:p w14:paraId="007BFF58" w14:textId="77777777" w:rsidR="00864660" w:rsidRDefault="00000000">
            <w:pPr>
              <w:pStyle w:val="MainBodyTextNoSpacing"/>
              <w:rPr>
                <w:sz w:val="20"/>
              </w:rPr>
            </w:pPr>
            <w:r>
              <w:rPr>
                <w:sz w:val="20"/>
              </w:rPr>
              <w:t>5</w:t>
            </w:r>
          </w:p>
        </w:tc>
        <w:tc>
          <w:tcPr>
            <w:tcW w:w="1359" w:type="dxa"/>
            <w:noWrap/>
          </w:tcPr>
          <w:p w14:paraId="2FFF8253" w14:textId="77777777" w:rsidR="00864660" w:rsidRDefault="00000000">
            <w:pPr>
              <w:pStyle w:val="MainBodyTextNoSpacing"/>
              <w:rPr>
                <w:sz w:val="20"/>
              </w:rPr>
            </w:pPr>
            <w:r>
              <w:rPr>
                <w:sz w:val="20"/>
              </w:rPr>
              <w:t>7 juillet 2025</w:t>
            </w:r>
          </w:p>
        </w:tc>
        <w:tc>
          <w:tcPr>
            <w:tcW w:w="1410" w:type="dxa"/>
          </w:tcPr>
          <w:p w14:paraId="78377C32" w14:textId="77777777" w:rsidR="00864660" w:rsidRDefault="00000000">
            <w:pPr>
              <w:pStyle w:val="MainBodyTextNoSpacing"/>
              <w:rPr>
                <w:sz w:val="20"/>
              </w:rPr>
            </w:pPr>
            <w:r>
              <w:rPr>
                <w:sz w:val="20"/>
              </w:rPr>
              <w:t>Néant</w:t>
            </w:r>
          </w:p>
        </w:tc>
        <w:tc>
          <w:tcPr>
            <w:tcW w:w="1631" w:type="dxa"/>
            <w:vMerge w:val="restart"/>
            <w:noWrap/>
          </w:tcPr>
          <w:p w14:paraId="03A491E7" w14:textId="77777777" w:rsidR="00864660" w:rsidRDefault="00000000">
            <w:pPr>
              <w:pStyle w:val="MainBodyTextNoSpacing"/>
              <w:rPr>
                <w:sz w:val="20"/>
              </w:rPr>
            </w:pPr>
            <w:r>
              <w:rPr>
                <w:sz w:val="20"/>
              </w:rPr>
              <w:t>14 juillet 2025 (non remboursable)</w:t>
            </w:r>
          </w:p>
        </w:tc>
      </w:tr>
      <w:tr w:rsidR="00864660" w14:paraId="77FF7C79" w14:textId="77777777" w:rsidTr="00864660">
        <w:tc>
          <w:tcPr>
            <w:tcW w:w="1217" w:type="dxa"/>
            <w:vMerge w:val="restart"/>
          </w:tcPr>
          <w:p w14:paraId="08F498A1" w14:textId="77777777" w:rsidR="00864660" w:rsidRDefault="00000000">
            <w:pPr>
              <w:pStyle w:val="MainBodyTextNoSpacing"/>
              <w:rPr>
                <w:sz w:val="20"/>
              </w:rPr>
            </w:pPr>
            <w:r>
              <w:rPr>
                <w:sz w:val="20"/>
              </w:rPr>
              <w:t>6</w:t>
            </w:r>
          </w:p>
        </w:tc>
        <w:tc>
          <w:tcPr>
            <w:tcW w:w="1359" w:type="dxa"/>
            <w:noWrap/>
          </w:tcPr>
          <w:p w14:paraId="2A9010C3" w14:textId="77777777" w:rsidR="00864660" w:rsidRDefault="00000000">
            <w:pPr>
              <w:pStyle w:val="MainBodyTextNoSpacing"/>
              <w:rPr>
                <w:sz w:val="20"/>
              </w:rPr>
            </w:pPr>
            <w:r>
              <w:rPr>
                <w:sz w:val="20"/>
              </w:rPr>
              <w:t>7 août 2025</w:t>
            </w:r>
          </w:p>
        </w:tc>
        <w:tc>
          <w:tcPr>
            <w:tcW w:w="1410" w:type="dxa"/>
            <w:noWrap/>
          </w:tcPr>
          <w:p w14:paraId="73DFCC1F" w14:textId="77777777" w:rsidR="00864660" w:rsidRDefault="00000000">
            <w:pPr>
              <w:pStyle w:val="MainBodyTextNoSpacing"/>
              <w:rPr>
                <w:sz w:val="20"/>
              </w:rPr>
            </w:pPr>
            <w:r>
              <w:rPr>
                <w:sz w:val="20"/>
              </w:rPr>
              <w:t>7 août 2025</w:t>
            </w:r>
          </w:p>
        </w:tc>
        <w:tc>
          <w:tcPr>
            <w:tcW w:w="1631" w:type="dxa"/>
            <w:vMerge w:val="restart"/>
            <w:noWrap/>
          </w:tcPr>
          <w:p w14:paraId="6BA6C5CF" w14:textId="77777777" w:rsidR="00864660" w:rsidRDefault="00000000">
            <w:pPr>
              <w:pStyle w:val="MainBodyTextNoSpacing"/>
              <w:rPr>
                <w:sz w:val="20"/>
              </w:rPr>
            </w:pPr>
            <w:r>
              <w:rPr>
                <w:sz w:val="20"/>
              </w:rPr>
              <w:t>14 août 2025</w:t>
            </w:r>
          </w:p>
        </w:tc>
      </w:tr>
      <w:tr w:rsidR="00864660" w14:paraId="3826904E" w14:textId="77777777" w:rsidTr="00864660">
        <w:tc>
          <w:tcPr>
            <w:tcW w:w="1217" w:type="dxa"/>
            <w:vMerge w:val="restart"/>
          </w:tcPr>
          <w:p w14:paraId="1F572BEA" w14:textId="77777777" w:rsidR="00864660" w:rsidRDefault="00000000">
            <w:pPr>
              <w:pStyle w:val="MainBodyTextNoSpacing"/>
              <w:rPr>
                <w:sz w:val="20"/>
              </w:rPr>
            </w:pPr>
            <w:r>
              <w:rPr>
                <w:sz w:val="20"/>
              </w:rPr>
              <w:t>7</w:t>
            </w:r>
          </w:p>
        </w:tc>
        <w:tc>
          <w:tcPr>
            <w:tcW w:w="1359" w:type="dxa"/>
            <w:noWrap/>
          </w:tcPr>
          <w:p w14:paraId="6E3C7085" w14:textId="77777777" w:rsidR="00864660" w:rsidRDefault="00000000">
            <w:pPr>
              <w:pStyle w:val="MainBodyTextNoSpacing"/>
              <w:rPr>
                <w:sz w:val="20"/>
              </w:rPr>
            </w:pPr>
            <w:r>
              <w:rPr>
                <w:sz w:val="20"/>
              </w:rPr>
              <w:t>8 septembre 2025</w:t>
            </w:r>
          </w:p>
        </w:tc>
        <w:tc>
          <w:tcPr>
            <w:tcW w:w="1410" w:type="dxa"/>
            <w:noWrap/>
          </w:tcPr>
          <w:p w14:paraId="1FB58738" w14:textId="77777777" w:rsidR="00864660" w:rsidRDefault="00000000">
            <w:pPr>
              <w:pStyle w:val="MainBodyTextNoSpacing"/>
              <w:rPr>
                <w:sz w:val="20"/>
              </w:rPr>
            </w:pPr>
            <w:r>
              <w:rPr>
                <w:sz w:val="20"/>
              </w:rPr>
              <w:t>8 septembre 2025</w:t>
            </w:r>
          </w:p>
        </w:tc>
        <w:tc>
          <w:tcPr>
            <w:tcW w:w="1631" w:type="dxa"/>
            <w:vMerge w:val="restart"/>
            <w:noWrap/>
          </w:tcPr>
          <w:p w14:paraId="12112E36" w14:textId="77777777" w:rsidR="00864660" w:rsidRDefault="00000000">
            <w:pPr>
              <w:pStyle w:val="MainBodyTextNoSpacing"/>
              <w:rPr>
                <w:sz w:val="20"/>
              </w:rPr>
            </w:pPr>
            <w:r>
              <w:rPr>
                <w:sz w:val="20"/>
              </w:rPr>
              <w:t>15 septembre 2025</w:t>
            </w:r>
          </w:p>
        </w:tc>
      </w:tr>
      <w:tr w:rsidR="00864660" w14:paraId="5F36263B" w14:textId="77777777" w:rsidTr="00864660">
        <w:tc>
          <w:tcPr>
            <w:tcW w:w="1217" w:type="dxa"/>
            <w:vMerge w:val="restart"/>
          </w:tcPr>
          <w:p w14:paraId="3A7ACD23" w14:textId="77777777" w:rsidR="00864660" w:rsidRDefault="00000000">
            <w:pPr>
              <w:pStyle w:val="MainBodyTextNoSpacing"/>
              <w:rPr>
                <w:sz w:val="20"/>
              </w:rPr>
            </w:pPr>
            <w:r>
              <w:rPr>
                <w:sz w:val="20"/>
              </w:rPr>
              <w:t>8</w:t>
            </w:r>
          </w:p>
        </w:tc>
        <w:tc>
          <w:tcPr>
            <w:tcW w:w="1359" w:type="dxa"/>
            <w:noWrap/>
          </w:tcPr>
          <w:p w14:paraId="141C9886" w14:textId="77777777" w:rsidR="00864660" w:rsidRDefault="00000000">
            <w:pPr>
              <w:pStyle w:val="MainBodyTextNoSpacing"/>
              <w:rPr>
                <w:sz w:val="20"/>
              </w:rPr>
            </w:pPr>
            <w:r>
              <w:rPr>
                <w:sz w:val="20"/>
              </w:rPr>
              <w:t>6 octobre 2025</w:t>
            </w:r>
          </w:p>
        </w:tc>
        <w:tc>
          <w:tcPr>
            <w:tcW w:w="1410" w:type="dxa"/>
            <w:noWrap/>
          </w:tcPr>
          <w:p w14:paraId="28141A3B" w14:textId="77777777" w:rsidR="00864660" w:rsidRDefault="00000000">
            <w:pPr>
              <w:pStyle w:val="MainBodyTextNoSpacing"/>
              <w:rPr>
                <w:sz w:val="20"/>
              </w:rPr>
            </w:pPr>
            <w:r>
              <w:rPr>
                <w:sz w:val="20"/>
              </w:rPr>
              <w:t>6 octobre 2025</w:t>
            </w:r>
          </w:p>
        </w:tc>
        <w:tc>
          <w:tcPr>
            <w:tcW w:w="1631" w:type="dxa"/>
            <w:vMerge w:val="restart"/>
            <w:noWrap/>
          </w:tcPr>
          <w:p w14:paraId="263F2333" w14:textId="77777777" w:rsidR="00864660" w:rsidRDefault="00000000">
            <w:pPr>
              <w:pStyle w:val="MainBodyTextNoSpacing"/>
              <w:rPr>
                <w:sz w:val="20"/>
              </w:rPr>
            </w:pPr>
            <w:r>
              <w:rPr>
                <w:sz w:val="20"/>
              </w:rPr>
              <w:t>14 octobre 2025</w:t>
            </w:r>
          </w:p>
        </w:tc>
      </w:tr>
      <w:tr w:rsidR="00864660" w14:paraId="54EF99ED" w14:textId="77777777" w:rsidTr="00864660">
        <w:tc>
          <w:tcPr>
            <w:tcW w:w="1217" w:type="dxa"/>
            <w:vMerge w:val="restart"/>
          </w:tcPr>
          <w:p w14:paraId="3B6582F2" w14:textId="77777777" w:rsidR="00864660" w:rsidRDefault="00000000">
            <w:pPr>
              <w:pStyle w:val="MainBodyTextNoSpacing"/>
              <w:rPr>
                <w:sz w:val="20"/>
              </w:rPr>
            </w:pPr>
            <w:r>
              <w:rPr>
                <w:sz w:val="20"/>
              </w:rPr>
              <w:t>9</w:t>
            </w:r>
          </w:p>
        </w:tc>
        <w:tc>
          <w:tcPr>
            <w:tcW w:w="1359" w:type="dxa"/>
            <w:noWrap/>
          </w:tcPr>
          <w:p w14:paraId="405D4BC4" w14:textId="77777777" w:rsidR="00864660" w:rsidRDefault="00000000">
            <w:pPr>
              <w:pStyle w:val="MainBodyTextNoSpacing"/>
              <w:rPr>
                <w:sz w:val="20"/>
              </w:rPr>
            </w:pPr>
            <w:r>
              <w:rPr>
                <w:sz w:val="20"/>
              </w:rPr>
              <w:t>6 novembre 2025</w:t>
            </w:r>
          </w:p>
        </w:tc>
        <w:tc>
          <w:tcPr>
            <w:tcW w:w="1410" w:type="dxa"/>
            <w:noWrap/>
          </w:tcPr>
          <w:p w14:paraId="56306D7A" w14:textId="77777777" w:rsidR="00864660" w:rsidRDefault="00000000">
            <w:pPr>
              <w:pStyle w:val="MainBodyTextNoSpacing"/>
              <w:rPr>
                <w:sz w:val="20"/>
              </w:rPr>
            </w:pPr>
            <w:r>
              <w:rPr>
                <w:sz w:val="20"/>
              </w:rPr>
              <w:t>6 novembre 2025</w:t>
            </w:r>
          </w:p>
        </w:tc>
        <w:tc>
          <w:tcPr>
            <w:tcW w:w="1631" w:type="dxa"/>
            <w:vMerge w:val="restart"/>
            <w:noWrap/>
          </w:tcPr>
          <w:p w14:paraId="1AE4C1E8" w14:textId="77777777" w:rsidR="00864660" w:rsidRDefault="00000000">
            <w:pPr>
              <w:pStyle w:val="MainBodyTextNoSpacing"/>
              <w:rPr>
                <w:sz w:val="20"/>
              </w:rPr>
            </w:pPr>
            <w:r>
              <w:rPr>
                <w:sz w:val="20"/>
              </w:rPr>
              <w:t>14 novembre 2025</w:t>
            </w:r>
          </w:p>
        </w:tc>
      </w:tr>
      <w:tr w:rsidR="00864660" w14:paraId="51D32D26" w14:textId="77777777" w:rsidTr="00864660">
        <w:tc>
          <w:tcPr>
            <w:tcW w:w="1217" w:type="dxa"/>
            <w:vMerge w:val="restart"/>
          </w:tcPr>
          <w:p w14:paraId="06F0FF3B" w14:textId="77777777" w:rsidR="00864660" w:rsidRDefault="00000000">
            <w:pPr>
              <w:pStyle w:val="MainBodyTextNoSpacing"/>
              <w:rPr>
                <w:sz w:val="20"/>
              </w:rPr>
            </w:pPr>
            <w:r>
              <w:rPr>
                <w:sz w:val="20"/>
              </w:rPr>
              <w:t>10</w:t>
            </w:r>
          </w:p>
        </w:tc>
        <w:tc>
          <w:tcPr>
            <w:tcW w:w="1359" w:type="dxa"/>
            <w:noWrap/>
          </w:tcPr>
          <w:p w14:paraId="667C1DA6" w14:textId="77777777" w:rsidR="00864660" w:rsidRDefault="00000000">
            <w:pPr>
              <w:pStyle w:val="MainBodyTextNoSpacing"/>
              <w:rPr>
                <w:sz w:val="20"/>
              </w:rPr>
            </w:pPr>
            <w:r>
              <w:rPr>
                <w:sz w:val="20"/>
              </w:rPr>
              <w:t>8 décembre 2025</w:t>
            </w:r>
          </w:p>
        </w:tc>
        <w:tc>
          <w:tcPr>
            <w:tcW w:w="1410" w:type="dxa"/>
            <w:noWrap/>
          </w:tcPr>
          <w:p w14:paraId="428A5161" w14:textId="77777777" w:rsidR="00864660" w:rsidRDefault="00000000">
            <w:pPr>
              <w:pStyle w:val="MainBodyTextNoSpacing"/>
              <w:rPr>
                <w:sz w:val="20"/>
              </w:rPr>
            </w:pPr>
            <w:r>
              <w:rPr>
                <w:sz w:val="20"/>
              </w:rPr>
              <w:t>8 décembre 2025</w:t>
            </w:r>
          </w:p>
        </w:tc>
        <w:tc>
          <w:tcPr>
            <w:tcW w:w="1631" w:type="dxa"/>
            <w:vMerge w:val="restart"/>
            <w:noWrap/>
          </w:tcPr>
          <w:p w14:paraId="4F60DB8A" w14:textId="77777777" w:rsidR="00864660" w:rsidRDefault="00000000">
            <w:pPr>
              <w:pStyle w:val="MainBodyTextNoSpacing"/>
              <w:rPr>
                <w:sz w:val="20"/>
              </w:rPr>
            </w:pPr>
            <w:r>
              <w:rPr>
                <w:sz w:val="20"/>
              </w:rPr>
              <w:t>15 décembre 2025</w:t>
            </w:r>
          </w:p>
        </w:tc>
      </w:tr>
      <w:tr w:rsidR="00864660" w14:paraId="2F2271D5" w14:textId="77777777" w:rsidTr="00864660">
        <w:tc>
          <w:tcPr>
            <w:tcW w:w="1217" w:type="dxa"/>
            <w:vMerge w:val="restart"/>
          </w:tcPr>
          <w:p w14:paraId="2D77F9DA" w14:textId="77777777" w:rsidR="00864660" w:rsidRDefault="00000000">
            <w:pPr>
              <w:pStyle w:val="MainBodyTextNoSpacing"/>
              <w:rPr>
                <w:sz w:val="20"/>
              </w:rPr>
            </w:pPr>
            <w:r>
              <w:rPr>
                <w:sz w:val="20"/>
              </w:rPr>
              <w:t>11</w:t>
            </w:r>
          </w:p>
        </w:tc>
        <w:tc>
          <w:tcPr>
            <w:tcW w:w="1359" w:type="dxa"/>
            <w:noWrap/>
          </w:tcPr>
          <w:p w14:paraId="6EB8DB03" w14:textId="77777777" w:rsidR="00864660" w:rsidRDefault="00000000">
            <w:pPr>
              <w:pStyle w:val="MainBodyTextNoSpacing"/>
              <w:rPr>
                <w:sz w:val="20"/>
              </w:rPr>
            </w:pPr>
            <w:r>
              <w:rPr>
                <w:sz w:val="20"/>
              </w:rPr>
              <w:t>7 janvier 2026</w:t>
            </w:r>
          </w:p>
        </w:tc>
        <w:tc>
          <w:tcPr>
            <w:tcW w:w="1410" w:type="dxa"/>
            <w:noWrap/>
          </w:tcPr>
          <w:p w14:paraId="44B6F27B" w14:textId="77777777" w:rsidR="00864660" w:rsidRDefault="00000000">
            <w:pPr>
              <w:pStyle w:val="MainBodyTextNoSpacing"/>
              <w:rPr>
                <w:sz w:val="20"/>
              </w:rPr>
            </w:pPr>
            <w:r>
              <w:rPr>
                <w:sz w:val="20"/>
              </w:rPr>
              <w:t>7 janvier 2026</w:t>
            </w:r>
          </w:p>
        </w:tc>
        <w:tc>
          <w:tcPr>
            <w:tcW w:w="1631" w:type="dxa"/>
            <w:vMerge w:val="restart"/>
            <w:noWrap/>
          </w:tcPr>
          <w:p w14:paraId="39814435" w14:textId="77777777" w:rsidR="00864660" w:rsidRDefault="00000000">
            <w:pPr>
              <w:pStyle w:val="MainBodyTextNoSpacing"/>
              <w:rPr>
                <w:sz w:val="20"/>
              </w:rPr>
            </w:pPr>
            <w:r>
              <w:rPr>
                <w:sz w:val="20"/>
              </w:rPr>
              <w:t>14 janvier 2026</w:t>
            </w:r>
          </w:p>
        </w:tc>
      </w:tr>
      <w:tr w:rsidR="00864660" w14:paraId="413CFBC9" w14:textId="77777777" w:rsidTr="00864660">
        <w:tc>
          <w:tcPr>
            <w:tcW w:w="1217" w:type="dxa"/>
            <w:vMerge w:val="restart"/>
          </w:tcPr>
          <w:p w14:paraId="5775C448" w14:textId="77777777" w:rsidR="00864660" w:rsidRDefault="00000000">
            <w:pPr>
              <w:pStyle w:val="MainBodyTextNoSpacing"/>
              <w:rPr>
                <w:sz w:val="20"/>
              </w:rPr>
            </w:pPr>
            <w:r>
              <w:rPr>
                <w:sz w:val="20"/>
              </w:rPr>
              <w:t>12</w:t>
            </w:r>
          </w:p>
        </w:tc>
        <w:tc>
          <w:tcPr>
            <w:tcW w:w="1359" w:type="dxa"/>
            <w:noWrap/>
          </w:tcPr>
          <w:p w14:paraId="5BF7D812" w14:textId="77777777" w:rsidR="00864660" w:rsidRDefault="00000000">
            <w:pPr>
              <w:pStyle w:val="MainBodyTextNoSpacing"/>
              <w:rPr>
                <w:sz w:val="20"/>
              </w:rPr>
            </w:pPr>
            <w:r>
              <w:rPr>
                <w:sz w:val="20"/>
              </w:rPr>
              <w:t>9 février 2026</w:t>
            </w:r>
          </w:p>
        </w:tc>
        <w:tc>
          <w:tcPr>
            <w:tcW w:w="1410" w:type="dxa"/>
            <w:noWrap/>
          </w:tcPr>
          <w:p w14:paraId="4E29032E" w14:textId="77777777" w:rsidR="00864660" w:rsidRDefault="00000000">
            <w:pPr>
              <w:pStyle w:val="MainBodyTextNoSpacing"/>
              <w:rPr>
                <w:sz w:val="20"/>
              </w:rPr>
            </w:pPr>
            <w:r>
              <w:rPr>
                <w:sz w:val="20"/>
              </w:rPr>
              <w:t>9 février 2026</w:t>
            </w:r>
          </w:p>
        </w:tc>
        <w:tc>
          <w:tcPr>
            <w:tcW w:w="1631" w:type="dxa"/>
            <w:vMerge w:val="restart"/>
            <w:noWrap/>
          </w:tcPr>
          <w:p w14:paraId="166BD0FB" w14:textId="77777777" w:rsidR="00864660" w:rsidRDefault="00000000">
            <w:pPr>
              <w:pStyle w:val="MainBodyTextNoSpacing"/>
              <w:rPr>
                <w:sz w:val="20"/>
              </w:rPr>
            </w:pPr>
            <w:r>
              <w:rPr>
                <w:sz w:val="20"/>
              </w:rPr>
              <w:t>17 février 2026</w:t>
            </w:r>
          </w:p>
        </w:tc>
      </w:tr>
      <w:tr w:rsidR="00864660" w14:paraId="742CA9AA" w14:textId="77777777" w:rsidTr="00864660">
        <w:tc>
          <w:tcPr>
            <w:tcW w:w="1217" w:type="dxa"/>
            <w:vMerge w:val="restart"/>
          </w:tcPr>
          <w:p w14:paraId="5B941640" w14:textId="77777777" w:rsidR="00864660" w:rsidRDefault="00000000">
            <w:pPr>
              <w:pStyle w:val="MainBodyTextNoSpacing"/>
              <w:rPr>
                <w:sz w:val="20"/>
              </w:rPr>
            </w:pPr>
            <w:r>
              <w:rPr>
                <w:sz w:val="20"/>
              </w:rPr>
              <w:t>13</w:t>
            </w:r>
          </w:p>
        </w:tc>
        <w:tc>
          <w:tcPr>
            <w:tcW w:w="1359" w:type="dxa"/>
            <w:noWrap/>
          </w:tcPr>
          <w:p w14:paraId="5B2672FC" w14:textId="77777777" w:rsidR="00864660" w:rsidRDefault="00000000">
            <w:pPr>
              <w:pStyle w:val="MainBodyTextNoSpacing"/>
              <w:rPr>
                <w:sz w:val="20"/>
              </w:rPr>
            </w:pPr>
            <w:r>
              <w:rPr>
                <w:sz w:val="20"/>
              </w:rPr>
              <w:t>9 mars 2026</w:t>
            </w:r>
          </w:p>
        </w:tc>
        <w:tc>
          <w:tcPr>
            <w:tcW w:w="1410" w:type="dxa"/>
            <w:noWrap/>
          </w:tcPr>
          <w:p w14:paraId="6D16104D" w14:textId="77777777" w:rsidR="00864660" w:rsidRDefault="00000000">
            <w:pPr>
              <w:pStyle w:val="MainBodyTextNoSpacing"/>
              <w:rPr>
                <w:sz w:val="20"/>
              </w:rPr>
            </w:pPr>
            <w:r>
              <w:rPr>
                <w:sz w:val="20"/>
              </w:rPr>
              <w:t>9 mars 2026</w:t>
            </w:r>
          </w:p>
        </w:tc>
        <w:tc>
          <w:tcPr>
            <w:tcW w:w="1631" w:type="dxa"/>
            <w:vMerge w:val="restart"/>
            <w:noWrap/>
          </w:tcPr>
          <w:p w14:paraId="027C4340" w14:textId="77777777" w:rsidR="00864660" w:rsidRDefault="00000000">
            <w:pPr>
              <w:pStyle w:val="MainBodyTextNoSpacing"/>
              <w:rPr>
                <w:sz w:val="20"/>
              </w:rPr>
            </w:pPr>
            <w:r>
              <w:rPr>
                <w:sz w:val="20"/>
              </w:rPr>
              <w:t>16 mars 2026</w:t>
            </w:r>
          </w:p>
        </w:tc>
      </w:tr>
      <w:tr w:rsidR="00864660" w14:paraId="384FC27F" w14:textId="77777777" w:rsidTr="00864660">
        <w:tc>
          <w:tcPr>
            <w:tcW w:w="1217" w:type="dxa"/>
            <w:vMerge w:val="restart"/>
          </w:tcPr>
          <w:p w14:paraId="7075E089" w14:textId="77777777" w:rsidR="00864660" w:rsidRDefault="00000000">
            <w:pPr>
              <w:pStyle w:val="MainBodyTextNoSpacing"/>
              <w:rPr>
                <w:sz w:val="20"/>
              </w:rPr>
            </w:pPr>
            <w:r>
              <w:rPr>
                <w:sz w:val="20"/>
              </w:rPr>
              <w:t>14</w:t>
            </w:r>
          </w:p>
        </w:tc>
        <w:tc>
          <w:tcPr>
            <w:tcW w:w="1359" w:type="dxa"/>
            <w:noWrap/>
          </w:tcPr>
          <w:p w14:paraId="7533C966" w14:textId="77777777" w:rsidR="00864660" w:rsidRDefault="00000000">
            <w:pPr>
              <w:pStyle w:val="MainBodyTextNoSpacing"/>
              <w:rPr>
                <w:sz w:val="20"/>
              </w:rPr>
            </w:pPr>
            <w:r>
              <w:rPr>
                <w:sz w:val="20"/>
              </w:rPr>
              <w:t>7 avril 2026</w:t>
            </w:r>
          </w:p>
        </w:tc>
        <w:tc>
          <w:tcPr>
            <w:tcW w:w="1410" w:type="dxa"/>
            <w:noWrap/>
          </w:tcPr>
          <w:p w14:paraId="5EC241F8" w14:textId="77777777" w:rsidR="00864660" w:rsidRDefault="00000000">
            <w:pPr>
              <w:pStyle w:val="MainBodyTextNoSpacing"/>
              <w:rPr>
                <w:sz w:val="20"/>
              </w:rPr>
            </w:pPr>
            <w:r>
              <w:rPr>
                <w:sz w:val="20"/>
              </w:rPr>
              <w:t>7 avril 2026</w:t>
            </w:r>
          </w:p>
        </w:tc>
        <w:tc>
          <w:tcPr>
            <w:tcW w:w="1631" w:type="dxa"/>
            <w:vMerge w:val="restart"/>
            <w:noWrap/>
          </w:tcPr>
          <w:p w14:paraId="5D69A0EE" w14:textId="77777777" w:rsidR="00864660" w:rsidRDefault="00000000">
            <w:pPr>
              <w:pStyle w:val="MainBodyTextNoSpacing"/>
              <w:rPr>
                <w:sz w:val="20"/>
              </w:rPr>
            </w:pPr>
            <w:r>
              <w:rPr>
                <w:sz w:val="20"/>
              </w:rPr>
              <w:t>14 avril 2026</w:t>
            </w:r>
          </w:p>
        </w:tc>
      </w:tr>
      <w:tr w:rsidR="00864660" w14:paraId="2E10EF96" w14:textId="77777777" w:rsidTr="00864660">
        <w:tc>
          <w:tcPr>
            <w:tcW w:w="1217" w:type="dxa"/>
            <w:vMerge w:val="restart"/>
          </w:tcPr>
          <w:p w14:paraId="66E55B86" w14:textId="77777777" w:rsidR="00864660" w:rsidRDefault="00000000">
            <w:pPr>
              <w:pStyle w:val="MainBodyTextNoSpacing"/>
              <w:rPr>
                <w:sz w:val="20"/>
              </w:rPr>
            </w:pPr>
            <w:r>
              <w:rPr>
                <w:sz w:val="20"/>
              </w:rPr>
              <w:t>15</w:t>
            </w:r>
          </w:p>
        </w:tc>
        <w:tc>
          <w:tcPr>
            <w:tcW w:w="1359" w:type="dxa"/>
            <w:noWrap/>
          </w:tcPr>
          <w:p w14:paraId="07F51846" w14:textId="77777777" w:rsidR="00864660" w:rsidRDefault="00000000">
            <w:pPr>
              <w:pStyle w:val="MainBodyTextNoSpacing"/>
              <w:rPr>
                <w:sz w:val="20"/>
              </w:rPr>
            </w:pPr>
            <w:r>
              <w:rPr>
                <w:sz w:val="20"/>
              </w:rPr>
              <w:t>7 mai 2026</w:t>
            </w:r>
          </w:p>
        </w:tc>
        <w:tc>
          <w:tcPr>
            <w:tcW w:w="1410" w:type="dxa"/>
            <w:noWrap/>
          </w:tcPr>
          <w:p w14:paraId="60B0DAD1" w14:textId="77777777" w:rsidR="00864660" w:rsidRDefault="00000000">
            <w:pPr>
              <w:pStyle w:val="MainBodyTextNoSpacing"/>
              <w:rPr>
                <w:sz w:val="20"/>
              </w:rPr>
            </w:pPr>
            <w:r>
              <w:rPr>
                <w:sz w:val="20"/>
              </w:rPr>
              <w:t>7 mai 2026</w:t>
            </w:r>
          </w:p>
        </w:tc>
        <w:tc>
          <w:tcPr>
            <w:tcW w:w="1631" w:type="dxa"/>
            <w:vMerge w:val="restart"/>
            <w:noWrap/>
          </w:tcPr>
          <w:p w14:paraId="7BC77643" w14:textId="77777777" w:rsidR="00864660" w:rsidRDefault="00000000">
            <w:pPr>
              <w:pStyle w:val="MainBodyTextNoSpacing"/>
              <w:rPr>
                <w:sz w:val="20"/>
              </w:rPr>
            </w:pPr>
            <w:r>
              <w:rPr>
                <w:sz w:val="20"/>
              </w:rPr>
              <w:t>14 mai 2026</w:t>
            </w:r>
          </w:p>
        </w:tc>
      </w:tr>
      <w:tr w:rsidR="00864660" w14:paraId="6370BA43" w14:textId="77777777" w:rsidTr="00864660">
        <w:tc>
          <w:tcPr>
            <w:tcW w:w="1217" w:type="dxa"/>
            <w:vMerge w:val="restart"/>
          </w:tcPr>
          <w:p w14:paraId="5AC42216" w14:textId="77777777" w:rsidR="00864660" w:rsidRDefault="00000000">
            <w:pPr>
              <w:pStyle w:val="MainBodyTextNoSpacing"/>
              <w:rPr>
                <w:sz w:val="20"/>
              </w:rPr>
            </w:pPr>
            <w:r>
              <w:rPr>
                <w:sz w:val="20"/>
              </w:rPr>
              <w:t>16</w:t>
            </w:r>
          </w:p>
        </w:tc>
        <w:tc>
          <w:tcPr>
            <w:tcW w:w="1359" w:type="dxa"/>
            <w:noWrap/>
          </w:tcPr>
          <w:p w14:paraId="315C829B" w14:textId="77777777" w:rsidR="00864660" w:rsidRDefault="00000000">
            <w:pPr>
              <w:pStyle w:val="MainBodyTextNoSpacing"/>
              <w:rPr>
                <w:sz w:val="20"/>
              </w:rPr>
            </w:pPr>
            <w:r>
              <w:rPr>
                <w:sz w:val="20"/>
              </w:rPr>
              <w:t>8 juin 2026</w:t>
            </w:r>
          </w:p>
        </w:tc>
        <w:tc>
          <w:tcPr>
            <w:tcW w:w="1410" w:type="dxa"/>
            <w:noWrap/>
          </w:tcPr>
          <w:p w14:paraId="450B3B44" w14:textId="77777777" w:rsidR="00864660" w:rsidRDefault="00000000">
            <w:pPr>
              <w:pStyle w:val="MainBodyTextNoSpacing"/>
              <w:rPr>
                <w:sz w:val="20"/>
              </w:rPr>
            </w:pPr>
            <w:r>
              <w:rPr>
                <w:sz w:val="20"/>
              </w:rPr>
              <w:t>8 juin 2026</w:t>
            </w:r>
          </w:p>
        </w:tc>
        <w:tc>
          <w:tcPr>
            <w:tcW w:w="1631" w:type="dxa"/>
            <w:vMerge w:val="restart"/>
            <w:noWrap/>
          </w:tcPr>
          <w:p w14:paraId="5AED7A11" w14:textId="77777777" w:rsidR="00864660" w:rsidRDefault="00000000">
            <w:pPr>
              <w:pStyle w:val="MainBodyTextNoSpacing"/>
              <w:rPr>
                <w:sz w:val="20"/>
              </w:rPr>
            </w:pPr>
            <w:r>
              <w:rPr>
                <w:sz w:val="20"/>
              </w:rPr>
              <w:t>15 juin 2026</w:t>
            </w:r>
          </w:p>
        </w:tc>
      </w:tr>
      <w:tr w:rsidR="00864660" w14:paraId="34D661AA" w14:textId="77777777" w:rsidTr="00864660">
        <w:tc>
          <w:tcPr>
            <w:tcW w:w="1217" w:type="dxa"/>
            <w:vMerge w:val="restart"/>
          </w:tcPr>
          <w:p w14:paraId="76A67F3E" w14:textId="77777777" w:rsidR="00864660" w:rsidRDefault="00000000">
            <w:pPr>
              <w:pStyle w:val="MainBodyTextNoSpacing"/>
              <w:rPr>
                <w:sz w:val="20"/>
              </w:rPr>
            </w:pPr>
            <w:r>
              <w:rPr>
                <w:sz w:val="20"/>
              </w:rPr>
              <w:t>17</w:t>
            </w:r>
          </w:p>
        </w:tc>
        <w:tc>
          <w:tcPr>
            <w:tcW w:w="1359" w:type="dxa"/>
            <w:noWrap/>
          </w:tcPr>
          <w:p w14:paraId="6C6C64BB" w14:textId="77777777" w:rsidR="00864660" w:rsidRDefault="00000000">
            <w:pPr>
              <w:pStyle w:val="MainBodyTextNoSpacing"/>
              <w:rPr>
                <w:sz w:val="20"/>
              </w:rPr>
            </w:pPr>
            <w:r>
              <w:rPr>
                <w:sz w:val="20"/>
              </w:rPr>
              <w:t>7 juillet 2026</w:t>
            </w:r>
          </w:p>
        </w:tc>
        <w:tc>
          <w:tcPr>
            <w:tcW w:w="1410" w:type="dxa"/>
            <w:noWrap/>
          </w:tcPr>
          <w:p w14:paraId="156159D7" w14:textId="77777777" w:rsidR="00864660" w:rsidRDefault="00000000">
            <w:pPr>
              <w:pStyle w:val="MainBodyTextNoSpacing"/>
              <w:rPr>
                <w:sz w:val="20"/>
              </w:rPr>
            </w:pPr>
            <w:r>
              <w:rPr>
                <w:sz w:val="20"/>
              </w:rPr>
              <w:t>7 juillet 2026</w:t>
            </w:r>
          </w:p>
        </w:tc>
        <w:tc>
          <w:tcPr>
            <w:tcW w:w="1631" w:type="dxa"/>
            <w:vMerge w:val="restart"/>
            <w:noWrap/>
          </w:tcPr>
          <w:p w14:paraId="52C042FA" w14:textId="77777777" w:rsidR="00864660" w:rsidRDefault="00000000">
            <w:pPr>
              <w:pStyle w:val="MainBodyTextNoSpacing"/>
              <w:rPr>
                <w:sz w:val="20"/>
              </w:rPr>
            </w:pPr>
            <w:r>
              <w:rPr>
                <w:sz w:val="20"/>
              </w:rPr>
              <w:t>14 juillet 2026</w:t>
            </w:r>
          </w:p>
        </w:tc>
      </w:tr>
      <w:tr w:rsidR="00864660" w14:paraId="21136BBE" w14:textId="77777777" w:rsidTr="00864660">
        <w:tc>
          <w:tcPr>
            <w:tcW w:w="1217" w:type="dxa"/>
            <w:vMerge w:val="restart"/>
          </w:tcPr>
          <w:p w14:paraId="1F6D7F5E" w14:textId="77777777" w:rsidR="00864660" w:rsidRDefault="00000000">
            <w:pPr>
              <w:pStyle w:val="MainBodyTextNoSpacing"/>
              <w:rPr>
                <w:sz w:val="20"/>
              </w:rPr>
            </w:pPr>
            <w:r>
              <w:rPr>
                <w:sz w:val="20"/>
              </w:rPr>
              <w:t>18</w:t>
            </w:r>
          </w:p>
        </w:tc>
        <w:tc>
          <w:tcPr>
            <w:tcW w:w="1359" w:type="dxa"/>
            <w:noWrap/>
          </w:tcPr>
          <w:p w14:paraId="46BBED00" w14:textId="77777777" w:rsidR="00864660" w:rsidRDefault="00000000">
            <w:pPr>
              <w:pStyle w:val="MainBodyTextNoSpacing"/>
              <w:rPr>
                <w:sz w:val="20"/>
              </w:rPr>
            </w:pPr>
            <w:r>
              <w:rPr>
                <w:sz w:val="20"/>
              </w:rPr>
              <w:t>7 août 2026</w:t>
            </w:r>
          </w:p>
        </w:tc>
        <w:tc>
          <w:tcPr>
            <w:tcW w:w="1410" w:type="dxa"/>
            <w:noWrap/>
          </w:tcPr>
          <w:p w14:paraId="327FE727" w14:textId="77777777" w:rsidR="00864660" w:rsidRDefault="00000000">
            <w:pPr>
              <w:pStyle w:val="MainBodyTextNoSpacing"/>
              <w:rPr>
                <w:sz w:val="20"/>
              </w:rPr>
            </w:pPr>
            <w:r>
              <w:rPr>
                <w:sz w:val="20"/>
              </w:rPr>
              <w:t>7 août 2026</w:t>
            </w:r>
          </w:p>
        </w:tc>
        <w:tc>
          <w:tcPr>
            <w:tcW w:w="1631" w:type="dxa"/>
            <w:vMerge w:val="restart"/>
            <w:noWrap/>
          </w:tcPr>
          <w:p w14:paraId="6FD387F3" w14:textId="77777777" w:rsidR="00864660" w:rsidRDefault="00000000">
            <w:pPr>
              <w:pStyle w:val="MainBodyTextNoSpacing"/>
              <w:rPr>
                <w:sz w:val="20"/>
              </w:rPr>
            </w:pPr>
            <w:r>
              <w:rPr>
                <w:sz w:val="20"/>
              </w:rPr>
              <w:t>14 août 2026</w:t>
            </w:r>
          </w:p>
        </w:tc>
      </w:tr>
      <w:tr w:rsidR="00864660" w14:paraId="1FAAB59F" w14:textId="77777777" w:rsidTr="00864660">
        <w:tc>
          <w:tcPr>
            <w:tcW w:w="1217" w:type="dxa"/>
            <w:vMerge w:val="restart"/>
          </w:tcPr>
          <w:p w14:paraId="0119123F" w14:textId="77777777" w:rsidR="00864660" w:rsidRDefault="00000000">
            <w:pPr>
              <w:pStyle w:val="MainBodyTextNoSpacing"/>
              <w:rPr>
                <w:sz w:val="20"/>
              </w:rPr>
            </w:pPr>
            <w:r>
              <w:rPr>
                <w:sz w:val="20"/>
              </w:rPr>
              <w:t>19</w:t>
            </w:r>
          </w:p>
        </w:tc>
        <w:tc>
          <w:tcPr>
            <w:tcW w:w="1359" w:type="dxa"/>
            <w:noWrap/>
          </w:tcPr>
          <w:p w14:paraId="39DDB389" w14:textId="77777777" w:rsidR="00864660" w:rsidRDefault="00000000">
            <w:pPr>
              <w:pStyle w:val="MainBodyTextNoSpacing"/>
              <w:rPr>
                <w:sz w:val="20"/>
              </w:rPr>
            </w:pPr>
            <w:r>
              <w:rPr>
                <w:sz w:val="20"/>
              </w:rPr>
              <w:t>4 septembre 2026</w:t>
            </w:r>
          </w:p>
        </w:tc>
        <w:tc>
          <w:tcPr>
            <w:tcW w:w="1410" w:type="dxa"/>
            <w:noWrap/>
          </w:tcPr>
          <w:p w14:paraId="093D4E8A" w14:textId="77777777" w:rsidR="00864660" w:rsidRDefault="00000000">
            <w:pPr>
              <w:pStyle w:val="MainBodyTextNoSpacing"/>
              <w:rPr>
                <w:sz w:val="20"/>
              </w:rPr>
            </w:pPr>
            <w:r>
              <w:rPr>
                <w:sz w:val="20"/>
              </w:rPr>
              <w:t>4 septembre 2026</w:t>
            </w:r>
          </w:p>
        </w:tc>
        <w:tc>
          <w:tcPr>
            <w:tcW w:w="1631" w:type="dxa"/>
            <w:vMerge w:val="restart"/>
            <w:noWrap/>
          </w:tcPr>
          <w:p w14:paraId="0FFAB2D1" w14:textId="77777777" w:rsidR="00864660" w:rsidRDefault="00000000">
            <w:pPr>
              <w:pStyle w:val="MainBodyTextNoSpacing"/>
              <w:rPr>
                <w:sz w:val="20"/>
              </w:rPr>
            </w:pPr>
            <w:r>
              <w:rPr>
                <w:sz w:val="20"/>
              </w:rPr>
              <w:t>14 septembre 2026</w:t>
            </w:r>
          </w:p>
        </w:tc>
      </w:tr>
      <w:tr w:rsidR="00864660" w14:paraId="5F59AC98" w14:textId="77777777" w:rsidTr="00864660">
        <w:tc>
          <w:tcPr>
            <w:tcW w:w="1217" w:type="dxa"/>
            <w:vMerge w:val="restart"/>
          </w:tcPr>
          <w:p w14:paraId="7306695A" w14:textId="77777777" w:rsidR="00864660" w:rsidRDefault="00000000">
            <w:pPr>
              <w:pStyle w:val="MainBodyTextNoSpacing"/>
              <w:rPr>
                <w:sz w:val="20"/>
              </w:rPr>
            </w:pPr>
            <w:r>
              <w:rPr>
                <w:sz w:val="20"/>
              </w:rPr>
              <w:t>20</w:t>
            </w:r>
          </w:p>
        </w:tc>
        <w:tc>
          <w:tcPr>
            <w:tcW w:w="1359" w:type="dxa"/>
            <w:noWrap/>
          </w:tcPr>
          <w:p w14:paraId="5804A4AB" w14:textId="77777777" w:rsidR="00864660" w:rsidRDefault="00000000">
            <w:pPr>
              <w:pStyle w:val="MainBodyTextNoSpacing"/>
              <w:rPr>
                <w:sz w:val="20"/>
              </w:rPr>
            </w:pPr>
            <w:r>
              <w:rPr>
                <w:sz w:val="20"/>
              </w:rPr>
              <w:t>6 octobre 2026</w:t>
            </w:r>
          </w:p>
        </w:tc>
        <w:tc>
          <w:tcPr>
            <w:tcW w:w="1410" w:type="dxa"/>
            <w:noWrap/>
          </w:tcPr>
          <w:p w14:paraId="452E2171" w14:textId="77777777" w:rsidR="00864660" w:rsidRDefault="00000000">
            <w:pPr>
              <w:pStyle w:val="MainBodyTextNoSpacing"/>
              <w:rPr>
                <w:sz w:val="20"/>
              </w:rPr>
            </w:pPr>
            <w:r>
              <w:rPr>
                <w:sz w:val="20"/>
              </w:rPr>
              <w:t>6 octobre 2026</w:t>
            </w:r>
          </w:p>
        </w:tc>
        <w:tc>
          <w:tcPr>
            <w:tcW w:w="1631" w:type="dxa"/>
            <w:vMerge w:val="restart"/>
            <w:noWrap/>
          </w:tcPr>
          <w:p w14:paraId="15C5C66B" w14:textId="77777777" w:rsidR="00864660" w:rsidRDefault="00000000">
            <w:pPr>
              <w:pStyle w:val="MainBodyTextNoSpacing"/>
              <w:rPr>
                <w:sz w:val="20"/>
              </w:rPr>
            </w:pPr>
            <w:r>
              <w:rPr>
                <w:sz w:val="20"/>
              </w:rPr>
              <w:t>14 octobre 2026</w:t>
            </w:r>
          </w:p>
        </w:tc>
      </w:tr>
      <w:tr w:rsidR="00864660" w14:paraId="59F1DC97" w14:textId="77777777" w:rsidTr="00864660">
        <w:tc>
          <w:tcPr>
            <w:tcW w:w="1217" w:type="dxa"/>
            <w:vMerge w:val="restart"/>
          </w:tcPr>
          <w:p w14:paraId="0E3F2621" w14:textId="77777777" w:rsidR="00864660" w:rsidRDefault="00000000">
            <w:pPr>
              <w:pStyle w:val="MainBodyTextNoSpacing"/>
              <w:rPr>
                <w:sz w:val="20"/>
              </w:rPr>
            </w:pPr>
            <w:r>
              <w:rPr>
                <w:sz w:val="20"/>
              </w:rPr>
              <w:t>21</w:t>
            </w:r>
          </w:p>
        </w:tc>
        <w:tc>
          <w:tcPr>
            <w:tcW w:w="1359" w:type="dxa"/>
            <w:noWrap/>
          </w:tcPr>
          <w:p w14:paraId="27A66A79" w14:textId="77777777" w:rsidR="00864660" w:rsidRDefault="00000000">
            <w:pPr>
              <w:pStyle w:val="MainBodyTextNoSpacing"/>
              <w:rPr>
                <w:sz w:val="20"/>
              </w:rPr>
            </w:pPr>
            <w:r>
              <w:rPr>
                <w:sz w:val="20"/>
              </w:rPr>
              <w:t>6 novembre 2026</w:t>
            </w:r>
          </w:p>
        </w:tc>
        <w:tc>
          <w:tcPr>
            <w:tcW w:w="1410" w:type="dxa"/>
            <w:noWrap/>
          </w:tcPr>
          <w:p w14:paraId="364F7D6C" w14:textId="77777777" w:rsidR="00864660" w:rsidRDefault="00000000">
            <w:pPr>
              <w:pStyle w:val="MainBodyTextNoSpacing"/>
              <w:rPr>
                <w:sz w:val="20"/>
              </w:rPr>
            </w:pPr>
            <w:r>
              <w:rPr>
                <w:sz w:val="20"/>
              </w:rPr>
              <w:t>6 novembre 2026</w:t>
            </w:r>
          </w:p>
        </w:tc>
        <w:tc>
          <w:tcPr>
            <w:tcW w:w="1631" w:type="dxa"/>
            <w:vMerge w:val="restart"/>
            <w:noWrap/>
          </w:tcPr>
          <w:p w14:paraId="228B6D6E" w14:textId="77777777" w:rsidR="00864660" w:rsidRDefault="00000000">
            <w:pPr>
              <w:pStyle w:val="MainBodyTextNoSpacing"/>
              <w:rPr>
                <w:sz w:val="20"/>
              </w:rPr>
            </w:pPr>
            <w:r>
              <w:rPr>
                <w:sz w:val="20"/>
              </w:rPr>
              <w:t>16 novembre 2026</w:t>
            </w:r>
          </w:p>
        </w:tc>
      </w:tr>
      <w:tr w:rsidR="00864660" w14:paraId="70F91286" w14:textId="77777777" w:rsidTr="00864660">
        <w:tc>
          <w:tcPr>
            <w:tcW w:w="1217" w:type="dxa"/>
            <w:vMerge w:val="restart"/>
          </w:tcPr>
          <w:p w14:paraId="2EA87F92" w14:textId="77777777" w:rsidR="00864660" w:rsidRDefault="00000000">
            <w:pPr>
              <w:pStyle w:val="MainBodyTextNoSpacing"/>
              <w:rPr>
                <w:sz w:val="20"/>
              </w:rPr>
            </w:pPr>
            <w:r>
              <w:rPr>
                <w:sz w:val="20"/>
              </w:rPr>
              <w:t>22</w:t>
            </w:r>
          </w:p>
        </w:tc>
        <w:tc>
          <w:tcPr>
            <w:tcW w:w="1359" w:type="dxa"/>
            <w:noWrap/>
          </w:tcPr>
          <w:p w14:paraId="1132E167" w14:textId="77777777" w:rsidR="00864660" w:rsidRDefault="00000000">
            <w:pPr>
              <w:pStyle w:val="MainBodyTextNoSpacing"/>
              <w:rPr>
                <w:sz w:val="20"/>
              </w:rPr>
            </w:pPr>
            <w:r>
              <w:rPr>
                <w:sz w:val="20"/>
              </w:rPr>
              <w:t>7 décembre 2026</w:t>
            </w:r>
          </w:p>
        </w:tc>
        <w:tc>
          <w:tcPr>
            <w:tcW w:w="1410" w:type="dxa"/>
            <w:noWrap/>
          </w:tcPr>
          <w:p w14:paraId="67FDEC54" w14:textId="77777777" w:rsidR="00864660" w:rsidRDefault="00000000">
            <w:pPr>
              <w:pStyle w:val="MainBodyTextNoSpacing"/>
              <w:rPr>
                <w:sz w:val="20"/>
              </w:rPr>
            </w:pPr>
            <w:r>
              <w:rPr>
                <w:sz w:val="20"/>
              </w:rPr>
              <w:t>7 décembre 2026</w:t>
            </w:r>
          </w:p>
        </w:tc>
        <w:tc>
          <w:tcPr>
            <w:tcW w:w="1631" w:type="dxa"/>
            <w:vMerge w:val="restart"/>
            <w:noWrap/>
          </w:tcPr>
          <w:p w14:paraId="13605066" w14:textId="77777777" w:rsidR="00864660" w:rsidRDefault="00000000">
            <w:pPr>
              <w:pStyle w:val="MainBodyTextNoSpacing"/>
              <w:rPr>
                <w:sz w:val="20"/>
              </w:rPr>
            </w:pPr>
            <w:r>
              <w:rPr>
                <w:sz w:val="20"/>
              </w:rPr>
              <w:t>14 décembre 2026</w:t>
            </w:r>
          </w:p>
        </w:tc>
      </w:tr>
      <w:tr w:rsidR="00864660" w14:paraId="0C1DF7D6" w14:textId="77777777" w:rsidTr="00864660">
        <w:tc>
          <w:tcPr>
            <w:tcW w:w="1217" w:type="dxa"/>
            <w:vMerge w:val="restart"/>
          </w:tcPr>
          <w:p w14:paraId="1E4884BC" w14:textId="77777777" w:rsidR="00864660" w:rsidRDefault="00000000">
            <w:pPr>
              <w:pStyle w:val="MainBodyTextNoSpacing"/>
              <w:rPr>
                <w:sz w:val="20"/>
              </w:rPr>
            </w:pPr>
            <w:r>
              <w:rPr>
                <w:sz w:val="20"/>
              </w:rPr>
              <w:t>23</w:t>
            </w:r>
          </w:p>
        </w:tc>
        <w:tc>
          <w:tcPr>
            <w:tcW w:w="1359" w:type="dxa"/>
            <w:noWrap/>
          </w:tcPr>
          <w:p w14:paraId="5F18E30E" w14:textId="77777777" w:rsidR="00864660" w:rsidRDefault="00000000">
            <w:pPr>
              <w:pStyle w:val="MainBodyTextNoSpacing"/>
              <w:rPr>
                <w:sz w:val="20"/>
              </w:rPr>
            </w:pPr>
            <w:r>
              <w:rPr>
                <w:sz w:val="20"/>
              </w:rPr>
              <w:t>7 janvier 2027</w:t>
            </w:r>
          </w:p>
        </w:tc>
        <w:tc>
          <w:tcPr>
            <w:tcW w:w="1410" w:type="dxa"/>
            <w:noWrap/>
          </w:tcPr>
          <w:p w14:paraId="58CB8A38" w14:textId="77777777" w:rsidR="00864660" w:rsidRDefault="00000000">
            <w:pPr>
              <w:pStyle w:val="MainBodyTextNoSpacing"/>
              <w:rPr>
                <w:sz w:val="20"/>
              </w:rPr>
            </w:pPr>
            <w:r>
              <w:rPr>
                <w:sz w:val="20"/>
              </w:rPr>
              <w:t>7 janvier 2027</w:t>
            </w:r>
          </w:p>
        </w:tc>
        <w:tc>
          <w:tcPr>
            <w:tcW w:w="1631" w:type="dxa"/>
            <w:vMerge w:val="restart"/>
            <w:noWrap/>
          </w:tcPr>
          <w:p w14:paraId="13826308" w14:textId="77777777" w:rsidR="00864660" w:rsidRDefault="00000000">
            <w:pPr>
              <w:pStyle w:val="MainBodyTextNoSpacing"/>
              <w:rPr>
                <w:sz w:val="20"/>
              </w:rPr>
            </w:pPr>
            <w:r>
              <w:rPr>
                <w:sz w:val="20"/>
              </w:rPr>
              <w:t>14 janvier 2027</w:t>
            </w:r>
          </w:p>
        </w:tc>
      </w:tr>
      <w:tr w:rsidR="00864660" w14:paraId="0FC0F67D" w14:textId="77777777" w:rsidTr="00864660">
        <w:tc>
          <w:tcPr>
            <w:tcW w:w="1217" w:type="dxa"/>
            <w:vMerge w:val="restart"/>
          </w:tcPr>
          <w:p w14:paraId="74B97C9E" w14:textId="77777777" w:rsidR="00864660" w:rsidRDefault="00000000">
            <w:pPr>
              <w:pStyle w:val="MainBodyTextNoSpacing"/>
              <w:rPr>
                <w:sz w:val="20"/>
              </w:rPr>
            </w:pPr>
            <w:r>
              <w:rPr>
                <w:sz w:val="20"/>
              </w:rPr>
              <w:t>24</w:t>
            </w:r>
          </w:p>
        </w:tc>
        <w:tc>
          <w:tcPr>
            <w:tcW w:w="1359" w:type="dxa"/>
            <w:noWrap/>
          </w:tcPr>
          <w:p w14:paraId="0AEEBC3A" w14:textId="77777777" w:rsidR="00864660" w:rsidRDefault="00000000">
            <w:pPr>
              <w:pStyle w:val="MainBodyTextNoSpacing"/>
              <w:rPr>
                <w:sz w:val="20"/>
              </w:rPr>
            </w:pPr>
            <w:r>
              <w:rPr>
                <w:sz w:val="20"/>
              </w:rPr>
              <w:t>8 février 2027</w:t>
            </w:r>
          </w:p>
        </w:tc>
        <w:tc>
          <w:tcPr>
            <w:tcW w:w="1410" w:type="dxa"/>
            <w:noWrap/>
          </w:tcPr>
          <w:p w14:paraId="03B7B63F" w14:textId="77777777" w:rsidR="00864660" w:rsidRDefault="00000000">
            <w:pPr>
              <w:pStyle w:val="MainBodyTextNoSpacing"/>
              <w:rPr>
                <w:sz w:val="20"/>
              </w:rPr>
            </w:pPr>
            <w:r>
              <w:rPr>
                <w:sz w:val="20"/>
              </w:rPr>
              <w:t>8 février 2027</w:t>
            </w:r>
          </w:p>
        </w:tc>
        <w:tc>
          <w:tcPr>
            <w:tcW w:w="1631" w:type="dxa"/>
            <w:vMerge w:val="restart"/>
            <w:noWrap/>
          </w:tcPr>
          <w:p w14:paraId="39D732B4" w14:textId="77777777" w:rsidR="00864660" w:rsidRDefault="00000000">
            <w:pPr>
              <w:pStyle w:val="MainBodyTextNoSpacing"/>
              <w:rPr>
                <w:sz w:val="20"/>
              </w:rPr>
            </w:pPr>
            <w:r>
              <w:rPr>
                <w:sz w:val="20"/>
              </w:rPr>
              <w:t>16 février 2027</w:t>
            </w:r>
          </w:p>
        </w:tc>
      </w:tr>
      <w:tr w:rsidR="00864660" w14:paraId="406AA867" w14:textId="77777777" w:rsidTr="00864660">
        <w:tc>
          <w:tcPr>
            <w:tcW w:w="1217" w:type="dxa"/>
            <w:vMerge w:val="restart"/>
          </w:tcPr>
          <w:p w14:paraId="78BCDDBE" w14:textId="77777777" w:rsidR="00864660" w:rsidRDefault="00000000">
            <w:pPr>
              <w:pStyle w:val="MainBodyTextNoSpacing"/>
              <w:rPr>
                <w:sz w:val="20"/>
              </w:rPr>
            </w:pPr>
            <w:r>
              <w:rPr>
                <w:sz w:val="20"/>
              </w:rPr>
              <w:t>25</w:t>
            </w:r>
          </w:p>
        </w:tc>
        <w:tc>
          <w:tcPr>
            <w:tcW w:w="1359" w:type="dxa"/>
            <w:noWrap/>
          </w:tcPr>
          <w:p w14:paraId="0093B50B" w14:textId="77777777" w:rsidR="00864660" w:rsidRDefault="00000000">
            <w:pPr>
              <w:pStyle w:val="MainBodyTextNoSpacing"/>
              <w:rPr>
                <w:sz w:val="20"/>
              </w:rPr>
            </w:pPr>
            <w:r>
              <w:rPr>
                <w:sz w:val="20"/>
              </w:rPr>
              <w:t>8 mars 2027</w:t>
            </w:r>
          </w:p>
        </w:tc>
        <w:tc>
          <w:tcPr>
            <w:tcW w:w="1410" w:type="dxa"/>
            <w:noWrap/>
          </w:tcPr>
          <w:p w14:paraId="3D951394" w14:textId="77777777" w:rsidR="00864660" w:rsidRDefault="00000000">
            <w:pPr>
              <w:pStyle w:val="MainBodyTextNoSpacing"/>
              <w:rPr>
                <w:sz w:val="20"/>
              </w:rPr>
            </w:pPr>
            <w:r>
              <w:rPr>
                <w:sz w:val="20"/>
              </w:rPr>
              <w:t>8 mars 2027</w:t>
            </w:r>
          </w:p>
        </w:tc>
        <w:tc>
          <w:tcPr>
            <w:tcW w:w="1631" w:type="dxa"/>
            <w:vMerge w:val="restart"/>
            <w:noWrap/>
          </w:tcPr>
          <w:p w14:paraId="1B1CF188" w14:textId="77777777" w:rsidR="00864660" w:rsidRDefault="00000000">
            <w:pPr>
              <w:pStyle w:val="MainBodyTextNoSpacing"/>
              <w:rPr>
                <w:sz w:val="20"/>
              </w:rPr>
            </w:pPr>
            <w:r>
              <w:rPr>
                <w:sz w:val="20"/>
              </w:rPr>
              <w:t>15 mars 2027</w:t>
            </w:r>
          </w:p>
        </w:tc>
      </w:tr>
      <w:tr w:rsidR="00864660" w14:paraId="53528817" w14:textId="77777777" w:rsidTr="00864660">
        <w:tc>
          <w:tcPr>
            <w:tcW w:w="1217" w:type="dxa"/>
            <w:vMerge w:val="restart"/>
          </w:tcPr>
          <w:p w14:paraId="56CB4185" w14:textId="77777777" w:rsidR="00864660" w:rsidRDefault="00000000">
            <w:pPr>
              <w:pStyle w:val="MainBodyTextNoSpacing"/>
              <w:rPr>
                <w:sz w:val="20"/>
              </w:rPr>
            </w:pPr>
            <w:r>
              <w:rPr>
                <w:sz w:val="20"/>
              </w:rPr>
              <w:t>26</w:t>
            </w:r>
          </w:p>
        </w:tc>
        <w:tc>
          <w:tcPr>
            <w:tcW w:w="1359" w:type="dxa"/>
            <w:noWrap/>
          </w:tcPr>
          <w:p w14:paraId="4E9D7DCE" w14:textId="77777777" w:rsidR="00864660" w:rsidRDefault="00000000">
            <w:pPr>
              <w:pStyle w:val="MainBodyTextNoSpacing"/>
              <w:rPr>
                <w:sz w:val="20"/>
              </w:rPr>
            </w:pPr>
            <w:r>
              <w:rPr>
                <w:sz w:val="20"/>
              </w:rPr>
              <w:t>7 avril 2027</w:t>
            </w:r>
          </w:p>
        </w:tc>
        <w:tc>
          <w:tcPr>
            <w:tcW w:w="1410" w:type="dxa"/>
            <w:noWrap/>
          </w:tcPr>
          <w:p w14:paraId="0AF036A9" w14:textId="77777777" w:rsidR="00864660" w:rsidRDefault="00000000">
            <w:pPr>
              <w:pStyle w:val="MainBodyTextNoSpacing"/>
              <w:rPr>
                <w:sz w:val="20"/>
              </w:rPr>
            </w:pPr>
            <w:r>
              <w:rPr>
                <w:sz w:val="20"/>
              </w:rPr>
              <w:t>7 avril 2027</w:t>
            </w:r>
          </w:p>
        </w:tc>
        <w:tc>
          <w:tcPr>
            <w:tcW w:w="1631" w:type="dxa"/>
            <w:vMerge w:val="restart"/>
            <w:noWrap/>
          </w:tcPr>
          <w:p w14:paraId="3C6D974F" w14:textId="77777777" w:rsidR="00864660" w:rsidRDefault="00000000">
            <w:pPr>
              <w:pStyle w:val="MainBodyTextNoSpacing"/>
              <w:rPr>
                <w:sz w:val="20"/>
              </w:rPr>
            </w:pPr>
            <w:r>
              <w:rPr>
                <w:sz w:val="20"/>
              </w:rPr>
              <w:t>14 avril 2027</w:t>
            </w:r>
          </w:p>
        </w:tc>
      </w:tr>
      <w:tr w:rsidR="00864660" w14:paraId="7EAC7610" w14:textId="77777777" w:rsidTr="00864660">
        <w:tc>
          <w:tcPr>
            <w:tcW w:w="1217" w:type="dxa"/>
            <w:vMerge w:val="restart"/>
          </w:tcPr>
          <w:p w14:paraId="203BC4C2" w14:textId="77777777" w:rsidR="00864660" w:rsidRDefault="00000000">
            <w:pPr>
              <w:pStyle w:val="MainBodyTextNoSpacing"/>
              <w:rPr>
                <w:sz w:val="20"/>
              </w:rPr>
            </w:pPr>
            <w:r>
              <w:rPr>
                <w:sz w:val="20"/>
              </w:rPr>
              <w:t>27</w:t>
            </w:r>
          </w:p>
        </w:tc>
        <w:tc>
          <w:tcPr>
            <w:tcW w:w="1359" w:type="dxa"/>
            <w:noWrap/>
          </w:tcPr>
          <w:p w14:paraId="2FF7F742" w14:textId="77777777" w:rsidR="00864660" w:rsidRDefault="00000000">
            <w:pPr>
              <w:pStyle w:val="MainBodyTextNoSpacing"/>
              <w:rPr>
                <w:sz w:val="20"/>
              </w:rPr>
            </w:pPr>
            <w:r>
              <w:rPr>
                <w:sz w:val="20"/>
              </w:rPr>
              <w:t>7 mai 2027</w:t>
            </w:r>
          </w:p>
        </w:tc>
        <w:tc>
          <w:tcPr>
            <w:tcW w:w="1410" w:type="dxa"/>
            <w:noWrap/>
          </w:tcPr>
          <w:p w14:paraId="56D55BF8" w14:textId="77777777" w:rsidR="00864660" w:rsidRDefault="00000000">
            <w:pPr>
              <w:pStyle w:val="MainBodyTextNoSpacing"/>
              <w:rPr>
                <w:sz w:val="20"/>
              </w:rPr>
            </w:pPr>
            <w:r>
              <w:rPr>
                <w:sz w:val="20"/>
              </w:rPr>
              <w:t>7 mai 2027</w:t>
            </w:r>
          </w:p>
        </w:tc>
        <w:tc>
          <w:tcPr>
            <w:tcW w:w="1631" w:type="dxa"/>
            <w:vMerge w:val="restart"/>
            <w:noWrap/>
          </w:tcPr>
          <w:p w14:paraId="52360D63" w14:textId="77777777" w:rsidR="00864660" w:rsidRDefault="00000000">
            <w:pPr>
              <w:pStyle w:val="MainBodyTextNoSpacing"/>
              <w:rPr>
                <w:sz w:val="20"/>
              </w:rPr>
            </w:pPr>
            <w:r>
              <w:rPr>
                <w:sz w:val="20"/>
              </w:rPr>
              <w:t>14 mai 2027</w:t>
            </w:r>
          </w:p>
        </w:tc>
      </w:tr>
      <w:tr w:rsidR="00864660" w14:paraId="5BF4D65B" w14:textId="77777777" w:rsidTr="00864660">
        <w:tc>
          <w:tcPr>
            <w:tcW w:w="1217" w:type="dxa"/>
            <w:vMerge w:val="restart"/>
          </w:tcPr>
          <w:p w14:paraId="393A419E" w14:textId="77777777" w:rsidR="00864660" w:rsidRDefault="00000000">
            <w:pPr>
              <w:pStyle w:val="MainBodyTextNoSpacing"/>
              <w:rPr>
                <w:sz w:val="20"/>
              </w:rPr>
            </w:pPr>
            <w:r>
              <w:rPr>
                <w:sz w:val="20"/>
              </w:rPr>
              <w:t>28</w:t>
            </w:r>
          </w:p>
        </w:tc>
        <w:tc>
          <w:tcPr>
            <w:tcW w:w="1359" w:type="dxa"/>
            <w:noWrap/>
          </w:tcPr>
          <w:p w14:paraId="0AF42358" w14:textId="77777777" w:rsidR="00864660" w:rsidRDefault="00000000">
            <w:pPr>
              <w:pStyle w:val="MainBodyTextNoSpacing"/>
              <w:rPr>
                <w:sz w:val="20"/>
              </w:rPr>
            </w:pPr>
            <w:r>
              <w:rPr>
                <w:sz w:val="20"/>
              </w:rPr>
              <w:t>7 juin 2027</w:t>
            </w:r>
          </w:p>
        </w:tc>
        <w:tc>
          <w:tcPr>
            <w:tcW w:w="1410" w:type="dxa"/>
            <w:noWrap/>
          </w:tcPr>
          <w:p w14:paraId="52FC8B62" w14:textId="77777777" w:rsidR="00864660" w:rsidRDefault="00000000">
            <w:pPr>
              <w:pStyle w:val="MainBodyTextNoSpacing"/>
              <w:rPr>
                <w:sz w:val="20"/>
              </w:rPr>
            </w:pPr>
            <w:r>
              <w:rPr>
                <w:sz w:val="20"/>
              </w:rPr>
              <w:t>7 juin 2027</w:t>
            </w:r>
          </w:p>
        </w:tc>
        <w:tc>
          <w:tcPr>
            <w:tcW w:w="1631" w:type="dxa"/>
            <w:vMerge w:val="restart"/>
            <w:noWrap/>
          </w:tcPr>
          <w:p w14:paraId="3D7C1315" w14:textId="77777777" w:rsidR="00864660" w:rsidRDefault="00000000">
            <w:pPr>
              <w:pStyle w:val="MainBodyTextNoSpacing"/>
              <w:rPr>
                <w:sz w:val="20"/>
              </w:rPr>
            </w:pPr>
            <w:r>
              <w:rPr>
                <w:sz w:val="20"/>
              </w:rPr>
              <w:t>14 juin 2027</w:t>
            </w:r>
          </w:p>
        </w:tc>
      </w:tr>
      <w:tr w:rsidR="00864660" w14:paraId="28034137" w14:textId="77777777" w:rsidTr="00864660">
        <w:tc>
          <w:tcPr>
            <w:tcW w:w="1217" w:type="dxa"/>
            <w:vMerge w:val="restart"/>
          </w:tcPr>
          <w:p w14:paraId="5AD05712" w14:textId="77777777" w:rsidR="00864660" w:rsidRDefault="00000000">
            <w:pPr>
              <w:pStyle w:val="MainBodyTextNoSpacing"/>
              <w:rPr>
                <w:sz w:val="20"/>
              </w:rPr>
            </w:pPr>
            <w:r>
              <w:rPr>
                <w:sz w:val="20"/>
              </w:rPr>
              <w:t>29</w:t>
            </w:r>
          </w:p>
        </w:tc>
        <w:tc>
          <w:tcPr>
            <w:tcW w:w="1359" w:type="dxa"/>
            <w:noWrap/>
          </w:tcPr>
          <w:p w14:paraId="05A92A9B" w14:textId="77777777" w:rsidR="00864660" w:rsidRDefault="00000000">
            <w:pPr>
              <w:pStyle w:val="MainBodyTextNoSpacing"/>
              <w:rPr>
                <w:sz w:val="20"/>
              </w:rPr>
            </w:pPr>
            <w:r>
              <w:rPr>
                <w:sz w:val="20"/>
              </w:rPr>
              <w:t>7 juillet 2027</w:t>
            </w:r>
          </w:p>
        </w:tc>
        <w:tc>
          <w:tcPr>
            <w:tcW w:w="1410" w:type="dxa"/>
            <w:noWrap/>
          </w:tcPr>
          <w:p w14:paraId="45D42059" w14:textId="77777777" w:rsidR="00864660" w:rsidRDefault="00000000">
            <w:pPr>
              <w:pStyle w:val="MainBodyTextNoSpacing"/>
              <w:rPr>
                <w:sz w:val="20"/>
              </w:rPr>
            </w:pPr>
            <w:r>
              <w:rPr>
                <w:sz w:val="20"/>
              </w:rPr>
              <w:t>7 juillet 2027</w:t>
            </w:r>
          </w:p>
        </w:tc>
        <w:tc>
          <w:tcPr>
            <w:tcW w:w="1631" w:type="dxa"/>
            <w:vMerge w:val="restart"/>
            <w:noWrap/>
          </w:tcPr>
          <w:p w14:paraId="75E9DE54" w14:textId="77777777" w:rsidR="00864660" w:rsidRDefault="00000000">
            <w:pPr>
              <w:pStyle w:val="MainBodyTextNoSpacing"/>
              <w:rPr>
                <w:sz w:val="20"/>
              </w:rPr>
            </w:pPr>
            <w:r>
              <w:rPr>
                <w:sz w:val="20"/>
              </w:rPr>
              <w:t>14 juillet 2027</w:t>
            </w:r>
          </w:p>
        </w:tc>
      </w:tr>
      <w:tr w:rsidR="00864660" w14:paraId="449AD11B" w14:textId="77777777" w:rsidTr="00864660">
        <w:tc>
          <w:tcPr>
            <w:tcW w:w="1217" w:type="dxa"/>
            <w:vMerge w:val="restart"/>
          </w:tcPr>
          <w:p w14:paraId="1FE9A8D5" w14:textId="77777777" w:rsidR="00864660" w:rsidRDefault="00000000">
            <w:pPr>
              <w:pStyle w:val="MainBodyTextNoSpacing"/>
              <w:rPr>
                <w:sz w:val="20"/>
              </w:rPr>
            </w:pPr>
            <w:r>
              <w:rPr>
                <w:sz w:val="20"/>
              </w:rPr>
              <w:t>30</w:t>
            </w:r>
          </w:p>
        </w:tc>
        <w:tc>
          <w:tcPr>
            <w:tcW w:w="1359" w:type="dxa"/>
            <w:noWrap/>
          </w:tcPr>
          <w:p w14:paraId="61FEC2A7" w14:textId="77777777" w:rsidR="00864660" w:rsidRDefault="00000000">
            <w:pPr>
              <w:pStyle w:val="MainBodyTextNoSpacing"/>
              <w:rPr>
                <w:sz w:val="20"/>
              </w:rPr>
            </w:pPr>
            <w:r>
              <w:rPr>
                <w:sz w:val="20"/>
              </w:rPr>
              <w:t>9 août 2027</w:t>
            </w:r>
          </w:p>
        </w:tc>
        <w:tc>
          <w:tcPr>
            <w:tcW w:w="1410" w:type="dxa"/>
            <w:noWrap/>
          </w:tcPr>
          <w:p w14:paraId="057E6141" w14:textId="77777777" w:rsidR="00864660" w:rsidRDefault="00000000">
            <w:pPr>
              <w:pStyle w:val="MainBodyTextNoSpacing"/>
              <w:rPr>
                <w:sz w:val="20"/>
              </w:rPr>
            </w:pPr>
            <w:r>
              <w:rPr>
                <w:sz w:val="20"/>
              </w:rPr>
              <w:t>9 août 2027</w:t>
            </w:r>
          </w:p>
        </w:tc>
        <w:tc>
          <w:tcPr>
            <w:tcW w:w="1631" w:type="dxa"/>
            <w:vMerge w:val="restart"/>
            <w:noWrap/>
          </w:tcPr>
          <w:p w14:paraId="5C65B342" w14:textId="77777777" w:rsidR="00864660" w:rsidRDefault="00000000">
            <w:pPr>
              <w:pStyle w:val="MainBodyTextNoSpacing"/>
              <w:rPr>
                <w:sz w:val="20"/>
              </w:rPr>
            </w:pPr>
            <w:r>
              <w:rPr>
                <w:sz w:val="20"/>
              </w:rPr>
              <w:t>16 août 2027</w:t>
            </w:r>
          </w:p>
        </w:tc>
      </w:tr>
      <w:tr w:rsidR="00864660" w14:paraId="45309F6F" w14:textId="77777777" w:rsidTr="00864660">
        <w:tc>
          <w:tcPr>
            <w:tcW w:w="1217" w:type="dxa"/>
            <w:vMerge w:val="restart"/>
          </w:tcPr>
          <w:p w14:paraId="0254C264" w14:textId="77777777" w:rsidR="00864660" w:rsidRDefault="00000000">
            <w:pPr>
              <w:pStyle w:val="MainBodyTextNoSpacing"/>
              <w:rPr>
                <w:sz w:val="20"/>
              </w:rPr>
            </w:pPr>
            <w:r>
              <w:rPr>
                <w:sz w:val="20"/>
              </w:rPr>
              <w:t>31</w:t>
            </w:r>
          </w:p>
        </w:tc>
        <w:tc>
          <w:tcPr>
            <w:tcW w:w="1359" w:type="dxa"/>
            <w:noWrap/>
          </w:tcPr>
          <w:p w14:paraId="08B2380B" w14:textId="77777777" w:rsidR="00864660" w:rsidRDefault="00000000">
            <w:pPr>
              <w:pStyle w:val="MainBodyTextNoSpacing"/>
              <w:rPr>
                <w:sz w:val="20"/>
              </w:rPr>
            </w:pPr>
            <w:r>
              <w:rPr>
                <w:sz w:val="20"/>
              </w:rPr>
              <w:t>7 septembre 2027</w:t>
            </w:r>
          </w:p>
        </w:tc>
        <w:tc>
          <w:tcPr>
            <w:tcW w:w="1410" w:type="dxa"/>
            <w:noWrap/>
          </w:tcPr>
          <w:p w14:paraId="381CBCF0" w14:textId="77777777" w:rsidR="00864660" w:rsidRDefault="00000000">
            <w:pPr>
              <w:pStyle w:val="MainBodyTextNoSpacing"/>
              <w:rPr>
                <w:sz w:val="20"/>
              </w:rPr>
            </w:pPr>
            <w:r>
              <w:rPr>
                <w:sz w:val="20"/>
              </w:rPr>
              <w:t>7 septembre 2027</w:t>
            </w:r>
          </w:p>
        </w:tc>
        <w:tc>
          <w:tcPr>
            <w:tcW w:w="1631" w:type="dxa"/>
            <w:vMerge w:val="restart"/>
            <w:noWrap/>
          </w:tcPr>
          <w:p w14:paraId="418923D6" w14:textId="77777777" w:rsidR="00864660" w:rsidRDefault="00000000">
            <w:pPr>
              <w:pStyle w:val="MainBodyTextNoSpacing"/>
              <w:rPr>
                <w:sz w:val="20"/>
              </w:rPr>
            </w:pPr>
            <w:r>
              <w:rPr>
                <w:sz w:val="20"/>
              </w:rPr>
              <w:t>14 septembre 2027</w:t>
            </w:r>
          </w:p>
        </w:tc>
      </w:tr>
      <w:tr w:rsidR="00864660" w14:paraId="068D54C5" w14:textId="77777777" w:rsidTr="00864660">
        <w:tc>
          <w:tcPr>
            <w:tcW w:w="1217" w:type="dxa"/>
            <w:vMerge w:val="restart"/>
          </w:tcPr>
          <w:p w14:paraId="7561453B" w14:textId="77777777" w:rsidR="00864660" w:rsidRDefault="00000000">
            <w:pPr>
              <w:pStyle w:val="MainBodyTextNoSpacing"/>
              <w:rPr>
                <w:sz w:val="20"/>
              </w:rPr>
            </w:pPr>
            <w:r>
              <w:rPr>
                <w:sz w:val="20"/>
              </w:rPr>
              <w:t>32</w:t>
            </w:r>
          </w:p>
        </w:tc>
        <w:tc>
          <w:tcPr>
            <w:tcW w:w="1359" w:type="dxa"/>
            <w:noWrap/>
          </w:tcPr>
          <w:p w14:paraId="2FA9D575" w14:textId="77777777" w:rsidR="00864660" w:rsidRDefault="00000000">
            <w:pPr>
              <w:pStyle w:val="MainBodyTextNoSpacing"/>
              <w:rPr>
                <w:sz w:val="20"/>
              </w:rPr>
            </w:pPr>
            <w:r>
              <w:rPr>
                <w:sz w:val="20"/>
              </w:rPr>
              <w:t>6 octobre 2027</w:t>
            </w:r>
          </w:p>
        </w:tc>
        <w:tc>
          <w:tcPr>
            <w:tcW w:w="1410" w:type="dxa"/>
            <w:noWrap/>
          </w:tcPr>
          <w:p w14:paraId="216EA812" w14:textId="77777777" w:rsidR="00864660" w:rsidRDefault="00000000">
            <w:pPr>
              <w:pStyle w:val="MainBodyTextNoSpacing"/>
              <w:rPr>
                <w:sz w:val="20"/>
              </w:rPr>
            </w:pPr>
            <w:r>
              <w:rPr>
                <w:sz w:val="20"/>
              </w:rPr>
              <w:t>6 octobre 2027</w:t>
            </w:r>
          </w:p>
        </w:tc>
        <w:tc>
          <w:tcPr>
            <w:tcW w:w="1631" w:type="dxa"/>
            <w:vMerge w:val="restart"/>
            <w:noWrap/>
          </w:tcPr>
          <w:p w14:paraId="2D3287B7" w14:textId="77777777" w:rsidR="00864660" w:rsidRDefault="00000000">
            <w:pPr>
              <w:pStyle w:val="MainBodyTextNoSpacing"/>
              <w:rPr>
                <w:sz w:val="20"/>
              </w:rPr>
            </w:pPr>
            <w:r>
              <w:rPr>
                <w:sz w:val="20"/>
              </w:rPr>
              <w:t>14 octobre 2027</w:t>
            </w:r>
          </w:p>
        </w:tc>
      </w:tr>
      <w:tr w:rsidR="00864660" w14:paraId="3E4AE582" w14:textId="77777777" w:rsidTr="00864660">
        <w:tc>
          <w:tcPr>
            <w:tcW w:w="1217" w:type="dxa"/>
            <w:vMerge w:val="restart"/>
          </w:tcPr>
          <w:p w14:paraId="76F9C282" w14:textId="77777777" w:rsidR="00864660" w:rsidRDefault="00000000">
            <w:pPr>
              <w:pStyle w:val="MainBodyTextNoSpacing"/>
              <w:rPr>
                <w:sz w:val="20"/>
              </w:rPr>
            </w:pPr>
            <w:r>
              <w:rPr>
                <w:sz w:val="20"/>
              </w:rPr>
              <w:t>33</w:t>
            </w:r>
          </w:p>
        </w:tc>
        <w:tc>
          <w:tcPr>
            <w:tcW w:w="1359" w:type="dxa"/>
            <w:noWrap/>
          </w:tcPr>
          <w:p w14:paraId="66A7F73A" w14:textId="77777777" w:rsidR="00864660" w:rsidRDefault="00000000">
            <w:pPr>
              <w:pStyle w:val="MainBodyTextNoSpacing"/>
              <w:rPr>
                <w:sz w:val="20"/>
              </w:rPr>
            </w:pPr>
            <w:r>
              <w:rPr>
                <w:sz w:val="20"/>
              </w:rPr>
              <w:t>5 novembre 2027</w:t>
            </w:r>
          </w:p>
        </w:tc>
        <w:tc>
          <w:tcPr>
            <w:tcW w:w="1410" w:type="dxa"/>
            <w:noWrap/>
          </w:tcPr>
          <w:p w14:paraId="54C44B9A" w14:textId="77777777" w:rsidR="00864660" w:rsidRDefault="00000000">
            <w:pPr>
              <w:pStyle w:val="MainBodyTextNoSpacing"/>
              <w:rPr>
                <w:sz w:val="20"/>
              </w:rPr>
            </w:pPr>
            <w:r>
              <w:rPr>
                <w:sz w:val="20"/>
              </w:rPr>
              <w:t>5 novembre 2027</w:t>
            </w:r>
          </w:p>
        </w:tc>
        <w:tc>
          <w:tcPr>
            <w:tcW w:w="1631" w:type="dxa"/>
            <w:vMerge w:val="restart"/>
            <w:noWrap/>
          </w:tcPr>
          <w:p w14:paraId="0995437E" w14:textId="77777777" w:rsidR="00864660" w:rsidRDefault="00000000">
            <w:pPr>
              <w:pStyle w:val="MainBodyTextNoSpacing"/>
              <w:rPr>
                <w:sz w:val="20"/>
              </w:rPr>
            </w:pPr>
            <w:r>
              <w:rPr>
                <w:sz w:val="20"/>
              </w:rPr>
              <w:t>15 novembre 2027</w:t>
            </w:r>
          </w:p>
        </w:tc>
      </w:tr>
      <w:tr w:rsidR="00864660" w14:paraId="6DC426AC" w14:textId="77777777" w:rsidTr="00864660">
        <w:tc>
          <w:tcPr>
            <w:tcW w:w="1217" w:type="dxa"/>
            <w:vMerge w:val="restart"/>
          </w:tcPr>
          <w:p w14:paraId="5A53708F" w14:textId="77777777" w:rsidR="00864660" w:rsidRDefault="00000000">
            <w:pPr>
              <w:pStyle w:val="MainBodyTextNoSpacing"/>
              <w:rPr>
                <w:sz w:val="20"/>
              </w:rPr>
            </w:pPr>
            <w:r>
              <w:rPr>
                <w:sz w:val="20"/>
              </w:rPr>
              <w:t>34</w:t>
            </w:r>
          </w:p>
        </w:tc>
        <w:tc>
          <w:tcPr>
            <w:tcW w:w="1359" w:type="dxa"/>
            <w:noWrap/>
          </w:tcPr>
          <w:p w14:paraId="4E1210F7" w14:textId="77777777" w:rsidR="00864660" w:rsidRDefault="00000000">
            <w:pPr>
              <w:pStyle w:val="MainBodyTextNoSpacing"/>
              <w:rPr>
                <w:sz w:val="20"/>
              </w:rPr>
            </w:pPr>
            <w:r>
              <w:rPr>
                <w:sz w:val="20"/>
              </w:rPr>
              <w:t>7 décembre 2027</w:t>
            </w:r>
          </w:p>
        </w:tc>
        <w:tc>
          <w:tcPr>
            <w:tcW w:w="1410" w:type="dxa"/>
            <w:noWrap/>
          </w:tcPr>
          <w:p w14:paraId="2621A69A" w14:textId="77777777" w:rsidR="00864660" w:rsidRDefault="00000000">
            <w:pPr>
              <w:pStyle w:val="MainBodyTextNoSpacing"/>
              <w:rPr>
                <w:sz w:val="20"/>
              </w:rPr>
            </w:pPr>
            <w:r>
              <w:rPr>
                <w:sz w:val="20"/>
              </w:rPr>
              <w:t>7 décembre 2027</w:t>
            </w:r>
          </w:p>
        </w:tc>
        <w:tc>
          <w:tcPr>
            <w:tcW w:w="1631" w:type="dxa"/>
            <w:vMerge w:val="restart"/>
            <w:noWrap/>
          </w:tcPr>
          <w:p w14:paraId="740137BC" w14:textId="77777777" w:rsidR="00864660" w:rsidRDefault="00000000">
            <w:pPr>
              <w:pStyle w:val="MainBodyTextNoSpacing"/>
              <w:rPr>
                <w:sz w:val="20"/>
              </w:rPr>
            </w:pPr>
            <w:r>
              <w:rPr>
                <w:sz w:val="20"/>
              </w:rPr>
              <w:t>14 décembre 2027</w:t>
            </w:r>
          </w:p>
        </w:tc>
      </w:tr>
      <w:tr w:rsidR="00864660" w14:paraId="48DDF6BD" w14:textId="77777777" w:rsidTr="00864660">
        <w:tc>
          <w:tcPr>
            <w:tcW w:w="1217" w:type="dxa"/>
            <w:vMerge w:val="restart"/>
          </w:tcPr>
          <w:p w14:paraId="190C8C99" w14:textId="77777777" w:rsidR="00864660" w:rsidRDefault="00000000">
            <w:pPr>
              <w:pStyle w:val="MainBodyTextNoSpacing"/>
              <w:rPr>
                <w:sz w:val="20"/>
              </w:rPr>
            </w:pPr>
            <w:r>
              <w:rPr>
                <w:sz w:val="20"/>
              </w:rPr>
              <w:t>35</w:t>
            </w:r>
          </w:p>
        </w:tc>
        <w:tc>
          <w:tcPr>
            <w:tcW w:w="1359" w:type="dxa"/>
            <w:noWrap/>
          </w:tcPr>
          <w:p w14:paraId="117A83A8" w14:textId="77777777" w:rsidR="00864660" w:rsidRDefault="00000000">
            <w:pPr>
              <w:pStyle w:val="MainBodyTextNoSpacing"/>
              <w:rPr>
                <w:sz w:val="20"/>
              </w:rPr>
            </w:pPr>
            <w:r>
              <w:rPr>
                <w:sz w:val="20"/>
              </w:rPr>
              <w:t>7 janvier 2028</w:t>
            </w:r>
          </w:p>
        </w:tc>
        <w:tc>
          <w:tcPr>
            <w:tcW w:w="1410" w:type="dxa"/>
            <w:noWrap/>
          </w:tcPr>
          <w:p w14:paraId="24196EBE" w14:textId="77777777" w:rsidR="00864660" w:rsidRDefault="00000000">
            <w:pPr>
              <w:pStyle w:val="MainBodyTextNoSpacing"/>
              <w:rPr>
                <w:sz w:val="20"/>
              </w:rPr>
            </w:pPr>
            <w:r>
              <w:rPr>
                <w:sz w:val="20"/>
              </w:rPr>
              <w:t>7 janvier 2028</w:t>
            </w:r>
          </w:p>
        </w:tc>
        <w:tc>
          <w:tcPr>
            <w:tcW w:w="1631" w:type="dxa"/>
            <w:vMerge w:val="restart"/>
            <w:noWrap/>
          </w:tcPr>
          <w:p w14:paraId="7EBA3707" w14:textId="77777777" w:rsidR="00864660" w:rsidRDefault="00000000">
            <w:pPr>
              <w:pStyle w:val="MainBodyTextNoSpacing"/>
              <w:rPr>
                <w:sz w:val="20"/>
              </w:rPr>
            </w:pPr>
            <w:r>
              <w:rPr>
                <w:sz w:val="20"/>
              </w:rPr>
              <w:t>14 janvier 2028</w:t>
            </w:r>
          </w:p>
        </w:tc>
      </w:tr>
      <w:tr w:rsidR="00864660" w14:paraId="70BE1110" w14:textId="77777777" w:rsidTr="00864660">
        <w:tc>
          <w:tcPr>
            <w:tcW w:w="1217" w:type="dxa"/>
            <w:vMerge w:val="restart"/>
          </w:tcPr>
          <w:p w14:paraId="064F796B" w14:textId="77777777" w:rsidR="00864660" w:rsidRDefault="00000000">
            <w:pPr>
              <w:pStyle w:val="MainBodyTextNoSpacing"/>
              <w:rPr>
                <w:sz w:val="20"/>
              </w:rPr>
            </w:pPr>
            <w:r>
              <w:rPr>
                <w:sz w:val="20"/>
              </w:rPr>
              <w:t>36</w:t>
            </w:r>
          </w:p>
        </w:tc>
        <w:tc>
          <w:tcPr>
            <w:tcW w:w="1359" w:type="dxa"/>
            <w:noWrap/>
          </w:tcPr>
          <w:p w14:paraId="31F1BFA9" w14:textId="77777777" w:rsidR="00864660" w:rsidRDefault="00000000">
            <w:pPr>
              <w:pStyle w:val="MainBodyTextNoSpacing"/>
              <w:rPr>
                <w:sz w:val="20"/>
              </w:rPr>
            </w:pPr>
            <w:r>
              <w:rPr>
                <w:sz w:val="20"/>
              </w:rPr>
              <w:t>7 février 2028</w:t>
            </w:r>
          </w:p>
        </w:tc>
        <w:tc>
          <w:tcPr>
            <w:tcW w:w="1410" w:type="dxa"/>
            <w:noWrap/>
          </w:tcPr>
          <w:p w14:paraId="22527C4E" w14:textId="77777777" w:rsidR="00864660" w:rsidRDefault="00000000">
            <w:pPr>
              <w:pStyle w:val="MainBodyTextNoSpacing"/>
              <w:rPr>
                <w:sz w:val="20"/>
              </w:rPr>
            </w:pPr>
            <w:r>
              <w:rPr>
                <w:sz w:val="20"/>
              </w:rPr>
              <w:t>7 février 2028</w:t>
            </w:r>
          </w:p>
        </w:tc>
        <w:tc>
          <w:tcPr>
            <w:tcW w:w="1631" w:type="dxa"/>
            <w:vMerge w:val="restart"/>
            <w:noWrap/>
          </w:tcPr>
          <w:p w14:paraId="517781DE" w14:textId="77777777" w:rsidR="00864660" w:rsidRDefault="00000000">
            <w:pPr>
              <w:pStyle w:val="MainBodyTextNoSpacing"/>
              <w:rPr>
                <w:sz w:val="20"/>
              </w:rPr>
            </w:pPr>
            <w:r>
              <w:rPr>
                <w:sz w:val="20"/>
              </w:rPr>
              <w:t>14 février 2028</w:t>
            </w:r>
          </w:p>
        </w:tc>
      </w:tr>
      <w:tr w:rsidR="00864660" w14:paraId="67877930" w14:textId="77777777" w:rsidTr="00864660">
        <w:tc>
          <w:tcPr>
            <w:tcW w:w="1217" w:type="dxa"/>
            <w:vMerge w:val="restart"/>
          </w:tcPr>
          <w:p w14:paraId="46A196D6" w14:textId="77777777" w:rsidR="00864660" w:rsidRDefault="00000000">
            <w:pPr>
              <w:pStyle w:val="MainBodyTextNoSpacing"/>
              <w:rPr>
                <w:sz w:val="20"/>
              </w:rPr>
            </w:pPr>
            <w:r>
              <w:rPr>
                <w:sz w:val="20"/>
              </w:rPr>
              <w:t>37</w:t>
            </w:r>
          </w:p>
        </w:tc>
        <w:tc>
          <w:tcPr>
            <w:tcW w:w="1359" w:type="dxa"/>
            <w:noWrap/>
          </w:tcPr>
          <w:p w14:paraId="40246BAE" w14:textId="77777777" w:rsidR="00864660" w:rsidRDefault="00000000">
            <w:pPr>
              <w:pStyle w:val="MainBodyTextNoSpacing"/>
              <w:rPr>
                <w:sz w:val="20"/>
              </w:rPr>
            </w:pPr>
            <w:r>
              <w:rPr>
                <w:sz w:val="20"/>
              </w:rPr>
              <w:t>7 mars 2028</w:t>
            </w:r>
          </w:p>
        </w:tc>
        <w:tc>
          <w:tcPr>
            <w:tcW w:w="1410" w:type="dxa"/>
            <w:noWrap/>
          </w:tcPr>
          <w:p w14:paraId="5043C72E" w14:textId="77777777" w:rsidR="00864660" w:rsidRDefault="00000000">
            <w:pPr>
              <w:pStyle w:val="MainBodyTextNoSpacing"/>
              <w:rPr>
                <w:sz w:val="20"/>
              </w:rPr>
            </w:pPr>
            <w:r>
              <w:rPr>
                <w:sz w:val="20"/>
              </w:rPr>
              <w:t>7 mars 2028</w:t>
            </w:r>
          </w:p>
        </w:tc>
        <w:tc>
          <w:tcPr>
            <w:tcW w:w="1631" w:type="dxa"/>
            <w:vMerge w:val="restart"/>
            <w:noWrap/>
          </w:tcPr>
          <w:p w14:paraId="533D08CD" w14:textId="77777777" w:rsidR="00864660" w:rsidRDefault="00000000">
            <w:pPr>
              <w:pStyle w:val="MainBodyTextNoSpacing"/>
              <w:rPr>
                <w:sz w:val="20"/>
              </w:rPr>
            </w:pPr>
            <w:r>
              <w:rPr>
                <w:sz w:val="20"/>
              </w:rPr>
              <w:t>14 mars 2028</w:t>
            </w:r>
          </w:p>
        </w:tc>
      </w:tr>
      <w:tr w:rsidR="00864660" w14:paraId="67FD1320" w14:textId="77777777" w:rsidTr="00864660">
        <w:tc>
          <w:tcPr>
            <w:tcW w:w="1217" w:type="dxa"/>
            <w:vMerge w:val="restart"/>
          </w:tcPr>
          <w:p w14:paraId="534102AC" w14:textId="77777777" w:rsidR="00864660" w:rsidRDefault="00000000">
            <w:pPr>
              <w:pStyle w:val="MainBodyTextNoSpacing"/>
              <w:rPr>
                <w:sz w:val="20"/>
              </w:rPr>
            </w:pPr>
            <w:r>
              <w:rPr>
                <w:sz w:val="20"/>
              </w:rPr>
              <w:t>38</w:t>
            </w:r>
          </w:p>
        </w:tc>
        <w:tc>
          <w:tcPr>
            <w:tcW w:w="1359" w:type="dxa"/>
            <w:noWrap/>
          </w:tcPr>
          <w:p w14:paraId="00107155" w14:textId="77777777" w:rsidR="00864660" w:rsidRDefault="00000000">
            <w:pPr>
              <w:pStyle w:val="MainBodyTextNoSpacing"/>
              <w:rPr>
                <w:sz w:val="20"/>
              </w:rPr>
            </w:pPr>
            <w:r>
              <w:rPr>
                <w:sz w:val="20"/>
              </w:rPr>
              <w:t>7 avril 2028</w:t>
            </w:r>
          </w:p>
        </w:tc>
        <w:tc>
          <w:tcPr>
            <w:tcW w:w="1410" w:type="dxa"/>
            <w:noWrap/>
          </w:tcPr>
          <w:p w14:paraId="11D86C20" w14:textId="77777777" w:rsidR="00864660" w:rsidRDefault="00000000">
            <w:pPr>
              <w:pStyle w:val="MainBodyTextNoSpacing"/>
              <w:rPr>
                <w:sz w:val="20"/>
              </w:rPr>
            </w:pPr>
            <w:r>
              <w:rPr>
                <w:sz w:val="20"/>
              </w:rPr>
              <w:t>7 avril 2028</w:t>
            </w:r>
          </w:p>
        </w:tc>
        <w:tc>
          <w:tcPr>
            <w:tcW w:w="1631" w:type="dxa"/>
            <w:vMerge w:val="restart"/>
            <w:noWrap/>
          </w:tcPr>
          <w:p w14:paraId="36B8BB7A" w14:textId="77777777" w:rsidR="00864660" w:rsidRDefault="00000000">
            <w:pPr>
              <w:pStyle w:val="MainBodyTextNoSpacing"/>
              <w:rPr>
                <w:sz w:val="20"/>
              </w:rPr>
            </w:pPr>
            <w:r>
              <w:rPr>
                <w:sz w:val="20"/>
              </w:rPr>
              <w:t>17 avril 2028</w:t>
            </w:r>
          </w:p>
        </w:tc>
      </w:tr>
      <w:tr w:rsidR="00864660" w14:paraId="557DEE58" w14:textId="77777777" w:rsidTr="00864660">
        <w:tc>
          <w:tcPr>
            <w:tcW w:w="1217" w:type="dxa"/>
            <w:vMerge w:val="restart"/>
          </w:tcPr>
          <w:p w14:paraId="72D39826" w14:textId="77777777" w:rsidR="00864660" w:rsidRDefault="00000000">
            <w:pPr>
              <w:pStyle w:val="MainBodyTextNoSpacing"/>
              <w:rPr>
                <w:sz w:val="20"/>
              </w:rPr>
            </w:pPr>
            <w:r>
              <w:rPr>
                <w:sz w:val="20"/>
              </w:rPr>
              <w:t>39</w:t>
            </w:r>
          </w:p>
        </w:tc>
        <w:tc>
          <w:tcPr>
            <w:tcW w:w="1359" w:type="dxa"/>
            <w:noWrap/>
          </w:tcPr>
          <w:p w14:paraId="3A80EEBA" w14:textId="77777777" w:rsidR="00864660" w:rsidRDefault="00000000">
            <w:pPr>
              <w:pStyle w:val="MainBodyTextNoSpacing"/>
              <w:rPr>
                <w:sz w:val="20"/>
              </w:rPr>
            </w:pPr>
            <w:r>
              <w:rPr>
                <w:sz w:val="20"/>
              </w:rPr>
              <w:t>8 mai 2028</w:t>
            </w:r>
          </w:p>
        </w:tc>
        <w:tc>
          <w:tcPr>
            <w:tcW w:w="1410" w:type="dxa"/>
            <w:noWrap/>
          </w:tcPr>
          <w:p w14:paraId="7F533866" w14:textId="77777777" w:rsidR="00864660" w:rsidRDefault="00000000">
            <w:pPr>
              <w:pStyle w:val="MainBodyTextNoSpacing"/>
              <w:rPr>
                <w:sz w:val="20"/>
              </w:rPr>
            </w:pPr>
            <w:r>
              <w:rPr>
                <w:sz w:val="20"/>
              </w:rPr>
              <w:t>8 mai 2028</w:t>
            </w:r>
          </w:p>
        </w:tc>
        <w:tc>
          <w:tcPr>
            <w:tcW w:w="1631" w:type="dxa"/>
            <w:vMerge w:val="restart"/>
            <w:noWrap/>
          </w:tcPr>
          <w:p w14:paraId="36A7914C" w14:textId="77777777" w:rsidR="00864660" w:rsidRDefault="00000000">
            <w:pPr>
              <w:pStyle w:val="MainBodyTextNoSpacing"/>
              <w:rPr>
                <w:sz w:val="20"/>
              </w:rPr>
            </w:pPr>
            <w:r>
              <w:rPr>
                <w:sz w:val="20"/>
              </w:rPr>
              <w:t>15 mai 2028</w:t>
            </w:r>
          </w:p>
        </w:tc>
      </w:tr>
      <w:tr w:rsidR="00864660" w14:paraId="3D0A0C9B" w14:textId="77777777" w:rsidTr="00864660">
        <w:tc>
          <w:tcPr>
            <w:tcW w:w="1217" w:type="dxa"/>
            <w:vMerge w:val="restart"/>
          </w:tcPr>
          <w:p w14:paraId="5B2D88B9" w14:textId="77777777" w:rsidR="00864660" w:rsidRDefault="00000000">
            <w:pPr>
              <w:pStyle w:val="MainBodyTextNoSpacing"/>
              <w:rPr>
                <w:sz w:val="20"/>
              </w:rPr>
            </w:pPr>
            <w:r>
              <w:rPr>
                <w:sz w:val="20"/>
              </w:rPr>
              <w:t>40</w:t>
            </w:r>
          </w:p>
        </w:tc>
        <w:tc>
          <w:tcPr>
            <w:tcW w:w="1359" w:type="dxa"/>
            <w:noWrap/>
          </w:tcPr>
          <w:p w14:paraId="7CE30A7A" w14:textId="77777777" w:rsidR="00864660" w:rsidRDefault="00000000">
            <w:pPr>
              <w:pStyle w:val="MainBodyTextNoSpacing"/>
              <w:rPr>
                <w:sz w:val="20"/>
              </w:rPr>
            </w:pPr>
            <w:r>
              <w:rPr>
                <w:sz w:val="20"/>
              </w:rPr>
              <w:t>7 juin 2028</w:t>
            </w:r>
          </w:p>
        </w:tc>
        <w:tc>
          <w:tcPr>
            <w:tcW w:w="1410" w:type="dxa"/>
            <w:noWrap/>
          </w:tcPr>
          <w:p w14:paraId="2D15F264" w14:textId="77777777" w:rsidR="00864660" w:rsidRDefault="00000000">
            <w:pPr>
              <w:pStyle w:val="MainBodyTextNoSpacing"/>
              <w:rPr>
                <w:sz w:val="20"/>
              </w:rPr>
            </w:pPr>
            <w:r>
              <w:rPr>
                <w:sz w:val="20"/>
              </w:rPr>
              <w:t>7 juin 2028</w:t>
            </w:r>
          </w:p>
        </w:tc>
        <w:tc>
          <w:tcPr>
            <w:tcW w:w="1631" w:type="dxa"/>
            <w:vMerge w:val="restart"/>
            <w:noWrap/>
          </w:tcPr>
          <w:p w14:paraId="3E00BAC6" w14:textId="77777777" w:rsidR="00864660" w:rsidRDefault="00000000">
            <w:pPr>
              <w:pStyle w:val="MainBodyTextNoSpacing"/>
              <w:rPr>
                <w:sz w:val="20"/>
              </w:rPr>
            </w:pPr>
            <w:r>
              <w:rPr>
                <w:sz w:val="20"/>
              </w:rPr>
              <w:t>14 juin 2028</w:t>
            </w:r>
          </w:p>
        </w:tc>
      </w:tr>
      <w:tr w:rsidR="00864660" w14:paraId="5289B153" w14:textId="77777777" w:rsidTr="00864660">
        <w:tc>
          <w:tcPr>
            <w:tcW w:w="1217" w:type="dxa"/>
            <w:vMerge w:val="restart"/>
          </w:tcPr>
          <w:p w14:paraId="45926582" w14:textId="77777777" w:rsidR="00864660" w:rsidRDefault="00000000">
            <w:pPr>
              <w:pStyle w:val="MainBodyTextNoSpacing"/>
              <w:rPr>
                <w:sz w:val="20"/>
              </w:rPr>
            </w:pPr>
            <w:r>
              <w:rPr>
                <w:sz w:val="20"/>
              </w:rPr>
              <w:t>41</w:t>
            </w:r>
          </w:p>
        </w:tc>
        <w:tc>
          <w:tcPr>
            <w:tcW w:w="1359" w:type="dxa"/>
            <w:noWrap/>
          </w:tcPr>
          <w:p w14:paraId="1C4D05D8" w14:textId="77777777" w:rsidR="00864660" w:rsidRDefault="00000000">
            <w:pPr>
              <w:pStyle w:val="MainBodyTextNoSpacing"/>
              <w:rPr>
                <w:sz w:val="20"/>
              </w:rPr>
            </w:pPr>
            <w:r>
              <w:rPr>
                <w:sz w:val="20"/>
              </w:rPr>
              <w:t>7 juillet 2028</w:t>
            </w:r>
          </w:p>
        </w:tc>
        <w:tc>
          <w:tcPr>
            <w:tcW w:w="1410" w:type="dxa"/>
            <w:noWrap/>
          </w:tcPr>
          <w:p w14:paraId="51E5EC3C" w14:textId="77777777" w:rsidR="00864660" w:rsidRDefault="00000000">
            <w:pPr>
              <w:pStyle w:val="MainBodyTextNoSpacing"/>
              <w:rPr>
                <w:sz w:val="20"/>
              </w:rPr>
            </w:pPr>
            <w:r>
              <w:rPr>
                <w:sz w:val="20"/>
              </w:rPr>
              <w:t>7 juillet 2028</w:t>
            </w:r>
          </w:p>
        </w:tc>
        <w:tc>
          <w:tcPr>
            <w:tcW w:w="1631" w:type="dxa"/>
            <w:vMerge w:val="restart"/>
            <w:noWrap/>
          </w:tcPr>
          <w:p w14:paraId="7CA49F8C" w14:textId="77777777" w:rsidR="00864660" w:rsidRDefault="00000000">
            <w:pPr>
              <w:pStyle w:val="MainBodyTextNoSpacing"/>
              <w:rPr>
                <w:sz w:val="20"/>
              </w:rPr>
            </w:pPr>
            <w:r>
              <w:rPr>
                <w:sz w:val="20"/>
              </w:rPr>
              <w:t>14 juillet 2028</w:t>
            </w:r>
          </w:p>
        </w:tc>
      </w:tr>
      <w:tr w:rsidR="00864660" w14:paraId="200D1318" w14:textId="77777777" w:rsidTr="00864660">
        <w:tc>
          <w:tcPr>
            <w:tcW w:w="1217" w:type="dxa"/>
            <w:vMerge w:val="restart"/>
          </w:tcPr>
          <w:p w14:paraId="0764938C" w14:textId="77777777" w:rsidR="00864660" w:rsidRDefault="00000000">
            <w:pPr>
              <w:pStyle w:val="MainBodyTextNoSpacing"/>
              <w:rPr>
                <w:sz w:val="20"/>
              </w:rPr>
            </w:pPr>
            <w:r>
              <w:rPr>
                <w:sz w:val="20"/>
              </w:rPr>
              <w:t>42</w:t>
            </w:r>
          </w:p>
        </w:tc>
        <w:tc>
          <w:tcPr>
            <w:tcW w:w="1359" w:type="dxa"/>
            <w:noWrap/>
          </w:tcPr>
          <w:p w14:paraId="387D25E5" w14:textId="77777777" w:rsidR="00864660" w:rsidRDefault="00000000">
            <w:pPr>
              <w:pStyle w:val="MainBodyTextNoSpacing"/>
              <w:rPr>
                <w:sz w:val="20"/>
              </w:rPr>
            </w:pPr>
            <w:r>
              <w:rPr>
                <w:sz w:val="20"/>
              </w:rPr>
              <w:t>4 août 2028</w:t>
            </w:r>
          </w:p>
        </w:tc>
        <w:tc>
          <w:tcPr>
            <w:tcW w:w="1410" w:type="dxa"/>
            <w:noWrap/>
          </w:tcPr>
          <w:p w14:paraId="34239956" w14:textId="77777777" w:rsidR="00864660" w:rsidRDefault="00000000">
            <w:pPr>
              <w:pStyle w:val="MainBodyTextNoSpacing"/>
              <w:rPr>
                <w:sz w:val="20"/>
              </w:rPr>
            </w:pPr>
            <w:r>
              <w:rPr>
                <w:sz w:val="20"/>
              </w:rPr>
              <w:t>4 août 2028</w:t>
            </w:r>
          </w:p>
        </w:tc>
        <w:tc>
          <w:tcPr>
            <w:tcW w:w="1631" w:type="dxa"/>
            <w:vMerge w:val="restart"/>
            <w:noWrap/>
          </w:tcPr>
          <w:p w14:paraId="54BE353C" w14:textId="77777777" w:rsidR="00864660" w:rsidRDefault="00000000">
            <w:pPr>
              <w:pStyle w:val="MainBodyTextNoSpacing"/>
              <w:rPr>
                <w:sz w:val="20"/>
              </w:rPr>
            </w:pPr>
            <w:r>
              <w:rPr>
                <w:sz w:val="20"/>
              </w:rPr>
              <w:t>14 août 2028</w:t>
            </w:r>
          </w:p>
        </w:tc>
      </w:tr>
      <w:tr w:rsidR="00864660" w14:paraId="5BCE20D4" w14:textId="77777777" w:rsidTr="00864660">
        <w:tc>
          <w:tcPr>
            <w:tcW w:w="1217" w:type="dxa"/>
            <w:vMerge w:val="restart"/>
          </w:tcPr>
          <w:p w14:paraId="30A24075" w14:textId="77777777" w:rsidR="00864660" w:rsidRDefault="00000000">
            <w:pPr>
              <w:pStyle w:val="MainBodyTextNoSpacing"/>
              <w:rPr>
                <w:sz w:val="20"/>
              </w:rPr>
            </w:pPr>
            <w:r>
              <w:rPr>
                <w:sz w:val="20"/>
              </w:rPr>
              <w:t>43</w:t>
            </w:r>
          </w:p>
        </w:tc>
        <w:tc>
          <w:tcPr>
            <w:tcW w:w="1359" w:type="dxa"/>
            <w:noWrap/>
          </w:tcPr>
          <w:p w14:paraId="5B8F9FF2" w14:textId="77777777" w:rsidR="00864660" w:rsidRDefault="00000000">
            <w:pPr>
              <w:pStyle w:val="MainBodyTextNoSpacing"/>
              <w:rPr>
                <w:sz w:val="20"/>
              </w:rPr>
            </w:pPr>
            <w:r>
              <w:rPr>
                <w:sz w:val="20"/>
              </w:rPr>
              <w:t>7 septembre 2028</w:t>
            </w:r>
          </w:p>
        </w:tc>
        <w:tc>
          <w:tcPr>
            <w:tcW w:w="1410" w:type="dxa"/>
            <w:noWrap/>
          </w:tcPr>
          <w:p w14:paraId="2FF7DFC8" w14:textId="77777777" w:rsidR="00864660" w:rsidRDefault="00000000">
            <w:pPr>
              <w:pStyle w:val="MainBodyTextNoSpacing"/>
              <w:rPr>
                <w:sz w:val="20"/>
              </w:rPr>
            </w:pPr>
            <w:r>
              <w:rPr>
                <w:sz w:val="20"/>
              </w:rPr>
              <w:t>7 septembre 2028</w:t>
            </w:r>
          </w:p>
        </w:tc>
        <w:tc>
          <w:tcPr>
            <w:tcW w:w="1631" w:type="dxa"/>
            <w:vMerge w:val="restart"/>
            <w:noWrap/>
          </w:tcPr>
          <w:p w14:paraId="5350BF77" w14:textId="77777777" w:rsidR="00864660" w:rsidRDefault="00000000">
            <w:pPr>
              <w:pStyle w:val="MainBodyTextNoSpacing"/>
              <w:rPr>
                <w:sz w:val="20"/>
              </w:rPr>
            </w:pPr>
            <w:r>
              <w:rPr>
                <w:sz w:val="20"/>
              </w:rPr>
              <w:t>14 septembre 2028</w:t>
            </w:r>
          </w:p>
        </w:tc>
      </w:tr>
      <w:tr w:rsidR="00864660" w14:paraId="4155643D" w14:textId="77777777" w:rsidTr="00864660">
        <w:tc>
          <w:tcPr>
            <w:tcW w:w="1217" w:type="dxa"/>
            <w:vMerge w:val="restart"/>
          </w:tcPr>
          <w:p w14:paraId="0DCE54BD" w14:textId="77777777" w:rsidR="00864660" w:rsidRDefault="00000000">
            <w:pPr>
              <w:pStyle w:val="MainBodyTextNoSpacing"/>
              <w:rPr>
                <w:sz w:val="20"/>
              </w:rPr>
            </w:pPr>
            <w:r>
              <w:rPr>
                <w:sz w:val="20"/>
              </w:rPr>
              <w:t>44</w:t>
            </w:r>
          </w:p>
        </w:tc>
        <w:tc>
          <w:tcPr>
            <w:tcW w:w="1359" w:type="dxa"/>
            <w:noWrap/>
          </w:tcPr>
          <w:p w14:paraId="3F958378" w14:textId="77777777" w:rsidR="00864660" w:rsidRDefault="00000000">
            <w:pPr>
              <w:pStyle w:val="MainBodyTextNoSpacing"/>
              <w:rPr>
                <w:sz w:val="20"/>
              </w:rPr>
            </w:pPr>
            <w:r>
              <w:rPr>
                <w:sz w:val="20"/>
              </w:rPr>
              <w:t>6 octobre 2028</w:t>
            </w:r>
          </w:p>
        </w:tc>
        <w:tc>
          <w:tcPr>
            <w:tcW w:w="1410" w:type="dxa"/>
            <w:noWrap/>
          </w:tcPr>
          <w:p w14:paraId="65E15DE5" w14:textId="77777777" w:rsidR="00864660" w:rsidRDefault="00000000">
            <w:pPr>
              <w:pStyle w:val="MainBodyTextNoSpacing"/>
              <w:rPr>
                <w:sz w:val="20"/>
              </w:rPr>
            </w:pPr>
            <w:r>
              <w:rPr>
                <w:sz w:val="20"/>
              </w:rPr>
              <w:t>6 octobre 2028</w:t>
            </w:r>
          </w:p>
        </w:tc>
        <w:tc>
          <w:tcPr>
            <w:tcW w:w="1631" w:type="dxa"/>
            <w:vMerge w:val="restart"/>
            <w:noWrap/>
          </w:tcPr>
          <w:p w14:paraId="11DC0917" w14:textId="77777777" w:rsidR="00864660" w:rsidRDefault="00000000">
            <w:pPr>
              <w:pStyle w:val="MainBodyTextNoSpacing"/>
              <w:rPr>
                <w:sz w:val="20"/>
              </w:rPr>
            </w:pPr>
            <w:r>
              <w:rPr>
                <w:sz w:val="20"/>
              </w:rPr>
              <w:t>16 octobre 2028</w:t>
            </w:r>
          </w:p>
        </w:tc>
      </w:tr>
      <w:tr w:rsidR="00864660" w14:paraId="6283486D" w14:textId="77777777" w:rsidTr="00864660">
        <w:tc>
          <w:tcPr>
            <w:tcW w:w="1217" w:type="dxa"/>
            <w:vMerge w:val="restart"/>
          </w:tcPr>
          <w:p w14:paraId="03F34A6F" w14:textId="77777777" w:rsidR="00864660" w:rsidRDefault="00000000">
            <w:pPr>
              <w:pStyle w:val="MainBodyTextNoSpacing"/>
              <w:rPr>
                <w:sz w:val="20"/>
              </w:rPr>
            </w:pPr>
            <w:r>
              <w:rPr>
                <w:sz w:val="20"/>
              </w:rPr>
              <w:t>45</w:t>
            </w:r>
          </w:p>
        </w:tc>
        <w:tc>
          <w:tcPr>
            <w:tcW w:w="1359" w:type="dxa"/>
            <w:noWrap/>
          </w:tcPr>
          <w:p w14:paraId="277B48BC" w14:textId="77777777" w:rsidR="00864660" w:rsidRDefault="00000000">
            <w:pPr>
              <w:pStyle w:val="MainBodyTextNoSpacing"/>
              <w:rPr>
                <w:sz w:val="20"/>
              </w:rPr>
            </w:pPr>
            <w:r>
              <w:rPr>
                <w:sz w:val="20"/>
              </w:rPr>
              <w:t>6 novembre 2028</w:t>
            </w:r>
          </w:p>
        </w:tc>
        <w:tc>
          <w:tcPr>
            <w:tcW w:w="1410" w:type="dxa"/>
            <w:noWrap/>
          </w:tcPr>
          <w:p w14:paraId="3FA227EB" w14:textId="77777777" w:rsidR="00864660" w:rsidRDefault="00000000">
            <w:pPr>
              <w:pStyle w:val="MainBodyTextNoSpacing"/>
              <w:rPr>
                <w:sz w:val="20"/>
              </w:rPr>
            </w:pPr>
            <w:r>
              <w:rPr>
                <w:sz w:val="20"/>
              </w:rPr>
              <w:t>6 novembre 2028</w:t>
            </w:r>
          </w:p>
        </w:tc>
        <w:tc>
          <w:tcPr>
            <w:tcW w:w="1631" w:type="dxa"/>
            <w:vMerge w:val="restart"/>
            <w:noWrap/>
          </w:tcPr>
          <w:p w14:paraId="4AE2311F" w14:textId="77777777" w:rsidR="00864660" w:rsidRDefault="00000000">
            <w:pPr>
              <w:pStyle w:val="MainBodyTextNoSpacing"/>
              <w:rPr>
                <w:sz w:val="20"/>
              </w:rPr>
            </w:pPr>
            <w:r>
              <w:rPr>
                <w:sz w:val="20"/>
              </w:rPr>
              <w:t>14 novembre 2028</w:t>
            </w:r>
          </w:p>
        </w:tc>
      </w:tr>
      <w:tr w:rsidR="00864660" w14:paraId="74E5B2A8" w14:textId="77777777" w:rsidTr="00864660">
        <w:tc>
          <w:tcPr>
            <w:tcW w:w="1217" w:type="dxa"/>
            <w:vMerge w:val="restart"/>
          </w:tcPr>
          <w:p w14:paraId="617E7974" w14:textId="77777777" w:rsidR="00864660" w:rsidRDefault="00000000">
            <w:pPr>
              <w:pStyle w:val="MainBodyTextNoSpacing"/>
              <w:rPr>
                <w:sz w:val="20"/>
              </w:rPr>
            </w:pPr>
            <w:r>
              <w:rPr>
                <w:sz w:val="20"/>
              </w:rPr>
              <w:t>46</w:t>
            </w:r>
          </w:p>
        </w:tc>
        <w:tc>
          <w:tcPr>
            <w:tcW w:w="1359" w:type="dxa"/>
            <w:noWrap/>
          </w:tcPr>
          <w:p w14:paraId="4C063AA5" w14:textId="77777777" w:rsidR="00864660" w:rsidRDefault="00000000">
            <w:pPr>
              <w:pStyle w:val="MainBodyTextNoSpacing"/>
              <w:rPr>
                <w:sz w:val="20"/>
              </w:rPr>
            </w:pPr>
            <w:r>
              <w:rPr>
                <w:sz w:val="20"/>
              </w:rPr>
              <w:t>7 décembre 2028</w:t>
            </w:r>
          </w:p>
        </w:tc>
        <w:tc>
          <w:tcPr>
            <w:tcW w:w="1410" w:type="dxa"/>
            <w:noWrap/>
          </w:tcPr>
          <w:p w14:paraId="2604AE2D" w14:textId="77777777" w:rsidR="00864660" w:rsidRDefault="00000000">
            <w:pPr>
              <w:pStyle w:val="MainBodyTextNoSpacing"/>
              <w:rPr>
                <w:sz w:val="20"/>
              </w:rPr>
            </w:pPr>
            <w:r>
              <w:rPr>
                <w:sz w:val="20"/>
              </w:rPr>
              <w:t>7 décembre 2028</w:t>
            </w:r>
          </w:p>
        </w:tc>
        <w:tc>
          <w:tcPr>
            <w:tcW w:w="1631" w:type="dxa"/>
            <w:vMerge w:val="restart"/>
            <w:noWrap/>
          </w:tcPr>
          <w:p w14:paraId="1C9AACD9" w14:textId="77777777" w:rsidR="00864660" w:rsidRDefault="00000000">
            <w:pPr>
              <w:pStyle w:val="MainBodyTextNoSpacing"/>
              <w:rPr>
                <w:sz w:val="20"/>
              </w:rPr>
            </w:pPr>
            <w:r>
              <w:rPr>
                <w:sz w:val="20"/>
              </w:rPr>
              <w:t>14 décembre 2028</w:t>
            </w:r>
          </w:p>
        </w:tc>
      </w:tr>
      <w:tr w:rsidR="00864660" w14:paraId="2A562634" w14:textId="77777777" w:rsidTr="00864660">
        <w:tc>
          <w:tcPr>
            <w:tcW w:w="1217" w:type="dxa"/>
            <w:vMerge w:val="restart"/>
          </w:tcPr>
          <w:p w14:paraId="2B03CF38" w14:textId="77777777" w:rsidR="00864660" w:rsidRDefault="00000000">
            <w:pPr>
              <w:pStyle w:val="MainBodyTextNoSpacing"/>
              <w:rPr>
                <w:sz w:val="20"/>
              </w:rPr>
            </w:pPr>
            <w:r>
              <w:rPr>
                <w:sz w:val="20"/>
              </w:rPr>
              <w:t>47</w:t>
            </w:r>
          </w:p>
        </w:tc>
        <w:tc>
          <w:tcPr>
            <w:tcW w:w="1359" w:type="dxa"/>
            <w:noWrap/>
          </w:tcPr>
          <w:p w14:paraId="4C31584E" w14:textId="77777777" w:rsidR="00864660" w:rsidRDefault="00000000">
            <w:pPr>
              <w:pStyle w:val="MainBodyTextNoSpacing"/>
              <w:rPr>
                <w:sz w:val="20"/>
              </w:rPr>
            </w:pPr>
            <w:r>
              <w:rPr>
                <w:sz w:val="20"/>
              </w:rPr>
              <w:t>8 janvier 2029</w:t>
            </w:r>
          </w:p>
        </w:tc>
        <w:tc>
          <w:tcPr>
            <w:tcW w:w="1410" w:type="dxa"/>
            <w:noWrap/>
          </w:tcPr>
          <w:p w14:paraId="1C1594AF" w14:textId="77777777" w:rsidR="00864660" w:rsidRDefault="00000000">
            <w:pPr>
              <w:pStyle w:val="MainBodyTextNoSpacing"/>
              <w:rPr>
                <w:sz w:val="20"/>
              </w:rPr>
            </w:pPr>
            <w:r>
              <w:rPr>
                <w:sz w:val="20"/>
              </w:rPr>
              <w:t>8 janvier 2029</w:t>
            </w:r>
          </w:p>
        </w:tc>
        <w:tc>
          <w:tcPr>
            <w:tcW w:w="1631" w:type="dxa"/>
            <w:vMerge w:val="restart"/>
            <w:noWrap/>
          </w:tcPr>
          <w:p w14:paraId="02F5CA14" w14:textId="77777777" w:rsidR="00864660" w:rsidRDefault="00000000">
            <w:pPr>
              <w:pStyle w:val="MainBodyTextNoSpacing"/>
              <w:rPr>
                <w:sz w:val="20"/>
              </w:rPr>
            </w:pPr>
            <w:r>
              <w:rPr>
                <w:sz w:val="20"/>
              </w:rPr>
              <w:t>15 janvier 2029</w:t>
            </w:r>
          </w:p>
        </w:tc>
      </w:tr>
      <w:tr w:rsidR="00864660" w14:paraId="7703C46D" w14:textId="77777777" w:rsidTr="00864660">
        <w:tc>
          <w:tcPr>
            <w:tcW w:w="1217" w:type="dxa"/>
            <w:vMerge w:val="restart"/>
          </w:tcPr>
          <w:p w14:paraId="46045091" w14:textId="77777777" w:rsidR="00864660" w:rsidRDefault="00000000">
            <w:pPr>
              <w:pStyle w:val="MainBodyTextNoSpacing"/>
              <w:rPr>
                <w:sz w:val="20"/>
              </w:rPr>
            </w:pPr>
            <w:r>
              <w:rPr>
                <w:sz w:val="20"/>
              </w:rPr>
              <w:t>48</w:t>
            </w:r>
          </w:p>
        </w:tc>
        <w:tc>
          <w:tcPr>
            <w:tcW w:w="1359" w:type="dxa"/>
            <w:noWrap/>
          </w:tcPr>
          <w:p w14:paraId="2E939395" w14:textId="77777777" w:rsidR="00864660" w:rsidRDefault="00000000">
            <w:pPr>
              <w:pStyle w:val="MainBodyTextNoSpacing"/>
              <w:rPr>
                <w:sz w:val="20"/>
              </w:rPr>
            </w:pPr>
            <w:r>
              <w:rPr>
                <w:sz w:val="20"/>
              </w:rPr>
              <w:t>7 février 2029</w:t>
            </w:r>
          </w:p>
        </w:tc>
        <w:tc>
          <w:tcPr>
            <w:tcW w:w="1410" w:type="dxa"/>
            <w:noWrap/>
          </w:tcPr>
          <w:p w14:paraId="6E918ADA" w14:textId="77777777" w:rsidR="00864660" w:rsidRDefault="00000000">
            <w:pPr>
              <w:pStyle w:val="MainBodyTextNoSpacing"/>
              <w:rPr>
                <w:sz w:val="20"/>
              </w:rPr>
            </w:pPr>
            <w:r>
              <w:rPr>
                <w:sz w:val="20"/>
              </w:rPr>
              <w:t>7 février 2029</w:t>
            </w:r>
          </w:p>
        </w:tc>
        <w:tc>
          <w:tcPr>
            <w:tcW w:w="1631" w:type="dxa"/>
            <w:vMerge w:val="restart"/>
            <w:noWrap/>
          </w:tcPr>
          <w:p w14:paraId="6088B139" w14:textId="77777777" w:rsidR="00864660" w:rsidRDefault="00000000">
            <w:pPr>
              <w:pStyle w:val="MainBodyTextNoSpacing"/>
              <w:rPr>
                <w:sz w:val="20"/>
              </w:rPr>
            </w:pPr>
            <w:r>
              <w:rPr>
                <w:sz w:val="20"/>
              </w:rPr>
              <w:t>14 février 2029</w:t>
            </w:r>
          </w:p>
        </w:tc>
      </w:tr>
      <w:tr w:rsidR="00864660" w14:paraId="4694A071" w14:textId="77777777" w:rsidTr="00864660">
        <w:tc>
          <w:tcPr>
            <w:tcW w:w="1217" w:type="dxa"/>
            <w:vMerge w:val="restart"/>
          </w:tcPr>
          <w:p w14:paraId="669378F0" w14:textId="77777777" w:rsidR="00864660" w:rsidRDefault="00000000">
            <w:pPr>
              <w:pStyle w:val="MainBodyTextNoSpacing"/>
              <w:rPr>
                <w:sz w:val="20"/>
              </w:rPr>
            </w:pPr>
            <w:r>
              <w:rPr>
                <w:sz w:val="20"/>
              </w:rPr>
              <w:t>49</w:t>
            </w:r>
          </w:p>
        </w:tc>
        <w:tc>
          <w:tcPr>
            <w:tcW w:w="1359" w:type="dxa"/>
            <w:noWrap/>
          </w:tcPr>
          <w:p w14:paraId="42938C65" w14:textId="77777777" w:rsidR="00864660" w:rsidRDefault="00000000">
            <w:pPr>
              <w:pStyle w:val="MainBodyTextNoSpacing"/>
              <w:rPr>
                <w:sz w:val="20"/>
              </w:rPr>
            </w:pPr>
            <w:r>
              <w:rPr>
                <w:sz w:val="20"/>
              </w:rPr>
              <w:t>7 mars 2029</w:t>
            </w:r>
          </w:p>
        </w:tc>
        <w:tc>
          <w:tcPr>
            <w:tcW w:w="1410" w:type="dxa"/>
            <w:noWrap/>
          </w:tcPr>
          <w:p w14:paraId="317DC62D" w14:textId="77777777" w:rsidR="00864660" w:rsidRDefault="00000000">
            <w:pPr>
              <w:pStyle w:val="MainBodyTextNoSpacing"/>
              <w:rPr>
                <w:sz w:val="20"/>
              </w:rPr>
            </w:pPr>
            <w:r>
              <w:rPr>
                <w:sz w:val="20"/>
              </w:rPr>
              <w:t>7 mars 2029</w:t>
            </w:r>
          </w:p>
        </w:tc>
        <w:tc>
          <w:tcPr>
            <w:tcW w:w="1631" w:type="dxa"/>
            <w:vMerge w:val="restart"/>
            <w:noWrap/>
          </w:tcPr>
          <w:p w14:paraId="41286AC3" w14:textId="77777777" w:rsidR="00864660" w:rsidRDefault="00000000">
            <w:pPr>
              <w:pStyle w:val="MainBodyTextNoSpacing"/>
              <w:rPr>
                <w:sz w:val="20"/>
              </w:rPr>
            </w:pPr>
            <w:r>
              <w:rPr>
                <w:sz w:val="20"/>
              </w:rPr>
              <w:t>14 mars 2029</w:t>
            </w:r>
          </w:p>
        </w:tc>
      </w:tr>
      <w:tr w:rsidR="00864660" w14:paraId="75146A66" w14:textId="77777777" w:rsidTr="00864660">
        <w:tc>
          <w:tcPr>
            <w:tcW w:w="1217" w:type="dxa"/>
            <w:vMerge w:val="restart"/>
          </w:tcPr>
          <w:p w14:paraId="4EDBF494" w14:textId="77777777" w:rsidR="00864660" w:rsidRDefault="00000000">
            <w:pPr>
              <w:pStyle w:val="MainBodyTextNoSpacing"/>
              <w:rPr>
                <w:sz w:val="20"/>
              </w:rPr>
            </w:pPr>
            <w:r>
              <w:rPr>
                <w:sz w:val="20"/>
              </w:rPr>
              <w:t>50</w:t>
            </w:r>
          </w:p>
        </w:tc>
        <w:tc>
          <w:tcPr>
            <w:tcW w:w="1359" w:type="dxa"/>
            <w:noWrap/>
          </w:tcPr>
          <w:p w14:paraId="6742B053" w14:textId="77777777" w:rsidR="00864660" w:rsidRDefault="00000000">
            <w:pPr>
              <w:pStyle w:val="MainBodyTextNoSpacing"/>
              <w:rPr>
                <w:sz w:val="20"/>
              </w:rPr>
            </w:pPr>
            <w:r>
              <w:rPr>
                <w:sz w:val="20"/>
              </w:rPr>
              <w:t>9 avril 2029</w:t>
            </w:r>
          </w:p>
        </w:tc>
        <w:tc>
          <w:tcPr>
            <w:tcW w:w="1410" w:type="dxa"/>
            <w:noWrap/>
          </w:tcPr>
          <w:p w14:paraId="047342D6" w14:textId="77777777" w:rsidR="00864660" w:rsidRDefault="00000000">
            <w:pPr>
              <w:pStyle w:val="MainBodyTextNoSpacing"/>
              <w:rPr>
                <w:sz w:val="20"/>
              </w:rPr>
            </w:pPr>
            <w:r>
              <w:rPr>
                <w:sz w:val="20"/>
              </w:rPr>
              <w:t>9 avril 2029</w:t>
            </w:r>
          </w:p>
        </w:tc>
        <w:tc>
          <w:tcPr>
            <w:tcW w:w="1631" w:type="dxa"/>
            <w:vMerge w:val="restart"/>
            <w:noWrap/>
          </w:tcPr>
          <w:p w14:paraId="54D7C7AF" w14:textId="77777777" w:rsidR="00864660" w:rsidRDefault="00000000">
            <w:pPr>
              <w:pStyle w:val="MainBodyTextNoSpacing"/>
              <w:rPr>
                <w:sz w:val="20"/>
              </w:rPr>
            </w:pPr>
            <w:r>
              <w:rPr>
                <w:sz w:val="20"/>
              </w:rPr>
              <w:t>16 avril 2029</w:t>
            </w:r>
          </w:p>
        </w:tc>
      </w:tr>
      <w:tr w:rsidR="00864660" w14:paraId="131BA694" w14:textId="77777777" w:rsidTr="00864660">
        <w:tc>
          <w:tcPr>
            <w:tcW w:w="1217" w:type="dxa"/>
            <w:vMerge w:val="restart"/>
          </w:tcPr>
          <w:p w14:paraId="2B42C57D" w14:textId="77777777" w:rsidR="00864660" w:rsidRDefault="00000000">
            <w:pPr>
              <w:pStyle w:val="MainBodyTextNoSpacing"/>
              <w:rPr>
                <w:sz w:val="20"/>
              </w:rPr>
            </w:pPr>
            <w:r>
              <w:rPr>
                <w:sz w:val="20"/>
              </w:rPr>
              <w:t>51</w:t>
            </w:r>
          </w:p>
        </w:tc>
        <w:tc>
          <w:tcPr>
            <w:tcW w:w="1359" w:type="dxa"/>
            <w:noWrap/>
          </w:tcPr>
          <w:p w14:paraId="3B9F1EC2" w14:textId="77777777" w:rsidR="00864660" w:rsidRDefault="00000000">
            <w:pPr>
              <w:pStyle w:val="MainBodyTextNoSpacing"/>
              <w:rPr>
                <w:sz w:val="20"/>
              </w:rPr>
            </w:pPr>
            <w:r>
              <w:rPr>
                <w:sz w:val="20"/>
              </w:rPr>
              <w:t>7 mai 2029</w:t>
            </w:r>
          </w:p>
        </w:tc>
        <w:tc>
          <w:tcPr>
            <w:tcW w:w="1410" w:type="dxa"/>
            <w:noWrap/>
          </w:tcPr>
          <w:p w14:paraId="626BC3DA" w14:textId="77777777" w:rsidR="00864660" w:rsidRDefault="00000000">
            <w:pPr>
              <w:pStyle w:val="MainBodyTextNoSpacing"/>
              <w:rPr>
                <w:sz w:val="20"/>
              </w:rPr>
            </w:pPr>
            <w:r>
              <w:rPr>
                <w:sz w:val="20"/>
              </w:rPr>
              <w:t>7 mai 2029</w:t>
            </w:r>
          </w:p>
        </w:tc>
        <w:tc>
          <w:tcPr>
            <w:tcW w:w="1631" w:type="dxa"/>
            <w:vMerge w:val="restart"/>
            <w:noWrap/>
          </w:tcPr>
          <w:p w14:paraId="5B45780E" w14:textId="77777777" w:rsidR="00864660" w:rsidRDefault="00000000">
            <w:pPr>
              <w:pStyle w:val="MainBodyTextNoSpacing"/>
              <w:rPr>
                <w:sz w:val="20"/>
              </w:rPr>
            </w:pPr>
            <w:r>
              <w:rPr>
                <w:sz w:val="20"/>
              </w:rPr>
              <w:t>14 mai 2029</w:t>
            </w:r>
          </w:p>
        </w:tc>
      </w:tr>
      <w:tr w:rsidR="00864660" w14:paraId="3D5E0EE4" w14:textId="77777777" w:rsidTr="00864660">
        <w:tc>
          <w:tcPr>
            <w:tcW w:w="1217" w:type="dxa"/>
            <w:vMerge w:val="restart"/>
          </w:tcPr>
          <w:p w14:paraId="26D2280D" w14:textId="77777777" w:rsidR="00864660" w:rsidRDefault="00000000">
            <w:pPr>
              <w:pStyle w:val="MainBodyTextNoSpacing"/>
              <w:rPr>
                <w:sz w:val="20"/>
              </w:rPr>
            </w:pPr>
            <w:r>
              <w:rPr>
                <w:sz w:val="20"/>
              </w:rPr>
              <w:t>52</w:t>
            </w:r>
          </w:p>
        </w:tc>
        <w:tc>
          <w:tcPr>
            <w:tcW w:w="1359" w:type="dxa"/>
            <w:noWrap/>
          </w:tcPr>
          <w:p w14:paraId="67573B9C" w14:textId="77777777" w:rsidR="00864660" w:rsidRDefault="00000000">
            <w:pPr>
              <w:pStyle w:val="MainBodyTextNoSpacing"/>
              <w:rPr>
                <w:sz w:val="20"/>
              </w:rPr>
            </w:pPr>
            <w:r>
              <w:rPr>
                <w:sz w:val="20"/>
              </w:rPr>
              <w:t>7 juin 2029</w:t>
            </w:r>
          </w:p>
        </w:tc>
        <w:tc>
          <w:tcPr>
            <w:tcW w:w="1410" w:type="dxa"/>
            <w:noWrap/>
          </w:tcPr>
          <w:p w14:paraId="1896B50D" w14:textId="77777777" w:rsidR="00864660" w:rsidRDefault="00000000">
            <w:pPr>
              <w:pStyle w:val="MainBodyTextNoSpacing"/>
              <w:rPr>
                <w:sz w:val="20"/>
              </w:rPr>
            </w:pPr>
            <w:r>
              <w:rPr>
                <w:sz w:val="20"/>
              </w:rPr>
              <w:t>7 juin 2029</w:t>
            </w:r>
          </w:p>
        </w:tc>
        <w:tc>
          <w:tcPr>
            <w:tcW w:w="1631" w:type="dxa"/>
            <w:vMerge w:val="restart"/>
            <w:noWrap/>
          </w:tcPr>
          <w:p w14:paraId="68AC8458" w14:textId="77777777" w:rsidR="00864660" w:rsidRDefault="00000000">
            <w:pPr>
              <w:pStyle w:val="MainBodyTextNoSpacing"/>
              <w:rPr>
                <w:sz w:val="20"/>
              </w:rPr>
            </w:pPr>
            <w:r>
              <w:rPr>
                <w:sz w:val="20"/>
              </w:rPr>
              <w:t>14 juin 2029</w:t>
            </w:r>
          </w:p>
        </w:tc>
      </w:tr>
      <w:tr w:rsidR="00864660" w14:paraId="4089884F" w14:textId="77777777" w:rsidTr="00864660">
        <w:tc>
          <w:tcPr>
            <w:tcW w:w="1217" w:type="dxa"/>
            <w:vMerge w:val="restart"/>
          </w:tcPr>
          <w:p w14:paraId="5C6E2262" w14:textId="77777777" w:rsidR="00864660" w:rsidRDefault="00000000">
            <w:pPr>
              <w:pStyle w:val="MainBodyTextNoSpacing"/>
              <w:rPr>
                <w:sz w:val="20"/>
              </w:rPr>
            </w:pPr>
            <w:r>
              <w:rPr>
                <w:sz w:val="20"/>
              </w:rPr>
              <w:t>53</w:t>
            </w:r>
          </w:p>
        </w:tc>
        <w:tc>
          <w:tcPr>
            <w:tcW w:w="1359" w:type="dxa"/>
            <w:noWrap/>
          </w:tcPr>
          <w:p w14:paraId="0829F67A" w14:textId="77777777" w:rsidR="00864660" w:rsidRDefault="00000000">
            <w:pPr>
              <w:pStyle w:val="MainBodyTextNoSpacing"/>
              <w:rPr>
                <w:sz w:val="20"/>
              </w:rPr>
            </w:pPr>
            <w:r>
              <w:rPr>
                <w:sz w:val="20"/>
              </w:rPr>
              <w:t>9 juillet 2029</w:t>
            </w:r>
          </w:p>
        </w:tc>
        <w:tc>
          <w:tcPr>
            <w:tcW w:w="1410" w:type="dxa"/>
            <w:noWrap/>
          </w:tcPr>
          <w:p w14:paraId="4CE156E0" w14:textId="77777777" w:rsidR="00864660" w:rsidRDefault="00000000">
            <w:pPr>
              <w:pStyle w:val="MainBodyTextNoSpacing"/>
              <w:rPr>
                <w:sz w:val="20"/>
              </w:rPr>
            </w:pPr>
            <w:r>
              <w:rPr>
                <w:sz w:val="20"/>
              </w:rPr>
              <w:t>9 juillet 2029</w:t>
            </w:r>
          </w:p>
        </w:tc>
        <w:tc>
          <w:tcPr>
            <w:tcW w:w="1631" w:type="dxa"/>
            <w:vMerge w:val="restart"/>
            <w:noWrap/>
          </w:tcPr>
          <w:p w14:paraId="7BCE9DD2" w14:textId="77777777" w:rsidR="00864660" w:rsidRDefault="00000000">
            <w:pPr>
              <w:pStyle w:val="MainBodyTextNoSpacing"/>
              <w:rPr>
                <w:sz w:val="20"/>
              </w:rPr>
            </w:pPr>
            <w:r>
              <w:rPr>
                <w:sz w:val="20"/>
              </w:rPr>
              <w:t>16 juillet 2029</w:t>
            </w:r>
          </w:p>
        </w:tc>
      </w:tr>
      <w:tr w:rsidR="00864660" w14:paraId="3F8DA9A9" w14:textId="77777777" w:rsidTr="00864660">
        <w:tc>
          <w:tcPr>
            <w:tcW w:w="1217" w:type="dxa"/>
            <w:vMerge w:val="restart"/>
          </w:tcPr>
          <w:p w14:paraId="773F24D3" w14:textId="77777777" w:rsidR="00864660" w:rsidRDefault="00000000">
            <w:pPr>
              <w:pStyle w:val="MainBodyTextNoSpacing"/>
              <w:rPr>
                <w:sz w:val="20"/>
              </w:rPr>
            </w:pPr>
            <w:r>
              <w:rPr>
                <w:sz w:val="20"/>
              </w:rPr>
              <w:t>54</w:t>
            </w:r>
          </w:p>
        </w:tc>
        <w:tc>
          <w:tcPr>
            <w:tcW w:w="1359" w:type="dxa"/>
            <w:noWrap/>
          </w:tcPr>
          <w:p w14:paraId="4C74A298" w14:textId="77777777" w:rsidR="00864660" w:rsidRDefault="00000000">
            <w:pPr>
              <w:pStyle w:val="MainBodyTextNoSpacing"/>
              <w:rPr>
                <w:sz w:val="20"/>
              </w:rPr>
            </w:pPr>
            <w:r>
              <w:rPr>
                <w:sz w:val="20"/>
              </w:rPr>
              <w:t>7 août 2029</w:t>
            </w:r>
          </w:p>
        </w:tc>
        <w:tc>
          <w:tcPr>
            <w:tcW w:w="1410" w:type="dxa"/>
            <w:noWrap/>
          </w:tcPr>
          <w:p w14:paraId="318E8972" w14:textId="77777777" w:rsidR="00864660" w:rsidRDefault="00000000">
            <w:pPr>
              <w:pStyle w:val="MainBodyTextNoSpacing"/>
              <w:rPr>
                <w:sz w:val="20"/>
              </w:rPr>
            </w:pPr>
            <w:r>
              <w:rPr>
                <w:sz w:val="20"/>
              </w:rPr>
              <w:t>7 août 2029</w:t>
            </w:r>
          </w:p>
        </w:tc>
        <w:tc>
          <w:tcPr>
            <w:tcW w:w="1631" w:type="dxa"/>
            <w:vMerge w:val="restart"/>
            <w:noWrap/>
          </w:tcPr>
          <w:p w14:paraId="443BA74A" w14:textId="77777777" w:rsidR="00864660" w:rsidRDefault="00000000">
            <w:pPr>
              <w:pStyle w:val="MainBodyTextNoSpacing"/>
              <w:rPr>
                <w:sz w:val="20"/>
              </w:rPr>
            </w:pPr>
            <w:r>
              <w:rPr>
                <w:sz w:val="20"/>
              </w:rPr>
              <w:t>14 août 2029</w:t>
            </w:r>
          </w:p>
        </w:tc>
      </w:tr>
      <w:tr w:rsidR="00864660" w14:paraId="1CDB97E0" w14:textId="77777777" w:rsidTr="00864660">
        <w:tc>
          <w:tcPr>
            <w:tcW w:w="1217" w:type="dxa"/>
            <w:vMerge w:val="restart"/>
          </w:tcPr>
          <w:p w14:paraId="38B281D3" w14:textId="77777777" w:rsidR="00864660" w:rsidRDefault="00000000">
            <w:pPr>
              <w:pStyle w:val="MainBodyTextNoSpacing"/>
              <w:rPr>
                <w:sz w:val="20"/>
              </w:rPr>
            </w:pPr>
            <w:r>
              <w:rPr>
                <w:sz w:val="20"/>
              </w:rPr>
              <w:t>55</w:t>
            </w:r>
          </w:p>
        </w:tc>
        <w:tc>
          <w:tcPr>
            <w:tcW w:w="1359" w:type="dxa"/>
            <w:noWrap/>
          </w:tcPr>
          <w:p w14:paraId="332B55CB" w14:textId="77777777" w:rsidR="00864660" w:rsidRDefault="00000000">
            <w:pPr>
              <w:pStyle w:val="MainBodyTextNoSpacing"/>
              <w:rPr>
                <w:sz w:val="20"/>
              </w:rPr>
            </w:pPr>
            <w:r>
              <w:rPr>
                <w:sz w:val="20"/>
              </w:rPr>
              <w:t>7 septembre 2029</w:t>
            </w:r>
          </w:p>
        </w:tc>
        <w:tc>
          <w:tcPr>
            <w:tcW w:w="1410" w:type="dxa"/>
            <w:noWrap/>
          </w:tcPr>
          <w:p w14:paraId="208713EE" w14:textId="77777777" w:rsidR="00864660" w:rsidRDefault="00000000">
            <w:pPr>
              <w:pStyle w:val="MainBodyTextNoSpacing"/>
              <w:rPr>
                <w:sz w:val="20"/>
              </w:rPr>
            </w:pPr>
            <w:r>
              <w:rPr>
                <w:sz w:val="20"/>
              </w:rPr>
              <w:t>7 septembre 2029</w:t>
            </w:r>
          </w:p>
        </w:tc>
        <w:tc>
          <w:tcPr>
            <w:tcW w:w="1631" w:type="dxa"/>
            <w:vMerge w:val="restart"/>
            <w:noWrap/>
          </w:tcPr>
          <w:p w14:paraId="79145A5D" w14:textId="77777777" w:rsidR="00864660" w:rsidRDefault="00000000">
            <w:pPr>
              <w:pStyle w:val="MainBodyTextNoSpacing"/>
              <w:rPr>
                <w:sz w:val="20"/>
              </w:rPr>
            </w:pPr>
            <w:r>
              <w:rPr>
                <w:sz w:val="20"/>
              </w:rPr>
              <w:t>14 septembre 2029</w:t>
            </w:r>
          </w:p>
        </w:tc>
      </w:tr>
      <w:tr w:rsidR="00864660" w14:paraId="08AF6FDD" w14:textId="77777777" w:rsidTr="00864660">
        <w:tc>
          <w:tcPr>
            <w:tcW w:w="1217" w:type="dxa"/>
            <w:vMerge w:val="restart"/>
          </w:tcPr>
          <w:p w14:paraId="2F5E2A0B" w14:textId="77777777" w:rsidR="00864660" w:rsidRDefault="00000000">
            <w:pPr>
              <w:pStyle w:val="MainBodyTextNoSpacing"/>
              <w:rPr>
                <w:sz w:val="20"/>
              </w:rPr>
            </w:pPr>
            <w:r>
              <w:rPr>
                <w:sz w:val="20"/>
              </w:rPr>
              <w:t>56</w:t>
            </w:r>
          </w:p>
        </w:tc>
        <w:tc>
          <w:tcPr>
            <w:tcW w:w="1359" w:type="dxa"/>
            <w:noWrap/>
          </w:tcPr>
          <w:p w14:paraId="4A7FAE47" w14:textId="77777777" w:rsidR="00864660" w:rsidRDefault="00000000">
            <w:pPr>
              <w:pStyle w:val="MainBodyTextNoSpacing"/>
              <w:rPr>
                <w:sz w:val="20"/>
              </w:rPr>
            </w:pPr>
            <w:r>
              <w:rPr>
                <w:sz w:val="20"/>
              </w:rPr>
              <w:t>5 octobre 2029</w:t>
            </w:r>
          </w:p>
        </w:tc>
        <w:tc>
          <w:tcPr>
            <w:tcW w:w="1410" w:type="dxa"/>
            <w:noWrap/>
          </w:tcPr>
          <w:p w14:paraId="1F4DC22C" w14:textId="77777777" w:rsidR="00864660" w:rsidRDefault="00000000">
            <w:pPr>
              <w:pStyle w:val="MainBodyTextNoSpacing"/>
              <w:rPr>
                <w:sz w:val="20"/>
              </w:rPr>
            </w:pPr>
            <w:r>
              <w:rPr>
                <w:sz w:val="20"/>
              </w:rPr>
              <w:t>5 octobre 2029</w:t>
            </w:r>
          </w:p>
        </w:tc>
        <w:tc>
          <w:tcPr>
            <w:tcW w:w="1631" w:type="dxa"/>
            <w:vMerge w:val="restart"/>
            <w:noWrap/>
          </w:tcPr>
          <w:p w14:paraId="051EC670" w14:textId="77777777" w:rsidR="00864660" w:rsidRDefault="00000000">
            <w:pPr>
              <w:pStyle w:val="MainBodyTextNoSpacing"/>
              <w:rPr>
                <w:sz w:val="20"/>
              </w:rPr>
            </w:pPr>
            <w:r>
              <w:rPr>
                <w:sz w:val="20"/>
              </w:rPr>
              <w:t>15 octobre 2029</w:t>
            </w:r>
          </w:p>
        </w:tc>
      </w:tr>
      <w:tr w:rsidR="00864660" w14:paraId="0A9FF2DB" w14:textId="77777777" w:rsidTr="00864660">
        <w:tc>
          <w:tcPr>
            <w:tcW w:w="1217" w:type="dxa"/>
            <w:vMerge w:val="restart"/>
          </w:tcPr>
          <w:p w14:paraId="4D63151A" w14:textId="77777777" w:rsidR="00864660" w:rsidRDefault="00000000">
            <w:pPr>
              <w:pStyle w:val="MainBodyTextNoSpacing"/>
              <w:rPr>
                <w:sz w:val="20"/>
              </w:rPr>
            </w:pPr>
            <w:r>
              <w:rPr>
                <w:sz w:val="20"/>
              </w:rPr>
              <w:t>57</w:t>
            </w:r>
          </w:p>
        </w:tc>
        <w:tc>
          <w:tcPr>
            <w:tcW w:w="1359" w:type="dxa"/>
            <w:noWrap/>
          </w:tcPr>
          <w:p w14:paraId="6D2D598A" w14:textId="77777777" w:rsidR="00864660" w:rsidRDefault="00000000">
            <w:pPr>
              <w:pStyle w:val="MainBodyTextNoSpacing"/>
              <w:rPr>
                <w:sz w:val="20"/>
              </w:rPr>
            </w:pPr>
            <w:r>
              <w:rPr>
                <w:sz w:val="20"/>
              </w:rPr>
              <w:t>6 novembre 2029</w:t>
            </w:r>
          </w:p>
        </w:tc>
        <w:tc>
          <w:tcPr>
            <w:tcW w:w="1410" w:type="dxa"/>
            <w:noWrap/>
          </w:tcPr>
          <w:p w14:paraId="7FD0EDD4" w14:textId="77777777" w:rsidR="00864660" w:rsidRDefault="00000000">
            <w:pPr>
              <w:pStyle w:val="MainBodyTextNoSpacing"/>
              <w:rPr>
                <w:sz w:val="20"/>
              </w:rPr>
            </w:pPr>
            <w:r>
              <w:rPr>
                <w:sz w:val="20"/>
              </w:rPr>
              <w:t>6 novembre 2029</w:t>
            </w:r>
          </w:p>
        </w:tc>
        <w:tc>
          <w:tcPr>
            <w:tcW w:w="1631" w:type="dxa"/>
            <w:vMerge w:val="restart"/>
            <w:noWrap/>
          </w:tcPr>
          <w:p w14:paraId="0D40D109" w14:textId="77777777" w:rsidR="00864660" w:rsidRDefault="00000000">
            <w:pPr>
              <w:pStyle w:val="MainBodyTextNoSpacing"/>
              <w:rPr>
                <w:sz w:val="20"/>
              </w:rPr>
            </w:pPr>
            <w:r>
              <w:rPr>
                <w:sz w:val="20"/>
              </w:rPr>
              <w:t>14 novembre 2029</w:t>
            </w:r>
          </w:p>
        </w:tc>
      </w:tr>
      <w:tr w:rsidR="00864660" w14:paraId="68F0636F" w14:textId="77777777" w:rsidTr="00864660">
        <w:tc>
          <w:tcPr>
            <w:tcW w:w="1217" w:type="dxa"/>
            <w:vMerge w:val="restart"/>
          </w:tcPr>
          <w:p w14:paraId="353471F5" w14:textId="77777777" w:rsidR="00864660" w:rsidRDefault="00000000">
            <w:pPr>
              <w:pStyle w:val="MainBodyTextNoSpacing"/>
              <w:rPr>
                <w:sz w:val="20"/>
              </w:rPr>
            </w:pPr>
            <w:r>
              <w:rPr>
                <w:sz w:val="20"/>
              </w:rPr>
              <w:t>58</w:t>
            </w:r>
          </w:p>
        </w:tc>
        <w:tc>
          <w:tcPr>
            <w:tcW w:w="1359" w:type="dxa"/>
            <w:noWrap/>
          </w:tcPr>
          <w:p w14:paraId="380498E6" w14:textId="77777777" w:rsidR="00864660" w:rsidRDefault="00000000">
            <w:pPr>
              <w:pStyle w:val="MainBodyTextNoSpacing"/>
              <w:rPr>
                <w:sz w:val="20"/>
              </w:rPr>
            </w:pPr>
            <w:r>
              <w:rPr>
                <w:sz w:val="20"/>
              </w:rPr>
              <w:t>7 décembre 2029</w:t>
            </w:r>
          </w:p>
        </w:tc>
        <w:tc>
          <w:tcPr>
            <w:tcW w:w="1410" w:type="dxa"/>
            <w:noWrap/>
          </w:tcPr>
          <w:p w14:paraId="236A81AE" w14:textId="77777777" w:rsidR="00864660" w:rsidRDefault="00000000">
            <w:pPr>
              <w:pStyle w:val="MainBodyTextNoSpacing"/>
              <w:rPr>
                <w:sz w:val="20"/>
              </w:rPr>
            </w:pPr>
            <w:r>
              <w:rPr>
                <w:sz w:val="20"/>
              </w:rPr>
              <w:t>7 décembre 2029</w:t>
            </w:r>
          </w:p>
        </w:tc>
        <w:tc>
          <w:tcPr>
            <w:tcW w:w="1631" w:type="dxa"/>
            <w:vMerge w:val="restart"/>
            <w:noWrap/>
          </w:tcPr>
          <w:p w14:paraId="47FDA6AF" w14:textId="77777777" w:rsidR="00864660" w:rsidRDefault="00000000">
            <w:pPr>
              <w:pStyle w:val="MainBodyTextNoSpacing"/>
              <w:rPr>
                <w:sz w:val="20"/>
              </w:rPr>
            </w:pPr>
            <w:r>
              <w:rPr>
                <w:sz w:val="20"/>
              </w:rPr>
              <w:t>14 décembre 2029</w:t>
            </w:r>
          </w:p>
        </w:tc>
      </w:tr>
      <w:tr w:rsidR="00864660" w14:paraId="4E450A9C" w14:textId="77777777" w:rsidTr="00864660">
        <w:tc>
          <w:tcPr>
            <w:tcW w:w="1217" w:type="dxa"/>
            <w:vMerge w:val="restart"/>
          </w:tcPr>
          <w:p w14:paraId="69238DB0" w14:textId="77777777" w:rsidR="00864660" w:rsidRDefault="00000000">
            <w:pPr>
              <w:pStyle w:val="MainBodyTextNoSpacing"/>
              <w:rPr>
                <w:sz w:val="20"/>
              </w:rPr>
            </w:pPr>
            <w:r>
              <w:rPr>
                <w:sz w:val="20"/>
              </w:rPr>
              <w:t>59</w:t>
            </w:r>
          </w:p>
        </w:tc>
        <w:tc>
          <w:tcPr>
            <w:tcW w:w="1359" w:type="dxa"/>
            <w:noWrap/>
          </w:tcPr>
          <w:p w14:paraId="13FF7627" w14:textId="77777777" w:rsidR="00864660" w:rsidRDefault="00000000">
            <w:pPr>
              <w:pStyle w:val="MainBodyTextNoSpacing"/>
              <w:rPr>
                <w:sz w:val="20"/>
              </w:rPr>
            </w:pPr>
            <w:r>
              <w:rPr>
                <w:sz w:val="20"/>
              </w:rPr>
              <w:t>7 janvier 2030</w:t>
            </w:r>
          </w:p>
        </w:tc>
        <w:tc>
          <w:tcPr>
            <w:tcW w:w="1410" w:type="dxa"/>
            <w:noWrap/>
          </w:tcPr>
          <w:p w14:paraId="4A646825" w14:textId="77777777" w:rsidR="00864660" w:rsidRDefault="00000000">
            <w:pPr>
              <w:pStyle w:val="MainBodyTextNoSpacing"/>
              <w:rPr>
                <w:sz w:val="20"/>
              </w:rPr>
            </w:pPr>
            <w:r>
              <w:rPr>
                <w:sz w:val="20"/>
              </w:rPr>
              <w:t>7 janvier 2030</w:t>
            </w:r>
          </w:p>
        </w:tc>
        <w:tc>
          <w:tcPr>
            <w:tcW w:w="1631" w:type="dxa"/>
            <w:vMerge w:val="restart"/>
            <w:noWrap/>
          </w:tcPr>
          <w:p w14:paraId="08FC3334" w14:textId="77777777" w:rsidR="00864660" w:rsidRDefault="00000000">
            <w:pPr>
              <w:pStyle w:val="MainBodyTextNoSpacing"/>
              <w:rPr>
                <w:sz w:val="20"/>
              </w:rPr>
            </w:pPr>
            <w:r>
              <w:rPr>
                <w:sz w:val="20"/>
              </w:rPr>
              <w:t>14 janvier 2030</w:t>
            </w:r>
          </w:p>
        </w:tc>
      </w:tr>
      <w:tr w:rsidR="00864660" w14:paraId="530D407A" w14:textId="77777777" w:rsidTr="00864660">
        <w:tc>
          <w:tcPr>
            <w:tcW w:w="1217" w:type="dxa"/>
            <w:vMerge w:val="restart"/>
          </w:tcPr>
          <w:p w14:paraId="49B4EFC4" w14:textId="77777777" w:rsidR="00864660" w:rsidRDefault="00000000">
            <w:pPr>
              <w:pStyle w:val="MainBodyTextNoSpacing"/>
              <w:rPr>
                <w:sz w:val="20"/>
              </w:rPr>
            </w:pPr>
            <w:r>
              <w:rPr>
                <w:sz w:val="20"/>
              </w:rPr>
              <w:t>60</w:t>
            </w:r>
          </w:p>
        </w:tc>
        <w:tc>
          <w:tcPr>
            <w:tcW w:w="1359" w:type="dxa"/>
            <w:noWrap/>
          </w:tcPr>
          <w:p w14:paraId="3D5F1E07" w14:textId="77777777" w:rsidR="00864660" w:rsidRDefault="00000000">
            <w:pPr>
              <w:pStyle w:val="MainBodyTextNoSpacing"/>
              <w:rPr>
                <w:sz w:val="20"/>
              </w:rPr>
            </w:pPr>
            <w:r>
              <w:rPr>
                <w:sz w:val="20"/>
              </w:rPr>
              <w:t>7 février 2030</w:t>
            </w:r>
          </w:p>
        </w:tc>
        <w:tc>
          <w:tcPr>
            <w:tcW w:w="1410" w:type="dxa"/>
            <w:noWrap/>
          </w:tcPr>
          <w:p w14:paraId="050FB4A2" w14:textId="77777777" w:rsidR="00864660" w:rsidRDefault="00000000">
            <w:pPr>
              <w:pStyle w:val="MainBodyTextNoSpacing"/>
              <w:rPr>
                <w:sz w:val="20"/>
              </w:rPr>
            </w:pPr>
            <w:r>
              <w:rPr>
                <w:sz w:val="20"/>
              </w:rPr>
              <w:t>7 février 2030</w:t>
            </w:r>
          </w:p>
        </w:tc>
        <w:tc>
          <w:tcPr>
            <w:tcW w:w="1631" w:type="dxa"/>
            <w:vMerge w:val="restart"/>
            <w:noWrap/>
          </w:tcPr>
          <w:p w14:paraId="46916645" w14:textId="77777777" w:rsidR="00864660" w:rsidRDefault="00000000">
            <w:pPr>
              <w:pStyle w:val="MainBodyTextNoSpacing"/>
              <w:rPr>
                <w:sz w:val="20"/>
              </w:rPr>
            </w:pPr>
            <w:r>
              <w:rPr>
                <w:sz w:val="20"/>
              </w:rPr>
              <w:t>14 février 2030</w:t>
            </w:r>
          </w:p>
        </w:tc>
      </w:tr>
      <w:tr w:rsidR="00864660" w14:paraId="14E50ED3" w14:textId="77777777" w:rsidTr="00864660">
        <w:tc>
          <w:tcPr>
            <w:tcW w:w="1217" w:type="dxa"/>
            <w:vMerge w:val="restart"/>
          </w:tcPr>
          <w:p w14:paraId="3E6F793D" w14:textId="77777777" w:rsidR="00864660" w:rsidRDefault="00000000">
            <w:pPr>
              <w:pStyle w:val="MainBodyTextNoSpacing"/>
              <w:rPr>
                <w:sz w:val="20"/>
              </w:rPr>
            </w:pPr>
            <w:r>
              <w:rPr>
                <w:sz w:val="20"/>
              </w:rPr>
              <w:t>61</w:t>
            </w:r>
          </w:p>
        </w:tc>
        <w:tc>
          <w:tcPr>
            <w:tcW w:w="1359" w:type="dxa"/>
            <w:noWrap/>
          </w:tcPr>
          <w:p w14:paraId="558AE8BC" w14:textId="77777777" w:rsidR="00864660" w:rsidRDefault="00000000">
            <w:pPr>
              <w:pStyle w:val="MainBodyTextNoSpacing"/>
              <w:rPr>
                <w:sz w:val="20"/>
              </w:rPr>
            </w:pPr>
            <w:r>
              <w:rPr>
                <w:sz w:val="20"/>
              </w:rPr>
              <w:t>7 mars 2030</w:t>
            </w:r>
          </w:p>
        </w:tc>
        <w:tc>
          <w:tcPr>
            <w:tcW w:w="1410" w:type="dxa"/>
            <w:noWrap/>
          </w:tcPr>
          <w:p w14:paraId="4D0F4A64" w14:textId="77777777" w:rsidR="00864660" w:rsidRDefault="00000000">
            <w:pPr>
              <w:pStyle w:val="MainBodyTextNoSpacing"/>
              <w:rPr>
                <w:sz w:val="20"/>
              </w:rPr>
            </w:pPr>
            <w:r>
              <w:rPr>
                <w:sz w:val="20"/>
              </w:rPr>
              <w:t>7 mars 2030</w:t>
            </w:r>
          </w:p>
        </w:tc>
        <w:tc>
          <w:tcPr>
            <w:tcW w:w="1631" w:type="dxa"/>
            <w:vMerge w:val="restart"/>
            <w:noWrap/>
          </w:tcPr>
          <w:p w14:paraId="5EA5ACDA" w14:textId="77777777" w:rsidR="00864660" w:rsidRDefault="00000000">
            <w:pPr>
              <w:pStyle w:val="MainBodyTextNoSpacing"/>
              <w:rPr>
                <w:sz w:val="20"/>
              </w:rPr>
            </w:pPr>
            <w:r>
              <w:rPr>
                <w:sz w:val="20"/>
              </w:rPr>
              <w:t>14 mars 2030</w:t>
            </w:r>
          </w:p>
        </w:tc>
      </w:tr>
      <w:tr w:rsidR="00864660" w14:paraId="68BE9D1F" w14:textId="77777777" w:rsidTr="00864660">
        <w:tc>
          <w:tcPr>
            <w:tcW w:w="1217" w:type="dxa"/>
            <w:vMerge w:val="restart"/>
          </w:tcPr>
          <w:p w14:paraId="32767026" w14:textId="77777777" w:rsidR="00864660" w:rsidRDefault="00000000">
            <w:pPr>
              <w:pStyle w:val="MainBodyTextNoSpacing"/>
              <w:rPr>
                <w:sz w:val="20"/>
              </w:rPr>
            </w:pPr>
            <w:r>
              <w:rPr>
                <w:sz w:val="20"/>
              </w:rPr>
              <w:t>62</w:t>
            </w:r>
          </w:p>
        </w:tc>
        <w:tc>
          <w:tcPr>
            <w:tcW w:w="1359" w:type="dxa"/>
            <w:noWrap/>
          </w:tcPr>
          <w:p w14:paraId="04B91DD4" w14:textId="77777777" w:rsidR="00864660" w:rsidRDefault="00000000">
            <w:pPr>
              <w:pStyle w:val="MainBodyTextNoSpacing"/>
              <w:rPr>
                <w:sz w:val="20"/>
              </w:rPr>
            </w:pPr>
            <w:r>
              <w:rPr>
                <w:sz w:val="20"/>
              </w:rPr>
              <w:t>8 avril 2030</w:t>
            </w:r>
          </w:p>
        </w:tc>
        <w:tc>
          <w:tcPr>
            <w:tcW w:w="1410" w:type="dxa"/>
            <w:noWrap/>
          </w:tcPr>
          <w:p w14:paraId="4CB9EE16" w14:textId="77777777" w:rsidR="00864660" w:rsidRDefault="00000000">
            <w:pPr>
              <w:pStyle w:val="MainBodyTextNoSpacing"/>
              <w:rPr>
                <w:sz w:val="20"/>
              </w:rPr>
            </w:pPr>
            <w:r>
              <w:rPr>
                <w:sz w:val="20"/>
              </w:rPr>
              <w:t>8 avril 2030</w:t>
            </w:r>
          </w:p>
        </w:tc>
        <w:tc>
          <w:tcPr>
            <w:tcW w:w="1631" w:type="dxa"/>
            <w:vMerge w:val="restart"/>
            <w:noWrap/>
          </w:tcPr>
          <w:p w14:paraId="13EF91F2" w14:textId="77777777" w:rsidR="00864660" w:rsidRDefault="00000000">
            <w:pPr>
              <w:pStyle w:val="MainBodyTextNoSpacing"/>
              <w:rPr>
                <w:sz w:val="20"/>
              </w:rPr>
            </w:pPr>
            <w:r>
              <w:rPr>
                <w:sz w:val="20"/>
              </w:rPr>
              <w:t>15 avril 2030</w:t>
            </w:r>
          </w:p>
        </w:tc>
      </w:tr>
      <w:tr w:rsidR="00864660" w14:paraId="07CC3BA9" w14:textId="77777777" w:rsidTr="00864660">
        <w:tc>
          <w:tcPr>
            <w:tcW w:w="1217" w:type="dxa"/>
            <w:vMerge w:val="restart"/>
          </w:tcPr>
          <w:p w14:paraId="739E8E8B" w14:textId="77777777" w:rsidR="00864660" w:rsidRDefault="00000000">
            <w:pPr>
              <w:pStyle w:val="MainBodyTextNoSpacing"/>
              <w:rPr>
                <w:sz w:val="20"/>
              </w:rPr>
            </w:pPr>
            <w:r>
              <w:rPr>
                <w:sz w:val="20"/>
              </w:rPr>
              <w:t>63</w:t>
            </w:r>
          </w:p>
        </w:tc>
        <w:tc>
          <w:tcPr>
            <w:tcW w:w="1359" w:type="dxa"/>
            <w:noWrap/>
          </w:tcPr>
          <w:p w14:paraId="24CF53FF" w14:textId="77777777" w:rsidR="00864660" w:rsidRDefault="00000000">
            <w:pPr>
              <w:pStyle w:val="MainBodyTextNoSpacing"/>
              <w:rPr>
                <w:sz w:val="20"/>
              </w:rPr>
            </w:pPr>
            <w:r>
              <w:rPr>
                <w:sz w:val="20"/>
              </w:rPr>
              <w:t>7 mai 2030</w:t>
            </w:r>
          </w:p>
        </w:tc>
        <w:tc>
          <w:tcPr>
            <w:tcW w:w="1410" w:type="dxa"/>
            <w:noWrap/>
          </w:tcPr>
          <w:p w14:paraId="40D62DE3" w14:textId="77777777" w:rsidR="00864660" w:rsidRDefault="00000000">
            <w:pPr>
              <w:pStyle w:val="MainBodyTextNoSpacing"/>
              <w:rPr>
                <w:sz w:val="20"/>
              </w:rPr>
            </w:pPr>
            <w:r>
              <w:rPr>
                <w:sz w:val="20"/>
              </w:rPr>
              <w:t>7 mai 2030</w:t>
            </w:r>
          </w:p>
        </w:tc>
        <w:tc>
          <w:tcPr>
            <w:tcW w:w="1631" w:type="dxa"/>
            <w:vMerge w:val="restart"/>
            <w:noWrap/>
          </w:tcPr>
          <w:p w14:paraId="73AB258B" w14:textId="77777777" w:rsidR="00864660" w:rsidRDefault="00000000">
            <w:pPr>
              <w:pStyle w:val="MainBodyTextNoSpacing"/>
              <w:rPr>
                <w:sz w:val="20"/>
              </w:rPr>
            </w:pPr>
            <w:r>
              <w:rPr>
                <w:sz w:val="20"/>
              </w:rPr>
              <w:t>14 mai 2030</w:t>
            </w:r>
          </w:p>
        </w:tc>
      </w:tr>
      <w:tr w:rsidR="00864660" w14:paraId="0C6BC1A1" w14:textId="77777777" w:rsidTr="00864660">
        <w:tc>
          <w:tcPr>
            <w:tcW w:w="1217" w:type="dxa"/>
            <w:vMerge w:val="restart"/>
          </w:tcPr>
          <w:p w14:paraId="4119871B" w14:textId="77777777" w:rsidR="00864660" w:rsidRDefault="00000000">
            <w:pPr>
              <w:pStyle w:val="MainBodyTextNoSpacing"/>
              <w:rPr>
                <w:sz w:val="20"/>
              </w:rPr>
            </w:pPr>
            <w:r>
              <w:rPr>
                <w:sz w:val="20"/>
              </w:rPr>
              <w:t>64</w:t>
            </w:r>
          </w:p>
        </w:tc>
        <w:tc>
          <w:tcPr>
            <w:tcW w:w="1359" w:type="dxa"/>
            <w:noWrap/>
          </w:tcPr>
          <w:p w14:paraId="0B60DFF1" w14:textId="77777777" w:rsidR="00864660" w:rsidRDefault="00000000">
            <w:pPr>
              <w:pStyle w:val="MainBodyTextNoSpacing"/>
              <w:rPr>
                <w:sz w:val="20"/>
              </w:rPr>
            </w:pPr>
            <w:r>
              <w:rPr>
                <w:sz w:val="20"/>
              </w:rPr>
              <w:t>7 juin 2030</w:t>
            </w:r>
          </w:p>
        </w:tc>
        <w:tc>
          <w:tcPr>
            <w:tcW w:w="1410" w:type="dxa"/>
            <w:noWrap/>
          </w:tcPr>
          <w:p w14:paraId="1E7BDED2" w14:textId="77777777" w:rsidR="00864660" w:rsidRDefault="00000000">
            <w:pPr>
              <w:pStyle w:val="MainBodyTextNoSpacing"/>
              <w:rPr>
                <w:sz w:val="20"/>
              </w:rPr>
            </w:pPr>
            <w:r>
              <w:rPr>
                <w:sz w:val="20"/>
              </w:rPr>
              <w:t>7 juin 2030</w:t>
            </w:r>
          </w:p>
        </w:tc>
        <w:tc>
          <w:tcPr>
            <w:tcW w:w="1631" w:type="dxa"/>
            <w:vMerge w:val="restart"/>
            <w:noWrap/>
          </w:tcPr>
          <w:p w14:paraId="111FCF98" w14:textId="77777777" w:rsidR="00864660" w:rsidRDefault="00000000">
            <w:pPr>
              <w:pStyle w:val="MainBodyTextNoSpacing"/>
              <w:rPr>
                <w:sz w:val="20"/>
              </w:rPr>
            </w:pPr>
            <w:r>
              <w:rPr>
                <w:sz w:val="20"/>
              </w:rPr>
              <w:t>14 juin 2030</w:t>
            </w:r>
          </w:p>
        </w:tc>
      </w:tr>
      <w:tr w:rsidR="00864660" w14:paraId="6BD7FFE8" w14:textId="77777777" w:rsidTr="00864660">
        <w:tc>
          <w:tcPr>
            <w:tcW w:w="1217" w:type="dxa"/>
            <w:vMerge w:val="restart"/>
          </w:tcPr>
          <w:p w14:paraId="1CEFF4F0" w14:textId="77777777" w:rsidR="00864660" w:rsidRDefault="00000000">
            <w:pPr>
              <w:pStyle w:val="MainBodyTextNoSpacing"/>
              <w:rPr>
                <w:sz w:val="20"/>
              </w:rPr>
            </w:pPr>
            <w:r>
              <w:rPr>
                <w:sz w:val="20"/>
              </w:rPr>
              <w:t>65</w:t>
            </w:r>
          </w:p>
        </w:tc>
        <w:tc>
          <w:tcPr>
            <w:tcW w:w="1359" w:type="dxa"/>
            <w:noWrap/>
          </w:tcPr>
          <w:p w14:paraId="3C945E8C" w14:textId="77777777" w:rsidR="00864660" w:rsidRDefault="00000000">
            <w:pPr>
              <w:pStyle w:val="MainBodyTextNoSpacing"/>
              <w:rPr>
                <w:sz w:val="20"/>
              </w:rPr>
            </w:pPr>
            <w:r>
              <w:rPr>
                <w:sz w:val="20"/>
              </w:rPr>
              <w:t>8 juillet 2030</w:t>
            </w:r>
          </w:p>
        </w:tc>
        <w:tc>
          <w:tcPr>
            <w:tcW w:w="1410" w:type="dxa"/>
            <w:noWrap/>
          </w:tcPr>
          <w:p w14:paraId="22FC0604" w14:textId="77777777" w:rsidR="00864660" w:rsidRDefault="00000000">
            <w:pPr>
              <w:pStyle w:val="MainBodyTextNoSpacing"/>
              <w:rPr>
                <w:sz w:val="20"/>
              </w:rPr>
            </w:pPr>
            <w:r>
              <w:rPr>
                <w:sz w:val="20"/>
              </w:rPr>
              <w:t>8 juillet 2030</w:t>
            </w:r>
          </w:p>
        </w:tc>
        <w:tc>
          <w:tcPr>
            <w:tcW w:w="1631" w:type="dxa"/>
            <w:vMerge w:val="restart"/>
            <w:noWrap/>
          </w:tcPr>
          <w:p w14:paraId="397F832C" w14:textId="77777777" w:rsidR="00864660" w:rsidRDefault="00000000">
            <w:pPr>
              <w:pStyle w:val="MainBodyTextNoSpacing"/>
              <w:rPr>
                <w:sz w:val="20"/>
              </w:rPr>
            </w:pPr>
            <w:r>
              <w:rPr>
                <w:sz w:val="20"/>
              </w:rPr>
              <w:t>15 juillet 2030</w:t>
            </w:r>
          </w:p>
        </w:tc>
      </w:tr>
      <w:tr w:rsidR="00864660" w14:paraId="490A0A6C" w14:textId="77777777" w:rsidTr="00864660">
        <w:tc>
          <w:tcPr>
            <w:tcW w:w="1217" w:type="dxa"/>
            <w:vMerge w:val="restart"/>
          </w:tcPr>
          <w:p w14:paraId="588147B6" w14:textId="77777777" w:rsidR="00864660" w:rsidRDefault="00000000">
            <w:pPr>
              <w:pStyle w:val="MainBodyTextNoSpacing"/>
              <w:rPr>
                <w:sz w:val="20"/>
              </w:rPr>
            </w:pPr>
            <w:r>
              <w:rPr>
                <w:sz w:val="20"/>
              </w:rPr>
              <w:t>66</w:t>
            </w:r>
          </w:p>
        </w:tc>
        <w:tc>
          <w:tcPr>
            <w:tcW w:w="1359" w:type="dxa"/>
            <w:noWrap/>
          </w:tcPr>
          <w:p w14:paraId="72A908A0" w14:textId="77777777" w:rsidR="00864660" w:rsidRDefault="00000000">
            <w:pPr>
              <w:pStyle w:val="MainBodyTextNoSpacing"/>
              <w:rPr>
                <w:sz w:val="20"/>
              </w:rPr>
            </w:pPr>
            <w:r>
              <w:rPr>
                <w:sz w:val="20"/>
              </w:rPr>
              <w:t>7 août 2030</w:t>
            </w:r>
          </w:p>
        </w:tc>
        <w:tc>
          <w:tcPr>
            <w:tcW w:w="1410" w:type="dxa"/>
            <w:noWrap/>
          </w:tcPr>
          <w:p w14:paraId="59BCD776" w14:textId="77777777" w:rsidR="00864660" w:rsidRDefault="00000000">
            <w:pPr>
              <w:pStyle w:val="MainBodyTextNoSpacing"/>
              <w:rPr>
                <w:sz w:val="20"/>
              </w:rPr>
            </w:pPr>
            <w:r>
              <w:rPr>
                <w:sz w:val="20"/>
              </w:rPr>
              <w:t>7 août 2030</w:t>
            </w:r>
          </w:p>
        </w:tc>
        <w:tc>
          <w:tcPr>
            <w:tcW w:w="1631" w:type="dxa"/>
            <w:vMerge w:val="restart"/>
            <w:noWrap/>
          </w:tcPr>
          <w:p w14:paraId="3CA2B517" w14:textId="77777777" w:rsidR="00864660" w:rsidRDefault="00000000">
            <w:pPr>
              <w:pStyle w:val="MainBodyTextNoSpacing"/>
              <w:rPr>
                <w:sz w:val="20"/>
              </w:rPr>
            </w:pPr>
            <w:r>
              <w:rPr>
                <w:sz w:val="20"/>
              </w:rPr>
              <w:t>14 août 2030</w:t>
            </w:r>
          </w:p>
        </w:tc>
      </w:tr>
      <w:tr w:rsidR="00864660" w14:paraId="109218A1" w14:textId="77777777" w:rsidTr="00864660">
        <w:tc>
          <w:tcPr>
            <w:tcW w:w="1217" w:type="dxa"/>
            <w:vMerge w:val="restart"/>
          </w:tcPr>
          <w:p w14:paraId="213EADA0" w14:textId="77777777" w:rsidR="00864660" w:rsidRDefault="00000000">
            <w:pPr>
              <w:pStyle w:val="MainBodyTextNoSpacing"/>
              <w:rPr>
                <w:sz w:val="20"/>
              </w:rPr>
            </w:pPr>
            <w:r>
              <w:rPr>
                <w:sz w:val="20"/>
              </w:rPr>
              <w:t>67</w:t>
            </w:r>
          </w:p>
        </w:tc>
        <w:tc>
          <w:tcPr>
            <w:tcW w:w="1359" w:type="dxa"/>
            <w:noWrap/>
          </w:tcPr>
          <w:p w14:paraId="7C97852C" w14:textId="77777777" w:rsidR="00864660" w:rsidRDefault="00000000">
            <w:pPr>
              <w:pStyle w:val="MainBodyTextNoSpacing"/>
              <w:rPr>
                <w:sz w:val="20"/>
              </w:rPr>
            </w:pPr>
            <w:r>
              <w:rPr>
                <w:sz w:val="20"/>
              </w:rPr>
              <w:t>9 septembre 2030</w:t>
            </w:r>
          </w:p>
        </w:tc>
        <w:tc>
          <w:tcPr>
            <w:tcW w:w="1410" w:type="dxa"/>
            <w:noWrap/>
          </w:tcPr>
          <w:p w14:paraId="5BDCF613" w14:textId="77777777" w:rsidR="00864660" w:rsidRDefault="00000000">
            <w:pPr>
              <w:pStyle w:val="MainBodyTextNoSpacing"/>
              <w:rPr>
                <w:sz w:val="20"/>
              </w:rPr>
            </w:pPr>
            <w:r>
              <w:rPr>
                <w:sz w:val="20"/>
              </w:rPr>
              <w:t>9 septembre 2030</w:t>
            </w:r>
          </w:p>
        </w:tc>
        <w:tc>
          <w:tcPr>
            <w:tcW w:w="1631" w:type="dxa"/>
            <w:vMerge w:val="restart"/>
            <w:noWrap/>
          </w:tcPr>
          <w:p w14:paraId="46D911F1" w14:textId="77777777" w:rsidR="00864660" w:rsidRDefault="00000000">
            <w:pPr>
              <w:pStyle w:val="MainBodyTextNoSpacing"/>
              <w:rPr>
                <w:sz w:val="20"/>
              </w:rPr>
            </w:pPr>
            <w:r>
              <w:rPr>
                <w:sz w:val="20"/>
              </w:rPr>
              <w:t>16 septembre 2030</w:t>
            </w:r>
          </w:p>
        </w:tc>
      </w:tr>
      <w:tr w:rsidR="00864660" w14:paraId="40A20D6C" w14:textId="77777777" w:rsidTr="00864660">
        <w:tc>
          <w:tcPr>
            <w:tcW w:w="1217" w:type="dxa"/>
            <w:vMerge w:val="restart"/>
          </w:tcPr>
          <w:p w14:paraId="4FC7964E" w14:textId="77777777" w:rsidR="00864660" w:rsidRDefault="00000000">
            <w:pPr>
              <w:pStyle w:val="MainBodyTextNoSpacing"/>
              <w:rPr>
                <w:sz w:val="20"/>
              </w:rPr>
            </w:pPr>
            <w:r>
              <w:rPr>
                <w:sz w:val="20"/>
              </w:rPr>
              <w:t>68</w:t>
            </w:r>
          </w:p>
        </w:tc>
        <w:tc>
          <w:tcPr>
            <w:tcW w:w="1359" w:type="dxa"/>
            <w:noWrap/>
          </w:tcPr>
          <w:p w14:paraId="36DE028E" w14:textId="77777777" w:rsidR="00864660" w:rsidRDefault="00000000">
            <w:pPr>
              <w:pStyle w:val="MainBodyTextNoSpacing"/>
              <w:rPr>
                <w:sz w:val="20"/>
              </w:rPr>
            </w:pPr>
            <w:r>
              <w:rPr>
                <w:sz w:val="20"/>
              </w:rPr>
              <w:t>7 octobre 2030</w:t>
            </w:r>
          </w:p>
        </w:tc>
        <w:tc>
          <w:tcPr>
            <w:tcW w:w="1410" w:type="dxa"/>
            <w:noWrap/>
          </w:tcPr>
          <w:p w14:paraId="7E14E1B7" w14:textId="77777777" w:rsidR="00864660" w:rsidRDefault="00000000">
            <w:pPr>
              <w:pStyle w:val="MainBodyTextNoSpacing"/>
              <w:rPr>
                <w:sz w:val="20"/>
              </w:rPr>
            </w:pPr>
            <w:r>
              <w:rPr>
                <w:sz w:val="20"/>
              </w:rPr>
              <w:t>7 octobre 2030</w:t>
            </w:r>
          </w:p>
        </w:tc>
        <w:tc>
          <w:tcPr>
            <w:tcW w:w="1631" w:type="dxa"/>
            <w:vMerge w:val="restart"/>
            <w:noWrap/>
          </w:tcPr>
          <w:p w14:paraId="02242B69" w14:textId="77777777" w:rsidR="00864660" w:rsidRDefault="00000000">
            <w:pPr>
              <w:pStyle w:val="MainBodyTextNoSpacing"/>
              <w:rPr>
                <w:sz w:val="20"/>
              </w:rPr>
            </w:pPr>
            <w:r>
              <w:rPr>
                <w:sz w:val="20"/>
              </w:rPr>
              <w:t>15 octobre 2030</w:t>
            </w:r>
          </w:p>
        </w:tc>
      </w:tr>
      <w:tr w:rsidR="00864660" w14:paraId="735241F3" w14:textId="77777777" w:rsidTr="00864660">
        <w:tc>
          <w:tcPr>
            <w:tcW w:w="1217" w:type="dxa"/>
            <w:vMerge w:val="restart"/>
          </w:tcPr>
          <w:p w14:paraId="23E9BD82" w14:textId="77777777" w:rsidR="00864660" w:rsidRDefault="00000000">
            <w:pPr>
              <w:pStyle w:val="MainBodyTextNoSpacing"/>
              <w:rPr>
                <w:sz w:val="20"/>
              </w:rPr>
            </w:pPr>
            <w:r>
              <w:rPr>
                <w:sz w:val="20"/>
              </w:rPr>
              <w:t>69</w:t>
            </w:r>
          </w:p>
        </w:tc>
        <w:tc>
          <w:tcPr>
            <w:tcW w:w="1359" w:type="dxa"/>
            <w:noWrap/>
          </w:tcPr>
          <w:p w14:paraId="5917E377" w14:textId="77777777" w:rsidR="00864660" w:rsidRDefault="00000000">
            <w:pPr>
              <w:pStyle w:val="MainBodyTextNoSpacing"/>
              <w:rPr>
                <w:sz w:val="20"/>
              </w:rPr>
            </w:pPr>
            <w:r>
              <w:rPr>
                <w:sz w:val="20"/>
              </w:rPr>
              <w:t>6 novembre 2030</w:t>
            </w:r>
          </w:p>
        </w:tc>
        <w:tc>
          <w:tcPr>
            <w:tcW w:w="1410" w:type="dxa"/>
            <w:noWrap/>
          </w:tcPr>
          <w:p w14:paraId="047E31C3" w14:textId="77777777" w:rsidR="00864660" w:rsidRDefault="00000000">
            <w:pPr>
              <w:pStyle w:val="MainBodyTextNoSpacing"/>
              <w:rPr>
                <w:sz w:val="20"/>
              </w:rPr>
            </w:pPr>
            <w:r>
              <w:rPr>
                <w:sz w:val="20"/>
              </w:rPr>
              <w:t>6 novembre 2030</w:t>
            </w:r>
          </w:p>
        </w:tc>
        <w:tc>
          <w:tcPr>
            <w:tcW w:w="1631" w:type="dxa"/>
            <w:vMerge w:val="restart"/>
            <w:noWrap/>
          </w:tcPr>
          <w:p w14:paraId="7847BE08" w14:textId="77777777" w:rsidR="00864660" w:rsidRDefault="00000000">
            <w:pPr>
              <w:pStyle w:val="MainBodyTextNoSpacing"/>
              <w:rPr>
                <w:sz w:val="20"/>
              </w:rPr>
            </w:pPr>
            <w:r>
              <w:rPr>
                <w:sz w:val="20"/>
              </w:rPr>
              <w:t>14 novembre 2030</w:t>
            </w:r>
          </w:p>
        </w:tc>
      </w:tr>
      <w:tr w:rsidR="00864660" w14:paraId="58836275" w14:textId="77777777" w:rsidTr="00864660">
        <w:tc>
          <w:tcPr>
            <w:tcW w:w="1217" w:type="dxa"/>
            <w:vMerge w:val="restart"/>
          </w:tcPr>
          <w:p w14:paraId="35B8E9A9" w14:textId="77777777" w:rsidR="00864660" w:rsidRDefault="00000000">
            <w:pPr>
              <w:pStyle w:val="MainBodyTextNoSpacing"/>
              <w:rPr>
                <w:sz w:val="20"/>
              </w:rPr>
            </w:pPr>
            <w:r>
              <w:rPr>
                <w:sz w:val="20"/>
              </w:rPr>
              <w:t>70</w:t>
            </w:r>
          </w:p>
        </w:tc>
        <w:tc>
          <w:tcPr>
            <w:tcW w:w="1359" w:type="dxa"/>
            <w:noWrap/>
          </w:tcPr>
          <w:p w14:paraId="11E8BEE8" w14:textId="77777777" w:rsidR="00864660" w:rsidRDefault="00000000">
            <w:pPr>
              <w:pStyle w:val="MainBodyTextNoSpacing"/>
              <w:rPr>
                <w:sz w:val="20"/>
              </w:rPr>
            </w:pPr>
            <w:r>
              <w:rPr>
                <w:sz w:val="20"/>
              </w:rPr>
              <w:t>9 décembre 2030</w:t>
            </w:r>
          </w:p>
        </w:tc>
        <w:tc>
          <w:tcPr>
            <w:tcW w:w="1410" w:type="dxa"/>
            <w:noWrap/>
          </w:tcPr>
          <w:p w14:paraId="28F07AD6" w14:textId="77777777" w:rsidR="00864660" w:rsidRDefault="00000000">
            <w:pPr>
              <w:pStyle w:val="MainBodyTextNoSpacing"/>
              <w:rPr>
                <w:sz w:val="20"/>
              </w:rPr>
            </w:pPr>
            <w:r>
              <w:rPr>
                <w:sz w:val="20"/>
              </w:rPr>
              <w:t>9 décembre 2030</w:t>
            </w:r>
          </w:p>
        </w:tc>
        <w:tc>
          <w:tcPr>
            <w:tcW w:w="1631" w:type="dxa"/>
            <w:vMerge w:val="restart"/>
            <w:noWrap/>
          </w:tcPr>
          <w:p w14:paraId="2CA53232" w14:textId="77777777" w:rsidR="00864660" w:rsidRDefault="00000000">
            <w:pPr>
              <w:pStyle w:val="MainBodyTextNoSpacing"/>
              <w:rPr>
                <w:sz w:val="20"/>
              </w:rPr>
            </w:pPr>
            <w:r>
              <w:rPr>
                <w:sz w:val="20"/>
              </w:rPr>
              <w:t>16 décembre 2030</w:t>
            </w:r>
          </w:p>
        </w:tc>
      </w:tr>
      <w:tr w:rsidR="00864660" w14:paraId="70160451" w14:textId="77777777" w:rsidTr="00864660">
        <w:tc>
          <w:tcPr>
            <w:tcW w:w="1217" w:type="dxa"/>
            <w:vMerge w:val="restart"/>
          </w:tcPr>
          <w:p w14:paraId="4365087B" w14:textId="77777777" w:rsidR="00864660" w:rsidRDefault="00000000">
            <w:pPr>
              <w:pStyle w:val="MainBodyTextNoSpacing"/>
              <w:rPr>
                <w:sz w:val="20"/>
              </w:rPr>
            </w:pPr>
            <w:r>
              <w:rPr>
                <w:sz w:val="20"/>
              </w:rPr>
              <w:t>71</w:t>
            </w:r>
          </w:p>
        </w:tc>
        <w:tc>
          <w:tcPr>
            <w:tcW w:w="1359" w:type="dxa"/>
            <w:noWrap/>
          </w:tcPr>
          <w:p w14:paraId="160338B1" w14:textId="77777777" w:rsidR="00864660" w:rsidRDefault="00000000">
            <w:pPr>
              <w:pStyle w:val="MainBodyTextNoSpacing"/>
              <w:rPr>
                <w:sz w:val="20"/>
              </w:rPr>
            </w:pPr>
            <w:r>
              <w:rPr>
                <w:sz w:val="20"/>
              </w:rPr>
              <w:t>7 janvier 2031</w:t>
            </w:r>
          </w:p>
        </w:tc>
        <w:tc>
          <w:tcPr>
            <w:tcW w:w="1410" w:type="dxa"/>
            <w:noWrap/>
          </w:tcPr>
          <w:p w14:paraId="14A2A842" w14:textId="77777777" w:rsidR="00864660" w:rsidRDefault="00000000">
            <w:pPr>
              <w:pStyle w:val="MainBodyTextNoSpacing"/>
              <w:rPr>
                <w:sz w:val="20"/>
              </w:rPr>
            </w:pPr>
            <w:r>
              <w:rPr>
                <w:sz w:val="20"/>
              </w:rPr>
              <w:t>7 janvier 2031</w:t>
            </w:r>
          </w:p>
        </w:tc>
        <w:tc>
          <w:tcPr>
            <w:tcW w:w="1631" w:type="dxa"/>
            <w:vMerge w:val="restart"/>
            <w:noWrap/>
          </w:tcPr>
          <w:p w14:paraId="3F1DAA2B" w14:textId="77777777" w:rsidR="00864660" w:rsidRDefault="00000000">
            <w:pPr>
              <w:pStyle w:val="MainBodyTextNoSpacing"/>
              <w:rPr>
                <w:sz w:val="20"/>
              </w:rPr>
            </w:pPr>
            <w:r>
              <w:rPr>
                <w:sz w:val="20"/>
              </w:rPr>
              <w:t>14 janvier 2031</w:t>
            </w:r>
          </w:p>
        </w:tc>
      </w:tr>
      <w:tr w:rsidR="00864660" w14:paraId="6F2130A9" w14:textId="77777777" w:rsidTr="00864660">
        <w:tc>
          <w:tcPr>
            <w:tcW w:w="1217" w:type="dxa"/>
            <w:vMerge w:val="restart"/>
          </w:tcPr>
          <w:p w14:paraId="17B08952" w14:textId="77777777" w:rsidR="00864660" w:rsidRDefault="00000000">
            <w:pPr>
              <w:pStyle w:val="MainBodyTextNoSpacing"/>
              <w:rPr>
                <w:sz w:val="20"/>
              </w:rPr>
            </w:pPr>
            <w:r>
              <w:rPr>
                <w:sz w:val="20"/>
              </w:rPr>
              <w:t>72</w:t>
            </w:r>
          </w:p>
        </w:tc>
        <w:tc>
          <w:tcPr>
            <w:tcW w:w="1359" w:type="dxa"/>
            <w:noWrap/>
          </w:tcPr>
          <w:p w14:paraId="6A90C5DC" w14:textId="77777777" w:rsidR="00864660" w:rsidRDefault="00000000">
            <w:pPr>
              <w:pStyle w:val="MainBodyTextNoSpacing"/>
              <w:rPr>
                <w:sz w:val="20"/>
              </w:rPr>
            </w:pPr>
            <w:r>
              <w:rPr>
                <w:sz w:val="20"/>
              </w:rPr>
              <w:t>7 février 2031</w:t>
            </w:r>
          </w:p>
        </w:tc>
        <w:tc>
          <w:tcPr>
            <w:tcW w:w="1410" w:type="dxa"/>
            <w:noWrap/>
          </w:tcPr>
          <w:p w14:paraId="4F03762B" w14:textId="77777777" w:rsidR="00864660" w:rsidRDefault="00000000">
            <w:pPr>
              <w:pStyle w:val="MainBodyTextNoSpacing"/>
              <w:rPr>
                <w:sz w:val="20"/>
              </w:rPr>
            </w:pPr>
            <w:r>
              <w:rPr>
                <w:sz w:val="20"/>
              </w:rPr>
              <w:t>7 février 2031</w:t>
            </w:r>
          </w:p>
        </w:tc>
        <w:tc>
          <w:tcPr>
            <w:tcW w:w="1631" w:type="dxa"/>
            <w:vMerge w:val="restart"/>
            <w:noWrap/>
          </w:tcPr>
          <w:p w14:paraId="52D92304" w14:textId="77777777" w:rsidR="00864660" w:rsidRDefault="00000000">
            <w:pPr>
              <w:pStyle w:val="MainBodyTextNoSpacing"/>
              <w:rPr>
                <w:sz w:val="20"/>
              </w:rPr>
            </w:pPr>
            <w:r>
              <w:rPr>
                <w:sz w:val="20"/>
              </w:rPr>
              <w:t>14 février 2031</w:t>
            </w:r>
          </w:p>
        </w:tc>
      </w:tr>
      <w:tr w:rsidR="00864660" w14:paraId="7159B7B0" w14:textId="77777777" w:rsidTr="00864660">
        <w:tc>
          <w:tcPr>
            <w:tcW w:w="1217" w:type="dxa"/>
            <w:vMerge w:val="restart"/>
          </w:tcPr>
          <w:p w14:paraId="6754A5EC" w14:textId="77777777" w:rsidR="00864660" w:rsidRDefault="00000000">
            <w:pPr>
              <w:pStyle w:val="MainBodyTextNoSpacing"/>
              <w:rPr>
                <w:sz w:val="20"/>
              </w:rPr>
            </w:pPr>
            <w:r>
              <w:rPr>
                <w:sz w:val="20"/>
              </w:rPr>
              <w:t>73</w:t>
            </w:r>
          </w:p>
        </w:tc>
        <w:tc>
          <w:tcPr>
            <w:tcW w:w="1359" w:type="dxa"/>
            <w:noWrap/>
          </w:tcPr>
          <w:p w14:paraId="356E498B" w14:textId="77777777" w:rsidR="00864660" w:rsidRDefault="00000000">
            <w:pPr>
              <w:pStyle w:val="MainBodyTextNoSpacing"/>
              <w:rPr>
                <w:sz w:val="20"/>
              </w:rPr>
            </w:pPr>
            <w:r>
              <w:rPr>
                <w:sz w:val="20"/>
              </w:rPr>
              <w:t>7 mars 2031</w:t>
            </w:r>
          </w:p>
        </w:tc>
        <w:tc>
          <w:tcPr>
            <w:tcW w:w="1410" w:type="dxa"/>
            <w:noWrap/>
          </w:tcPr>
          <w:p w14:paraId="6308282B" w14:textId="77777777" w:rsidR="00864660" w:rsidRDefault="00000000">
            <w:pPr>
              <w:pStyle w:val="MainBodyTextNoSpacing"/>
              <w:rPr>
                <w:sz w:val="20"/>
              </w:rPr>
            </w:pPr>
            <w:r>
              <w:rPr>
                <w:sz w:val="20"/>
              </w:rPr>
              <w:t>7 mars 2031</w:t>
            </w:r>
          </w:p>
        </w:tc>
        <w:tc>
          <w:tcPr>
            <w:tcW w:w="1631" w:type="dxa"/>
            <w:vMerge w:val="restart"/>
            <w:noWrap/>
          </w:tcPr>
          <w:p w14:paraId="4AF9EF2F" w14:textId="77777777" w:rsidR="00864660" w:rsidRDefault="00000000">
            <w:pPr>
              <w:pStyle w:val="MainBodyTextNoSpacing"/>
              <w:rPr>
                <w:sz w:val="20"/>
              </w:rPr>
            </w:pPr>
            <w:r>
              <w:rPr>
                <w:sz w:val="20"/>
              </w:rPr>
              <w:t>14 mars 2031</w:t>
            </w:r>
          </w:p>
        </w:tc>
      </w:tr>
      <w:tr w:rsidR="00864660" w14:paraId="45A0981F" w14:textId="77777777" w:rsidTr="00864660">
        <w:tc>
          <w:tcPr>
            <w:tcW w:w="1217" w:type="dxa"/>
            <w:vMerge w:val="restart"/>
          </w:tcPr>
          <w:p w14:paraId="19E8BE12" w14:textId="77777777" w:rsidR="00864660" w:rsidRDefault="00000000">
            <w:pPr>
              <w:pStyle w:val="MainBodyTextNoSpacing"/>
              <w:rPr>
                <w:sz w:val="20"/>
              </w:rPr>
            </w:pPr>
            <w:r>
              <w:rPr>
                <w:sz w:val="20"/>
              </w:rPr>
              <w:t>74</w:t>
            </w:r>
          </w:p>
        </w:tc>
        <w:tc>
          <w:tcPr>
            <w:tcW w:w="1359" w:type="dxa"/>
            <w:noWrap/>
          </w:tcPr>
          <w:p w14:paraId="10D07802" w14:textId="77777777" w:rsidR="00864660" w:rsidRDefault="00000000">
            <w:pPr>
              <w:pStyle w:val="MainBodyTextNoSpacing"/>
              <w:rPr>
                <w:sz w:val="20"/>
              </w:rPr>
            </w:pPr>
            <w:r>
              <w:rPr>
                <w:sz w:val="20"/>
              </w:rPr>
              <w:t>4 avril 2031</w:t>
            </w:r>
          </w:p>
        </w:tc>
        <w:tc>
          <w:tcPr>
            <w:tcW w:w="1410" w:type="dxa"/>
            <w:noWrap/>
          </w:tcPr>
          <w:p w14:paraId="2898926F" w14:textId="77777777" w:rsidR="00864660" w:rsidRDefault="00000000">
            <w:pPr>
              <w:pStyle w:val="MainBodyTextNoSpacing"/>
              <w:rPr>
                <w:sz w:val="20"/>
              </w:rPr>
            </w:pPr>
            <w:r>
              <w:rPr>
                <w:sz w:val="20"/>
              </w:rPr>
              <w:t>4 avril 2031</w:t>
            </w:r>
          </w:p>
        </w:tc>
        <w:tc>
          <w:tcPr>
            <w:tcW w:w="1631" w:type="dxa"/>
            <w:vMerge w:val="restart"/>
            <w:noWrap/>
          </w:tcPr>
          <w:p w14:paraId="00367E86" w14:textId="77777777" w:rsidR="00864660" w:rsidRDefault="00000000">
            <w:pPr>
              <w:pStyle w:val="MainBodyTextNoSpacing"/>
              <w:rPr>
                <w:sz w:val="20"/>
              </w:rPr>
            </w:pPr>
            <w:r>
              <w:rPr>
                <w:sz w:val="20"/>
              </w:rPr>
              <w:t>14 avril 2031</w:t>
            </w:r>
          </w:p>
        </w:tc>
      </w:tr>
      <w:tr w:rsidR="00864660" w14:paraId="18F1D987" w14:textId="77777777" w:rsidTr="00864660">
        <w:tc>
          <w:tcPr>
            <w:tcW w:w="1217" w:type="dxa"/>
            <w:vMerge w:val="restart"/>
          </w:tcPr>
          <w:p w14:paraId="3CF8B501" w14:textId="77777777" w:rsidR="00864660" w:rsidRDefault="00000000">
            <w:pPr>
              <w:pStyle w:val="MainBodyTextNoSpacing"/>
              <w:rPr>
                <w:sz w:val="20"/>
              </w:rPr>
            </w:pPr>
            <w:r>
              <w:rPr>
                <w:sz w:val="20"/>
              </w:rPr>
              <w:t>75</w:t>
            </w:r>
          </w:p>
        </w:tc>
        <w:tc>
          <w:tcPr>
            <w:tcW w:w="1359" w:type="dxa"/>
            <w:noWrap/>
          </w:tcPr>
          <w:p w14:paraId="2C44C420" w14:textId="77777777" w:rsidR="00864660" w:rsidRDefault="00000000">
            <w:pPr>
              <w:pStyle w:val="MainBodyTextNoSpacing"/>
              <w:rPr>
                <w:sz w:val="20"/>
              </w:rPr>
            </w:pPr>
            <w:r>
              <w:rPr>
                <w:sz w:val="20"/>
              </w:rPr>
              <w:t>7 mai 2031</w:t>
            </w:r>
          </w:p>
        </w:tc>
        <w:tc>
          <w:tcPr>
            <w:tcW w:w="1410" w:type="dxa"/>
            <w:noWrap/>
          </w:tcPr>
          <w:p w14:paraId="6524D484" w14:textId="77777777" w:rsidR="00864660" w:rsidRDefault="00000000">
            <w:pPr>
              <w:pStyle w:val="MainBodyTextNoSpacing"/>
              <w:rPr>
                <w:sz w:val="20"/>
              </w:rPr>
            </w:pPr>
            <w:r>
              <w:rPr>
                <w:sz w:val="20"/>
              </w:rPr>
              <w:t>7 mai 2031</w:t>
            </w:r>
          </w:p>
        </w:tc>
        <w:tc>
          <w:tcPr>
            <w:tcW w:w="1631" w:type="dxa"/>
            <w:vMerge w:val="restart"/>
            <w:noWrap/>
          </w:tcPr>
          <w:p w14:paraId="50F9C470" w14:textId="77777777" w:rsidR="00864660" w:rsidRDefault="00000000">
            <w:pPr>
              <w:pStyle w:val="MainBodyTextNoSpacing"/>
              <w:rPr>
                <w:sz w:val="20"/>
              </w:rPr>
            </w:pPr>
            <w:r>
              <w:rPr>
                <w:sz w:val="20"/>
              </w:rPr>
              <w:t>14 mai 2031</w:t>
            </w:r>
          </w:p>
        </w:tc>
      </w:tr>
      <w:tr w:rsidR="00864660" w14:paraId="75872851" w14:textId="77777777" w:rsidTr="00864660">
        <w:tc>
          <w:tcPr>
            <w:tcW w:w="1217" w:type="dxa"/>
            <w:vMerge w:val="restart"/>
          </w:tcPr>
          <w:p w14:paraId="1132C58C" w14:textId="77777777" w:rsidR="00864660" w:rsidRDefault="00000000">
            <w:pPr>
              <w:pStyle w:val="MainBodyTextNoSpacing"/>
              <w:rPr>
                <w:sz w:val="20"/>
              </w:rPr>
            </w:pPr>
            <w:r>
              <w:rPr>
                <w:sz w:val="20"/>
              </w:rPr>
              <w:t>76</w:t>
            </w:r>
          </w:p>
        </w:tc>
        <w:tc>
          <w:tcPr>
            <w:tcW w:w="1359" w:type="dxa"/>
            <w:noWrap/>
          </w:tcPr>
          <w:p w14:paraId="63D1337F" w14:textId="77777777" w:rsidR="00864660" w:rsidRDefault="00000000">
            <w:pPr>
              <w:pStyle w:val="MainBodyTextNoSpacing"/>
              <w:rPr>
                <w:sz w:val="20"/>
              </w:rPr>
            </w:pPr>
            <w:r>
              <w:rPr>
                <w:sz w:val="20"/>
              </w:rPr>
              <w:t>9 juin 2031</w:t>
            </w:r>
          </w:p>
        </w:tc>
        <w:tc>
          <w:tcPr>
            <w:tcW w:w="1410" w:type="dxa"/>
            <w:noWrap/>
          </w:tcPr>
          <w:p w14:paraId="6BB16C58" w14:textId="77777777" w:rsidR="00864660" w:rsidRDefault="00000000">
            <w:pPr>
              <w:pStyle w:val="MainBodyTextNoSpacing"/>
              <w:rPr>
                <w:sz w:val="20"/>
              </w:rPr>
            </w:pPr>
            <w:r>
              <w:rPr>
                <w:sz w:val="20"/>
              </w:rPr>
              <w:t>9 juin 2031</w:t>
            </w:r>
          </w:p>
        </w:tc>
        <w:tc>
          <w:tcPr>
            <w:tcW w:w="1631" w:type="dxa"/>
            <w:vMerge w:val="restart"/>
            <w:noWrap/>
          </w:tcPr>
          <w:p w14:paraId="10966AAD" w14:textId="77777777" w:rsidR="00864660" w:rsidRDefault="00000000">
            <w:pPr>
              <w:pStyle w:val="MainBodyTextNoSpacing"/>
              <w:rPr>
                <w:sz w:val="20"/>
              </w:rPr>
            </w:pPr>
            <w:r>
              <w:rPr>
                <w:sz w:val="20"/>
              </w:rPr>
              <w:t>16 juin 2031</w:t>
            </w:r>
          </w:p>
        </w:tc>
      </w:tr>
      <w:tr w:rsidR="00864660" w14:paraId="76A338D6" w14:textId="77777777" w:rsidTr="00864660">
        <w:tc>
          <w:tcPr>
            <w:tcW w:w="1217" w:type="dxa"/>
            <w:vMerge w:val="restart"/>
          </w:tcPr>
          <w:p w14:paraId="5D22917A" w14:textId="77777777" w:rsidR="00864660" w:rsidRDefault="00000000">
            <w:pPr>
              <w:pStyle w:val="MainBodyTextNoSpacing"/>
              <w:rPr>
                <w:sz w:val="20"/>
              </w:rPr>
            </w:pPr>
            <w:r>
              <w:rPr>
                <w:sz w:val="20"/>
              </w:rPr>
              <w:t>77</w:t>
            </w:r>
          </w:p>
        </w:tc>
        <w:tc>
          <w:tcPr>
            <w:tcW w:w="1359" w:type="dxa"/>
            <w:noWrap/>
          </w:tcPr>
          <w:p w14:paraId="1233DE73" w14:textId="77777777" w:rsidR="00864660" w:rsidRDefault="00000000">
            <w:pPr>
              <w:pStyle w:val="MainBodyTextNoSpacing"/>
              <w:rPr>
                <w:sz w:val="20"/>
              </w:rPr>
            </w:pPr>
            <w:r>
              <w:rPr>
                <w:sz w:val="20"/>
              </w:rPr>
              <w:t>7 juillet 2031</w:t>
            </w:r>
          </w:p>
        </w:tc>
        <w:tc>
          <w:tcPr>
            <w:tcW w:w="1410" w:type="dxa"/>
            <w:noWrap/>
          </w:tcPr>
          <w:p w14:paraId="6AE98F2E" w14:textId="77777777" w:rsidR="00864660" w:rsidRDefault="00000000">
            <w:pPr>
              <w:pStyle w:val="MainBodyTextNoSpacing"/>
              <w:rPr>
                <w:sz w:val="20"/>
              </w:rPr>
            </w:pPr>
            <w:r>
              <w:rPr>
                <w:sz w:val="20"/>
              </w:rPr>
              <w:t>7 juillet 2031</w:t>
            </w:r>
          </w:p>
        </w:tc>
        <w:tc>
          <w:tcPr>
            <w:tcW w:w="1631" w:type="dxa"/>
            <w:vMerge w:val="restart"/>
            <w:noWrap/>
          </w:tcPr>
          <w:p w14:paraId="1D26DAC3" w14:textId="77777777" w:rsidR="00864660" w:rsidRDefault="00000000">
            <w:pPr>
              <w:pStyle w:val="MainBodyTextNoSpacing"/>
              <w:rPr>
                <w:sz w:val="20"/>
              </w:rPr>
            </w:pPr>
            <w:r>
              <w:rPr>
                <w:sz w:val="20"/>
              </w:rPr>
              <w:t>14 juillet 2031</w:t>
            </w:r>
          </w:p>
        </w:tc>
      </w:tr>
      <w:tr w:rsidR="00864660" w14:paraId="345F70EA" w14:textId="77777777" w:rsidTr="00864660">
        <w:tc>
          <w:tcPr>
            <w:tcW w:w="1217" w:type="dxa"/>
            <w:vMerge w:val="restart"/>
          </w:tcPr>
          <w:p w14:paraId="6EC86D50" w14:textId="77777777" w:rsidR="00864660" w:rsidRDefault="00000000">
            <w:pPr>
              <w:pStyle w:val="MainBodyTextNoSpacing"/>
              <w:rPr>
                <w:sz w:val="20"/>
              </w:rPr>
            </w:pPr>
            <w:r>
              <w:rPr>
                <w:sz w:val="20"/>
              </w:rPr>
              <w:t>78</w:t>
            </w:r>
          </w:p>
        </w:tc>
        <w:tc>
          <w:tcPr>
            <w:tcW w:w="1359" w:type="dxa"/>
            <w:noWrap/>
          </w:tcPr>
          <w:p w14:paraId="1A1694C5" w14:textId="77777777" w:rsidR="00864660" w:rsidRDefault="00000000">
            <w:pPr>
              <w:pStyle w:val="MainBodyTextNoSpacing"/>
              <w:rPr>
                <w:sz w:val="20"/>
              </w:rPr>
            </w:pPr>
            <w:r>
              <w:rPr>
                <w:sz w:val="20"/>
              </w:rPr>
              <w:t>7 août 2031</w:t>
            </w:r>
          </w:p>
        </w:tc>
        <w:tc>
          <w:tcPr>
            <w:tcW w:w="1410" w:type="dxa"/>
            <w:noWrap/>
          </w:tcPr>
          <w:p w14:paraId="6F560309" w14:textId="77777777" w:rsidR="00864660" w:rsidRDefault="00000000">
            <w:pPr>
              <w:pStyle w:val="MainBodyTextNoSpacing"/>
              <w:rPr>
                <w:sz w:val="20"/>
              </w:rPr>
            </w:pPr>
            <w:r>
              <w:rPr>
                <w:sz w:val="20"/>
              </w:rPr>
              <w:t>7 août 2031</w:t>
            </w:r>
          </w:p>
        </w:tc>
        <w:tc>
          <w:tcPr>
            <w:tcW w:w="1631" w:type="dxa"/>
            <w:vMerge w:val="restart"/>
            <w:noWrap/>
          </w:tcPr>
          <w:p w14:paraId="51BF5652" w14:textId="77777777" w:rsidR="00864660" w:rsidRDefault="00000000">
            <w:pPr>
              <w:pStyle w:val="MainBodyTextNoSpacing"/>
              <w:rPr>
                <w:sz w:val="20"/>
              </w:rPr>
            </w:pPr>
            <w:r>
              <w:rPr>
                <w:sz w:val="20"/>
              </w:rPr>
              <w:t>14 août 2031</w:t>
            </w:r>
          </w:p>
        </w:tc>
      </w:tr>
      <w:tr w:rsidR="00864660" w14:paraId="5346E3F8" w14:textId="77777777" w:rsidTr="00864660">
        <w:tc>
          <w:tcPr>
            <w:tcW w:w="1217" w:type="dxa"/>
            <w:vMerge w:val="restart"/>
          </w:tcPr>
          <w:p w14:paraId="4C7B94C7" w14:textId="77777777" w:rsidR="00864660" w:rsidRDefault="00000000">
            <w:pPr>
              <w:pStyle w:val="MainBodyTextNoSpacing"/>
              <w:rPr>
                <w:sz w:val="20"/>
              </w:rPr>
            </w:pPr>
            <w:r>
              <w:rPr>
                <w:sz w:val="20"/>
              </w:rPr>
              <w:t>79</w:t>
            </w:r>
          </w:p>
        </w:tc>
        <w:tc>
          <w:tcPr>
            <w:tcW w:w="1359" w:type="dxa"/>
            <w:noWrap/>
          </w:tcPr>
          <w:p w14:paraId="3C0772FB" w14:textId="77777777" w:rsidR="00864660" w:rsidRDefault="00000000">
            <w:pPr>
              <w:pStyle w:val="MainBodyTextNoSpacing"/>
              <w:rPr>
                <w:sz w:val="20"/>
              </w:rPr>
            </w:pPr>
            <w:r>
              <w:rPr>
                <w:sz w:val="20"/>
              </w:rPr>
              <w:t>8 septembre 2031</w:t>
            </w:r>
          </w:p>
        </w:tc>
        <w:tc>
          <w:tcPr>
            <w:tcW w:w="1410" w:type="dxa"/>
            <w:noWrap/>
          </w:tcPr>
          <w:p w14:paraId="04D2D51D" w14:textId="77777777" w:rsidR="00864660" w:rsidRDefault="00000000">
            <w:pPr>
              <w:pStyle w:val="MainBodyTextNoSpacing"/>
              <w:rPr>
                <w:sz w:val="20"/>
              </w:rPr>
            </w:pPr>
            <w:r>
              <w:rPr>
                <w:sz w:val="20"/>
              </w:rPr>
              <w:t>8 septembre 2031</w:t>
            </w:r>
          </w:p>
        </w:tc>
        <w:tc>
          <w:tcPr>
            <w:tcW w:w="1631" w:type="dxa"/>
            <w:vMerge w:val="restart"/>
            <w:noWrap/>
          </w:tcPr>
          <w:p w14:paraId="2746696B" w14:textId="77777777" w:rsidR="00864660" w:rsidRDefault="00000000">
            <w:pPr>
              <w:pStyle w:val="MainBodyTextNoSpacing"/>
              <w:rPr>
                <w:sz w:val="20"/>
              </w:rPr>
            </w:pPr>
            <w:r>
              <w:rPr>
                <w:sz w:val="20"/>
              </w:rPr>
              <w:t>15 septembre 2031</w:t>
            </w:r>
          </w:p>
        </w:tc>
      </w:tr>
      <w:tr w:rsidR="00864660" w14:paraId="2CF3F5FF" w14:textId="77777777" w:rsidTr="00864660">
        <w:tc>
          <w:tcPr>
            <w:tcW w:w="1217" w:type="dxa"/>
            <w:vMerge w:val="restart"/>
          </w:tcPr>
          <w:p w14:paraId="61A4807A" w14:textId="77777777" w:rsidR="00864660" w:rsidRDefault="00000000">
            <w:pPr>
              <w:pStyle w:val="MainBodyTextNoSpacing"/>
              <w:rPr>
                <w:sz w:val="20"/>
              </w:rPr>
            </w:pPr>
            <w:r>
              <w:rPr>
                <w:sz w:val="20"/>
              </w:rPr>
              <w:t>80</w:t>
            </w:r>
          </w:p>
        </w:tc>
        <w:tc>
          <w:tcPr>
            <w:tcW w:w="1359" w:type="dxa"/>
            <w:noWrap/>
          </w:tcPr>
          <w:p w14:paraId="7EE1AAEC" w14:textId="77777777" w:rsidR="00864660" w:rsidRDefault="00000000">
            <w:pPr>
              <w:pStyle w:val="MainBodyTextNoSpacing"/>
              <w:rPr>
                <w:sz w:val="20"/>
              </w:rPr>
            </w:pPr>
            <w:r>
              <w:rPr>
                <w:sz w:val="20"/>
              </w:rPr>
              <w:t>6 octobre 2031</w:t>
            </w:r>
          </w:p>
        </w:tc>
        <w:tc>
          <w:tcPr>
            <w:tcW w:w="1410" w:type="dxa"/>
            <w:noWrap/>
          </w:tcPr>
          <w:p w14:paraId="32672170" w14:textId="77777777" w:rsidR="00864660" w:rsidRDefault="00000000">
            <w:pPr>
              <w:pStyle w:val="MainBodyTextNoSpacing"/>
              <w:rPr>
                <w:sz w:val="20"/>
              </w:rPr>
            </w:pPr>
            <w:r>
              <w:rPr>
                <w:sz w:val="20"/>
              </w:rPr>
              <w:t>6 octobre 2031</w:t>
            </w:r>
          </w:p>
        </w:tc>
        <w:tc>
          <w:tcPr>
            <w:tcW w:w="1631" w:type="dxa"/>
            <w:vMerge w:val="restart"/>
            <w:noWrap/>
          </w:tcPr>
          <w:p w14:paraId="397A8959" w14:textId="77777777" w:rsidR="00864660" w:rsidRDefault="00000000">
            <w:pPr>
              <w:pStyle w:val="MainBodyTextNoSpacing"/>
              <w:rPr>
                <w:sz w:val="20"/>
              </w:rPr>
            </w:pPr>
            <w:r>
              <w:rPr>
                <w:sz w:val="20"/>
              </w:rPr>
              <w:t>14 octobre 2031</w:t>
            </w:r>
          </w:p>
        </w:tc>
      </w:tr>
      <w:tr w:rsidR="00864660" w14:paraId="0F8F1EB7" w14:textId="77777777" w:rsidTr="00864660">
        <w:tc>
          <w:tcPr>
            <w:tcW w:w="1217" w:type="dxa"/>
            <w:vMerge w:val="restart"/>
          </w:tcPr>
          <w:p w14:paraId="2631093C" w14:textId="77777777" w:rsidR="00864660" w:rsidRDefault="00000000">
            <w:pPr>
              <w:pStyle w:val="MainBodyTextNoSpacing"/>
              <w:rPr>
                <w:sz w:val="20"/>
              </w:rPr>
            </w:pPr>
            <w:r>
              <w:rPr>
                <w:sz w:val="20"/>
              </w:rPr>
              <w:t>81</w:t>
            </w:r>
          </w:p>
        </w:tc>
        <w:tc>
          <w:tcPr>
            <w:tcW w:w="1359" w:type="dxa"/>
            <w:noWrap/>
          </w:tcPr>
          <w:p w14:paraId="423C1538" w14:textId="77777777" w:rsidR="00864660" w:rsidRDefault="00000000">
            <w:pPr>
              <w:pStyle w:val="MainBodyTextNoSpacing"/>
              <w:rPr>
                <w:sz w:val="20"/>
              </w:rPr>
            </w:pPr>
            <w:r>
              <w:rPr>
                <w:sz w:val="20"/>
              </w:rPr>
              <w:t>6 novembre 2031</w:t>
            </w:r>
          </w:p>
        </w:tc>
        <w:tc>
          <w:tcPr>
            <w:tcW w:w="1410" w:type="dxa"/>
            <w:noWrap/>
          </w:tcPr>
          <w:p w14:paraId="1606D7B1" w14:textId="77777777" w:rsidR="00864660" w:rsidRDefault="00000000">
            <w:pPr>
              <w:pStyle w:val="MainBodyTextNoSpacing"/>
              <w:rPr>
                <w:sz w:val="20"/>
              </w:rPr>
            </w:pPr>
            <w:r>
              <w:rPr>
                <w:sz w:val="20"/>
              </w:rPr>
              <w:t>6 novembre 2031</w:t>
            </w:r>
          </w:p>
        </w:tc>
        <w:tc>
          <w:tcPr>
            <w:tcW w:w="1631" w:type="dxa"/>
            <w:vMerge w:val="restart"/>
            <w:noWrap/>
          </w:tcPr>
          <w:p w14:paraId="1F8D6CAE" w14:textId="77777777" w:rsidR="00864660" w:rsidRDefault="00000000">
            <w:pPr>
              <w:pStyle w:val="MainBodyTextNoSpacing"/>
              <w:rPr>
                <w:sz w:val="20"/>
              </w:rPr>
            </w:pPr>
            <w:r>
              <w:rPr>
                <w:sz w:val="20"/>
              </w:rPr>
              <w:t>14 novembre 2031</w:t>
            </w:r>
          </w:p>
        </w:tc>
      </w:tr>
      <w:tr w:rsidR="00864660" w14:paraId="1579AD1A" w14:textId="77777777" w:rsidTr="00864660">
        <w:tc>
          <w:tcPr>
            <w:tcW w:w="1217" w:type="dxa"/>
            <w:vMerge w:val="restart"/>
          </w:tcPr>
          <w:p w14:paraId="0099FB3F" w14:textId="77777777" w:rsidR="00864660" w:rsidRDefault="00000000">
            <w:pPr>
              <w:pStyle w:val="MainBodyTextNoSpacing"/>
              <w:rPr>
                <w:sz w:val="20"/>
              </w:rPr>
            </w:pPr>
            <w:r>
              <w:rPr>
                <w:sz w:val="20"/>
              </w:rPr>
              <w:t>82</w:t>
            </w:r>
          </w:p>
        </w:tc>
        <w:tc>
          <w:tcPr>
            <w:tcW w:w="1359" w:type="dxa"/>
            <w:noWrap/>
          </w:tcPr>
          <w:p w14:paraId="2E484C2C" w14:textId="77777777" w:rsidR="00864660" w:rsidRDefault="00000000">
            <w:pPr>
              <w:pStyle w:val="MainBodyTextNoSpacing"/>
              <w:rPr>
                <w:sz w:val="20"/>
              </w:rPr>
            </w:pPr>
            <w:r>
              <w:rPr>
                <w:sz w:val="20"/>
              </w:rPr>
              <w:t>8 décembre 2031</w:t>
            </w:r>
          </w:p>
        </w:tc>
        <w:tc>
          <w:tcPr>
            <w:tcW w:w="1410" w:type="dxa"/>
            <w:noWrap/>
          </w:tcPr>
          <w:p w14:paraId="269EF4E0" w14:textId="77777777" w:rsidR="00864660" w:rsidRDefault="00000000">
            <w:pPr>
              <w:pStyle w:val="MainBodyTextNoSpacing"/>
              <w:rPr>
                <w:sz w:val="20"/>
              </w:rPr>
            </w:pPr>
            <w:r>
              <w:rPr>
                <w:sz w:val="20"/>
              </w:rPr>
              <w:t>8 décembre 2031</w:t>
            </w:r>
          </w:p>
        </w:tc>
        <w:tc>
          <w:tcPr>
            <w:tcW w:w="1631" w:type="dxa"/>
            <w:vMerge w:val="restart"/>
            <w:noWrap/>
          </w:tcPr>
          <w:p w14:paraId="3B24FFE4" w14:textId="77777777" w:rsidR="00864660" w:rsidRDefault="00000000">
            <w:pPr>
              <w:pStyle w:val="MainBodyTextNoSpacing"/>
              <w:rPr>
                <w:sz w:val="20"/>
              </w:rPr>
            </w:pPr>
            <w:r>
              <w:rPr>
                <w:sz w:val="20"/>
              </w:rPr>
              <w:t>15 décembre 2031</w:t>
            </w:r>
          </w:p>
        </w:tc>
      </w:tr>
      <w:tr w:rsidR="00864660" w14:paraId="6343B362" w14:textId="77777777" w:rsidTr="00864660">
        <w:tc>
          <w:tcPr>
            <w:tcW w:w="1217" w:type="dxa"/>
            <w:vMerge w:val="restart"/>
          </w:tcPr>
          <w:p w14:paraId="77F28360" w14:textId="77777777" w:rsidR="00864660" w:rsidRDefault="00000000">
            <w:pPr>
              <w:pStyle w:val="MainBodyTextNoSpacing"/>
              <w:rPr>
                <w:sz w:val="20"/>
              </w:rPr>
            </w:pPr>
            <w:r>
              <w:rPr>
                <w:sz w:val="20"/>
              </w:rPr>
              <w:t>83</w:t>
            </w:r>
          </w:p>
        </w:tc>
        <w:tc>
          <w:tcPr>
            <w:tcW w:w="1359" w:type="dxa"/>
            <w:noWrap/>
          </w:tcPr>
          <w:p w14:paraId="2DA6FE46" w14:textId="77777777" w:rsidR="00864660" w:rsidRDefault="00000000">
            <w:pPr>
              <w:pStyle w:val="MainBodyTextNoSpacing"/>
              <w:rPr>
                <w:sz w:val="20"/>
              </w:rPr>
            </w:pPr>
            <w:r>
              <w:rPr>
                <w:sz w:val="20"/>
              </w:rPr>
              <w:t>7 janvier 2032</w:t>
            </w:r>
          </w:p>
        </w:tc>
        <w:tc>
          <w:tcPr>
            <w:tcW w:w="1410" w:type="dxa"/>
            <w:noWrap/>
          </w:tcPr>
          <w:p w14:paraId="7A759BC4" w14:textId="77777777" w:rsidR="00864660" w:rsidRDefault="00000000">
            <w:pPr>
              <w:pStyle w:val="MainBodyTextNoSpacing"/>
              <w:rPr>
                <w:sz w:val="20"/>
              </w:rPr>
            </w:pPr>
            <w:r>
              <w:rPr>
                <w:sz w:val="20"/>
              </w:rPr>
              <w:t>7 janvier 2032</w:t>
            </w:r>
          </w:p>
        </w:tc>
        <w:tc>
          <w:tcPr>
            <w:tcW w:w="1631" w:type="dxa"/>
            <w:vMerge w:val="restart"/>
            <w:noWrap/>
          </w:tcPr>
          <w:p w14:paraId="0CE5B454" w14:textId="77777777" w:rsidR="00864660" w:rsidRDefault="00000000">
            <w:pPr>
              <w:pStyle w:val="MainBodyTextNoSpacing"/>
              <w:rPr>
                <w:sz w:val="20"/>
              </w:rPr>
            </w:pPr>
            <w:r>
              <w:rPr>
                <w:sz w:val="20"/>
              </w:rPr>
              <w:t>14 janvier 2032</w:t>
            </w:r>
          </w:p>
        </w:tc>
      </w:tr>
      <w:tr w:rsidR="00864660" w14:paraId="1431626B" w14:textId="77777777" w:rsidTr="00864660">
        <w:tc>
          <w:tcPr>
            <w:tcW w:w="1217" w:type="dxa"/>
            <w:vMerge w:val="restart"/>
          </w:tcPr>
          <w:p w14:paraId="3745B1A2" w14:textId="77777777" w:rsidR="00864660" w:rsidRDefault="00000000">
            <w:pPr>
              <w:pStyle w:val="MainBodyTextNoSpacing"/>
              <w:rPr>
                <w:sz w:val="20"/>
              </w:rPr>
            </w:pPr>
            <w:r>
              <w:rPr>
                <w:sz w:val="20"/>
              </w:rPr>
              <w:t>84</w:t>
            </w:r>
          </w:p>
        </w:tc>
        <w:tc>
          <w:tcPr>
            <w:tcW w:w="1359" w:type="dxa"/>
            <w:noWrap/>
          </w:tcPr>
          <w:p w14:paraId="07BC776F" w14:textId="77777777" w:rsidR="00864660" w:rsidRDefault="00000000">
            <w:pPr>
              <w:pStyle w:val="MainBodyTextNoSpacing"/>
              <w:rPr>
                <w:sz w:val="20"/>
              </w:rPr>
            </w:pPr>
            <w:r>
              <w:rPr>
                <w:sz w:val="20"/>
              </w:rPr>
              <w:t>9 février 2032</w:t>
            </w:r>
          </w:p>
        </w:tc>
        <w:tc>
          <w:tcPr>
            <w:tcW w:w="1410" w:type="dxa"/>
            <w:noWrap/>
          </w:tcPr>
          <w:p w14:paraId="643EA029" w14:textId="77777777" w:rsidR="00864660" w:rsidRDefault="00000000">
            <w:pPr>
              <w:pStyle w:val="MainBodyTextNoSpacing"/>
              <w:rPr>
                <w:sz w:val="20"/>
              </w:rPr>
            </w:pPr>
            <w:r>
              <w:rPr>
                <w:sz w:val="20"/>
              </w:rPr>
              <w:t>9 février 2032</w:t>
            </w:r>
          </w:p>
        </w:tc>
        <w:tc>
          <w:tcPr>
            <w:tcW w:w="1631" w:type="dxa"/>
            <w:vMerge w:val="restart"/>
            <w:noWrap/>
          </w:tcPr>
          <w:p w14:paraId="51931FA2" w14:textId="77777777" w:rsidR="00864660" w:rsidRDefault="00000000">
            <w:pPr>
              <w:pStyle w:val="MainBodyTextNoSpacing"/>
              <w:rPr>
                <w:sz w:val="20"/>
              </w:rPr>
            </w:pPr>
            <w:r>
              <w:rPr>
                <w:sz w:val="20"/>
              </w:rPr>
              <w:t>17 février 2032</w:t>
            </w:r>
          </w:p>
        </w:tc>
      </w:tr>
    </w:tbl>
    <w:p w14:paraId="4599712C" w14:textId="77777777" w:rsidR="00864660" w:rsidRDefault="00000000">
      <w:pPr>
        <w:pStyle w:val="MainBodyTextNoSpacing"/>
      </w:pPr>
      <w:r>
        <w:t>* Si une date d’observation du coupon ou une date d’observation du remboursement par anticipation prévue n’est pas un jour de bourse pour quelque raison que ce soit, cette date sera alors le jour de bourse immédiatement précédent. De plus, ces dates peuvent également faire l’objet d’un report si un événement perturbateur des marchés se produit.</w:t>
      </w:r>
    </w:p>
    <w:p w14:paraId="2A9777B5" w14:textId="77777777" w:rsidR="00864660" w:rsidRDefault="00000000">
      <w:pPr>
        <w:pStyle w:val="MainBodyTextNoSpacing"/>
      </w:pPr>
      <w:r>
        <w:t>** Chaque date de paiement des coupons et date de paiement relatif au remboursement par anticipation peut faire l’objet d’un report si cette date n’est pas un jour ouvrable ou si un événement perturbateur des marchés se produit.</w:t>
      </w:r>
    </w:p>
    <w:p w14:paraId="0FD8229D" w14:textId="77777777" w:rsidR="00864660" w:rsidRDefault="00000000">
      <w:pPr>
        <w:pStyle w:val="IBSubtitle"/>
        <w:pageBreakBefore/>
        <w:outlineLvl w:val="2"/>
      </w:pPr>
      <w:r>
        <w:t>Caractéristiques des billets</w:t>
      </w:r>
    </w:p>
    <w:p w14:paraId="71B49BED" w14:textId="77777777" w:rsidR="00864660" w:rsidRDefault="00000000">
      <w:r>
        <w:t xml:space="preserve">Les exemples hypothétiques ci-après démontrent la façon dont le paiement que vous pouvez recevoir sera calculé et établi dans quatre scénarios différents. </w:t>
      </w:r>
      <w:r>
        <w:rPr>
          <w:b/>
        </w:rPr>
        <w:t xml:space="preserve">Les niveaux de clôture hypothétiques utilisés dans ces exemples sont fournis aux fins d’illustration seulement et ne devraient d’aucune façon être interprétés comme des estimations ou des prévisions du rendement futur de l’actif de référence ou du rendement que vous pourriez réaliser sur les billets. </w:t>
      </w:r>
      <w:r>
        <w:t xml:space="preserve">Tous les exemples hypothétiques supposent qu’aucun événement décrit à la rubrique « Certaines modalités supplémentaires pour les billets liés à un indice de référence » du supplément relatif au produit visant les billets à revenu ne s’est produit pendant la durée. Pour faciliter l’analyse, les chiffres ci-dessous ont été arrondis. </w:t>
      </w:r>
    </w:p>
    <w:tbl>
      <w:tblPr>
        <w:tblStyle w:val="HypoLevelTable"/>
        <w:tblW w:w="0" w:type="auto"/>
        <w:jc w:val="center"/>
        <w:tblInd w:w="0" w:type="dxa"/>
        <w:tblLook w:val="04A0" w:firstRow="1" w:lastRow="0" w:firstColumn="1" w:lastColumn="0" w:noHBand="0" w:noVBand="1"/>
      </w:tblPr>
      <w:tblGrid>
        <w:gridCol w:w="5658"/>
        <w:gridCol w:w="5658"/>
      </w:tblGrid>
      <w:tr w:rsidR="00864660" w14:paraId="75395E1A" w14:textId="77777777" w:rsidTr="00864660">
        <w:trPr>
          <w:cnfStyle w:val="100000000000" w:firstRow="1" w:lastRow="0" w:firstColumn="0" w:lastColumn="0" w:oddVBand="0" w:evenVBand="0" w:oddHBand="0" w:evenHBand="0" w:firstRowFirstColumn="0" w:firstRowLastColumn="0" w:lastRowFirstColumn="0" w:lastRowLastColumn="0"/>
          <w:jc w:val="center"/>
        </w:trPr>
        <w:tc>
          <w:tcPr>
            <w:tcW w:w="5663" w:type="dxa"/>
          </w:tcPr>
          <w:p w14:paraId="38CECA76" w14:textId="77777777" w:rsidR="00864660" w:rsidRDefault="00000000">
            <w:pPr>
              <w:spacing w:after="0"/>
            </w:pPr>
            <w:r>
              <w:t>Niveau barrière/niveau de paiement du coupon</w:t>
            </w:r>
          </w:p>
        </w:tc>
        <w:tc>
          <w:tcPr>
            <w:tcW w:w="5663" w:type="dxa"/>
          </w:tcPr>
          <w:p w14:paraId="7039D1FA" w14:textId="77777777" w:rsidR="00864660" w:rsidRDefault="00000000">
            <w:pPr>
              <w:spacing w:after="0"/>
            </w:pPr>
            <w:r>
              <w:t>Niveau de remboursement par anticipation</w:t>
            </w:r>
          </w:p>
        </w:tc>
      </w:tr>
      <w:tr w:rsidR="00864660" w14:paraId="2AD8FF92" w14:textId="77777777" w:rsidTr="00864660">
        <w:trPr>
          <w:jc w:val="center"/>
        </w:trPr>
        <w:tc>
          <w:tcPr>
            <w:tcW w:w="5663" w:type="dxa"/>
          </w:tcPr>
          <w:p w14:paraId="34DBF612" w14:textId="77777777" w:rsidR="00864660" w:rsidRDefault="00000000">
            <w:pPr>
              <w:spacing w:after="0"/>
              <w:jc w:val="center"/>
            </w:pPr>
            <w:r>
              <w:t>80,00 % du niveau initial</w:t>
            </w:r>
          </w:p>
        </w:tc>
        <w:tc>
          <w:tcPr>
            <w:tcW w:w="5663" w:type="dxa"/>
          </w:tcPr>
          <w:p w14:paraId="757BD64B" w14:textId="77777777" w:rsidR="00864660" w:rsidRDefault="00000000">
            <w:pPr>
              <w:spacing w:after="0"/>
              <w:jc w:val="center"/>
            </w:pPr>
            <w:r>
              <w:t>105,00 % du niveau initial</w:t>
            </w:r>
          </w:p>
        </w:tc>
      </w:tr>
    </w:tbl>
    <w:p w14:paraId="1EB9A88D" w14:textId="77777777" w:rsidR="00864660" w:rsidRDefault="00864660">
      <w:pPr>
        <w:sectPr w:rsidR="00864660">
          <w:headerReference w:type="default" r:id="rId15"/>
          <w:footerReference w:type="default" r:id="rId16"/>
          <w:type w:val="continuous"/>
          <w:pgSz w:w="11906" w:h="16838"/>
          <w:pgMar w:top="720" w:right="285" w:bottom="140" w:left="285" w:header="200" w:footer="708" w:gutter="0"/>
          <w:cols w:space="708"/>
          <w:docGrid w:linePitch="360"/>
        </w:sectPr>
      </w:pPr>
    </w:p>
    <w:tbl>
      <w:tblPr>
        <w:tblStyle w:val="CoverPageTable"/>
        <w:tblW w:w="0" w:type="auto"/>
        <w:tblInd w:w="0" w:type="dxa"/>
        <w:tblLook w:val="04A0" w:firstRow="1" w:lastRow="0" w:firstColumn="1" w:lastColumn="0" w:noHBand="0" w:noVBand="1"/>
      </w:tblPr>
      <w:tblGrid>
        <w:gridCol w:w="5648"/>
      </w:tblGrid>
      <w:tr w:rsidR="00864660" w14:paraId="099EB830" w14:textId="77777777">
        <w:tc>
          <w:tcPr>
            <w:tcW w:w="11327" w:type="dxa"/>
          </w:tcPr>
          <w:p w14:paraId="5383FD71" w14:textId="77777777" w:rsidR="00864660" w:rsidRDefault="00000000">
            <w:pPr>
              <w:pStyle w:val="IBSubtitle"/>
              <w:keepNext/>
              <w:spacing w:before="100" w:after="100"/>
              <w:jc w:val="center"/>
              <w:rPr>
                <w:sz w:val="22"/>
              </w:rPr>
            </w:pPr>
            <w:r>
              <w:rPr>
                <w:sz w:val="22"/>
              </w:rPr>
              <w:t>Exemple 1 : Paiement à l’échéance (scénario négatif)</w:t>
            </w:r>
          </w:p>
        </w:tc>
      </w:tr>
      <w:tr w:rsidR="00864660" w14:paraId="68FA4BB4" w14:textId="77777777">
        <w:tc>
          <w:tcPr>
            <w:tcW w:w="11327" w:type="dxa"/>
          </w:tcPr>
          <w:p w14:paraId="290CBEA3" w14:textId="77777777" w:rsidR="00864660" w:rsidRDefault="00000000">
            <w:pPr>
              <w:spacing w:before="10" w:after="10"/>
              <w:jc w:val="center"/>
            </w:pPr>
            <w:r>
              <w:rPr>
                <w:noProof/>
              </w:rPr>
            </w:r>
          </w:p>
        </w:tc>
      </w:tr>
    </w:tbl>
    <w:tbl>
      <w:tblPr>
        <w:tblStyle w:val="HypoCashSummaryTable"/>
        <w:tblW w:w="5500" w:type="dxa"/>
        <w:jc w:val="right"/>
        <w:tblInd w:w="0" w:type="dxa"/>
        <w:tblLook w:val="04A0" w:firstRow="1" w:lastRow="0" w:firstColumn="1" w:lastColumn="0" w:noHBand="0" w:noVBand="1"/>
      </w:tblPr>
      <w:tblGrid>
        <w:gridCol w:w="3968"/>
        <w:gridCol w:w="1532"/>
      </w:tblGrid>
      <w:tr w:rsidR="00864660" w14:paraId="0FBCF0D6" w14:textId="7777777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gridSpan w:val="2"/>
          </w:tcPr>
          <w:p w14:paraId="65372615" w14:textId="77777777" w:rsidR="00864660" w:rsidRDefault="00000000">
            <w:pPr>
              <w:keepNext/>
              <w:spacing w:after="0"/>
            </w:pPr>
            <w:r>
              <w:t>Sommaire des flux de trésorerie de l’investisseur par billet</w:t>
            </w:r>
          </w:p>
        </w:tc>
      </w:tr>
      <w:tr w:rsidR="00864660" w14:paraId="33FEDEA7"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5E700939" w14:textId="77777777" w:rsidR="00864660" w:rsidRDefault="00000000">
            <w:pPr>
              <w:spacing w:after="0"/>
            </w:pPr>
            <w:r>
              <w:t>(1) Capital versé</w:t>
            </w:r>
          </w:p>
        </w:tc>
        <w:tc>
          <w:tcPr>
            <w:tcW w:w="0" w:type="auto"/>
          </w:tcPr>
          <w:p w14:paraId="0B1EB47D"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 CA</w:t>
            </w:r>
          </w:p>
        </w:tc>
      </w:tr>
      <w:tr w:rsidR="00864660" w14:paraId="69CEE1DE"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53B06BD5" w14:textId="77777777" w:rsidR="00864660" w:rsidRDefault="00000000">
            <w:pPr>
              <w:spacing w:after="0"/>
            </w:pPr>
            <w:r>
              <w:t>(2) Total des coupons reçus</w:t>
            </w:r>
          </w:p>
        </w:tc>
        <w:tc>
          <w:tcPr>
            <w:tcW w:w="0" w:type="auto"/>
          </w:tcPr>
          <w:p w14:paraId="3225A8F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1,24 $ CA</w:t>
            </w:r>
          </w:p>
        </w:tc>
      </w:tr>
      <w:tr w:rsidR="00864660" w14:paraId="3AB6E8AA"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40BBE3F4" w14:textId="77777777" w:rsidR="00864660" w:rsidRDefault="00000000">
            <w:pPr>
              <w:spacing w:after="0"/>
            </w:pPr>
            <w:r>
              <w:t>(3) Paiement à l’échéance reçu</w:t>
            </w:r>
          </w:p>
        </w:tc>
        <w:tc>
          <w:tcPr>
            <w:tcW w:w="0" w:type="auto"/>
          </w:tcPr>
          <w:p w14:paraId="0324ED79"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45,00 $ CA</w:t>
            </w:r>
          </w:p>
        </w:tc>
      </w:tr>
      <w:tr w:rsidR="00864660" w14:paraId="2501F474"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160893F6" w14:textId="77777777" w:rsidR="00864660" w:rsidRDefault="00000000">
            <w:pPr>
              <w:spacing w:after="0"/>
            </w:pPr>
            <w:r>
              <w:t>(4) Total du montant reçu = (2) + (3)</w:t>
            </w:r>
          </w:p>
        </w:tc>
        <w:tc>
          <w:tcPr>
            <w:tcW w:w="0" w:type="auto"/>
          </w:tcPr>
          <w:p w14:paraId="6220F272"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46,24 $ CA</w:t>
            </w:r>
          </w:p>
        </w:tc>
      </w:tr>
      <w:tr w:rsidR="00864660" w14:paraId="4AB9FB79"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570BD557" w14:textId="77777777" w:rsidR="00864660" w:rsidRDefault="00000000">
            <w:pPr>
              <w:spacing w:after="0"/>
            </w:pPr>
            <w:r>
              <w:t>(5) Rendement des billets (annualisé)</w:t>
            </w:r>
          </w:p>
        </w:tc>
        <w:tc>
          <w:tcPr>
            <w:tcW w:w="0" w:type="auto"/>
          </w:tcPr>
          <w:p w14:paraId="7C04443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−10,42 %</w:t>
            </w:r>
          </w:p>
        </w:tc>
      </w:tr>
    </w:tbl>
    <w:p w14:paraId="3B0021BA" w14:textId="77777777" w:rsidR="00864660" w:rsidRDefault="00864660">
      <w:pPr>
        <w:sectPr w:rsidR="00864660">
          <w:headerReference w:type="default" r:id="rId18"/>
          <w:footerReference w:type="default" r:id="rId19"/>
          <w:type w:val="continuous"/>
          <w:pgSz w:w="11906" w:h="16838"/>
          <w:pgMar w:top="720" w:right="285" w:bottom="140" w:left="285" w:header="200" w:footer="708" w:gutter="0"/>
          <w:cols w:num="2" w:space="0"/>
          <w:docGrid w:linePitch="360"/>
        </w:sectPr>
      </w:pPr>
    </w:p>
    <w:p w14:paraId="0F1ABE94" w14:textId="77777777" w:rsidR="00864660" w:rsidRDefault="00000000">
      <w:pPr>
        <w:spacing w:before="400"/>
      </w:pPr>
      <w:r>
        <w:t>Dans cet exemple hypothétique, le niveau de clôture est inférieur au niveau de remboursement par anticipation à toutes les dates d’observation du remboursement par anticipation, de sorte que les billets ne sont pas remboursés par anticipation. De plus, il est supérieur au niveau de paiement du coupon à la première et à la deuxième dates d’observation du coupon et inférieur au niveau de paiement du coupon à toutes les autres; vous recevriez donc deux des paiements de coupons.</w:t>
      </w:r>
    </w:p>
    <w:p w14:paraId="100DFDB9" w14:textId="77777777" w:rsidR="00864660" w:rsidRDefault="00000000">
      <w:r>
        <w:t>Enfin, le niveau final se situe à 45,00 % du niveau initial, ce qui est inférieur au niveau barrière; le rendement final de l’actif de référence est donc de −55,00 %. Par conséquent, vous recevriez un paiement à l’échéance de 45,00 $ CA par billet ainsi que des coupons totalisant 1,24 $ CA par billet pendant la durée des billets (ce qui correspond à une perte annuelle composée de 10,42 % sur les billets).</w:t>
      </w:r>
    </w:p>
    <w:p w14:paraId="03CB6067" w14:textId="77777777" w:rsidR="00864660" w:rsidRDefault="00000000">
      <w:pPr>
        <w:keepNext/>
      </w:pPr>
      <w:r>
        <w:t>Dans cet exemple, le paiement à l’échéance est calculé de la manière suivante :</w:t>
      </w:r>
    </w:p>
    <w:tbl>
      <w:tblPr>
        <w:tblStyle w:val="FormulaStyle"/>
        <w:tblW w:w="0" w:type="auto"/>
        <w:tblInd w:w="0" w:type="dxa"/>
        <w:tblCellMar>
          <w:top w:w="0" w:type="dxa"/>
          <w:left w:w="0" w:type="dxa"/>
          <w:bottom w:w="0" w:type="dxa"/>
          <w:right w:w="0" w:type="dxa"/>
        </w:tblCellMar>
        <w:tblLook w:val="04A0" w:firstRow="1" w:lastRow="0" w:firstColumn="1" w:lastColumn="0" w:noHBand="0" w:noVBand="1"/>
      </w:tblPr>
      <w:tblGrid>
        <w:gridCol w:w="1794"/>
        <w:gridCol w:w="5996"/>
      </w:tblGrid>
      <w:tr w:rsidR="00864660" w14:paraId="78D4AC29" w14:textId="77777777">
        <w:tblPrEx>
          <w:tblCellMar>
            <w:top w:w="0" w:type="dxa"/>
            <w:left w:w="0" w:type="dxa"/>
            <w:bottom w:w="0" w:type="dxa"/>
            <w:right w:w="0" w:type="dxa"/>
          </w:tblCellMar>
        </w:tblPrEx>
        <w:tc>
          <w:tcPr>
            <w:tcW w:w="0" w:type="auto"/>
          </w:tcPr>
          <w:p w14:paraId="2C3DF9C1" w14:textId="77777777" w:rsidR="00864660" w:rsidRDefault="00000000">
            <w:pPr>
              <w:keepNext/>
              <w:spacing w:after="0"/>
            </w:pPr>
            <m:oMathPara>
              <m:oMathParaPr>
                <m:jc m:val="right"/>
              </m:oMathParaPr>
              <m:oMath>
                <m:r>
                  <m:rPr>
                    <m:nor/>
                  </m:rPr>
                  <w:rPr>
                    <w:rFonts w:ascii="Cambria Math" w:eastAsia="Cambria Math" w:hAnsi="Cambria Math" w:cs="Cambria Math"/>
                    <w:i/>
                  </w:rPr>
                  <m:t xml:space="preserve">Maturity payment  </m:t>
                </m:r>
              </m:oMath>
            </m:oMathPara>
          </w:p>
        </w:tc>
        <w:tc>
          <w:tcPr>
            <w:tcW w:w="0" w:type="auto"/>
          </w:tcPr>
          <w:p w14:paraId="60A32CA4" w14:textId="77777777" w:rsidR="00864660" w:rsidRDefault="00000000">
            <w:pPr>
              <w:keepNext/>
              <w:spacing w:after="0"/>
            </w:pPr>
            <m:oMathPara>
              <m:oMathParaPr>
                <m:jc m:val="left"/>
              </m:oMathParaPr>
              <m:oMath>
                <m:r>
                  <m:rPr>
                    <m:nor/>
                  </m:rPr>
                  <w:rPr>
                    <w:rFonts w:ascii="Cambria Math" w:eastAsia="Cambria Math" w:hAnsi="Cambria Math" w:cs="Cambria Math"/>
                    <w:i/>
                  </w:rPr>
                  <m:t xml:space="preserve">= CAD $100.00 + </m:t>
                </m:r>
                <m:d>
                  <m:dPr>
                    <m:ctrlPr>
                      <w:rPr>
                        <w:rFonts w:ascii="Cambria Math" w:hAnsi="Cambria Math"/>
                      </w:rPr>
                    </m:ctrlPr>
                  </m:dPr>
                  <m:e>
                    <m:r>
                      <m:rPr>
                        <m:nor/>
                      </m:rPr>
                      <w:rPr>
                        <w:rFonts w:ascii="Cambria Math" w:eastAsia="Cambria Math" w:hAnsi="Cambria Math" w:cs="Cambria Math"/>
                        <w:i/>
                      </w:rPr>
                      <m:t>CAD $100.00 × final reference asset return</m:t>
                    </m:r>
                  </m:e>
                </m:d>
                <m:r>
                  <m:rPr>
                    <m:nor/>
                  </m:rPr>
                  <w:rPr>
                    <w:rFonts w:ascii="Cambria Math" w:eastAsia="Cambria Math" w:hAnsi="Cambria Math" w:cs="Cambria Math"/>
                    <w:i/>
                  </w:rPr>
                  <m:t xml:space="preserve">  </m:t>
                </m:r>
              </m:oMath>
            </m:oMathPara>
          </w:p>
        </w:tc>
      </w:tr>
      <w:tr w:rsidR="00864660" w14:paraId="3ADCDDF5" w14:textId="77777777">
        <w:tblPrEx>
          <w:tblCellMar>
            <w:top w:w="0" w:type="dxa"/>
            <w:left w:w="0" w:type="dxa"/>
            <w:bottom w:w="0" w:type="dxa"/>
            <w:right w:w="0" w:type="dxa"/>
          </w:tblCellMar>
        </w:tblPrEx>
        <w:tc>
          <w:tcPr>
            <w:tcW w:w="0" w:type="auto"/>
          </w:tcPr>
          <w:p w14:paraId="11DDA18D" w14:textId="77777777" w:rsidR="00864660" w:rsidRDefault="00864660">
            <w:pPr>
              <w:spacing w:after="0"/>
            </w:pPr>
          </w:p>
        </w:tc>
        <w:tc>
          <w:tcPr>
            <w:tcW w:w="0" w:type="auto"/>
          </w:tcPr>
          <w:p w14:paraId="7E8B4D0D" w14:textId="77777777" w:rsidR="00864660" w:rsidRDefault="00000000">
            <w:pPr>
              <w:spacing w:after="0"/>
            </w:pPr>
            <m:oMathPara>
              <m:oMathParaPr>
                <m:jc m:val="left"/>
              </m:oMathParaPr>
              <m:oMath>
                <m:r>
                  <m:rPr>
                    <m:nor/>
                  </m:rPr>
                  <w:rPr>
                    <w:rFonts w:ascii="Cambria Math" w:eastAsia="Cambria Math" w:hAnsi="Cambria Math" w:cs="Cambria Math"/>
                    <w:i/>
                  </w:rPr>
                  <m:t xml:space="preserve">= CAD $100.00 + </m:t>
                </m:r>
                <m:d>
                  <m:dPr>
                    <m:ctrlPr>
                      <w:rPr>
                        <w:rFonts w:ascii="Cambria Math" w:hAnsi="Cambria Math"/>
                      </w:rPr>
                    </m:ctrlPr>
                  </m:dPr>
                  <m:e>
                    <m:r>
                      <m:rPr>
                        <m:nor/>
                      </m:rPr>
                      <w:rPr>
                        <w:rFonts w:ascii="Cambria Math" w:eastAsia="Cambria Math" w:hAnsi="Cambria Math" w:cs="Cambria Math"/>
                        <w:i/>
                      </w:rPr>
                      <m:t>CAD $100.00 × -55.00%</m:t>
                    </m:r>
                  </m:e>
                </m:d>
                <m:r>
                  <m:rPr>
                    <m:nor/>
                  </m:rPr>
                  <w:rPr>
                    <w:rFonts w:ascii="Cambria Math" w:eastAsia="Cambria Math" w:hAnsi="Cambria Math" w:cs="Cambria Math"/>
                    <w:i/>
                  </w:rPr>
                  <m:t xml:space="preserve">  </m:t>
                </m:r>
              </m:oMath>
            </m:oMathPara>
          </w:p>
        </w:tc>
      </w:tr>
      <w:tr w:rsidR="00864660" w14:paraId="10483CDC" w14:textId="77777777">
        <w:tblPrEx>
          <w:tblCellMar>
            <w:top w:w="0" w:type="dxa"/>
            <w:left w:w="0" w:type="dxa"/>
            <w:bottom w:w="0" w:type="dxa"/>
            <w:right w:w="0" w:type="dxa"/>
          </w:tblCellMar>
        </w:tblPrEx>
        <w:tc>
          <w:tcPr>
            <w:tcW w:w="0" w:type="auto"/>
          </w:tcPr>
          <w:p w14:paraId="463BD785" w14:textId="77777777" w:rsidR="00864660" w:rsidRDefault="00864660">
            <w:pPr>
              <w:spacing w:after="0"/>
            </w:pPr>
          </w:p>
        </w:tc>
        <w:tc>
          <w:tcPr>
            <w:tcW w:w="0" w:type="auto"/>
          </w:tcPr>
          <w:p w14:paraId="00C7E927" w14:textId="77777777" w:rsidR="00864660" w:rsidRDefault="00000000">
            <w:pPr>
              <w:keepNext/>
              <w:spacing w:after="0"/>
            </w:pPr>
            <m:oMathPara>
              <m:oMathParaPr>
                <m:jc m:val="left"/>
              </m:oMathParaPr>
              <m:oMath>
                <m:r>
                  <m:rPr>
                    <m:nor/>
                  </m:rPr>
                  <w:rPr>
                    <w:rFonts w:ascii="Cambria Math" w:eastAsia="Cambria Math" w:hAnsi="Cambria Math" w:cs="Cambria Math"/>
                    <w:i/>
                  </w:rPr>
                  <m:t xml:space="preserve">= CAD $45.00 </m:t>
                </m:r>
              </m:oMath>
            </m:oMathPara>
          </w:p>
        </w:tc>
      </w:tr>
    </w:tbl>
    <w:p w14:paraId="280A4BB3" w14:textId="77777777" w:rsidR="00864660" w:rsidRDefault="00864660">
      <w:pPr>
        <w:sectPr w:rsidR="00864660">
          <w:headerReference w:type="default" r:id="rId20"/>
          <w:footerReference w:type="default" r:id="rId21"/>
          <w:type w:val="continuous"/>
          <w:pgSz w:w="11906" w:h="16838"/>
          <w:pgMar w:top="720" w:right="285" w:bottom="140" w:left="285" w:header="200" w:footer="708" w:gutter="0"/>
          <w:cols w:space="0"/>
          <w:docGrid w:linePitch="360"/>
        </w:sectPr>
      </w:pPr>
    </w:p>
    <w:tbl>
      <w:tblPr>
        <w:tblStyle w:val="CoverPageTable"/>
        <w:tblW w:w="0" w:type="auto"/>
        <w:tblInd w:w="0" w:type="dxa"/>
        <w:tblLook w:val="04A0" w:firstRow="1" w:lastRow="0" w:firstColumn="1" w:lastColumn="0" w:noHBand="0" w:noVBand="1"/>
      </w:tblPr>
      <w:tblGrid>
        <w:gridCol w:w="5648"/>
      </w:tblGrid>
      <w:tr w:rsidR="00864660" w14:paraId="59A7BFEC" w14:textId="77777777">
        <w:tc>
          <w:tcPr>
            <w:tcW w:w="11327" w:type="dxa"/>
          </w:tcPr>
          <w:p w14:paraId="2E06E5B9" w14:textId="77777777" w:rsidR="00864660" w:rsidRDefault="00000000">
            <w:pPr>
              <w:pStyle w:val="IBSubtitle"/>
              <w:keepNext/>
              <w:spacing w:before="100" w:after="100"/>
              <w:jc w:val="center"/>
              <w:rPr>
                <w:sz w:val="22"/>
              </w:rPr>
            </w:pPr>
            <w:r>
              <w:rPr>
                <w:sz w:val="22"/>
              </w:rPr>
              <w:t>Exemple 2 : Paiement à l’échéance (scénario neutre)</w:t>
            </w:r>
          </w:p>
        </w:tc>
      </w:tr>
      <w:tr w:rsidR="00864660" w14:paraId="661D964F" w14:textId="77777777">
        <w:tc>
          <w:tcPr>
            <w:tcW w:w="11327" w:type="dxa"/>
          </w:tcPr>
          <w:p w14:paraId="137AB926" w14:textId="77777777" w:rsidR="00864660" w:rsidRDefault="00000000">
            <w:pPr>
              <w:spacing w:before="10" w:after="10"/>
              <w:jc w:val="center"/>
            </w:pPr>
            <w:r>
              <w:rPr>
                <w:noProof/>
              </w:rPr>
            </w:r>
          </w:p>
        </w:tc>
      </w:tr>
    </w:tbl>
    <w:tbl>
      <w:tblPr>
        <w:tblStyle w:val="HypoCashSummaryTable"/>
        <w:tblW w:w="5500" w:type="dxa"/>
        <w:jc w:val="right"/>
        <w:tblInd w:w="0" w:type="dxa"/>
        <w:tblLook w:val="04A0" w:firstRow="1" w:lastRow="0" w:firstColumn="1" w:lastColumn="0" w:noHBand="0" w:noVBand="1"/>
      </w:tblPr>
      <w:tblGrid>
        <w:gridCol w:w="3968"/>
        <w:gridCol w:w="1532"/>
      </w:tblGrid>
      <w:tr w:rsidR="00864660" w14:paraId="0D1DEB34" w14:textId="7777777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gridSpan w:val="2"/>
          </w:tcPr>
          <w:p w14:paraId="181C34AF" w14:textId="77777777" w:rsidR="00864660" w:rsidRDefault="00000000">
            <w:pPr>
              <w:keepNext/>
              <w:spacing w:after="0"/>
            </w:pPr>
            <w:r>
              <w:t>Sommaire des flux de trésorerie de l’investisseur par billet</w:t>
            </w:r>
          </w:p>
        </w:tc>
      </w:tr>
      <w:tr w:rsidR="00864660" w14:paraId="4BD4CF9E"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4FD4E442" w14:textId="77777777" w:rsidR="00864660" w:rsidRDefault="00000000">
            <w:pPr>
              <w:spacing w:after="0"/>
            </w:pPr>
            <w:r>
              <w:t>(1) Capital versé</w:t>
            </w:r>
          </w:p>
        </w:tc>
        <w:tc>
          <w:tcPr>
            <w:tcW w:w="0" w:type="auto"/>
          </w:tcPr>
          <w:p w14:paraId="3545A4EC"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 CA</w:t>
            </w:r>
          </w:p>
        </w:tc>
      </w:tr>
      <w:tr w:rsidR="00864660" w14:paraId="70A1F86B"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3E2DD117" w14:textId="77777777" w:rsidR="00864660" w:rsidRDefault="00000000">
            <w:pPr>
              <w:spacing w:after="0"/>
            </w:pPr>
            <w:r>
              <w:t>(2) Total des coupons reçus</w:t>
            </w:r>
          </w:p>
        </w:tc>
        <w:tc>
          <w:tcPr>
            <w:tcW w:w="0" w:type="auto"/>
          </w:tcPr>
          <w:p w14:paraId="7EBB4062"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18,60 $ CA</w:t>
            </w:r>
          </w:p>
        </w:tc>
      </w:tr>
      <w:tr w:rsidR="00864660" w14:paraId="33519598"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10C414CA" w14:textId="77777777" w:rsidR="00864660" w:rsidRDefault="00000000">
            <w:pPr>
              <w:spacing w:after="0"/>
            </w:pPr>
            <w:r>
              <w:t>(3) Paiement à l’échéance reçu</w:t>
            </w:r>
          </w:p>
        </w:tc>
        <w:tc>
          <w:tcPr>
            <w:tcW w:w="0" w:type="auto"/>
          </w:tcPr>
          <w:p w14:paraId="4D5E3CDC"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 CA</w:t>
            </w:r>
          </w:p>
        </w:tc>
      </w:tr>
      <w:tr w:rsidR="00864660" w14:paraId="5E40824E"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5BE4C19B" w14:textId="77777777" w:rsidR="00864660" w:rsidRDefault="00000000">
            <w:pPr>
              <w:spacing w:after="0"/>
            </w:pPr>
            <w:r>
              <w:t>(4) Total du montant reçu = (2) + (3)</w:t>
            </w:r>
          </w:p>
        </w:tc>
        <w:tc>
          <w:tcPr>
            <w:tcW w:w="0" w:type="auto"/>
          </w:tcPr>
          <w:p w14:paraId="71E44BE5"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118,60 $ CA</w:t>
            </w:r>
          </w:p>
        </w:tc>
      </w:tr>
      <w:tr w:rsidR="00864660" w14:paraId="5FB9797E"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6BD3DCC0" w14:textId="77777777" w:rsidR="00864660" w:rsidRDefault="00000000">
            <w:pPr>
              <w:spacing w:after="0"/>
            </w:pPr>
            <w:r>
              <w:t>(5) Rendement des billets (annualisé)</w:t>
            </w:r>
          </w:p>
        </w:tc>
        <w:tc>
          <w:tcPr>
            <w:tcW w:w="0" w:type="auto"/>
          </w:tcPr>
          <w:p w14:paraId="39C8999A"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2,46 %</w:t>
            </w:r>
          </w:p>
        </w:tc>
      </w:tr>
    </w:tbl>
    <w:p w14:paraId="29F14DE8" w14:textId="77777777" w:rsidR="00864660" w:rsidRDefault="00864660">
      <w:pPr>
        <w:sectPr w:rsidR="00864660">
          <w:headerReference w:type="default" r:id="rId23"/>
          <w:footerReference w:type="default" r:id="rId24"/>
          <w:type w:val="continuous"/>
          <w:pgSz w:w="11906" w:h="16838"/>
          <w:pgMar w:top="720" w:right="285" w:bottom="140" w:left="285" w:header="200" w:footer="708" w:gutter="0"/>
          <w:cols w:num="2" w:space="0"/>
          <w:docGrid w:linePitch="360"/>
        </w:sectPr>
      </w:pPr>
    </w:p>
    <w:p w14:paraId="29467DDF" w14:textId="77777777" w:rsidR="00864660" w:rsidRDefault="00000000">
      <w:pPr>
        <w:spacing w:before="400"/>
      </w:pPr>
      <w:r>
        <w:t>Dans cet exemple hypothétique, le niveau de clôture est inférieur au niveau de remboursement par anticipation à toutes les dates d’observation du remboursement par anticipation, de sorte que les billets ne sont pas remboursés par anticipation. De plus, il est supérieur au niveau de paiement du coupon à trente des dates d’observation du coupon et inférieur au niveau de paiement du coupon à toutes les autres; vous recevriez donc trente des paiements de coupons.</w:t>
      </w:r>
    </w:p>
    <w:p w14:paraId="10579D85" w14:textId="77777777" w:rsidR="00864660" w:rsidRDefault="00000000">
      <w:r>
        <w:t>Enfin, le niveau final se situe à 98,00 % du niveau initial, ce qui est supérieur au niveau barrière; le rendement final de l’actif de référence est donc de −2,00 %. Par conséquent, vous recevriez un paiement à l’échéance égal au capital ainsi que des coupons totalisant 18,60 $ CA par billet pendant la durée des billets (ce qui correspond à un rendement annuel composé de 2,46 % sur les billets).</w:t>
      </w:r>
    </w:p>
    <w:p w14:paraId="54CF0956" w14:textId="77777777" w:rsidR="00864660" w:rsidRDefault="00864660">
      <w:pPr>
        <w:sectPr w:rsidR="00864660">
          <w:headerReference w:type="default" r:id="rId25"/>
          <w:footerReference w:type="default" r:id="rId26"/>
          <w:type w:val="continuous"/>
          <w:pgSz w:w="11906" w:h="16838"/>
          <w:pgMar w:top="720" w:right="285" w:bottom="140" w:left="285" w:header="200" w:footer="708" w:gutter="0"/>
          <w:cols w:space="0"/>
          <w:docGrid w:linePitch="360"/>
        </w:sectPr>
      </w:pPr>
    </w:p>
    <w:tbl>
      <w:tblPr>
        <w:tblStyle w:val="CoverPageTable"/>
        <w:tblW w:w="0" w:type="auto"/>
        <w:tblInd w:w="0" w:type="dxa"/>
        <w:tblLook w:val="04A0" w:firstRow="1" w:lastRow="0" w:firstColumn="1" w:lastColumn="0" w:noHBand="0" w:noVBand="1"/>
      </w:tblPr>
      <w:tblGrid>
        <w:gridCol w:w="5648"/>
      </w:tblGrid>
      <w:tr w:rsidR="00864660" w14:paraId="6E7F3C38" w14:textId="77777777">
        <w:tc>
          <w:tcPr>
            <w:tcW w:w="11327" w:type="dxa"/>
          </w:tcPr>
          <w:p w14:paraId="25A60E4C" w14:textId="77777777" w:rsidR="00864660" w:rsidRDefault="00000000">
            <w:pPr>
              <w:pStyle w:val="IBSubtitle"/>
              <w:keepNext/>
              <w:spacing w:before="100" w:after="100"/>
              <w:jc w:val="center"/>
              <w:rPr>
                <w:sz w:val="22"/>
              </w:rPr>
            </w:pPr>
            <w:r>
              <w:rPr>
                <w:sz w:val="22"/>
              </w:rPr>
              <w:t>Exemple 3 : Paiement à l’échéance (scénario positif)</w:t>
            </w:r>
          </w:p>
        </w:tc>
      </w:tr>
      <w:tr w:rsidR="00864660" w14:paraId="10F1BF10" w14:textId="77777777">
        <w:tc>
          <w:tcPr>
            <w:tcW w:w="11327" w:type="dxa"/>
          </w:tcPr>
          <w:p w14:paraId="22361C8B" w14:textId="77777777" w:rsidR="00864660" w:rsidRDefault="00000000">
            <w:pPr>
              <w:spacing w:before="10" w:after="10"/>
              <w:jc w:val="center"/>
            </w:pPr>
            <w:r>
              <w:rPr>
                <w:noProof/>
              </w:rPr>
            </w:r>
          </w:p>
        </w:tc>
      </w:tr>
    </w:tbl>
    <w:tbl>
      <w:tblPr>
        <w:tblStyle w:val="HypoCashSummaryTable"/>
        <w:tblW w:w="5500" w:type="dxa"/>
        <w:jc w:val="right"/>
        <w:tblInd w:w="0" w:type="dxa"/>
        <w:tblLook w:val="04A0" w:firstRow="1" w:lastRow="0" w:firstColumn="1" w:lastColumn="0" w:noHBand="0" w:noVBand="1"/>
      </w:tblPr>
      <w:tblGrid>
        <w:gridCol w:w="3968"/>
        <w:gridCol w:w="1532"/>
      </w:tblGrid>
      <w:tr w:rsidR="00864660" w14:paraId="79F5E831" w14:textId="7777777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gridSpan w:val="2"/>
          </w:tcPr>
          <w:p w14:paraId="253B95FE" w14:textId="77777777" w:rsidR="00864660" w:rsidRDefault="00000000">
            <w:pPr>
              <w:keepNext/>
              <w:spacing w:after="0"/>
            </w:pPr>
            <w:r>
              <w:t>Sommaire des flux de trésorerie de l’investisseur par billet</w:t>
            </w:r>
          </w:p>
        </w:tc>
      </w:tr>
      <w:tr w:rsidR="00864660" w14:paraId="74A71CAD"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69D9A578" w14:textId="77777777" w:rsidR="00864660" w:rsidRDefault="00000000">
            <w:pPr>
              <w:spacing w:after="0"/>
            </w:pPr>
            <w:r>
              <w:t>(1) Capital versé</w:t>
            </w:r>
          </w:p>
        </w:tc>
        <w:tc>
          <w:tcPr>
            <w:tcW w:w="0" w:type="auto"/>
          </w:tcPr>
          <w:p w14:paraId="5DADEE98"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 CA</w:t>
            </w:r>
          </w:p>
        </w:tc>
      </w:tr>
      <w:tr w:rsidR="00864660" w14:paraId="542FC5F8"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4A04026C" w14:textId="77777777" w:rsidR="00864660" w:rsidRDefault="00000000">
            <w:pPr>
              <w:spacing w:after="0"/>
            </w:pPr>
            <w:r>
              <w:t>(2) Total des coupons reçus</w:t>
            </w:r>
          </w:p>
        </w:tc>
        <w:tc>
          <w:tcPr>
            <w:tcW w:w="0" w:type="auto"/>
          </w:tcPr>
          <w:p w14:paraId="16DDC087"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52,08 $ CA</w:t>
            </w:r>
          </w:p>
        </w:tc>
      </w:tr>
      <w:tr w:rsidR="00864660" w14:paraId="57609BAA"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47CAAD82" w14:textId="77777777" w:rsidR="00864660" w:rsidRDefault="00000000">
            <w:pPr>
              <w:spacing w:after="0"/>
            </w:pPr>
            <w:r>
              <w:t>(3) Paiement à l’échéance reçu</w:t>
            </w:r>
          </w:p>
        </w:tc>
        <w:tc>
          <w:tcPr>
            <w:tcW w:w="0" w:type="auto"/>
          </w:tcPr>
          <w:p w14:paraId="456F3C14"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 CA</w:t>
            </w:r>
          </w:p>
        </w:tc>
      </w:tr>
      <w:tr w:rsidR="00864660" w14:paraId="45BF1394"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30409EC7" w14:textId="77777777" w:rsidR="00864660" w:rsidRDefault="00000000">
            <w:pPr>
              <w:spacing w:after="0"/>
            </w:pPr>
            <w:r>
              <w:t>(4) Total du montant reçu = (2) + (3)</w:t>
            </w:r>
          </w:p>
        </w:tc>
        <w:tc>
          <w:tcPr>
            <w:tcW w:w="0" w:type="auto"/>
          </w:tcPr>
          <w:p w14:paraId="3A17FFDA"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152,08 $ CA</w:t>
            </w:r>
          </w:p>
        </w:tc>
      </w:tr>
      <w:tr w:rsidR="00864660" w14:paraId="7139846B"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4E5EF63F" w14:textId="77777777" w:rsidR="00864660" w:rsidRDefault="00000000">
            <w:pPr>
              <w:spacing w:after="0"/>
            </w:pPr>
            <w:r>
              <w:t>(5) Rendement des billets (annualisé)</w:t>
            </w:r>
          </w:p>
        </w:tc>
        <w:tc>
          <w:tcPr>
            <w:tcW w:w="0" w:type="auto"/>
          </w:tcPr>
          <w:p w14:paraId="2C19B4CA"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6,16 %</w:t>
            </w:r>
          </w:p>
        </w:tc>
      </w:tr>
    </w:tbl>
    <w:p w14:paraId="2BB74059" w14:textId="77777777" w:rsidR="00864660" w:rsidRDefault="00864660">
      <w:pPr>
        <w:sectPr w:rsidR="00864660">
          <w:headerReference w:type="default" r:id="rId28"/>
          <w:footerReference w:type="default" r:id="rId29"/>
          <w:type w:val="continuous"/>
          <w:pgSz w:w="11906" w:h="16838"/>
          <w:pgMar w:top="720" w:right="285" w:bottom="140" w:left="285" w:header="200" w:footer="708" w:gutter="0"/>
          <w:cols w:num="2" w:space="0"/>
          <w:docGrid w:linePitch="360"/>
        </w:sectPr>
      </w:pPr>
    </w:p>
    <w:p w14:paraId="302C60F6" w14:textId="77777777" w:rsidR="00864660" w:rsidRDefault="00000000">
      <w:pPr>
        <w:spacing w:before="400"/>
      </w:pPr>
      <w:r>
        <w:t>Dans cet exemple hypothétique, le niveau de clôture est inférieur au niveau de remboursement par anticipation à toutes les dates d’observation du remboursement par anticipation, de sorte que les billets ne sont pas remboursés par anticipation. De plus, il est supérieur au niveau de paiement du coupon à toutes les dates d’observation du coupon; vous recevriez donc tous les paiements de coupons.</w:t>
      </w:r>
    </w:p>
    <w:p w14:paraId="319093E9" w14:textId="77777777" w:rsidR="00864660" w:rsidRDefault="00000000">
      <w:r>
        <w:t>Enfin, le niveau final se situe à 98,00 % du niveau initial, ce qui est supérieur au niveau barrière; le rendement final de l’actif de référence est donc de −2,00 %. Par conséquent, vous recevriez un paiement à l’échéance égal au capital ainsi que des coupons totalisant 52,08 $ CA par billet pendant la durée des billets (ce qui correspond à un rendement annuel composé de 6,16 % sur les billets).</w:t>
      </w:r>
    </w:p>
    <w:p w14:paraId="660415A6" w14:textId="77777777" w:rsidR="00864660" w:rsidRDefault="00864660">
      <w:pPr>
        <w:sectPr w:rsidR="00864660">
          <w:headerReference w:type="default" r:id="rId30"/>
          <w:footerReference w:type="default" r:id="rId31"/>
          <w:type w:val="continuous"/>
          <w:pgSz w:w="11906" w:h="16838"/>
          <w:pgMar w:top="720" w:right="285" w:bottom="140" w:left="285" w:header="200" w:footer="708" w:gutter="0"/>
          <w:cols w:space="0"/>
          <w:docGrid w:linePitch="360"/>
        </w:sectPr>
      </w:pPr>
    </w:p>
    <w:tbl>
      <w:tblPr>
        <w:tblStyle w:val="CoverPageTable"/>
        <w:tblW w:w="0" w:type="auto"/>
        <w:tblInd w:w="0" w:type="dxa"/>
        <w:tblLook w:val="04A0" w:firstRow="1" w:lastRow="0" w:firstColumn="1" w:lastColumn="0" w:noHBand="0" w:noVBand="1"/>
      </w:tblPr>
      <w:tblGrid>
        <w:gridCol w:w="5648"/>
      </w:tblGrid>
      <w:tr w:rsidR="00864660" w14:paraId="5E1D524E" w14:textId="77777777">
        <w:tc>
          <w:tcPr>
            <w:tcW w:w="11327" w:type="dxa"/>
          </w:tcPr>
          <w:p w14:paraId="45BF7CA3" w14:textId="77777777" w:rsidR="00864660" w:rsidRDefault="00000000">
            <w:pPr>
              <w:pStyle w:val="IBSubtitle"/>
              <w:keepNext/>
              <w:spacing w:before="100" w:after="100"/>
              <w:jc w:val="center"/>
              <w:rPr>
                <w:sz w:val="22"/>
              </w:rPr>
            </w:pPr>
            <w:r>
              <w:rPr>
                <w:sz w:val="22"/>
              </w:rPr>
              <w:t>Exemple 4 : Remboursement par anticipation automatique</w:t>
            </w:r>
          </w:p>
        </w:tc>
      </w:tr>
      <w:tr w:rsidR="00864660" w14:paraId="4FDDF5F5" w14:textId="77777777">
        <w:tc>
          <w:tcPr>
            <w:tcW w:w="11327" w:type="dxa"/>
          </w:tcPr>
          <w:p w14:paraId="25EB530E" w14:textId="77777777" w:rsidR="00864660" w:rsidRDefault="00000000">
            <w:pPr>
              <w:spacing w:before="10" w:after="10"/>
              <w:jc w:val="center"/>
            </w:pPr>
            <w:r>
              <w:rPr>
                <w:noProof/>
              </w:rPr>
            </w:r>
          </w:p>
        </w:tc>
      </w:tr>
    </w:tbl>
    <w:tbl>
      <w:tblPr>
        <w:tblStyle w:val="HypoCashSummaryTable"/>
        <w:tblW w:w="5500" w:type="dxa"/>
        <w:jc w:val="right"/>
        <w:tblInd w:w="0" w:type="dxa"/>
        <w:tblLook w:val="04A0" w:firstRow="1" w:lastRow="0" w:firstColumn="1" w:lastColumn="0" w:noHBand="0" w:noVBand="1"/>
      </w:tblPr>
      <w:tblGrid>
        <w:gridCol w:w="4145"/>
        <w:gridCol w:w="1355"/>
      </w:tblGrid>
      <w:tr w:rsidR="00864660" w14:paraId="39275570" w14:textId="77777777">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0" w:type="auto"/>
            <w:gridSpan w:val="2"/>
          </w:tcPr>
          <w:p w14:paraId="1131A8D9" w14:textId="77777777" w:rsidR="00864660" w:rsidRDefault="00000000">
            <w:pPr>
              <w:keepNext/>
              <w:spacing w:after="0"/>
            </w:pPr>
            <w:r>
              <w:t>Sommaire des flux de trésorerie de l’investisseur par billet</w:t>
            </w:r>
          </w:p>
        </w:tc>
      </w:tr>
      <w:tr w:rsidR="00864660" w14:paraId="755C8E52"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350583E7" w14:textId="77777777" w:rsidR="00864660" w:rsidRDefault="00000000">
            <w:pPr>
              <w:spacing w:after="0"/>
            </w:pPr>
            <w:r>
              <w:t>(1) Capital versé</w:t>
            </w:r>
          </w:p>
        </w:tc>
        <w:tc>
          <w:tcPr>
            <w:tcW w:w="0" w:type="auto"/>
          </w:tcPr>
          <w:p w14:paraId="2FA20312"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 CA</w:t>
            </w:r>
          </w:p>
        </w:tc>
      </w:tr>
      <w:tr w:rsidR="00864660" w14:paraId="16D20B77"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7ACCD63F" w14:textId="77777777" w:rsidR="00864660" w:rsidRDefault="00000000">
            <w:pPr>
              <w:spacing w:after="0"/>
            </w:pPr>
            <w:r>
              <w:t>(2) Total des coupons reçus</w:t>
            </w:r>
          </w:p>
        </w:tc>
        <w:tc>
          <w:tcPr>
            <w:tcW w:w="0" w:type="auto"/>
          </w:tcPr>
          <w:p w14:paraId="1F4435D6"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5,58 $ CA</w:t>
            </w:r>
          </w:p>
        </w:tc>
      </w:tr>
      <w:tr w:rsidR="00864660" w14:paraId="042908E4"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130E9AF7" w14:textId="77777777" w:rsidR="00864660" w:rsidRDefault="00000000">
            <w:pPr>
              <w:spacing w:after="0"/>
            </w:pPr>
            <w:r>
              <w:t>(3) Paiement à l’échéance reçu (remboursement par anticipation)</w:t>
            </w:r>
          </w:p>
        </w:tc>
        <w:tc>
          <w:tcPr>
            <w:tcW w:w="0" w:type="auto"/>
          </w:tcPr>
          <w:p w14:paraId="325BBB31"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100,00 $ CA</w:t>
            </w:r>
          </w:p>
        </w:tc>
      </w:tr>
      <w:tr w:rsidR="00864660" w14:paraId="0E27AE88"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3546CE3F" w14:textId="77777777" w:rsidR="00864660" w:rsidRDefault="00000000">
            <w:pPr>
              <w:spacing w:after="0"/>
            </w:pPr>
            <w:r>
              <w:t>(4) Total du montant reçu = (2) + (3)</w:t>
            </w:r>
          </w:p>
        </w:tc>
        <w:tc>
          <w:tcPr>
            <w:tcW w:w="0" w:type="auto"/>
          </w:tcPr>
          <w:p w14:paraId="7863224C"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105,58 $ CA</w:t>
            </w:r>
          </w:p>
        </w:tc>
      </w:tr>
      <w:tr w:rsidR="00864660" w14:paraId="2924F131" w14:textId="77777777">
        <w:trPr>
          <w:jc w:val="right"/>
        </w:trPr>
        <w:tc>
          <w:tcPr>
            <w:cnfStyle w:val="001000000000" w:firstRow="0" w:lastRow="0" w:firstColumn="1" w:lastColumn="0" w:oddVBand="0" w:evenVBand="0" w:oddHBand="0" w:evenHBand="0" w:firstRowFirstColumn="0" w:firstRowLastColumn="0" w:lastRowFirstColumn="0" w:lastRowLastColumn="0"/>
            <w:tcW w:w="0" w:type="auto"/>
          </w:tcPr>
          <w:p w14:paraId="235F40B2" w14:textId="77777777" w:rsidR="00864660" w:rsidRDefault="00000000">
            <w:pPr>
              <w:spacing w:after="0"/>
            </w:pPr>
            <w:r>
              <w:t>(5) Rendement des billets (annualisé)</w:t>
            </w:r>
          </w:p>
        </w:tc>
        <w:tc>
          <w:tcPr>
            <w:tcW w:w="0" w:type="auto"/>
          </w:tcPr>
          <w:p w14:paraId="1841A35D" w14:textId="77777777" w:rsidR="00864660" w:rsidRDefault="00000000">
            <w:pPr>
              <w:spacing w:after="0"/>
              <w:cnfStyle w:val="000000000000" w:firstRow="0" w:lastRow="0" w:firstColumn="0" w:lastColumn="0" w:oddVBand="0" w:evenVBand="0" w:oddHBand="0" w:evenHBand="0" w:firstRowFirstColumn="0" w:firstRowLastColumn="0" w:lastRowFirstColumn="0" w:lastRowLastColumn="0"/>
            </w:pPr>
            <w:r>
              <w:t>7,53 %</w:t>
            </w:r>
          </w:p>
        </w:tc>
      </w:tr>
    </w:tbl>
    <w:p w14:paraId="03B91E92" w14:textId="77777777" w:rsidR="00864660" w:rsidRDefault="00864660">
      <w:pPr>
        <w:sectPr w:rsidR="00864660">
          <w:headerReference w:type="default" r:id="rId33"/>
          <w:footerReference w:type="default" r:id="rId34"/>
          <w:type w:val="continuous"/>
          <w:pgSz w:w="11906" w:h="16838"/>
          <w:pgMar w:top="720" w:right="285" w:bottom="140" w:left="285" w:header="200" w:footer="708" w:gutter="0"/>
          <w:cols w:num="2" w:space="0"/>
          <w:docGrid w:linePitch="360"/>
        </w:sectPr>
      </w:pPr>
    </w:p>
    <w:p w14:paraId="6FD682C1" w14:textId="77777777" w:rsidR="00864660" w:rsidRDefault="00000000">
      <w:pPr>
        <w:spacing w:before="400"/>
      </w:pPr>
      <w:r>
        <w:t>Dans cet exemple hypothétique, le niveau de clôture est inférieur au niveau de remboursement par anticipation à toutes les dates d’observation du remboursement par anticipation jusqu’à la neuvième date d’observation. Ceci entraîne le remboursement par anticipation des billets à la date de paiement relatif au remboursement par anticipation correspondant à la neuvième date d’observation. De plus, il est supérieur au niveau de paiement du coupon à neuf des dates d’observation du coupon; vous recevriez donc neuf des paiements de coupons avant le remboursement par anticipation des billets.</w:t>
      </w:r>
    </w:p>
    <w:p w14:paraId="13631D67" w14:textId="77777777" w:rsidR="00864660" w:rsidRDefault="00000000">
      <w:r>
        <w:t>Enfin, le niveau de clôture se situe à 110,00 % du niveau initial, ce qui est supérieur au niveau de remboursement par anticipation; le rendement de l’actif de référence est donc de 10,00 % et les billets sont remboursés par anticipation pour un montant de 100,00 $ CA. Par conséquent, vous recevriez un paiement à l’échéance égal au capital ainsi que des coupons totalisant 5,58 $ CA par billet pendant la durée des billets (ce qui correspond à un rendement annuel composé de 7,53 % sur les billets).</w:t>
      </w:r>
    </w:p>
    <w:p w14:paraId="5C6BB27C" w14:textId="77777777" w:rsidR="00864660" w:rsidRDefault="00000000">
      <w:pPr>
        <w:pStyle w:val="IBSubtitle"/>
        <w:pageBreakBefore/>
        <w:outlineLvl w:val="2"/>
      </w:pPr>
      <w:r>
        <w:t>Mise en garde</w:t>
      </w:r>
    </w:p>
    <w:p w14:paraId="2AAB367C" w14:textId="77777777" w:rsidR="00864660" w:rsidRDefault="00000000">
      <w:r>
        <w:t>Le présent document devrait être lu conjointement avec le prospectus préalable de base simplifié de la Banque de Montréal daté du 25 mai 2023 (le « prospectus préalable de base »), le supplément de prospectus visant les billets à revenu daté du 25 mai 2023 (le « supplément relatif au produit visant les billets à revenu ») et le supplément de fixation du prix no 1 888 daté du 27 janvier 2025 (le « supplément de fixation du prix »), dans chaque cas dans sa version modifiée ou complétée.</w:t>
      </w:r>
    </w:p>
    <w:p w14:paraId="0555FB0F" w14:textId="77777777" w:rsidR="00864660" w:rsidRDefault="00000000">
      <w:r>
        <w:t>Les sommes qui vous sont versées dépendront du rendement de l’actif de référence. Les billets ne sont pas conçus comme solution de rechange à un placement dans des titres à revenu fixe ou des instruments du marché monétaire. La Banque de Montréal ne garantit pas que vous réaliserez un rendement sur votre placement en capital dans les billets ni que votre placement en capital vous sera remboursé à l’échéance, sous réserve du montant du paiement minimal de 1,00 $ CA par billet. Les billets fournissent une protection éventuelle seulement, ce qui signifie que vous pourriez perdre une partie ou la quasi-totalité de votre placement en capital dans les billets si le niveau final de l’actif de référence est inférieur à 80,00 % du niveau initial à la date d’évaluation finale. Se reporter aux rubriques « Certains facteurs de risque » du prospectus préalable de base, « Facteurs de risque » du supplément relatif au produit visant les billets à revenu et « Facteurs de risque » du supplément de fixation du prix.</w:t>
      </w:r>
    </w:p>
    <w:p w14:paraId="4E8D10EA" w14:textId="77777777" w:rsidR="00864660" w:rsidRDefault="00000000">
      <w:r>
        <w:t>Les souscripteurs éventuels doivent examiner attentivement tous les renseignements présentés dans le supplément de fixation du prix, le supplément relatif au produit visant les billets à revenu et le prospectus préalable de base et, plus particulièrement, ils doivent évaluer les facteurs de risque figurant aux rubriques « Facteurs de risque » du supplément relatif au produit visant les billets à revenu et « Facteurs de risque » du supplément de fixation du prix.</w:t>
      </w:r>
    </w:p>
    <w:p w14:paraId="14CED021" w14:textId="77777777" w:rsidR="00864660" w:rsidRDefault="00000000">
      <w:r>
        <w:t xml:space="preserve">BMO Nesbitt Burns Inc. est une filiale en propriété exclusive de la Banque de Montréal. Par conséquent, la Banque de Montréal est un « émetteur relié » à BMO Nesbitt Burns Inc. aux termes du </w:t>
      </w:r>
      <w:r>
        <w:rPr>
          <w:i/>
        </w:rPr>
        <w:t>Règlement 33-105 sur les conflits d’intérêts chez les placeurs</w:t>
      </w:r>
      <w:r>
        <w:t>. Se reporter aux rubriques « Mode de placement » du supplément relatif au produit visant les billets à revenu et « Mode de placement supplémentaire » du supplément de fixation du prix.</w:t>
      </w:r>
    </w:p>
    <w:p w14:paraId="5D1343C6" w14:textId="77777777" w:rsidR="00864660" w:rsidRDefault="00000000">
      <w:r>
        <w:t>Les billets n’ont pas été ni ne seront notés. Une note n’est pas une recommandation d’acheter, de vendre ou de détenir des placements, et elle peut faire l’objet d’une révision ou d’un retrait à tout moment par l’agence de notation pertinente.</w:t>
      </w:r>
    </w:p>
    <w:p w14:paraId="471BEF33" w14:textId="77777777" w:rsidR="00864660" w:rsidRDefault="00000000">
      <w:r>
        <w:t>Les billets ne constitueront pas des dépôts qui sont assurés en vertu de la</w:t>
      </w:r>
      <w:r>
        <w:rPr>
          <w:i/>
        </w:rPr>
        <w:t xml:space="preserve"> Loi sur la Société d’assurance-dépôts du Canada</w:t>
      </w:r>
      <w:r>
        <w:t xml:space="preserve"> ou de tout autre régime d’assurance-dépôts conçu pour assurer le paiement de la totalité ou d’une partie d’un dépôt en cas d’insolvabilité de l’institution financière ayant accepté le dépôt. Se reporter à la rubrique « Description des billets – Rang » du supplément relatif au produit visant les billets à revenu.</w:t>
      </w:r>
    </w:p>
    <w:tbl>
      <w:tblPr>
        <w:tblW w:w="11327" w:type="dxa"/>
        <w:tblBorders>
          <w:top w:val="single" w:sz="6" w:space="0" w:color="ADC8E9"/>
        </w:tblBorders>
        <w:tblLook w:val="04A0" w:firstRow="1" w:lastRow="0" w:firstColumn="1" w:lastColumn="0" w:noHBand="0" w:noVBand="1"/>
      </w:tblPr>
      <w:tblGrid>
        <w:gridCol w:w="11327"/>
      </w:tblGrid>
      <w:tr w:rsidR="00864660" w14:paraId="3595C34E" w14:textId="77777777">
        <w:tc>
          <w:tcPr>
            <w:tcW w:w="0" w:type="auto"/>
          </w:tcPr>
          <w:p w14:paraId="15B4636D" w14:textId="77777777" w:rsidR="00864660" w:rsidRDefault="00000000">
            <w:pPr>
              <w:spacing w:before="100" w:after="0"/>
              <w:rPr>
                <w:sz w:val="16"/>
              </w:rPr>
            </w:pPr>
            <w:r>
              <w:rPr>
                <w:sz w:val="16"/>
              </w:rPr>
              <w:t xml:space="preserve">Le résumé ci-dessus est uniquement fourni à des fins d’information et ne constitue ni une offre de vente ni la sollicitation d’une offre d’achat des billets. Le placement et la vente de billets peuvent être interdits ou restreints par les lois de certains territoires. Les billets peuvent être achetés uniquement là où il est légalement possible de les vendre et peuvent être vendus uniquement par des personnes autorisées à les vendre. À moins que le contexte n’indique le contraire, les termes qui ne sont pas définis aux présentes ont le sens qui leur est attribué dans le supplément de fixation du prix. Un exemplaire du supplément de fixation du prix, du supplément relatif au produit visant les billets à revenu et du prospectus préalable de base peut être obtenu à l’adresse suivante : </w:t>
            </w:r>
            <w:hyperlink r:id="rId35">
              <w:r>
                <w:rPr>
                  <w:rStyle w:val="Hyperlink1"/>
                  <w:color w:val="0000FF"/>
                  <w:sz w:val="16"/>
                  <w:u w:val="single"/>
                </w:rPr>
                <w:t>www.sedarplus.ca</w:t>
              </w:r>
            </w:hyperlink>
            <w:r>
              <w:rPr>
                <w:sz w:val="16"/>
              </w:rPr>
              <w:t>.</w:t>
            </w:r>
          </w:p>
          <w:p w14:paraId="445715A7" w14:textId="77777777" w:rsidR="00864660" w:rsidRDefault="00000000">
            <w:pPr>
              <w:spacing w:before="100" w:after="0"/>
              <w:rPr>
                <w:sz w:val="16"/>
              </w:rPr>
            </w:pPr>
            <w:r>
              <w:rPr>
                <w:sz w:val="16"/>
              </w:rPr>
              <w:t>L’indice Solactive Equal Weight Canada Bank 27 AR est détenu, calculé, administré et publié par Solactive AG (« Solactive »), qui assume le rôle d’administrateur (le « promoteur de l’indice ») en vertu du Règlement (UE) 2016/1011. Le nom « Solactive » est une marque déposée de Solactive. Solactive est inscrite auprès de l’autorité fédérale allemande chargée de la surveillance financière (« BaFin ») et régie par elle. L’actif de référence est un produit de Solactive, des membres de son groupe et/ou de tiers concédants de licences et il a été accordé sous licence afin d’être utilisé par la Banque de Montréal et les membres de son groupe. Solactive et les membres de son groupe ne parrainent pas les billets, ne les endossent pas, ne les vendent pas ni n’en font la promotion. Aucun d’entre eux ne fait de déclaration quant à l’opportunité d’investir dans ce(s) produit(s).</w:t>
            </w:r>
          </w:p>
          <w:p w14:paraId="5BE68554" w14:textId="77777777" w:rsidR="00864660" w:rsidRDefault="00000000">
            <w:pPr>
              <w:spacing w:before="100" w:after="0"/>
              <w:rPr>
                <w:sz w:val="16"/>
              </w:rPr>
            </w:pPr>
            <w:r>
              <w:rPr>
                <w:sz w:val="16"/>
              </w:rPr>
              <w:t xml:space="preserve">« BMO (le médaillon contenant le M souligné) », « BMO » et « BMO Marchés des capitaux » sont des marques de commerce déposées de la Banque de Montréal utilisées sous licence. </w:t>
            </w:r>
          </w:p>
        </w:tc>
      </w:tr>
    </w:tbl>
    <w:p w14:paraId="1BF00D49" w14:textId="77777777" w:rsidR="00202F35" w:rsidRDefault="00202F35"/>
    <w:sectPr w:rsidR="00202F35">
      <w:headerReference w:type="default" r:id="rId36"/>
      <w:footerReference w:type="default" r:id="rId37"/>
      <w:type w:val="continuous"/>
      <w:pgSz w:w="11906" w:h="16838"/>
      <w:pgMar w:top="720" w:right="285" w:bottom="140" w:left="285" w:header="200" w:footer="708"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2652" w14:textId="77777777" w:rsidR="00202F35" w:rsidRDefault="00202F35">
      <w:pPr>
        <w:spacing w:after="0"/>
      </w:pPr>
      <w:r>
        <w:separator/>
      </w:r>
    </w:p>
  </w:endnote>
  <w:endnote w:type="continuationSeparator" w:id="0">
    <w:p w14:paraId="090F2911" w14:textId="77777777" w:rsidR="00202F35" w:rsidRDefault="00202F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609D" w14:textId="77777777" w:rsidR="00864660" w:rsidRDefault="00864660">
    <w:pPr>
      <w:spacing w:after="0"/>
      <w:rPr>
        <w:sz w:val="8"/>
      </w:rPr>
    </w:pPr>
  </w:p>
  <w:tbl>
    <w:tblPr>
      <w:tblStyle w:val="CoverPageTable"/>
      <w:tblW w:w="0" w:type="auto"/>
      <w:tblInd w:w="0" w:type="dxa"/>
      <w:tblLook w:val="04A0" w:firstRow="1" w:lastRow="0" w:firstColumn="1" w:lastColumn="0" w:noHBand="0" w:noVBand="1"/>
    </w:tblPr>
    <w:tblGrid>
      <w:gridCol w:w="1886"/>
      <w:gridCol w:w="1886"/>
      <w:gridCol w:w="1886"/>
      <w:gridCol w:w="1886"/>
      <w:gridCol w:w="1886"/>
      <w:gridCol w:w="1886"/>
    </w:tblGrid>
    <w:tr w:rsidR="00864660" w14:paraId="54017357" w14:textId="77777777">
      <w:tc>
        <w:tcPr>
          <w:tcW w:w="1887" w:type="dxa"/>
          <w:gridSpan w:val="6"/>
        </w:tcPr>
        <w:p w14:paraId="5CDE376F" w14:textId="77777777" w:rsidR="00864660" w:rsidRDefault="00000000">
          <w:pPr>
            <w:spacing w:after="0"/>
            <w:jc w:val="center"/>
            <w:rPr>
              <w:b/>
              <w:color w:val="0079C1"/>
            </w:rPr>
          </w:pPr>
          <w:r>
            <w:rPr>
              <w:b/>
              <w:color w:val="0079C1"/>
            </w:rPr>
            <w:t>Information additionnelle</w:t>
          </w:r>
        </w:p>
      </w:tc>
    </w:tr>
    <w:tr w:rsidR="00864660" w14:paraId="0CB576ED" w14:textId="77777777">
      <w:tc>
        <w:tcPr>
          <w:tcW w:w="1887" w:type="dxa"/>
          <w:shd w:val="clear" w:color="auto" w:fill="C7D8EF"/>
        </w:tcPr>
        <w:p w14:paraId="56B2BE86" w14:textId="77777777" w:rsidR="00864660" w:rsidRDefault="00000000">
          <w:pPr>
            <w:spacing w:after="0"/>
            <w:jc w:val="center"/>
            <w:rPr>
              <w:b/>
              <w:color w:val="0079C1"/>
            </w:rPr>
          </w:pPr>
          <w:r>
            <w:rPr>
              <w:b/>
              <w:color w:val="0079C1"/>
            </w:rPr>
            <w:t>Code Fundserv</w:t>
          </w:r>
        </w:p>
      </w:tc>
      <w:tc>
        <w:tcPr>
          <w:tcW w:w="1887" w:type="dxa"/>
          <w:shd w:val="clear" w:color="auto" w:fill="C7D8EF"/>
        </w:tcPr>
        <w:p w14:paraId="2244066E" w14:textId="77777777" w:rsidR="00864660" w:rsidRDefault="00000000">
          <w:pPr>
            <w:spacing w:after="0"/>
            <w:jc w:val="center"/>
            <w:rPr>
              <w:b/>
              <w:color w:val="0079C1"/>
            </w:rPr>
          </w:pPr>
          <w:r>
            <w:rPr>
              <w:b/>
              <w:color w:val="0079C1"/>
            </w:rPr>
            <w:t>Rendement du panier</w:t>
          </w:r>
        </w:p>
      </w:tc>
      <w:tc>
        <w:tcPr>
          <w:tcW w:w="1887" w:type="dxa"/>
          <w:shd w:val="clear" w:color="auto" w:fill="C7D8EF"/>
        </w:tcPr>
        <w:p w14:paraId="26B76515" w14:textId="77777777" w:rsidR="00864660" w:rsidRDefault="00000000">
          <w:pPr>
            <w:spacing w:after="0"/>
            <w:jc w:val="center"/>
            <w:rPr>
              <w:b/>
              <w:color w:val="0079C1"/>
            </w:rPr>
          </w:pPr>
          <w:r>
            <w:rPr>
              <w:b/>
              <w:color w:val="0079C1"/>
            </w:rPr>
            <w:t>Date d’émission</w:t>
          </w:r>
        </w:p>
      </w:tc>
      <w:tc>
        <w:tcPr>
          <w:tcW w:w="1887" w:type="dxa"/>
          <w:shd w:val="clear" w:color="auto" w:fill="C7D8EF"/>
        </w:tcPr>
        <w:p w14:paraId="64AD962B" w14:textId="77777777" w:rsidR="00864660" w:rsidRDefault="00000000">
          <w:pPr>
            <w:spacing w:after="0"/>
            <w:jc w:val="center"/>
            <w:rPr>
              <w:b/>
              <w:color w:val="0079C1"/>
            </w:rPr>
          </w:pPr>
          <w:r>
            <w:rPr>
              <w:b/>
              <w:color w:val="0079C1"/>
            </w:rPr>
            <w:t>Date d’échéance</w:t>
          </w:r>
        </w:p>
      </w:tc>
      <w:tc>
        <w:tcPr>
          <w:tcW w:w="1887" w:type="dxa"/>
          <w:shd w:val="clear" w:color="auto" w:fill="C7D8EF"/>
        </w:tcPr>
        <w:p w14:paraId="7266CAA8" w14:textId="77777777" w:rsidR="00864660" w:rsidRDefault="00000000">
          <w:pPr>
            <w:spacing w:after="0"/>
            <w:jc w:val="center"/>
            <w:rPr>
              <w:b/>
              <w:color w:val="0079C1"/>
            </w:rPr>
          </w:pPr>
          <w:r>
            <w:rPr>
              <w:b/>
              <w:color w:val="0079C1"/>
            </w:rPr>
            <w:t>Niveau de remboursement par anticipation</w:t>
          </w:r>
        </w:p>
      </w:tc>
      <w:tc>
        <w:tcPr>
          <w:tcW w:w="1887" w:type="dxa"/>
          <w:shd w:val="clear" w:color="auto" w:fill="C7D8EF"/>
        </w:tcPr>
        <w:p w14:paraId="6C798378" w14:textId="77777777" w:rsidR="00864660" w:rsidRDefault="00000000">
          <w:pPr>
            <w:spacing w:after="0"/>
            <w:jc w:val="center"/>
            <w:rPr>
              <w:b/>
              <w:color w:val="0079C1"/>
            </w:rPr>
          </w:pPr>
          <w:r>
            <w:rPr>
              <w:b/>
              <w:color w:val="0079C1"/>
            </w:rPr>
            <w:t>Commission de vente</w:t>
          </w:r>
        </w:p>
      </w:tc>
    </w:tr>
    <w:tr w:rsidR="00864660" w14:paraId="676FA4E6" w14:textId="77777777">
      <w:tc>
        <w:tcPr>
          <w:tcW w:w="1887" w:type="dxa"/>
        </w:tcPr>
        <w:p w14:paraId="28A01DF8" w14:textId="77777777" w:rsidR="00864660" w:rsidRDefault="00000000">
          <w:pPr>
            <w:spacing w:after="0"/>
            <w:jc w:val="center"/>
          </w:pPr>
          <w:r>
            <w:t>JHN19116</w:t>
          </w:r>
        </w:p>
      </w:tc>
      <w:tc>
        <w:tcPr>
          <w:tcW w:w="1887" w:type="dxa"/>
        </w:tcPr>
        <w:p w14:paraId="21AA6B98" w14:textId="77777777" w:rsidR="00864660" w:rsidRDefault="00000000">
          <w:pPr>
            <w:spacing w:after="0"/>
            <w:jc w:val="center"/>
          </w:pPr>
          <w:r>
            <w:t>11 février 2025</w:t>
          </w:r>
        </w:p>
      </w:tc>
      <w:tc>
        <w:tcPr>
          <w:tcW w:w="1887" w:type="dxa"/>
        </w:tcPr>
        <w:p w14:paraId="21EE580C" w14:textId="77777777" w:rsidR="00864660" w:rsidRDefault="00000000">
          <w:pPr>
            <w:spacing w:after="0"/>
            <w:jc w:val="center"/>
          </w:pPr>
          <w:r>
            <w:t>14 février 2025</w:t>
          </w:r>
        </w:p>
      </w:tc>
      <w:tc>
        <w:tcPr>
          <w:tcW w:w="1887" w:type="dxa"/>
        </w:tcPr>
        <w:p w14:paraId="4FB4962E" w14:textId="77777777" w:rsidR="00864660" w:rsidRDefault="00000000">
          <w:pPr>
            <w:spacing w:after="0"/>
            <w:jc w:val="center"/>
          </w:pPr>
          <w:r>
            <w:t>17 février 2032</w:t>
          </w:r>
        </w:p>
      </w:tc>
      <w:tc>
        <w:tcPr>
          <w:tcW w:w="1887" w:type="dxa"/>
        </w:tcPr>
        <w:p w14:paraId="5DF24A09" w14:textId="77777777" w:rsidR="00864660" w:rsidRDefault="00000000">
          <w:pPr>
            <w:spacing w:after="0"/>
            <w:jc w:val="center"/>
          </w:pPr>
          <w:r>
            <w:t>2 000 00 $ CA</w:t>
          </w:r>
        </w:p>
      </w:tc>
      <w:tc>
        <w:tcPr>
          <w:tcW w:w="1887" w:type="dxa"/>
        </w:tcPr>
        <w:p w14:paraId="330F279E" w14:textId="77777777" w:rsidR="00864660" w:rsidRDefault="00000000">
          <w:pPr>
            <w:spacing w:after="0"/>
            <w:jc w:val="center"/>
          </w:pPr>
          <w:r>
            <w:t>2,50 $ CA</w:t>
          </w:r>
        </w:p>
      </w:tc>
    </w:tr>
  </w:tbl>
  <w:p w14:paraId="4115F6DA" w14:textId="77777777" w:rsidR="00864660" w:rsidRDefault="00000000">
    <w:pPr>
      <w:rPr>
        <w:i/>
        <w:sz w:val="14"/>
      </w:rPr>
    </w:pPr>
    <w:r>
      <w:rPr>
        <w:i/>
        <w:sz w:val="14"/>
      </w:rPr>
      <w:t>Un prospectus préalable de base définitif contenant de l’information importante au sujet des titres décrits dans le présent document a été déposé auprès de l’autorité en valeurs mobilières de chaque province et territoire du Canada. Un exemplaire du prospectus préalable de base définitif, de toutes ses modifications et de tout supplément de prospectus préalable de base applicable qui a été déposé doit être transmis avec le présent document. Le présent document ne révèle pas de façon complète tous les faits importants relatifs aux titres offerts. Il est recommandé aux investisseurs de lire le prospectus préalable de base définitif, toutes ses modifications et tout supplément de prospectus préalable de base applicable pour obtenir l’information relative à ces faits, particulièrement les facteurs de risque liés aux titres offerts, avant de prendre une décision d’investissement.</w:t>
    </w:r>
  </w:p>
  <w:tbl>
    <w:tblPr>
      <w:tblW w:w="11327" w:type="dxa"/>
      <w:tblLook w:val="04A0" w:firstRow="1" w:lastRow="0" w:firstColumn="1" w:lastColumn="0" w:noHBand="0" w:noVBand="1"/>
    </w:tblPr>
    <w:tblGrid>
      <w:gridCol w:w="3575"/>
      <w:gridCol w:w="7752"/>
    </w:tblGrid>
    <w:tr w:rsidR="00864660" w14:paraId="72045522" w14:textId="77777777">
      <w:tc>
        <w:tcPr>
          <w:tcW w:w="0" w:type="auto"/>
        </w:tcPr>
        <w:p w14:paraId="02ABE73C" w14:textId="77777777" w:rsidR="00864660" w:rsidRDefault="00000000">
          <w:pPr>
            <w:spacing w:after="0"/>
          </w:pPr>
          <w:r>
            <w:rPr>
              <w:noProof/>
            </w:rPr>
          </w:r>
        </w:p>
      </w:tc>
      <w:tc>
        <w:tcPr>
          <w:tcW w:w="0" w:type="auto"/>
          <w:vAlign w:val="center"/>
        </w:tcPr>
        <w:p w14:paraId="17D29AB4" w14:textId="77777777" w:rsidR="00864660" w:rsidRDefault="00000000">
          <w:pPr>
            <w:spacing w:after="120"/>
            <w:jc w:val="right"/>
            <w:rPr>
              <w:sz w:val="20"/>
            </w:rPr>
          </w:pPr>
          <w:r>
            <w:rPr>
              <w:sz w:val="20"/>
            </w:rPr>
            <w:t>Pour plus de renseignements, veuillez communiquer avec votre conseiller en placements.</w:t>
          </w:r>
        </w:p>
        <w:p w14:paraId="05859DD3" w14:textId="77777777" w:rsidR="00864660" w:rsidRDefault="00000000">
          <w:pPr>
            <w:jc w:val="right"/>
          </w:pPr>
          <w:hyperlink r:id="rId2">
            <w:r>
              <w:rPr>
                <w:rStyle w:val="Hyperlink1"/>
                <w:color w:val="0000FF"/>
                <w:u w:val="single"/>
              </w:rPr>
              <w:t>www.bmonotes.com</w:t>
            </w:r>
          </w:hyperlink>
        </w:p>
      </w:tc>
    </w:tr>
  </w:tbl>
  <w:p w14:paraId="2B42DD02" w14:textId="77777777" w:rsidR="00864660" w:rsidRDefault="00864660">
    <w:pPr>
      <w:spacing w:after="0"/>
      <w:rPr>
        <w:sz w:val="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095F780E" w14:textId="77777777">
      <w:tc>
        <w:tcPr>
          <w:tcW w:w="0" w:type="auto"/>
        </w:tcPr>
        <w:p w14:paraId="295CE350" w14:textId="77777777" w:rsidR="00864660" w:rsidRDefault="00000000">
          <w:pPr>
            <w:spacing w:after="0"/>
          </w:pPr>
          <w:r>
            <w:rPr>
              <w:noProof/>
            </w:rPr>
          </w:r>
        </w:p>
      </w:tc>
      <w:tc>
        <w:tcPr>
          <w:tcW w:w="0" w:type="auto"/>
          <w:vAlign w:val="center"/>
        </w:tcPr>
        <w:p w14:paraId="6B893267" w14:textId="77777777" w:rsidR="00864660" w:rsidRDefault="00000000">
          <w:pPr>
            <w:spacing w:after="0"/>
            <w:jc w:val="right"/>
            <w:rPr>
              <w:b/>
              <w:color w:val="0079C1"/>
              <w:sz w:val="40"/>
            </w:rPr>
          </w:pPr>
          <w:r>
            <w:rPr>
              <w:b/>
              <w:color w:val="0079C1"/>
              <w:sz w:val="40"/>
            </w:rPr>
            <w:t>Brochure du client</w:t>
          </w:r>
        </w:p>
      </w:tc>
    </w:tr>
  </w:tbl>
  <w:p w14:paraId="2E8D7473" w14:textId="77777777" w:rsidR="00864660" w:rsidRDefault="00000000">
    <w:pPr>
      <w:spacing w:after="0"/>
      <w:jc w:val="center"/>
    </w:pPr>
    <w:r>
      <w:t>BI-</w:t>
    </w:r>
    <w:r/>
    <w:r/>
    <w:r/>
    <w:r>
      <w:t>1</w:t>
    </w:r>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0CEF5E27" w14:textId="77777777">
      <w:tc>
        <w:tcPr>
          <w:tcW w:w="0" w:type="auto"/>
        </w:tcPr>
        <w:p w14:paraId="2D98A696" w14:textId="77777777" w:rsidR="00864660" w:rsidRDefault="00000000">
          <w:pPr>
            <w:spacing w:after="0"/>
          </w:pPr>
          <w:r>
            <w:rPr>
              <w:noProof/>
            </w:rPr>
          </w:r>
        </w:p>
      </w:tc>
      <w:tc>
        <w:tcPr>
          <w:tcW w:w="0" w:type="auto"/>
          <w:vAlign w:val="center"/>
        </w:tcPr>
        <w:p w14:paraId="543B95D1" w14:textId="77777777" w:rsidR="00864660" w:rsidRDefault="00000000">
          <w:pPr>
            <w:spacing w:after="0"/>
            <w:jc w:val="right"/>
            <w:rPr>
              <w:b/>
              <w:color w:val="0079C1"/>
              <w:sz w:val="40"/>
            </w:rPr>
          </w:pPr>
          <w:r>
            <w:rPr>
              <w:b/>
              <w:color w:val="0079C1"/>
              <w:sz w:val="40"/>
            </w:rPr>
            <w:t>Brochure du client</w:t>
          </w:r>
        </w:p>
      </w:tc>
    </w:tr>
  </w:tbl>
  <w:p w14:paraId="55FBAEDF" w14:textId="77777777" w:rsidR="00864660" w:rsidRDefault="00000000">
    <w:pPr>
      <w:spacing w:after="0"/>
      <w:jc w:val="center"/>
    </w:pPr>
    <w:r>
      <w:t>BI-</w:t>
    </w:r>
    <w:r/>
    <w:r/>
    <w:r/>
    <w:r>
      <w:t>1</w:t>
    </w: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44159210" w14:textId="77777777">
      <w:tc>
        <w:tcPr>
          <w:tcW w:w="0" w:type="auto"/>
        </w:tcPr>
        <w:p w14:paraId="48465F52" w14:textId="77777777" w:rsidR="00864660" w:rsidRDefault="00000000">
          <w:pPr>
            <w:spacing w:after="0"/>
          </w:pPr>
          <w:r>
            <w:rPr>
              <w:noProof/>
            </w:rPr>
          </w:r>
        </w:p>
      </w:tc>
      <w:tc>
        <w:tcPr>
          <w:tcW w:w="0" w:type="auto"/>
          <w:vAlign w:val="center"/>
        </w:tcPr>
        <w:p w14:paraId="4EC3AECB" w14:textId="77777777" w:rsidR="00864660" w:rsidRDefault="00000000">
          <w:pPr>
            <w:spacing w:after="0"/>
            <w:jc w:val="right"/>
            <w:rPr>
              <w:b/>
              <w:color w:val="0079C1"/>
              <w:sz w:val="40"/>
            </w:rPr>
          </w:pPr>
          <w:r>
            <w:rPr>
              <w:b/>
              <w:color w:val="0079C1"/>
              <w:sz w:val="40"/>
            </w:rPr>
            <w:t>Brochure du client</w:t>
          </w:r>
        </w:p>
      </w:tc>
    </w:tr>
  </w:tbl>
  <w:p w14:paraId="0A91545F" w14:textId="77777777" w:rsidR="00864660" w:rsidRDefault="00000000">
    <w:pPr>
      <w:spacing w:after="0"/>
      <w:jc w:val="center"/>
    </w:pPr>
    <w:r>
      <w:t>BI-</w:t>
    </w:r>
    <w:r/>
    <w:r/>
    <w:r/>
    <w:r>
      <w:t>1</w:t>
    </w: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7051D4C8" w14:textId="77777777">
      <w:tc>
        <w:tcPr>
          <w:tcW w:w="0" w:type="auto"/>
        </w:tcPr>
        <w:p w14:paraId="4BABC249" w14:textId="77777777" w:rsidR="00864660" w:rsidRDefault="00000000">
          <w:pPr>
            <w:spacing w:after="0"/>
          </w:pPr>
          <w:r>
            <w:rPr>
              <w:noProof/>
            </w:rPr>
          </w:r>
        </w:p>
      </w:tc>
      <w:tc>
        <w:tcPr>
          <w:tcW w:w="0" w:type="auto"/>
          <w:vAlign w:val="center"/>
        </w:tcPr>
        <w:p w14:paraId="17494111" w14:textId="77777777" w:rsidR="00864660" w:rsidRDefault="00000000">
          <w:pPr>
            <w:spacing w:after="0"/>
            <w:jc w:val="right"/>
            <w:rPr>
              <w:b/>
              <w:color w:val="0079C1"/>
              <w:sz w:val="40"/>
            </w:rPr>
          </w:pPr>
          <w:r>
            <w:rPr>
              <w:b/>
              <w:color w:val="0079C1"/>
              <w:sz w:val="40"/>
            </w:rPr>
            <w:t>Brochure du client</w:t>
          </w:r>
        </w:p>
      </w:tc>
    </w:tr>
  </w:tbl>
  <w:p w14:paraId="0E5CF1EC" w14:textId="77777777" w:rsidR="00864660" w:rsidRDefault="00000000">
    <w:pPr>
      <w:spacing w:after="0"/>
      <w:jc w:val="center"/>
    </w:pPr>
    <w:r>
      <w:t>BI-</w:t>
    </w:r>
    <w:r/>
    <w:r/>
    <w:r/>
    <w:r>
      <w:t>1</w:t>
    </w: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39A034F8" w14:textId="77777777">
      <w:tc>
        <w:tcPr>
          <w:tcW w:w="0" w:type="auto"/>
        </w:tcPr>
        <w:p w14:paraId="71289206" w14:textId="77777777" w:rsidR="00864660" w:rsidRDefault="00000000">
          <w:pPr>
            <w:spacing w:after="0"/>
          </w:pPr>
          <w:r>
            <w:rPr>
              <w:noProof/>
            </w:rPr>
          </w:r>
        </w:p>
      </w:tc>
      <w:tc>
        <w:tcPr>
          <w:tcW w:w="0" w:type="auto"/>
          <w:vAlign w:val="center"/>
        </w:tcPr>
        <w:p w14:paraId="3C76EE49" w14:textId="77777777" w:rsidR="00864660" w:rsidRDefault="00000000">
          <w:pPr>
            <w:spacing w:after="0"/>
            <w:jc w:val="right"/>
            <w:rPr>
              <w:b/>
              <w:color w:val="0079C1"/>
              <w:sz w:val="40"/>
            </w:rPr>
          </w:pPr>
          <w:r>
            <w:rPr>
              <w:b/>
              <w:color w:val="0079C1"/>
              <w:sz w:val="40"/>
            </w:rPr>
            <w:t>Brochure du client</w:t>
          </w:r>
        </w:p>
      </w:tc>
    </w:tr>
  </w:tbl>
  <w:p w14:paraId="521CEEC0" w14:textId="77777777" w:rsidR="00864660" w:rsidRDefault="00000000">
    <w:pPr>
      <w:spacing w:after="0"/>
      <w:jc w:val="center"/>
    </w:pPr>
    <w:r>
      <w:t>BI-</w:t>
    </w:r>
    <w:r/>
    <w:r/>
    <w:r/>
    <w:r>
      <w:t>1</w:t>
    </w:r>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42230C72" w14:textId="77777777">
      <w:tc>
        <w:tcPr>
          <w:tcW w:w="0" w:type="auto"/>
        </w:tcPr>
        <w:p w14:paraId="2D9697D6" w14:textId="77777777" w:rsidR="00864660" w:rsidRDefault="00000000">
          <w:pPr>
            <w:spacing w:after="0"/>
          </w:pPr>
          <w:r>
            <w:rPr>
              <w:noProof/>
            </w:rPr>
          </w:r>
        </w:p>
      </w:tc>
      <w:tc>
        <w:tcPr>
          <w:tcW w:w="0" w:type="auto"/>
          <w:vAlign w:val="center"/>
        </w:tcPr>
        <w:p w14:paraId="054BA5C4" w14:textId="77777777" w:rsidR="00864660" w:rsidRDefault="00000000">
          <w:pPr>
            <w:spacing w:after="0"/>
            <w:jc w:val="right"/>
            <w:rPr>
              <w:b/>
              <w:color w:val="0079C1"/>
              <w:sz w:val="40"/>
            </w:rPr>
          </w:pPr>
          <w:r>
            <w:rPr>
              <w:b/>
              <w:color w:val="0079C1"/>
              <w:sz w:val="40"/>
            </w:rPr>
            <w:t>Brochure du client</w:t>
          </w:r>
        </w:p>
      </w:tc>
    </w:tr>
  </w:tbl>
  <w:p w14:paraId="55A14CC0" w14:textId="77777777" w:rsidR="00864660" w:rsidRDefault="00000000">
    <w:pPr>
      <w:spacing w:after="0"/>
      <w:jc w:val="center"/>
    </w:pPr>
    <w:r>
      <w:t>BI-</w:t>
    </w:r>
    <w:r/>
    <w:r/>
    <w:r/>
    <w:r>
      <w:t>1</w:t>
    </w:r>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3F940AB9" w14:textId="77777777">
      <w:tc>
        <w:tcPr>
          <w:tcW w:w="0" w:type="auto"/>
        </w:tcPr>
        <w:p w14:paraId="4A1EA20A" w14:textId="77777777" w:rsidR="00864660" w:rsidRDefault="00000000">
          <w:pPr>
            <w:spacing w:after="0"/>
          </w:pPr>
          <w:r>
            <w:rPr>
              <w:noProof/>
            </w:rPr>
          </w:r>
        </w:p>
      </w:tc>
      <w:tc>
        <w:tcPr>
          <w:tcW w:w="0" w:type="auto"/>
          <w:vAlign w:val="center"/>
        </w:tcPr>
        <w:p w14:paraId="143B3CB1" w14:textId="77777777" w:rsidR="00864660" w:rsidRDefault="00000000">
          <w:pPr>
            <w:spacing w:after="0"/>
            <w:jc w:val="right"/>
            <w:rPr>
              <w:b/>
              <w:color w:val="0079C1"/>
              <w:sz w:val="40"/>
            </w:rPr>
          </w:pPr>
          <w:r>
            <w:rPr>
              <w:b/>
              <w:color w:val="0079C1"/>
              <w:sz w:val="40"/>
            </w:rPr>
            <w:t>Brochure du client</w:t>
          </w:r>
        </w:p>
      </w:tc>
    </w:tr>
  </w:tbl>
  <w:p w14:paraId="2D6C2C6E" w14:textId="77777777" w:rsidR="00864660" w:rsidRDefault="00000000">
    <w:pPr>
      <w:spacing w:after="0"/>
      <w:jc w:val="center"/>
    </w:pPr>
    <w:r>
      <w:t>BI-</w:t>
    </w:r>
    <w:r/>
    <w:r/>
    <w:r/>
    <w:r>
      <w:t>1</w:t>
    </w:r>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18C754A6" w14:textId="77777777">
      <w:tc>
        <w:tcPr>
          <w:tcW w:w="0" w:type="auto"/>
        </w:tcPr>
        <w:p w14:paraId="32248D62" w14:textId="77777777" w:rsidR="00864660" w:rsidRDefault="00000000">
          <w:pPr>
            <w:spacing w:after="0"/>
          </w:pPr>
          <w:r>
            <w:rPr>
              <w:noProof/>
            </w:rPr>
          </w:r>
        </w:p>
      </w:tc>
      <w:tc>
        <w:tcPr>
          <w:tcW w:w="0" w:type="auto"/>
          <w:vAlign w:val="center"/>
        </w:tcPr>
        <w:p w14:paraId="3F50C5F6" w14:textId="77777777" w:rsidR="00864660" w:rsidRDefault="00000000">
          <w:pPr>
            <w:spacing w:after="0"/>
            <w:jc w:val="right"/>
            <w:rPr>
              <w:b/>
              <w:color w:val="0079C1"/>
              <w:sz w:val="40"/>
            </w:rPr>
          </w:pPr>
          <w:r>
            <w:rPr>
              <w:b/>
              <w:color w:val="0079C1"/>
              <w:sz w:val="40"/>
            </w:rPr>
            <w:t>Brochure du client</w:t>
          </w:r>
        </w:p>
      </w:tc>
    </w:tr>
  </w:tbl>
  <w:p w14:paraId="32071575" w14:textId="77777777" w:rsidR="00864660" w:rsidRDefault="00000000">
    <w:pPr>
      <w:spacing w:after="0"/>
      <w:jc w:val="center"/>
    </w:pPr>
    <w:r>
      <w:t>BI-</w:t>
    </w:r>
    <w:r/>
    <w:r/>
    <w:r/>
    <w:r>
      <w:t>1</w:t>
    </w:r>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4C39DA05" w14:textId="77777777">
      <w:tc>
        <w:tcPr>
          <w:tcW w:w="0" w:type="auto"/>
        </w:tcPr>
        <w:p w14:paraId="564EA8EB" w14:textId="77777777" w:rsidR="00864660" w:rsidRDefault="00000000">
          <w:pPr>
            <w:spacing w:after="0"/>
          </w:pPr>
          <w:r>
            <w:rPr>
              <w:noProof/>
            </w:rPr>
          </w:r>
        </w:p>
      </w:tc>
      <w:tc>
        <w:tcPr>
          <w:tcW w:w="0" w:type="auto"/>
          <w:vAlign w:val="center"/>
        </w:tcPr>
        <w:p w14:paraId="22B31BAF" w14:textId="77777777" w:rsidR="00864660" w:rsidRDefault="00000000">
          <w:pPr>
            <w:spacing w:after="0"/>
            <w:jc w:val="right"/>
            <w:rPr>
              <w:b/>
              <w:color w:val="0079C1"/>
              <w:sz w:val="40"/>
            </w:rPr>
          </w:pPr>
          <w:r>
            <w:rPr>
              <w:b/>
              <w:color w:val="0079C1"/>
              <w:sz w:val="40"/>
            </w:rPr>
            <w:t>Brochure du client</w:t>
          </w:r>
        </w:p>
      </w:tc>
    </w:tr>
  </w:tbl>
  <w:p w14:paraId="626DDCAA" w14:textId="77777777" w:rsidR="00864660" w:rsidRDefault="00000000">
    <w:pPr>
      <w:spacing w:after="0"/>
      <w:jc w:val="center"/>
    </w:pPr>
    <w:r>
      <w:t>BI-</w:t>
    </w:r>
    <w:r/>
    <w:r/>
    <w:r/>
    <w:r>
      <w:t>1</w:t>
    </w:r>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27" w:type="dxa"/>
      <w:tblLook w:val="04A0" w:firstRow="1" w:lastRow="0" w:firstColumn="1" w:lastColumn="0" w:noHBand="0" w:noVBand="1"/>
    </w:tblPr>
    <w:tblGrid>
      <w:gridCol w:w="5309"/>
      <w:gridCol w:w="6018"/>
    </w:tblGrid>
    <w:tr w:rsidR="00864660" w14:paraId="20C4D5A1" w14:textId="77777777">
      <w:tc>
        <w:tcPr>
          <w:tcW w:w="0" w:type="auto"/>
        </w:tcPr>
        <w:p w14:paraId="19B10FBC" w14:textId="77777777" w:rsidR="00864660" w:rsidRDefault="00000000">
          <w:pPr>
            <w:spacing w:after="0"/>
          </w:pPr>
          <w:r>
            <w:rPr>
              <w:noProof/>
            </w:rPr>
          </w:r>
        </w:p>
      </w:tc>
      <w:tc>
        <w:tcPr>
          <w:tcW w:w="0" w:type="auto"/>
          <w:vAlign w:val="center"/>
        </w:tcPr>
        <w:p w14:paraId="38B55D30" w14:textId="77777777" w:rsidR="00864660" w:rsidRDefault="00000000">
          <w:pPr>
            <w:spacing w:after="0"/>
            <w:jc w:val="right"/>
            <w:rPr>
              <w:b/>
              <w:color w:val="0079C1"/>
              <w:sz w:val="40"/>
            </w:rPr>
          </w:pPr>
          <w:r>
            <w:rPr>
              <w:b/>
              <w:color w:val="0079C1"/>
              <w:sz w:val="40"/>
            </w:rPr>
            <w:t>Brochure du client</w:t>
          </w:r>
        </w:p>
      </w:tc>
    </w:tr>
  </w:tbl>
  <w:p w14:paraId="3A443723" w14:textId="77777777" w:rsidR="00864660" w:rsidRDefault="00000000">
    <w:pPr>
      <w:spacing w:after="0"/>
      <w:jc w:val="center"/>
    </w:pPr>
    <w:r>
      <w:t>BI-</w:t>
    </w:r>
    <w:r/>
    <w:r/>
    <w:r/>
    <w:r>
      <w:t>1</w:t>
    </w: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22DE4" w14:textId="77777777" w:rsidR="00202F35" w:rsidRDefault="00202F35">
      <w:pPr>
        <w:spacing w:after="0"/>
      </w:pPr>
      <w:r>
        <w:separator/>
      </w:r>
    </w:p>
  </w:footnote>
  <w:footnote w:type="continuationSeparator" w:id="0">
    <w:p w14:paraId="129A3BD5" w14:textId="77777777" w:rsidR="00202F35" w:rsidRDefault="00202F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56BA" w14:textId="77777777" w:rsidR="00864660" w:rsidRDefault="00000000">
    <w:pPr>
      <w:spacing w:after="0"/>
      <w:jc w:val="center"/>
    </w:pPr>
    <w:r>
      <w:rPr>
        <w:noProof/>
      </w:rP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EF506" w14:textId="77777777" w:rsidR="00864660" w:rsidRDefault="00000000">
    <w:pPr>
      <w:spacing w:after="0"/>
      <w:jc w:val="center"/>
    </w:pPr>
    <w:r>
      <w:rPr>
        <w:noProof/>
      </w:rPr>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4D7B" w14:textId="77777777" w:rsidR="00864660" w:rsidRDefault="00000000">
    <w:pPr>
      <w:spacing w:after="0"/>
      <w:jc w:val="center"/>
    </w:pPr>
    <w:r>
      <w:rPr>
        <w:noProof/>
      </w:rP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B71D1" w14:textId="77777777" w:rsidR="00864660" w:rsidRDefault="00000000">
    <w:pPr>
      <w:spacing w:after="0"/>
      <w:jc w:val="center"/>
    </w:pPr>
    <w:r>
      <w:rPr>
        <w:noProof/>
      </w:rP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60E5" w14:textId="77777777" w:rsidR="00864660" w:rsidRDefault="00000000">
    <w:pPr>
      <w:spacing w:after="0"/>
      <w:jc w:val="center"/>
    </w:pPr>
    <w:r>
      <w:rPr>
        <w:noProof/>
      </w:rP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F9117" w14:textId="77777777" w:rsidR="00864660" w:rsidRDefault="00000000">
    <w:pPr>
      <w:spacing w:after="0"/>
      <w:jc w:val="center"/>
    </w:pPr>
    <w:r>
      <w:rPr>
        <w:noProof/>
      </w:rP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071B" w14:textId="77777777" w:rsidR="00864660" w:rsidRDefault="00000000">
    <w:pPr>
      <w:spacing w:after="0"/>
      <w:jc w:val="center"/>
    </w:pPr>
    <w:r>
      <w:rPr>
        <w:noProof/>
      </w:rPr>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5740" w14:textId="77777777" w:rsidR="00864660" w:rsidRDefault="00000000">
    <w:pPr>
      <w:spacing w:after="0"/>
      <w:jc w:val="center"/>
    </w:pPr>
    <w:r>
      <w:rPr>
        <w:noProof/>
      </w:rPr>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5D2DF" w14:textId="77777777" w:rsidR="00864660" w:rsidRDefault="00000000">
    <w:pPr>
      <w:spacing w:after="0"/>
      <w:jc w:val="center"/>
    </w:pPr>
    <w:r>
      <w:rPr>
        <w:noProof/>
      </w:rPr>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4808" w14:textId="77777777" w:rsidR="00864660" w:rsidRDefault="00000000">
    <w:pPr>
      <w:spacing w:after="0"/>
      <w:jc w:val="center"/>
    </w:pPr>
    <w:r>
      <w:rPr>
        <w:noProof/>
      </w:rPr>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334C" w14:textId="77777777" w:rsidR="00864660" w:rsidRDefault="00000000">
    <w:pPr>
      <w:spacing w:after="0"/>
      <w:jc w:val="center"/>
    </w:pPr>
    <w:r>
      <w:rPr>
        <w:noProof/>
      </w:rP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9D7"/>
    <w:multiLevelType w:val="multilevel"/>
    <w:tmpl w:val="24C88618"/>
    <w:lvl w:ilvl="0">
      <w:start w:val="1"/>
      <w:numFmt w:val="bullet"/>
      <w:lvlText w:val="o"/>
      <w:lvlJc w:val="left"/>
      <w:pPr>
        <w:ind w:left="720" w:hanging="360"/>
      </w:pPr>
      <w:rPr>
        <w:rFonts w:ascii="Symbol" w:eastAsia="Symbol" w:hAnsi="Symbol" w:cs="Symbol"/>
      </w:rPr>
    </w:lvl>
    <w:lvl w:ilvl="1">
      <w:start w:val="1"/>
      <w:numFmt w:val="bullet"/>
      <w:pStyle w:val="CouponStepBodyTextSmallSpacing"/>
      <w:lvlText w:val="o"/>
      <w:lvlJc w:val="left"/>
      <w:pPr>
        <w:ind w:left="1080" w:hanging="360"/>
      </w:pPr>
      <w:rPr>
        <w:rFonts w:ascii="Symbol" w:eastAsia="Symbol" w:hAnsi="Symbol" w:cs="Symbol"/>
      </w:rPr>
    </w:lvl>
    <w:lvl w:ilvl="2">
      <w:start w:val="1"/>
      <w:numFmt w:val="bullet"/>
      <w:lvlText w:val="o"/>
      <w:lvlJc w:val="left"/>
      <w:pPr>
        <w:ind w:left="1420" w:hanging="360"/>
      </w:pPr>
      <w:rPr>
        <w:rFonts w:ascii="Symbol" w:eastAsia="Symbol" w:hAnsi="Symbol" w:cs="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A469E7"/>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091428"/>
    <w:multiLevelType w:val="multilevel"/>
    <w:tmpl w:val="02DAD9EA"/>
    <w:lvl w:ilvl="0">
      <w:start w:val="1"/>
      <w:numFmt w:val="bullet"/>
      <w:lvlText w:val=""/>
      <w:lvlJc w:val="left"/>
      <w:pPr>
        <w:ind w:left="720" w:hanging="360"/>
      </w:pPr>
      <w:rPr>
        <w:rFonts w:ascii="Symbol" w:eastAsia="Symbol" w:hAnsi="Symbol" w:cs="Symbol"/>
      </w:rPr>
    </w:lvl>
    <w:lvl w:ilvl="1">
      <w:start w:val="1"/>
      <w:numFmt w:val="bullet"/>
      <w:lvlText w:val=""/>
      <w:lvlJc w:val="left"/>
      <w:pPr>
        <w:ind w:left="1080" w:hanging="360"/>
      </w:pPr>
      <w:rPr>
        <w:rFonts w:ascii="Symbol" w:eastAsia="Symbol" w:hAnsi="Symbol" w:cs="Symbol"/>
      </w:rPr>
    </w:lvl>
    <w:lvl w:ilvl="2">
      <w:start w:val="1"/>
      <w:numFmt w:val="bullet"/>
      <w:lvlText w:val=""/>
      <w:lvlJc w:val="left"/>
      <w:pPr>
        <w:ind w:left="1420" w:hanging="360"/>
      </w:pPr>
      <w:rPr>
        <w:rFonts w:ascii="Symbol" w:eastAsia="Symbol" w:hAnsi="Symbol" w:cs="Symbol"/>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57A3E64"/>
    <w:multiLevelType w:val="singleLevel"/>
    <w:tmpl w:val="78B40F6E"/>
    <w:lvl w:ilvl="0">
      <w:start w:val="1"/>
      <w:numFmt w:val="decimal"/>
      <w:lvlText w:val="(%1)"/>
      <w:lvlJc w:val="left"/>
      <w:pPr>
        <w:ind w:left="360" w:hanging="360"/>
      </w:pPr>
    </w:lvl>
  </w:abstractNum>
  <w:num w:numId="1" w16cid:durableId="646476138">
    <w:abstractNumId w:val="0"/>
  </w:num>
  <w:num w:numId="2" w16cid:durableId="1134174587">
    <w:abstractNumId w:val="2"/>
  </w:num>
  <w:num w:numId="3" w16cid:durableId="276718435">
    <w:abstractNumId w:val="2"/>
  </w:num>
  <w:num w:numId="4" w16cid:durableId="1035273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E4"/>
    <w:rsid w:val="00202F35"/>
    <w:rsid w:val="002548E4"/>
    <w:rsid w:val="00707D86"/>
    <w:rsid w:val="00864660"/>
    <w:rsid w:val="00F556E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D32"/>
  <w15:chartTrackingRefBased/>
  <w15:docId w15:val="{DC905098-68CE-46F9-9D23-F85D7D36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Body)" w:eastAsia="Calibri (Body)" w:hAnsi="Calibri (Body)" w:cs="Calibri (Body)"/>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Caption">
    <w:name w:val="caption"/>
    <w:basedOn w:val="Normal"/>
    <w:next w:val="Normal"/>
    <w:uiPriority w:val="35"/>
    <w:semiHidden/>
    <w:unhideWhenUsed/>
    <w:qFormat/>
    <w:rPr>
      <w:b/>
      <w:bCs/>
      <w:color w:val="4472C4" w:themeColor="accent1"/>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pPr>
  </w:style>
  <w:style w:type="table" w:customStyle="1" w:styleId="FirstBoldBlueTable">
    <w:name w:val="First Bold Blue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20" w:type="dxa"/>
        <w:left w:w="100" w:type="dxa"/>
        <w:bottom w:w="120" w:type="dxa"/>
        <w:right w:w="100" w:type="dxa"/>
      </w:tblCellMar>
    </w:tblPr>
    <w:tblStylePr w:type="firstRow">
      <w:pPr>
        <w:jc w:val="center"/>
      </w:pPr>
      <w:rPr>
        <w:b/>
      </w:rPr>
      <w:tblPr/>
      <w:tcPr>
        <w:shd w:val="clear" w:color="auto" w:fill="C7D8EF"/>
        <w:vAlign w:val="center"/>
      </w:tcPr>
    </w:tblStylePr>
    <w:tblStylePr w:type="firstCol">
      <w:rPr>
        <w:b/>
        <w:color w:val="0079C1"/>
      </w:rPr>
    </w:tblStylePr>
  </w:style>
  <w:style w:type="table" w:customStyle="1" w:styleId="FormulaStyleCumulative">
    <w:name w:val="Formula Style Cumulative"/>
    <w:qFormat/>
    <w:pPr>
      <w:spacing w:after="60"/>
    </w:pPr>
    <w:tblPr>
      <w:tblInd w:w="720" w:type="dxa"/>
      <w:tblCellMar>
        <w:top w:w="0" w:type="dxa"/>
        <w:left w:w="0" w:type="dxa"/>
        <w:bottom w:w="0" w:type="dxa"/>
        <w:right w:w="0" w:type="dxa"/>
      </w:tblCellMar>
    </w:tblPr>
    <w:tcPr>
      <w:vAlign w:val="center"/>
    </w:tcPr>
  </w:style>
  <w:style w:type="table" w:customStyle="1" w:styleId="FormulaStyleCumulative1">
    <w:name w:val="Formula Style Cumulative 1"/>
    <w:qFormat/>
    <w:pPr>
      <w:spacing w:after="60"/>
    </w:pPr>
    <w:tblPr>
      <w:tblCellMar>
        <w:top w:w="0" w:type="dxa"/>
        <w:left w:w="0" w:type="dxa"/>
        <w:bottom w:w="0" w:type="dxa"/>
        <w:right w:w="0" w:type="dxa"/>
      </w:tblCellMar>
    </w:tblPr>
    <w:tcPr>
      <w:vAlign w:val="center"/>
    </w:tcPr>
  </w:style>
  <w:style w:type="table" w:customStyle="1" w:styleId="HypoCashSummaryTable">
    <w:name w:val="Hypo Cash Summary Table"/>
    <w:qFormat/>
    <w:pPr>
      <w:jc w:val="right"/>
    </w:pPr>
    <w:rPr>
      <w:sz w:val="20"/>
      <w:szCs w:val="20"/>
      <w:lang w:val="en-CA" w:eastAsia="en-CA"/>
    </w:rPr>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0" w:type="dxa"/>
        <w:left w:w="100" w:type="dxa"/>
        <w:bottom w:w="100" w:type="dxa"/>
        <w:right w:w="100" w:type="dxa"/>
      </w:tblCellMar>
    </w:tblPr>
    <w:tblStylePr w:type="firstRow">
      <w:pPr>
        <w:jc w:val="center"/>
      </w:pPr>
      <w:rPr>
        <w:b/>
        <w:color w:val="0079C1"/>
      </w:rPr>
      <w:tblPr/>
      <w:tcPr>
        <w:shd w:val="clear" w:color="auto" w:fill="C7D8EF"/>
        <w:vAlign w:val="center"/>
      </w:tcPr>
    </w:tblStylePr>
    <w:tblStylePr w:type="firstCol">
      <w:pPr>
        <w:jc w:val="left"/>
      </w:pPr>
      <w:rPr>
        <w:b/>
        <w:color w:val="000000"/>
      </w:rPr>
    </w:tblStylePr>
  </w:style>
  <w:style w:type="table" w:customStyle="1" w:styleId="HypoLevelTable">
    <w:name w:val="Hypo Level Table"/>
    <w:qFormat/>
    <w:pPr>
      <w:jc w:val="right"/>
    </w:pPr>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0" w:type="dxa"/>
        <w:left w:w="100" w:type="dxa"/>
        <w:bottom w:w="100" w:type="dxa"/>
        <w:right w:w="100" w:type="dxa"/>
      </w:tblCellMar>
    </w:tblPr>
    <w:tblStylePr w:type="firstRow">
      <w:pPr>
        <w:jc w:val="center"/>
      </w:pPr>
      <w:rPr>
        <w:b/>
        <w:color w:val="0079C1"/>
      </w:rPr>
      <w:tblPr/>
      <w:tcPr>
        <w:shd w:val="clear" w:color="auto" w:fill="C7D8EF"/>
        <w:vAlign w:val="center"/>
      </w:tcPr>
    </w:tblStylePr>
  </w:style>
  <w:style w:type="table" w:customStyle="1" w:styleId="AdjustedReturnTable">
    <w:name w:val="Adjusted Return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20" w:type="dxa"/>
        <w:left w:w="100" w:type="dxa"/>
        <w:bottom w:w="120" w:type="dxa"/>
        <w:right w:w="100" w:type="dxa"/>
      </w:tblCellMar>
    </w:tblPr>
    <w:tblStylePr w:type="firstRow">
      <w:pPr>
        <w:jc w:val="center"/>
      </w:pPr>
      <w:rPr>
        <w:b/>
        <w:color w:val="0079C1"/>
      </w:rPr>
      <w:tblPr/>
      <w:tcPr>
        <w:shd w:val="clear" w:color="auto" w:fill="C7D8EF"/>
        <w:vAlign w:val="center"/>
      </w:tcPr>
    </w:tblStylePr>
  </w:style>
  <w:style w:type="table" w:customStyle="1" w:styleId="FormulaStyle">
    <w:name w:val="Formula Style"/>
    <w:qFormat/>
    <w:tblPr>
      <w:jc w:val="center"/>
      <w:tblCellMar>
        <w:top w:w="0" w:type="dxa"/>
        <w:left w:w="0" w:type="dxa"/>
        <w:bottom w:w="0" w:type="dxa"/>
        <w:right w:w="0" w:type="dxa"/>
      </w:tblCellMar>
    </w:tblPr>
    <w:trPr>
      <w:jc w:val="center"/>
    </w:trPr>
    <w:tcPr>
      <w:vAlign w:val="center"/>
    </w:tcPr>
  </w:style>
  <w:style w:type="table" w:customStyle="1" w:styleId="DatesTable">
    <w:name w:val="Dates Table"/>
    <w:qFormat/>
    <w:tblP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10" w:type="dxa"/>
        <w:left w:w="10" w:type="dxa"/>
        <w:bottom w:w="10" w:type="dxa"/>
        <w:right w:w="10" w:type="dxa"/>
      </w:tblCellMar>
    </w:tblPr>
    <w:tblStylePr w:type="firstRow">
      <w:pPr>
        <w:jc w:val="left"/>
      </w:pPr>
      <w:rPr>
        <w:b/>
        <w:color w:val="0079C1"/>
      </w:rPr>
      <w:tblPr/>
      <w:tcPr>
        <w:shd w:val="clear" w:color="auto" w:fill="C7D8EF"/>
        <w:vAlign w:val="center"/>
      </w:tcPr>
    </w:tblStylePr>
  </w:style>
  <w:style w:type="table" w:customStyle="1" w:styleId="CoverPageTable">
    <w:name w:val="Cover Page Table"/>
    <w:qFormat/>
    <w:tblPr>
      <w:jc w:val="center"/>
      <w:tblBorders>
        <w:top w:val="single" w:sz="8" w:space="0" w:color="ADC8E9"/>
        <w:left w:val="single" w:sz="8" w:space="0" w:color="ADC8E9"/>
        <w:bottom w:val="single" w:sz="8" w:space="0" w:color="ADC8E9"/>
        <w:right w:val="single" w:sz="8" w:space="0" w:color="ADC8E9"/>
        <w:insideH w:val="single" w:sz="8" w:space="0" w:color="ADC8E9"/>
        <w:insideV w:val="single" w:sz="8" w:space="0" w:color="ADC8E9"/>
      </w:tblBorders>
      <w:tblCellMar>
        <w:top w:w="50" w:type="dxa"/>
        <w:left w:w="50" w:type="dxa"/>
        <w:bottom w:w="50" w:type="dxa"/>
        <w:right w:w="50" w:type="dxa"/>
      </w:tblCellMar>
    </w:tblPr>
    <w:trPr>
      <w:jc w:val="center"/>
    </w:trPr>
    <w:tcPr>
      <w:vAlign w:val="center"/>
    </w:tcPr>
  </w:style>
  <w:style w:type="table" w:customStyle="1" w:styleId="HyposHeadingTable">
    <w:name w:val="Hypos Heading Table"/>
    <w:qFormat/>
    <w:tblPr>
      <w:tblCellMar>
        <w:top w:w="80" w:type="dxa"/>
        <w:left w:w="80" w:type="dxa"/>
        <w:bottom w:w="80" w:type="dxa"/>
        <w:right w:w="80" w:type="dxa"/>
      </w:tblCellMar>
    </w:tblPr>
    <w:tcPr>
      <w:shd w:val="clear" w:color="auto" w:fill="3394CD"/>
    </w:tcPr>
    <w:tblStylePr w:type="firstCol">
      <w:pPr>
        <w:spacing w:before="0" w:after="40"/>
      </w:pPr>
      <w:rPr>
        <w:b/>
        <w:color w:val="FFFFFF"/>
      </w:rPr>
    </w:tblStylePr>
  </w:style>
  <w:style w:type="paragraph" w:customStyle="1" w:styleId="IBSubtitle">
    <w:name w:val="IB Subtitle"/>
    <w:qFormat/>
    <w:rPr>
      <w:b/>
      <w:color w:val="0079C1"/>
      <w:sz w:val="28"/>
    </w:rPr>
  </w:style>
  <w:style w:type="paragraph" w:customStyle="1" w:styleId="InvestmentHighlights">
    <w:name w:val="Investment Highlights"/>
    <w:qFormat/>
    <w:pPr>
      <w:keepNext/>
      <w:keepLines/>
      <w:spacing w:after="60"/>
    </w:pPr>
    <w:rPr>
      <w:rFonts w:ascii="Calibri (Body)" w:eastAsia="Calibri (Body)" w:hAnsi="Calibri (Body)" w:cs="Calibri (Body)"/>
      <w:sz w:val="17"/>
    </w:rPr>
  </w:style>
  <w:style w:type="paragraph" w:customStyle="1" w:styleId="InvestmentHighlightsStepUp">
    <w:name w:val="Investment Highlights StepUp"/>
    <w:qFormat/>
    <w:pPr>
      <w:keepNext/>
      <w:keepLines/>
      <w:spacing w:after="60"/>
      <w:ind w:left="360"/>
    </w:pPr>
    <w:rPr>
      <w:rFonts w:ascii="Calibri (Body)" w:eastAsia="Calibri (Body)" w:hAnsi="Calibri (Body)" w:cs="Calibri (Body)"/>
      <w:sz w:val="16"/>
    </w:rPr>
  </w:style>
  <w:style w:type="paragraph" w:customStyle="1" w:styleId="CoverIBBody">
    <w:name w:val="Cover IB Body"/>
    <w:qFormat/>
    <w:pPr>
      <w:spacing w:after="0"/>
    </w:pPr>
    <w:rPr>
      <w:rFonts w:ascii="Calibri (Body)" w:eastAsia="Calibri (Body)" w:hAnsi="Calibri (Body)" w:cs="Calibri (Body)"/>
    </w:rPr>
  </w:style>
  <w:style w:type="paragraph" w:customStyle="1" w:styleId="MainTitle">
    <w:name w:val="Main Title"/>
    <w:qFormat/>
    <w:pPr>
      <w:spacing w:after="0"/>
      <w:jc w:val="center"/>
    </w:pPr>
    <w:rPr>
      <w:color w:val="0079C1"/>
      <w:sz w:val="28"/>
    </w:rPr>
  </w:style>
  <w:style w:type="paragraph" w:customStyle="1" w:styleId="MainSubtitle">
    <w:name w:val="Main Subtitle"/>
    <w:qFormat/>
    <w:pPr>
      <w:spacing w:after="0"/>
      <w:jc w:val="center"/>
    </w:pPr>
    <w:rPr>
      <w:color w:val="0079C1"/>
      <w:sz w:val="20"/>
    </w:rPr>
  </w:style>
  <w:style w:type="paragraph" w:customStyle="1" w:styleId="TitleAltSpacing">
    <w:name w:val="Title Alt Spacing"/>
    <w:qFormat/>
    <w:pPr>
      <w:spacing w:before="200"/>
      <w:outlineLvl w:val="2"/>
    </w:pPr>
    <w:rPr>
      <w:color w:val="0079C1"/>
      <w:sz w:val="28"/>
    </w:rPr>
  </w:style>
  <w:style w:type="paragraph" w:customStyle="1" w:styleId="MainBodyText">
    <w:name w:val="Main Body Text"/>
    <w:qFormat/>
  </w:style>
  <w:style w:type="paragraph" w:customStyle="1" w:styleId="MainBodyTextNoSpacing">
    <w:name w:val="Main Body Text No Spacing"/>
    <w:basedOn w:val="MainBodyText"/>
    <w:qFormat/>
    <w:pPr>
      <w:spacing w:after="0"/>
      <w:ind w:left="90"/>
    </w:pPr>
    <w:rPr>
      <w:rFonts w:ascii="Calibri (Body)" w:eastAsia="Calibri (Body)" w:hAnsi="Calibri (Body)" w:cs="Calibri (Body)"/>
    </w:rPr>
  </w:style>
  <w:style w:type="paragraph" w:customStyle="1" w:styleId="BodyTextAltSpacing">
    <w:name w:val="Body Text Alt Spacing"/>
    <w:qFormat/>
    <w:pPr>
      <w:spacing w:before="100" w:after="100"/>
    </w:pPr>
  </w:style>
  <w:style w:type="paragraph" w:customStyle="1" w:styleId="BodyTextSmallSpacing">
    <w:name w:val="Body Text Small Spacing"/>
    <w:qFormat/>
    <w:pPr>
      <w:spacing w:before="10" w:after="10"/>
    </w:pPr>
    <w:rPr>
      <w:rFonts w:ascii="Calibri (Body)" w:eastAsia="Calibri (Body)" w:hAnsi="Calibri (Body)" w:cs="Calibri (Body)"/>
      <w:sz w:val="16"/>
    </w:rPr>
  </w:style>
  <w:style w:type="paragraph" w:customStyle="1" w:styleId="CouponStepBodyTextSmallSpacing">
    <w:name w:val="Coupon Step Body Text Small Spacing"/>
    <w:qFormat/>
    <w:pPr>
      <w:numPr>
        <w:ilvl w:val="1"/>
        <w:numId w:val="1"/>
      </w:numPr>
      <w:spacing w:after="10"/>
      <w:ind w:left="720" w:hanging="300"/>
    </w:pPr>
    <w:rPr>
      <w:rFonts w:ascii="Calibri (Body)" w:eastAsia="Calibri (Body)" w:hAnsi="Calibri (Body)" w:cs="Calibri (Body)"/>
      <w:sz w:val="18"/>
    </w:rPr>
  </w:style>
  <w:style w:type="character" w:customStyle="1" w:styleId="Hyperlink1">
    <w:name w:val="Hyperlink1"/>
    <w:basedOn w:val="DefaultParagraphFont"/>
    <w:uiPriority w:val="99"/>
    <w:unhideWhenUsed/>
    <w:qFormat/>
    <w:rPr>
      <w:color w:val="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image" Target="media/image11.png"/><Relationship Id="rId37"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eader" Target="head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header" Target="header9.xml"/><Relationship Id="rId35" Type="http://schemas.openxmlformats.org/officeDocument/2006/relationships/hyperlink" Target="https://www.sedarplus.ca"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bmonotes.com" TargetMode="External"/><Relationship Id="rId1" Type="http://schemas.openxmlformats.org/officeDocument/2006/relationships/image" Target="media/image6.png"/></Relationships>
</file>

<file path=word/_rels/footer10.xml.rels><?xml version='1.0' encoding='UTF-8' standalone='yes'?>
<Relationships xmlns="http://schemas.openxmlformats.org/package/2006/relationships"><Relationship Id="rId1" Type="http://schemas.openxmlformats.org/officeDocument/2006/relationships/image" Target="media/image6.png"/></Relationships>
</file>

<file path=word/_rels/footer1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4.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6.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footer7.xml.rels><?xml version='1.0' encoding='UTF-8' standalone='yes'?>
<Relationships xmlns="http://schemas.openxmlformats.org/package/2006/relationships"><Relationship Id="rId1" Type="http://schemas.openxmlformats.org/officeDocument/2006/relationships/image" Target="media/image6.png"/></Relationships>
</file>

<file path=word/_rels/footer8.xml.rels><?xml version='1.0' encoding='UTF-8' standalone='yes'?>
<Relationships xmlns="http://schemas.openxmlformats.org/package/2006/relationships"><Relationship Id="rId1" Type="http://schemas.openxmlformats.org/officeDocument/2006/relationships/image" Target="media/image6.png"/></Relationships>
</file>

<file path=word/_rels/footer9.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7.png"/></Relationships>
</file>

<file path=word/_rels/header1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7.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7.png"/></Relationships>
</file>

<file path=word/_rels/header9.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3331</Words>
  <Characters>18993</Characters>
  <Application>Microsoft Office Word</Application>
  <DocSecurity>0</DocSecurity>
  <Lines>158</Lines>
  <Paragraphs>44</Paragraphs>
  <ScaleCrop>false</ScaleCrop>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WSD</dc:creator>
  <cp:keywords/>
  <dc:description/>
  <cp:lastModifiedBy>Eribake, Adetokunbo</cp:lastModifiedBy>
  <cp:revision>2</cp:revision>
  <dcterms:created xsi:type="dcterms:W3CDTF">2021-12-12T22:38:00Z</dcterms:created>
  <dcterms:modified xsi:type="dcterms:W3CDTF">2025-01-27T17:13:00Z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1164912-68a2-4d1c-9f19-4fddc6fb72a9_Enabled">
    <vt:lpwstr>true</vt:lpwstr>
  </property>
  <property fmtid="{D5CDD505-2E9C-101B-9397-08002B2CF9AE}" pid="3" name="MSIP_Label_d1164912-68a2-4d1c-9f19-4fddc6fb72a9_SetDate">
    <vt:lpwstr>2025-01-27T17:13:29Z</vt:lpwstr>
  </property>
  <property fmtid="{D5CDD505-2E9C-101B-9397-08002B2CF9AE}" pid="4" name="MSIP_Label_d1164912-68a2-4d1c-9f19-4fddc6fb72a9_Method">
    <vt:lpwstr>Standard</vt:lpwstr>
  </property>
  <property fmtid="{D5CDD505-2E9C-101B-9397-08002B2CF9AE}" pid="5" name="MSIP_Label_d1164912-68a2-4d1c-9f19-4fddc6fb72a9_Name">
    <vt:lpwstr>Confidential</vt:lpwstr>
  </property>
  <property fmtid="{D5CDD505-2E9C-101B-9397-08002B2CF9AE}" pid="6" name="MSIP_Label_d1164912-68a2-4d1c-9f19-4fddc6fb72a9_SiteId">
    <vt:lpwstr>ece76e02-a02b-4c4a-906d-98a34c5ce07a</vt:lpwstr>
  </property>
  <property fmtid="{D5CDD505-2E9C-101B-9397-08002B2CF9AE}" pid="7" name="MSIP_Label_d1164912-68a2-4d1c-9f19-4fddc6fb72a9_ActionId">
    <vt:lpwstr>e0d6a7bd-a60d-4662-9b51-5b8244064108</vt:lpwstr>
  </property>
  <property fmtid="{D5CDD505-2E9C-101B-9397-08002B2CF9AE}" pid="8" name="MSIP_Label_d1164912-68a2-4d1c-9f19-4fddc6fb72a9_ContentBits">
    <vt:lpwstr>0</vt:lpwstr>
  </property>
</Properties>
</file>