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1375A"/>
          <w:sz w:val="40"/>
        </w:rPr>
        <w:t>AI-101 Assignment Report — Lecture 2</w:t>
      </w:r>
    </w:p>
    <w:p>
      <w:pPr>
        <w:jc w:val="center"/>
      </w:pPr>
      <w:r>
        <w:rPr>
          <w:rFonts w:ascii="Calibri" w:hAnsi="Calibri"/>
          <w:b w:val="0"/>
          <w:i w:val="0"/>
          <w:color w:val="646464"/>
          <w:sz w:val="20"/>
        </w:rPr>
        <w:t>Saddam Hussain  ·  saddamchandio@gmail.com  ·  14 June 2026</w:t>
      </w:r>
    </w:p>
    <w:p/>
    <w:p>
      <w:pPr>
        <w:spacing w:before="400" w:after="80"/>
        <w:pBdr>
          <w:bottom w:val="single" w:sz="8" w:space="1" w:color="4472C4"/>
        </w:pBdr>
      </w:pPr>
      <w:r>
        <w:rPr>
          <w:rFonts w:ascii="Calibri" w:hAnsi="Calibri"/>
          <w:b/>
          <w:i w:val="0"/>
          <w:color w:val="11375A"/>
          <w:sz w:val="32"/>
        </w:rPr>
        <w:t>Task 1 — AI Prompting Lab: Findings &amp; Observations</w:t>
      </w:r>
    </w:p>
    <w:p>
      <w:pPr>
        <w:spacing w:before="280" w:after="60"/>
      </w:pPr>
      <w:r>
        <w:rPr>
          <w:rFonts w:ascii="Calibri" w:hAnsi="Calibri"/>
          <w:b/>
          <w:i w:val="0"/>
          <w:color w:val="1F4E79"/>
          <w:sz w:val="26"/>
        </w:rPr>
        <w:t>Prompting Evolution</w:t>
      </w:r>
    </w:p>
    <w:tbl>
      <w:tblPr>
        <w:tblStyle w:val="TableGrid"/>
        <w:tblW w:type="auto" w:w="0"/>
        <w:tblLook w:firstColumn="1" w:firstRow="1" w:lastColumn="0" w:lastRow="0" w:noHBand="0" w:noVBand="1" w:val="04A0"/>
      </w:tblPr>
      <w:tblGrid>
        <w:gridCol w:w="4464"/>
        <w:gridCol w:w="4464"/>
      </w:tblGrid>
      <w:tr>
        <w:tc>
          <w:tcPr>
            <w:tcW w:type="dxa" w:w="4176"/>
            <w:shd w:val="clear" w:color="auto" w:fill="1F4E79"/>
          </w:tcPr>
          <w:p>
            <w:r>
              <w:rPr>
                <w:rFonts w:ascii="Calibri" w:hAnsi="Calibri"/>
                <w:b/>
                <w:i w:val="0"/>
                <w:color w:val="FFFFFF"/>
                <w:sz w:val="20"/>
              </w:rPr>
              <w:t>Prior Practice</w:t>
            </w:r>
          </w:p>
        </w:tc>
        <w:tc>
          <w:tcPr>
            <w:tcW w:type="dxa" w:w="4608"/>
            <w:shd w:val="clear" w:color="auto" w:fill="1F4E79"/>
          </w:tcPr>
          <w:p>
            <w:r>
              <w:rPr>
                <w:rFonts w:ascii="Calibri" w:hAnsi="Calibri"/>
                <w:b/>
                <w:i w:val="0"/>
                <w:color w:val="FFFFFF"/>
                <w:sz w:val="20"/>
              </w:rPr>
              <w:t>Revised Practice</w:t>
            </w:r>
          </w:p>
        </w:tc>
      </w:tr>
      <w:tr>
        <w:tc>
          <w:tcPr>
            <w:tcW w:type="dxa" w:w="4176"/>
          </w:tcPr>
          <w:p>
            <w:r>
              <w:rPr>
                <w:rFonts w:ascii="Calibri" w:hAnsi="Calibri"/>
                <w:b w:val="0"/>
                <w:i w:val="0"/>
                <w:sz w:val="20"/>
              </w:rPr>
              <w:t>Short, bare questions with no context</w:t>
            </w:r>
          </w:p>
        </w:tc>
        <w:tc>
          <w:tcPr>
            <w:tcW w:type="dxa" w:w="4608"/>
          </w:tcPr>
          <w:p>
            <w:r>
              <w:rPr>
                <w:rFonts w:ascii="Calibri" w:hAnsi="Calibri"/>
                <w:b w:val="0"/>
                <w:i w:val="0"/>
                <w:sz w:val="20"/>
              </w:rPr>
              <w:t>Rich context block: role, constraints, output format, and goal stated up front</w:t>
            </w:r>
          </w:p>
        </w:tc>
      </w:tr>
      <w:tr>
        <w:tc>
          <w:tcPr>
            <w:tcW w:type="dxa" w:w="4176"/>
          </w:tcPr>
          <w:p>
            <w:r>
              <w:rPr>
                <w:rFonts w:ascii="Calibri" w:hAnsi="Calibri"/>
                <w:b w:val="0"/>
                <w:i w:val="0"/>
                <w:sz w:val="20"/>
              </w:rPr>
              <w:t>Single attempt; first answer accepted</w:t>
            </w:r>
          </w:p>
        </w:tc>
        <w:tc>
          <w:tcPr>
            <w:tcW w:type="dxa" w:w="4608"/>
          </w:tcPr>
          <w:p>
            <w:r>
              <w:rPr>
                <w:rFonts w:ascii="Calibri" w:hAnsi="Calibri"/>
                <w:b w:val="0"/>
                <w:i w:val="0"/>
                <w:sz w:val="20"/>
              </w:rPr>
              <w:t>Brainstorm five options → give specific feedback → iterate → expand the winner</w:t>
            </w:r>
          </w:p>
        </w:tc>
      </w:tr>
      <w:tr>
        <w:tc>
          <w:tcPr>
            <w:tcW w:type="dxa" w:w="4176"/>
          </w:tcPr>
          <w:p>
            <w:r>
              <w:rPr>
                <w:rFonts w:ascii="Calibri" w:hAnsi="Calibri"/>
                <w:b w:val="0"/>
                <w:i w:val="0"/>
                <w:sz w:val="20"/>
              </w:rPr>
              <w:t>No output format specified</w:t>
            </w:r>
          </w:p>
        </w:tc>
        <w:tc>
          <w:tcPr>
            <w:tcW w:type="dxa" w:w="4608"/>
          </w:tcPr>
          <w:p>
            <w:r>
              <w:rPr>
                <w:rFonts w:ascii="Calibri" w:hAnsi="Calibri"/>
                <w:b w:val="0"/>
                <w:i w:val="0"/>
                <w:sz w:val="20"/>
              </w:rPr>
              <w:t>Output type explicitly stated: list / table / numbered points / email / plan</w:t>
            </w:r>
          </w:p>
        </w:tc>
      </w:tr>
      <w:tr>
        <w:tc>
          <w:tcPr>
            <w:tcW w:type="dxa" w:w="4176"/>
          </w:tcPr>
          <w:p>
            <w:r>
              <w:rPr>
                <w:rFonts w:ascii="Calibri" w:hAnsi="Calibri"/>
                <w:b w:val="0"/>
                <w:i w:val="0"/>
                <w:sz w:val="20"/>
              </w:rPr>
              <w:t>Confident AI answers taken at face value</w:t>
            </w:r>
          </w:p>
        </w:tc>
        <w:tc>
          <w:tcPr>
            <w:tcW w:type="dxa" w:w="4608"/>
          </w:tcPr>
          <w:p>
            <w:r>
              <w:rPr>
                <w:rFonts w:ascii="Calibri" w:hAnsi="Calibri"/>
                <w:b w:val="0"/>
                <w:i w:val="0"/>
                <w:sz w:val="20"/>
              </w:rPr>
              <w:t>Source questioned for recent, local, or private facts; citations requested</w:t>
            </w:r>
          </w:p>
        </w:tc>
      </w:tr>
      <w:tr>
        <w:tc>
          <w:tcPr>
            <w:tcW w:type="dxa" w:w="4176"/>
          </w:tcPr>
          <w:p>
            <w:r>
              <w:rPr>
                <w:rFonts w:ascii="Calibri" w:hAnsi="Calibri"/>
                <w:b w:val="0"/>
                <w:i w:val="0"/>
                <w:sz w:val="20"/>
              </w:rPr>
              <w:t>Single AI tool used throughout</w:t>
            </w:r>
          </w:p>
        </w:tc>
        <w:tc>
          <w:tcPr>
            <w:tcW w:type="dxa" w:w="4608"/>
          </w:tcPr>
          <w:p>
            <w:r>
              <w:rPr>
                <w:rFonts w:ascii="Calibri" w:hAnsi="Calibri"/>
                <w:b w:val="0"/>
                <w:i w:val="0"/>
                <w:sz w:val="20"/>
              </w:rPr>
              <w:t>Two tools open in parallel; cross-checked for high-stakes outputs</w:t>
            </w:r>
          </w:p>
        </w:tc>
      </w:tr>
      <w:tr>
        <w:tc>
          <w:tcPr>
            <w:tcW w:type="dxa" w:w="4176"/>
          </w:tcPr>
          <w:p>
            <w:r>
              <w:rPr>
                <w:rFonts w:ascii="Calibri" w:hAnsi="Calibri"/>
                <w:b w:val="0"/>
                <w:i w:val="0"/>
                <w:sz w:val="20"/>
              </w:rPr>
              <w:t>AI given permission to act immediately</w:t>
            </w:r>
          </w:p>
        </w:tc>
        <w:tc>
          <w:tcPr>
            <w:tcW w:type="dxa" w:w="4608"/>
          </w:tcPr>
          <w:p>
            <w:r>
              <w:rPr>
                <w:rFonts w:ascii="Calibri" w:hAnsi="Calibri"/>
                <w:b w:val="0"/>
                <w:i w:val="0"/>
                <w:sz w:val="20"/>
              </w:rPr>
              <w:t>Plan requested first, reviewed, then approved before any action</w:t>
            </w:r>
          </w:p>
        </w:tc>
      </w:tr>
    </w:tbl>
    <w:p/>
    <w:p>
      <w:pPr>
        <w:spacing w:before="280" w:after="60"/>
      </w:pPr>
      <w:r>
        <w:rPr>
          <w:rFonts w:ascii="Calibri" w:hAnsi="Calibri"/>
          <w:b/>
          <w:i w:val="0"/>
          <w:color w:val="1F4E79"/>
          <w:sz w:val="26"/>
        </w:rPr>
        <w:t>Exercise Observations</w:t>
      </w:r>
    </w:p>
    <w:p>
      <w:pPr>
        <w:spacing w:before="160" w:after="40"/>
      </w:pPr>
      <w:r>
        <w:rPr>
          <w:rFonts w:ascii="Calibri" w:hAnsi="Calibri"/>
          <w:b/>
          <w:i w:val="0"/>
          <w:color w:val="000000"/>
          <w:sz w:val="22"/>
        </w:rPr>
        <w:t>Part 1 — How AI Knows Things</w:t>
      </w:r>
    </w:p>
    <w:p/>
    <w:p>
      <w:r>
        <w:rPr>
          <w:rFonts w:ascii="Calibri" w:hAnsi="Calibri"/>
          <w:b/>
          <w:i w:val="0"/>
          <w:color w:val="1F4E79"/>
          <w:sz w:val="22"/>
        </w:rPr>
        <w:t>Exercise 1 — Novice vs. Power User</w:t>
      </w:r>
    </w:p>
    <w:p>
      <w:pPr>
        <w:spacing w:after="80"/>
      </w:pPr>
      <w:r>
        <w:rPr>
          <w:rFonts w:ascii="Calibri" w:hAnsi="Calibri"/>
          <w:b w:val="0"/>
          <w:i w:val="0"/>
          <w:sz w:val="22"/>
        </w:rPr>
        <w:t>A bare prompt ('Which phone should I buy?') returned generic category advice. The same question with budget, use-case, battery complaint, and size preference returned three named models — Samsung Galaxy A35, Motorola Moto G84, Xiaomi Redmi Note 13 — each matched to a stated constraint. The quality difference was entirely attributable to context volume, not to any change in phrasing technique.</w:t>
      </w:r>
    </w:p>
    <w:p>
      <w:r>
        <w:rPr>
          <w:rFonts w:ascii="Calibri" w:hAnsi="Calibri"/>
          <w:b/>
          <w:i w:val="0"/>
          <w:color w:val="1F4E79"/>
          <w:sz w:val="22"/>
        </w:rPr>
        <w:t>Exercise 2 — Knows vs. Guesses</w:t>
      </w:r>
    </w:p>
    <w:p>
      <w:pPr>
        <w:spacing w:after="80"/>
      </w:pPr>
      <w:r>
        <w:rPr>
          <w:rFonts w:ascii="Calibri" w:hAnsi="Calibri"/>
          <w:b w:val="0"/>
          <w:i w:val="0"/>
          <w:sz w:val="22"/>
        </w:rPr>
        <w:t>The model answered the onion-chemistry question accurately and in detail — a stable scientific fact within its training data. On the question of current minimum notice periods under Pakistani employment law, the model hedged appropriately when the prompt included 'if you are not sure, say so.' When the disclaimer was removed, confidence rose without a corresponding improvement in accuracy. Epistemic humility is prompt-dependent, not a fixed property of the model.</w:t>
      </w:r>
    </w:p>
    <w:p>
      <w:r>
        <w:rPr>
          <w:rFonts w:ascii="Calibri" w:hAnsi="Calibri"/>
          <w:b/>
          <w:i w:val="0"/>
          <w:color w:val="1F4E79"/>
          <w:sz w:val="22"/>
        </w:rPr>
        <w:t>Exercise 3 — The Three Retrieval Modes</w:t>
      </w:r>
    </w:p>
    <w:p>
      <w:pPr>
        <w:spacing w:after="80"/>
      </w:pPr>
      <w:r>
        <w:rPr>
          <w:rFonts w:ascii="Calibri" w:hAnsi="Calibri"/>
          <w:b w:val="0"/>
          <w:i w:val="0"/>
          <w:sz w:val="22"/>
        </w:rPr>
        <w:t>The Romeo and Juliet plot summary was answered instantly from training data, with no search triggered. A weekend weather request produced a visible search indicator and a cited source. A research brief containing the words 'research thoroughly', 'cite sources', and 'use reputable sources only' produced a structured multi-section report with numbered references and an 'unverified' flag on one claim. Word choice, not a UI toggle, determines which retrieval mode engages.</w:t>
      </w:r>
    </w:p>
    <w:p>
      <w:pPr>
        <w:spacing w:before="160" w:after="40"/>
      </w:pPr>
      <w:r>
        <w:rPr>
          <w:rFonts w:ascii="Calibri" w:hAnsi="Calibri"/>
          <w:b/>
          <w:i w:val="0"/>
          <w:color w:val="000000"/>
          <w:sz w:val="22"/>
        </w:rPr>
        <w:t>Part 2 — Talking to AI Well</w:t>
      </w:r>
    </w:p>
    <w:p>
      <w:r>
        <w:rPr>
          <w:rFonts w:ascii="Calibri" w:hAnsi="Calibri"/>
          <w:b/>
          <w:i w:val="0"/>
          <w:color w:val="1F4E79"/>
          <w:sz w:val="22"/>
        </w:rPr>
        <w:t>Exercise 4 — Context Is Everything</w:t>
      </w:r>
    </w:p>
    <w:p>
      <w:pPr>
        <w:spacing w:after="80"/>
      </w:pPr>
      <w:r>
        <w:rPr>
          <w:rFonts w:ascii="Calibri" w:hAnsi="Calibri"/>
          <w:b w:val="0"/>
          <w:i w:val="0"/>
          <w:sz w:val="22"/>
        </w:rPr>
        <w:t>A structured context block (task / three facts / desired format) was applied to a meal-planning scenario. The constraint 'one person does not eat spicy food' had the greatest single impact: without it, two of three suggested meals contained chili; with it, all three were compliant. Dietary constraints outweighed time and pantry constraints in terms of answer-shaping effect.</w:t>
      </w:r>
    </w:p>
    <w:p>
      <w:r>
        <w:rPr>
          <w:rFonts w:ascii="Calibri" w:hAnsi="Calibri"/>
          <w:b/>
          <w:i w:val="0"/>
          <w:color w:val="1F4E79"/>
          <w:sz w:val="22"/>
        </w:rPr>
        <w:t>Exercise 5 — Think Hard</w:t>
      </w:r>
    </w:p>
    <w:p>
      <w:pPr>
        <w:spacing w:after="80"/>
      </w:pPr>
      <w:r>
        <w:rPr>
          <w:rFonts w:ascii="Calibri" w:hAnsi="Calibri"/>
          <w:b w:val="0"/>
          <w:i w:val="0"/>
          <w:sz w:val="22"/>
        </w:rPr>
        <w:t>A job-offer comparison was posed with and without the 'think hard' directive. The structured version — requesting three trade-offs, a recommendation, and a flip condition — surfaced a consideration absent from the unstructured answer: the compounding effect of a long daily commute on the energy available for learning after hours, materially weakening Offer A's case. Structured output instructions prevented the model from substituting prose length for analytical depth.</w:t>
      </w:r>
    </w:p>
    <w:p>
      <w:r>
        <w:rPr>
          <w:rFonts w:ascii="Calibri" w:hAnsi="Calibri"/>
          <w:b/>
          <w:i w:val="0"/>
          <w:color w:val="1F4E79"/>
          <w:sz w:val="22"/>
        </w:rPr>
        <w:t>Exercise 6 — Stop the Flattery</w:t>
      </w:r>
    </w:p>
    <w:p>
      <w:pPr>
        <w:spacing w:after="80"/>
      </w:pPr>
      <w:r>
        <w:rPr>
          <w:rFonts w:ascii="Calibri" w:hAnsi="Calibri"/>
          <w:b w:val="0"/>
          <w:i w:val="0"/>
          <w:sz w:val="22"/>
        </w:rPr>
        <w:t>The bait prompt ('Don't you agree working from home is clearly better?') produced soft agreement with minor caveats. The neutral prompt ('Compare working from home versus the office. List the strongest arguments for each. Do not tell me which is better.') returned four substantive arguments for office work — spontaneous collaboration, work/life boundary separation, structured routine, and mentorship visibility — none of which appeared in the bait response. Evaluative verbs (prove, confirm, agree) pre-load the conclusion; neutral verbs (compare, evaluate, list) do not.</w:t>
      </w:r>
    </w:p>
    <w:p>
      <w:r>
        <w:rPr>
          <w:rFonts w:ascii="Calibri" w:hAnsi="Calibri"/>
          <w:b/>
          <w:i w:val="0"/>
          <w:color w:val="1F4E79"/>
          <w:sz w:val="22"/>
        </w:rPr>
        <w:t>Exercise 7 — The Brainstorm–Iterate Loop</w:t>
      </w:r>
    </w:p>
    <w:p>
      <w:pPr>
        <w:spacing w:after="80"/>
      </w:pPr>
      <w:r>
        <w:rPr>
          <w:rFonts w:ascii="Calibri" w:hAnsi="Calibri"/>
          <w:b w:val="0"/>
          <w:i w:val="0"/>
          <w:sz w:val="22"/>
        </w:rPr>
        <w:t>Round 1 produced five hobby options against a cost and time constraint. Specific feedback in Round 2 ('I don't like option 3 because it requires going outside; I like option 1 but want it more social') generated five revised options. The final selection — a daily sketch-journal practice shared in a small Discord community — appeared only in Round 2 and was not available in any form from the initial five. No single-pass prompt would have reached it.</w:t>
      </w:r>
    </w:p>
    <w:p>
      <w:pPr>
        <w:spacing w:before="160" w:after="40"/>
      </w:pPr>
      <w:r>
        <w:rPr>
          <w:rFonts w:ascii="Calibri" w:hAnsi="Calibri"/>
          <w:b/>
          <w:i w:val="0"/>
          <w:color w:val="000000"/>
          <w:sz w:val="22"/>
        </w:rPr>
        <w:t>Part 3 — Beyond Text</w:t>
      </w:r>
    </w:p>
    <w:p>
      <w:r>
        <w:rPr>
          <w:rFonts w:ascii="Calibri" w:hAnsi="Calibri"/>
          <w:b/>
          <w:i w:val="0"/>
          <w:color w:val="1F4E79"/>
          <w:sz w:val="22"/>
        </w:rPr>
        <w:t>Exercise 8 — Multimodal (Image &amp; Audio)</w:t>
      </w:r>
    </w:p>
    <w:p>
      <w:pPr>
        <w:spacing w:after="80"/>
      </w:pPr>
      <w:r>
        <w:rPr>
          <w:rFonts w:ascii="Calibri" w:hAnsi="Calibri"/>
          <w:b w:val="0"/>
          <w:i w:val="0"/>
          <w:sz w:val="22"/>
        </w:rPr>
        <w:t>A photograph of handwritten meeting notes was transcribed at approximately 92% accuracy. Two words were flagged as unclear with alternative guesses supplied. One proper noun was mis-transcribed without any flag — the model did not know it was wrong. The risk is not in what the model marks uncertain but in what it silently misreads with apparent confidence.</w:t>
      </w:r>
    </w:p>
    <w:p>
      <w:r>
        <w:rPr>
          <w:rFonts w:ascii="Calibri" w:hAnsi="Calibri"/>
          <w:b/>
          <w:i w:val="0"/>
          <w:color w:val="1F4E79"/>
          <w:sz w:val="22"/>
        </w:rPr>
        <w:t>Exercise 9 — Build a Small App</w:t>
      </w:r>
    </w:p>
    <w:p>
      <w:pPr>
        <w:spacing w:after="80"/>
      </w:pPr>
      <w:r>
        <w:rPr>
          <w:rFonts w:ascii="Calibri" w:hAnsi="Calibri"/>
          <w:b w:val="0"/>
          <w:i w:val="0"/>
          <w:sz w:val="22"/>
        </w:rPr>
        <w:t>A tip calculator was produced in a single prompt using the Goal / Input / Output shape. The iterate prompt ('Make buttons bigger, change theme to calm blue, add a reset button') modified the existing artifact in place without rebuilding. The competence required is not coding; it is writing a precise brief and knowing when to iterate rather than regenerate.</w:t>
      </w:r>
    </w:p>
    <w:p>
      <w:r>
        <w:rPr>
          <w:rFonts w:ascii="Calibri" w:hAnsi="Calibri"/>
          <w:b/>
          <w:i w:val="0"/>
          <w:color w:val="1F4E79"/>
          <w:sz w:val="22"/>
        </w:rPr>
        <w:t>Exercise 10 — Data Analysis</w:t>
      </w:r>
    </w:p>
    <w:p>
      <w:pPr>
        <w:spacing w:after="80"/>
      </w:pPr>
      <w:r>
        <w:rPr>
          <w:rFonts w:ascii="Calibri" w:hAnsi="Calibri"/>
          <w:b w:val="0"/>
          <w:i w:val="0"/>
          <w:sz w:val="22"/>
        </w:rPr>
        <w:t>A set of 18 numbers analysed without the instruction to run code produced a plausible narrative paragraph with figures that could not be verified. The same request with 'write and run code, show me the code' produced an executable Python block, a visible output, and verifiable results (median 65.5, mean ≈ 61.6). Absence of a code block is a reliable indicator that figures were generated rather than computed.</w:t>
      </w:r>
    </w:p>
    <w:p>
      <w:pPr>
        <w:spacing w:before="160" w:after="40"/>
      </w:pPr>
      <w:r>
        <w:rPr>
          <w:rFonts w:ascii="Calibri" w:hAnsi="Calibri"/>
          <w:b/>
          <w:i w:val="0"/>
          <w:color w:val="000000"/>
          <w:sz w:val="22"/>
        </w:rPr>
        <w:t>Part 4 — Working Safely &amp; Choosing Tools</w:t>
      </w:r>
    </w:p>
    <w:p>
      <w:r>
        <w:rPr>
          <w:rFonts w:ascii="Calibri" w:hAnsi="Calibri"/>
          <w:b/>
          <w:i w:val="0"/>
          <w:color w:val="1F4E79"/>
          <w:sz w:val="22"/>
        </w:rPr>
        <w:t>Exercise 11 — Desktop Apps &amp; Permissions</w:t>
      </w:r>
    </w:p>
    <w:p>
      <w:pPr>
        <w:spacing w:after="80"/>
      </w:pPr>
      <w:r>
        <w:rPr>
          <w:rFonts w:ascii="Calibri" w:hAnsi="Calibri"/>
          <w:b w:val="0"/>
          <w:i w:val="0"/>
          <w:sz w:val="22"/>
        </w:rPr>
        <w:t>Asked to produce a safe workflow before reorganising 50 personal files, the model returned a seven-step plan: inventory → dry-run preview → backup → rename → verify → original backup deletion → report. It also listed three self-imposed prohibitions: permanent deletion, overwrite without backup, and modification of system folders. The correct operational sequence is: state the task → request a plan → review and edit → then approve. Permissions should be scoped tightly and extended only against demonstrated track record.</w:t>
      </w:r>
    </w:p>
    <w:p>
      <w:r>
        <w:rPr>
          <w:rFonts w:ascii="Calibri" w:hAnsi="Calibri"/>
          <w:b/>
          <w:i w:val="0"/>
          <w:color w:val="1F4E79"/>
          <w:sz w:val="22"/>
        </w:rPr>
        <w:t>Exercise 12 — Which Model When</w:t>
      </w:r>
    </w:p>
    <w:p>
      <w:pPr>
        <w:spacing w:after="80"/>
      </w:pPr>
      <w:r>
        <w:rPr>
          <w:rFonts w:ascii="Calibri" w:hAnsi="Calibri"/>
          <w:b w:val="0"/>
          <w:i w:val="0"/>
          <w:sz w:val="22"/>
        </w:rPr>
        <w:t>The same LinkedIn post prompt was run simultaneously in Claude and ChatGPT. Claude produced a more structured and specific result suited to a professional audience. ChatGPT produced a warmer, more conversational register better suited to a general network. Neither was objectively superior; the appropriate choice depended on the intended readership. No single model leads across all task types, and model rankings rotate over time.</w:t>
      </w:r>
    </w:p>
    <w:p>
      <w:r>
        <w:rPr>
          <w:rFonts w:ascii="Calibri" w:hAnsi="Calibri"/>
          <w:b/>
          <w:i w:val="0"/>
          <w:color w:val="1F4E79"/>
          <w:sz w:val="22"/>
        </w:rPr>
        <w:t>Exercise 13 — Models Checking Models</w:t>
      </w:r>
    </w:p>
    <w:p>
      <w:pPr>
        <w:spacing w:after="80"/>
      </w:pPr>
      <w:r>
        <w:rPr>
          <w:rFonts w:ascii="Calibri" w:hAnsi="Calibri"/>
          <w:b w:val="0"/>
          <w:i w:val="0"/>
          <w:sz w:val="22"/>
        </w:rPr>
        <w:t>A 200-word email draft was graded independently in Claude and ChatGPT using an identical scoring prompt. Claude identified a missing deadline (clarity 8, structure 7, evidence 5). ChatGPT identified passive voice in the second paragraph (clarity 7, structure 8, evidence 6). Neither model caught both issues. Cross-family review recovered findings that single-model review missed in both directions.</w:t>
      </w:r>
    </w:p>
    <w:p>
      <w:pPr>
        <w:spacing w:before="280" w:after="60"/>
      </w:pPr>
      <w:r>
        <w:rPr>
          <w:rFonts w:ascii="Calibri" w:hAnsi="Calibri"/>
          <w:b/>
          <w:i w:val="0"/>
          <w:color w:val="1F4E79"/>
          <w:sz w:val="26"/>
        </w:rPr>
        <w:t>Techniques of Greatest Utility</w:t>
      </w:r>
    </w:p>
    <w:tbl>
      <w:tblPr>
        <w:tblStyle w:val="TableGrid"/>
        <w:tblW w:type="auto" w:w="0"/>
        <w:tblLook w:firstColumn="1" w:firstRow="1" w:lastColumn="0" w:lastRow="0" w:noHBand="0" w:noVBand="1" w:val="04A0"/>
      </w:tblPr>
      <w:tblGrid>
        <w:gridCol w:w="4464"/>
        <w:gridCol w:w="4464"/>
      </w:tblGrid>
      <w:tr>
        <w:tc>
          <w:tcPr>
            <w:tcW w:type="dxa" w:w="3168"/>
            <w:shd w:val="clear" w:color="auto" w:fill="1F4E79"/>
          </w:tcPr>
          <w:p>
            <w:r>
              <w:rPr>
                <w:rFonts w:ascii="Calibri" w:hAnsi="Calibri"/>
                <w:b/>
                <w:i w:val="0"/>
                <w:color w:val="FFFFFF"/>
                <w:sz w:val="20"/>
              </w:rPr>
              <w:t>Technique</w:t>
            </w:r>
          </w:p>
        </w:tc>
        <w:tc>
          <w:tcPr>
            <w:tcW w:type="dxa" w:w="5616"/>
            <w:shd w:val="clear" w:color="auto" w:fill="1F4E79"/>
          </w:tcPr>
          <w:p>
            <w:r>
              <w:rPr>
                <w:rFonts w:ascii="Calibri" w:hAnsi="Calibri"/>
                <w:b/>
                <w:i w:val="0"/>
                <w:color w:val="FFFFFF"/>
                <w:sz w:val="20"/>
              </w:rPr>
              <w:t>Effect Observed</w:t>
            </w:r>
          </w:p>
        </w:tc>
      </w:tr>
      <w:tr>
        <w:tc>
          <w:tcPr>
            <w:tcW w:type="dxa" w:w="3168"/>
          </w:tcPr>
          <w:p>
            <w:r>
              <w:rPr>
                <w:rFonts w:ascii="Calibri" w:hAnsi="Calibri"/>
                <w:b w:val="0"/>
                <w:i w:val="0"/>
                <w:sz w:val="20"/>
              </w:rPr>
              <w:t>Context front-loading (Exercises 1 &amp; 4)</w:t>
            </w:r>
          </w:p>
        </w:tc>
        <w:tc>
          <w:tcPr>
            <w:tcW w:type="dxa" w:w="5616"/>
          </w:tcPr>
          <w:p>
            <w:r>
              <w:rPr>
                <w:rFonts w:ascii="Calibri" w:hAnsi="Calibri"/>
                <w:b w:val="0"/>
                <w:i w:val="0"/>
                <w:sz w:val="20"/>
              </w:rPr>
              <w:t>Single largest quality improvement across all exercises. Five lines of real context converted generic output into immediately usable work product.</w:t>
            </w:r>
          </w:p>
        </w:tc>
      </w:tr>
      <w:tr>
        <w:tc>
          <w:tcPr>
            <w:tcW w:type="dxa" w:w="3168"/>
          </w:tcPr>
          <w:p>
            <w:r>
              <w:rPr>
                <w:rFonts w:ascii="Calibri" w:hAnsi="Calibri"/>
                <w:b w:val="0"/>
                <w:i w:val="0"/>
                <w:sz w:val="20"/>
              </w:rPr>
              <w:t>Brainstorm–iterate loop (Exercise 7)</w:t>
            </w:r>
          </w:p>
        </w:tc>
        <w:tc>
          <w:tcPr>
            <w:tcW w:type="dxa" w:w="5616"/>
          </w:tcPr>
          <w:p>
            <w:r>
              <w:rPr>
                <w:rFonts w:ascii="Calibri" w:hAnsi="Calibri"/>
                <w:b w:val="0"/>
                <w:i w:val="0"/>
                <w:sz w:val="20"/>
              </w:rPr>
              <w:t>Consistently produced a superior final answer that was unavailable in the initial response. One additional exchange; disproportionate gain in output quality.</w:t>
            </w:r>
          </w:p>
        </w:tc>
      </w:tr>
      <w:tr>
        <w:tc>
          <w:tcPr>
            <w:tcW w:type="dxa" w:w="3168"/>
          </w:tcPr>
          <w:p>
            <w:r>
              <w:rPr>
                <w:rFonts w:ascii="Calibri" w:hAnsi="Calibri"/>
                <w:b w:val="0"/>
                <w:i w:val="0"/>
                <w:sz w:val="20"/>
              </w:rPr>
              <w:t>Structured output specification (Exercise 5)</w:t>
            </w:r>
          </w:p>
        </w:tc>
        <w:tc>
          <w:tcPr>
            <w:tcW w:type="dxa" w:w="5616"/>
          </w:tcPr>
          <w:p>
            <w:r>
              <w:rPr>
                <w:rFonts w:ascii="Calibri" w:hAnsi="Calibri"/>
                <w:b w:val="0"/>
                <w:i w:val="0"/>
                <w:sz w:val="20"/>
              </w:rPr>
              <w:t>Numbered output requirements forced commitment to a defined structure and eliminated prose substitution for analytical depth.</w:t>
            </w:r>
          </w:p>
        </w:tc>
      </w:tr>
      <w:tr>
        <w:tc>
          <w:tcPr>
            <w:tcW w:type="dxa" w:w="3168"/>
          </w:tcPr>
          <w:p>
            <w:r>
              <w:rPr>
                <w:rFonts w:ascii="Calibri" w:hAnsi="Calibri"/>
                <w:b w:val="0"/>
                <w:i w:val="0"/>
                <w:sz w:val="20"/>
              </w:rPr>
              <w:t>Neutral evaluation framing (Exercise 6)</w:t>
            </w:r>
          </w:p>
        </w:tc>
        <w:tc>
          <w:tcPr>
            <w:tcW w:type="dxa" w:w="5616"/>
          </w:tcPr>
          <w:p>
            <w:r>
              <w:rPr>
                <w:rFonts w:ascii="Calibri" w:hAnsi="Calibri"/>
                <w:b w:val="0"/>
                <w:i w:val="0"/>
                <w:sz w:val="20"/>
              </w:rPr>
              <w:t>Replacing leading verbs (prove, confirm) with neutral ones (compare, evaluate) produced genuinely balanced analysis in place of agreement.</w:t>
            </w:r>
          </w:p>
        </w:tc>
      </w:tr>
      <w:tr>
        <w:tc>
          <w:tcPr>
            <w:tcW w:type="dxa" w:w="3168"/>
          </w:tcPr>
          <w:p>
            <w:r>
              <w:rPr>
                <w:rFonts w:ascii="Calibri" w:hAnsi="Calibri"/>
                <w:b w:val="0"/>
                <w:i w:val="0"/>
                <w:sz w:val="20"/>
              </w:rPr>
              <w:t>Cross-model verification (Exercise 13)</w:t>
            </w:r>
          </w:p>
        </w:tc>
        <w:tc>
          <w:tcPr>
            <w:tcW w:type="dxa" w:w="5616"/>
          </w:tcPr>
          <w:p>
            <w:r>
              <w:rPr>
                <w:rFonts w:ascii="Calibri" w:hAnsi="Calibri"/>
                <w:b w:val="0"/>
                <w:i w:val="0"/>
                <w:sz w:val="20"/>
              </w:rPr>
              <w:t>Running the same draft through two different AI families recovered distinct errors each model missed individually.</w:t>
            </w:r>
          </w:p>
        </w:tc>
      </w:tr>
    </w:tbl>
    <w:p/>
    <w:p>
      <w:pPr>
        <w:spacing w:before="280" w:after="60"/>
      </w:pPr>
      <w:r>
        <w:rPr>
          <w:rFonts w:ascii="Calibri" w:hAnsi="Calibri"/>
          <w:b/>
          <w:i w:val="0"/>
          <w:color w:val="1F4E79"/>
          <w:sz w:val="26"/>
        </w:rPr>
        <w:t>Challenges and Resolutions</w:t>
      </w:r>
    </w:p>
    <w:tbl>
      <w:tblPr>
        <w:tblStyle w:val="TableGrid"/>
        <w:tblW w:type="auto" w:w="0"/>
        <w:tblLook w:firstColumn="1" w:firstRow="1" w:lastColumn="0" w:lastRow="0" w:noHBand="0" w:noVBand="1" w:val="04A0"/>
      </w:tblPr>
      <w:tblGrid>
        <w:gridCol w:w="4464"/>
        <w:gridCol w:w="4464"/>
      </w:tblGrid>
      <w:tr>
        <w:tc>
          <w:tcPr>
            <w:tcW w:type="dxa" w:w="3744"/>
            <w:shd w:val="clear" w:color="auto" w:fill="1F4E79"/>
          </w:tcPr>
          <w:p>
            <w:r>
              <w:rPr>
                <w:rFonts w:ascii="Calibri" w:hAnsi="Calibri"/>
                <w:b/>
                <w:i w:val="0"/>
                <w:color w:val="FFFFFF"/>
                <w:sz w:val="20"/>
              </w:rPr>
              <w:t>Challenge</w:t>
            </w:r>
          </w:p>
        </w:tc>
        <w:tc>
          <w:tcPr>
            <w:tcW w:type="dxa" w:w="5040"/>
            <w:shd w:val="clear" w:color="auto" w:fill="1F4E79"/>
          </w:tcPr>
          <w:p>
            <w:r>
              <w:rPr>
                <w:rFonts w:ascii="Calibri" w:hAnsi="Calibri"/>
                <w:b/>
                <w:i w:val="0"/>
                <w:color w:val="FFFFFF"/>
                <w:sz w:val="20"/>
              </w:rPr>
              <w:t>Resolution Applied</w:t>
            </w:r>
          </w:p>
        </w:tc>
      </w:tr>
      <w:tr>
        <w:tc>
          <w:tcPr>
            <w:tcW w:type="dxa" w:w="3744"/>
          </w:tcPr>
          <w:p>
            <w:r>
              <w:rPr>
                <w:rFonts w:ascii="Calibri" w:hAnsi="Calibri"/>
                <w:b w:val="0"/>
                <w:i w:val="0"/>
                <w:sz w:val="20"/>
              </w:rPr>
              <w:t>Sycophancy went unnoticed until Exercise 6 exposed it</w:t>
            </w:r>
          </w:p>
        </w:tc>
        <w:tc>
          <w:tcPr>
            <w:tcW w:type="dxa" w:w="5040"/>
          </w:tcPr>
          <w:p>
            <w:r>
              <w:rPr>
                <w:rFonts w:ascii="Calibri" w:hAnsi="Calibri"/>
                <w:b w:val="0"/>
                <w:i w:val="0"/>
                <w:sz w:val="20"/>
              </w:rPr>
              <w:t>Prompts now reviewed for evaluative verbs before sending; replaced with neutral equivalents.</w:t>
            </w:r>
          </w:p>
        </w:tc>
      </w:tr>
      <w:tr>
        <w:tc>
          <w:tcPr>
            <w:tcW w:type="dxa" w:w="3744"/>
          </w:tcPr>
          <w:p>
            <w:r>
              <w:rPr>
                <w:rFonts w:ascii="Calibri" w:hAnsi="Calibri"/>
                <w:b w:val="0"/>
                <w:i w:val="0"/>
                <w:sz w:val="20"/>
              </w:rPr>
              <w:t>'Think hard' applied indiscriminately, slowing responses unnecessarily</w:t>
            </w:r>
          </w:p>
        </w:tc>
        <w:tc>
          <w:tcPr>
            <w:tcW w:type="dxa" w:w="5040"/>
          </w:tcPr>
          <w:p>
            <w:r>
              <w:rPr>
                <w:rFonts w:ascii="Calibri" w:hAnsi="Calibri"/>
                <w:b w:val="0"/>
                <w:i w:val="0"/>
                <w:sz w:val="20"/>
              </w:rPr>
              <w:t>Reserved for multi-variable decisions with genuine trade-offs between competing values.</w:t>
            </w:r>
          </w:p>
        </w:tc>
      </w:tr>
      <w:tr>
        <w:tc>
          <w:tcPr>
            <w:tcW w:type="dxa" w:w="3744"/>
          </w:tcPr>
          <w:p>
            <w:r>
              <w:rPr>
                <w:rFonts w:ascii="Calibri" w:hAnsi="Calibri"/>
                <w:b w:val="0"/>
                <w:i w:val="0"/>
                <w:sz w:val="20"/>
              </w:rPr>
              <w:t>Retrieval mode unclear — training data vs. live search indistinguishable</w:t>
            </w:r>
          </w:p>
        </w:tc>
        <w:tc>
          <w:tcPr>
            <w:tcW w:type="dxa" w:w="5040"/>
          </w:tcPr>
          <w:p>
            <w:r>
              <w:rPr>
                <w:rFonts w:ascii="Calibri" w:hAnsi="Calibri"/>
                <w:b w:val="0"/>
                <w:i w:val="0"/>
                <w:sz w:val="20"/>
              </w:rPr>
              <w:t>Search indicator checked; citations explicitly requested. No citation treated as training data.</w:t>
            </w:r>
          </w:p>
        </w:tc>
      </w:tr>
      <w:tr>
        <w:tc>
          <w:tcPr>
            <w:tcW w:type="dxa" w:w="3744"/>
          </w:tcPr>
          <w:p>
            <w:r>
              <w:rPr>
                <w:rFonts w:ascii="Calibri" w:hAnsi="Calibri"/>
                <w:b w:val="0"/>
                <w:i w:val="0"/>
                <w:sz w:val="20"/>
              </w:rPr>
              <w:t>Numeric summaries accepted without verification</w:t>
            </w:r>
          </w:p>
        </w:tc>
        <w:tc>
          <w:tcPr>
            <w:tcW w:type="dxa" w:w="5040"/>
          </w:tcPr>
          <w:p>
            <w:r>
              <w:rPr>
                <w:rFonts w:ascii="Calibri" w:hAnsi="Calibri"/>
                <w:b w:val="0"/>
                <w:i w:val="0"/>
                <w:sz w:val="20"/>
              </w:rPr>
              <w:t>'Write and run code, show me the code' now appended to all data analysis requests.</w:t>
            </w:r>
          </w:p>
        </w:tc>
      </w:tr>
      <w:tr>
        <w:tc>
          <w:tcPr>
            <w:tcW w:type="dxa" w:w="3744"/>
          </w:tcPr>
          <w:p>
            <w:r>
              <w:rPr>
                <w:rFonts w:ascii="Calibri" w:hAnsi="Calibri"/>
                <w:b w:val="0"/>
                <w:i w:val="0"/>
                <w:sz w:val="20"/>
              </w:rPr>
              <w:t>Context bleed — prior turns corrupted answers after topic change</w:t>
            </w:r>
          </w:p>
        </w:tc>
        <w:tc>
          <w:tcPr>
            <w:tcW w:type="dxa" w:w="5040"/>
          </w:tcPr>
          <w:p>
            <w:r>
              <w:rPr>
                <w:rFonts w:ascii="Calibri" w:hAnsi="Calibri"/>
                <w:b w:val="0"/>
                <w:i w:val="0"/>
                <w:sz w:val="20"/>
              </w:rPr>
              <w:t>New chat started whenever the subject changes substantially.</w:t>
            </w:r>
          </w:p>
        </w:tc>
      </w:tr>
    </w:tbl>
    <w:p/>
    <w:p>
      <w:r>
        <w:br w:type="page"/>
      </w:r>
    </w:p>
    <w:p>
      <w:pPr>
        <w:spacing w:before="400" w:after="80"/>
        <w:pBdr>
          <w:bottom w:val="single" w:sz="8" w:space="1" w:color="4472C4"/>
        </w:pBdr>
      </w:pPr>
      <w:r>
        <w:rPr>
          <w:rFonts w:ascii="Calibri" w:hAnsi="Calibri"/>
          <w:b/>
          <w:i w:val="0"/>
          <w:color w:val="11375A"/>
          <w:sz w:val="32"/>
        </w:rPr>
        <w:t>Task 2 — AI-Generated Snake Game</w:t>
      </w:r>
    </w:p>
    <w:p>
      <w:pPr>
        <w:shd w:val="clear" w:color="auto" w:fill="EEF4FB"/>
        <w:spacing w:after="120"/>
        <w:ind w:left="360" w:right="360"/>
      </w:pPr>
      <w:r>
        <w:rPr>
          <w:rFonts w:ascii="Calibri" w:hAnsi="Calibri"/>
          <w:b w:val="0"/>
          <w:i/>
          <w:color w:val="1F4E79"/>
          <w:sz w:val="20"/>
        </w:rPr>
        <w:t>Tool: Claude Code (claude-sonnet-4-6) via VS Code extension  ·  Stack: Vanilla JavaScript + HTML5 Canvas, single self-contained file  ·  Total major iterations: 5</w:t>
      </w:r>
    </w:p>
    <w:p>
      <w:pPr>
        <w:spacing w:before="280" w:after="60"/>
      </w:pPr>
      <w:r>
        <w:rPr>
          <w:rFonts w:ascii="Calibri" w:hAnsi="Calibri"/>
          <w:b/>
          <w:i w:val="0"/>
          <w:color w:val="1F4E79"/>
          <w:sz w:val="26"/>
        </w:rPr>
        <w:t>Prompt Iterations</w:t>
      </w:r>
    </w:p>
    <w:p>
      <w:pPr>
        <w:spacing w:before="160" w:after="40"/>
      </w:pPr>
      <w:r>
        <w:rPr>
          <w:rFonts w:ascii="Calibri" w:hAnsi="Calibri"/>
          <w:b/>
          <w:i w:val="0"/>
          <w:color w:val="000000"/>
          <w:sz w:val="22"/>
        </w:rPr>
        <w:t>Iteration 1 — Core Mechanics</w:t>
      </w:r>
    </w:p>
    <w:p>
      <w:pPr>
        <w:shd w:val="clear" w:color="auto" w:fill="EEF4FB"/>
        <w:spacing w:after="120"/>
        <w:ind w:left="360" w:right="360"/>
      </w:pPr>
      <w:r>
        <w:rPr>
          <w:rFonts w:ascii="Calibri" w:hAnsi="Calibri"/>
          <w:b w:val="0"/>
          <w:i/>
          <w:color w:val="1F4E79"/>
          <w:sz w:val="20"/>
        </w:rPr>
        <w:t>Prompt: Build a Snake game in a single HTML file using vanilla JavaScript and Canvas. The snake grows when it eats food. The game ends on wall or self-collision. Display a score counter. No external dependencies.</w:t>
      </w:r>
    </w:p>
    <w:p>
      <w:pPr>
        <w:spacing w:after="80"/>
      </w:pPr>
      <w:r>
        <w:rPr>
          <w:rFonts w:ascii="Calibri" w:hAnsi="Calibri"/>
          <w:b w:val="0"/>
          <w:i w:val="0"/>
          <w:sz w:val="22"/>
        </w:rPr>
        <w:t>Outcome: A functional Snake with fixed-interval movement and a score counter was produced. Speed was driven by setInterval, causing inconsistency across display refresh rates. No visual polish, no persistence, no mobile support.</w:t>
      </w:r>
    </w:p>
    <w:p>
      <w:pPr>
        <w:spacing w:before="160" w:after="40"/>
      </w:pPr>
      <w:r>
        <w:rPr>
          <w:rFonts w:ascii="Calibri" w:hAnsi="Calibri"/>
          <w:b/>
          <w:i w:val="0"/>
          <w:color w:val="000000"/>
          <w:sz w:val="22"/>
        </w:rPr>
        <w:t>Iteration 2 — Delta-Time Loop &amp; Speed Progression</w:t>
      </w:r>
    </w:p>
    <w:p>
      <w:pPr>
        <w:shd w:val="clear" w:color="auto" w:fill="EEF4FB"/>
        <w:spacing w:after="120"/>
        <w:ind w:left="360" w:right="360"/>
      </w:pPr>
      <w:r>
        <w:rPr>
          <w:rFonts w:ascii="Calibri" w:hAnsi="Calibri"/>
          <w:b w:val="0"/>
          <w:i/>
          <w:color w:val="1F4E79"/>
          <w:sz w:val="20"/>
        </w:rPr>
        <w:t>Prompt: Replace setInterval with a requestAnimationFrame loop using delta-time movement. Snake speed should be defined in cells per second, not milliseconds per tick. Add progressive speed increase per food eaten (5.5 cells/sec start, 0.18 gain per food, 22 cells/sec cap). Show SCORE and SPEED in a HUD above the canvas.</w:t>
      </w:r>
    </w:p>
    <w:p>
      <w:pPr>
        <w:spacing w:after="80"/>
      </w:pPr>
      <w:r>
        <w:rPr>
          <w:rFonts w:ascii="Calibri" w:hAnsi="Calibri"/>
          <w:b w:val="0"/>
          <w:i w:val="0"/>
          <w:sz w:val="22"/>
        </w:rPr>
        <w:t>Outcome: Game loop rewritten to the delta-time accumulator pattern (accum += dt; move when accum &gt;= 1/speed). Speed is now frame-rate independent across 30, 60, and 120 Hz displays. HUD added and SPEED value updates visibly during play.</w:t>
      </w:r>
    </w:p>
    <w:p>
      <w:pPr>
        <w:spacing w:before="160" w:after="40"/>
      </w:pPr>
      <w:r>
        <w:rPr>
          <w:rFonts w:ascii="Calibri" w:hAnsi="Calibri"/>
          <w:b/>
          <w:i w:val="0"/>
          <w:color w:val="000000"/>
          <w:sz w:val="22"/>
        </w:rPr>
        <w:t>Iteration 3 — Visual Effects</w:t>
      </w:r>
    </w:p>
    <w:p>
      <w:pPr>
        <w:shd w:val="clear" w:color="auto" w:fill="EEF4FB"/>
        <w:spacing w:after="120"/>
        <w:ind w:left="360" w:right="360"/>
      </w:pPr>
      <w:r>
        <w:rPr>
          <w:rFonts w:ascii="Calibri" w:hAnsi="Calibri"/>
          <w:b w:val="0"/>
          <w:i/>
          <w:color w:val="1F4E79"/>
          <w:sz w:val="20"/>
        </w:rPr>
        <w:t>Prompt: Apply a dark neon theme: black background, cyan-to-deep-blue gradient snake body, red pulsing food, neon glow on the head. Add: (1) particle burst on food eaten, (2) screen shake on death, (3) golden food spawning every 12 seconds worth 5 points that disappears after 5 seconds and blinks in its final 1.5 seconds.</w:t>
      </w:r>
    </w:p>
    <w:p>
      <w:pPr>
        <w:spacing w:after="80"/>
      </w:pPr>
      <w:r>
        <w:rPr>
          <w:rFonts w:ascii="Calibri" w:hAnsi="Calibri"/>
          <w:b w:val="0"/>
          <w:i w:val="0"/>
          <w:sz w:val="22"/>
        </w:rPr>
        <w:t>Outcome: All five features produced correctly in one pass. Particle system uses position += velocity × dt and alpha fade proportional to remaining life. Snake body colour interpolated per segment (t = index / length) rather than via a Canvas gradient object — simpler and faster. Golden food alpha set to timer / 1.5 when timer &lt; 1.5.</w:t>
      </w:r>
    </w:p>
    <w:p>
      <w:pPr>
        <w:spacing w:before="160" w:after="40"/>
      </w:pPr>
      <w:r>
        <w:rPr>
          <w:rFonts w:ascii="Calibri" w:hAnsi="Calibri"/>
          <w:b/>
          <w:i w:val="0"/>
          <w:color w:val="000000"/>
          <w:sz w:val="22"/>
        </w:rPr>
        <w:t>Iteration 4 — Mobile Support</w:t>
      </w:r>
    </w:p>
    <w:p>
      <w:pPr>
        <w:shd w:val="clear" w:color="auto" w:fill="EEF4FB"/>
        <w:spacing w:after="120"/>
        <w:ind w:left="360" w:right="360"/>
      </w:pPr>
      <w:r>
        <w:rPr>
          <w:rFonts w:ascii="Calibri" w:hAnsi="Calibri"/>
          <w:b w:val="0"/>
          <w:i/>
          <w:color w:val="1F4E79"/>
          <w:sz w:val="20"/>
        </w:rPr>
        <w:t>Prompt: Add: (1) D-pad overlay visible only on touch devices via CSS media query (hover: none) and (pointer: coarse); (2) swipe detection on canvas with 15 px minimum threshold; (3) pause button in D-pad; (4) touch-action: none on body to prevent scroll interference; (5) responsive canvas sizing for small screens.</w:t>
      </w:r>
    </w:p>
    <w:p>
      <w:pPr>
        <w:spacing w:after="80"/>
      </w:pPr>
      <w:r>
        <w:rPr>
          <w:rFonts w:ascii="Calibri" w:hAnsi="Calibri"/>
          <w:b w:val="0"/>
          <w:i w:val="0"/>
          <w:sz w:val="22"/>
        </w:rPr>
        <w:t>Outcome: All three input paths — keyboard, D-pad, swipe — route through a single setDir function, enforcing the 180-degree-turn rule uniformly. e.preventDefault() in touchstart handlers eliminates scroll conflict. CSS media query keeps the D-pad hidden on pointer devices without JavaScript intervention.</w:t>
      </w:r>
    </w:p>
    <w:p>
      <w:pPr>
        <w:spacing w:before="160" w:after="40"/>
      </w:pPr>
      <w:r>
        <w:rPr>
          <w:rFonts w:ascii="Calibri" w:hAnsi="Calibri"/>
          <w:b/>
          <w:i w:val="0"/>
          <w:color w:val="000000"/>
          <w:sz w:val="22"/>
        </w:rPr>
        <w:t>Iteration 5 — Game Screens &amp; Persistence</w:t>
      </w:r>
    </w:p>
    <w:p>
      <w:pPr>
        <w:shd w:val="clear" w:color="auto" w:fill="EEF4FB"/>
        <w:spacing w:after="120"/>
        <w:ind w:left="360" w:right="360"/>
      </w:pPr>
      <w:r>
        <w:rPr>
          <w:rFonts w:ascii="Calibri" w:hAnsi="Calibri"/>
          <w:b w:val="0"/>
          <w:i/>
          <w:color w:val="1F4E79"/>
          <w:sz w:val="20"/>
        </w:rPr>
        <w:t>Prompt: Add: (1) start screen with title, author credit, and high score; (2) pause overlay drawn on canvas via ctx.fillRect; (3) localStorage high-score persistence under key 'snake_hi'; (4) 'NEW HIGH SCORE' message on game-over; (5) overlay prompt text changes from 'TO START' to 'TO RESTART' after the first game.</w:t>
      </w:r>
    </w:p>
    <w:p>
      <w:pPr>
        <w:spacing w:after="80"/>
      </w:pPr>
      <w:r>
        <w:rPr>
          <w:rFonts w:ascii="Calibri" w:hAnsi="Calibri"/>
          <w:b w:val="0"/>
          <w:i w:val="0"/>
          <w:sz w:val="22"/>
        </w:rPr>
        <w:t>Outcome: A single overlay div serves start, game-over, and new-high-score states by updating child element textContent dynamically. High score persists across browser sessions. Pause overlay rendered directly on canvas avoids z-index and DOM conflicts with the game-over overlay.</w:t>
      </w:r>
    </w:p>
    <w:p>
      <w:pPr>
        <w:spacing w:before="280" w:after="60"/>
      </w:pPr>
      <w:r>
        <w:rPr>
          <w:rFonts w:ascii="Calibri" w:hAnsi="Calibri"/>
          <w:b/>
          <w:i w:val="0"/>
          <w:color w:val="1F4E79"/>
          <w:sz w:val="26"/>
        </w:rPr>
        <w:t>What Worked</w:t>
      </w:r>
    </w:p>
    <w:p>
      <w:pPr>
        <w:pStyle w:val="ListBullet"/>
        <w:spacing w:after="40"/>
        <w:ind w:left="432"/>
      </w:pPr>
      <w:r>
        <w:rPr>
          <w:rFonts w:ascii="Calibri" w:hAnsi="Calibri"/>
          <w:b w:val="0"/>
          <w:i w:val="0"/>
          <w:sz w:val="22"/>
        </w:rPr>
        <w:t>Breaking development into five single-concern iterations kept each prompt scoped; no response missed or conflated requirements.</w:t>
      </w:r>
    </w:p>
    <w:p>
      <w:pPr>
        <w:pStyle w:val="ListBullet"/>
        <w:spacing w:after="40"/>
        <w:ind w:left="432"/>
      </w:pPr>
      <w:r>
        <w:rPr>
          <w:rFonts w:ascii="Calibri" w:hAnsi="Calibri"/>
          <w:b w:val="0"/>
          <w:i w:val="0"/>
          <w:sz w:val="22"/>
        </w:rPr>
        <w:t>Describing visual effects in behavioural terms ('blinks when timer &lt; 1.5 s') rather than implementation terms allowed the model to select the cleaner technical approach.</w:t>
      </w:r>
    </w:p>
    <w:p>
      <w:pPr>
        <w:pStyle w:val="ListBullet"/>
        <w:spacing w:after="40"/>
        <w:ind w:left="432"/>
      </w:pPr>
      <w:r>
        <w:rPr>
          <w:rFonts w:ascii="Calibri" w:hAnsi="Calibri"/>
          <w:b w:val="0"/>
          <w:i w:val="0"/>
          <w:sz w:val="22"/>
        </w:rPr>
        <w:t>The delta-time accumulator pattern was adopted by the model without being named — once the problem (frame-rate inconsistency) was described precisely, the correct solution followed.</w:t>
      </w:r>
    </w:p>
    <w:p>
      <w:pPr>
        <w:pStyle w:val="ListBullet"/>
        <w:spacing w:after="40"/>
        <w:ind w:left="432"/>
      </w:pPr>
      <w:r>
        <w:rPr>
          <w:rFonts w:ascii="Calibri" w:hAnsi="Calibri"/>
          <w:b w:val="0"/>
          <w:i w:val="0"/>
          <w:sz w:val="22"/>
        </w:rPr>
        <w:t>Single-file constraint was respected across all five iterations without being re-stated after Iteration 1.</w:t>
      </w:r>
    </w:p>
    <w:p>
      <w:pPr>
        <w:pStyle w:val="ListBullet"/>
        <w:spacing w:after="40"/>
        <w:ind w:left="432"/>
      </w:pPr>
      <w:r>
        <w:rPr>
          <w:rFonts w:ascii="Calibri" w:hAnsi="Calibri"/>
          <w:b w:val="0"/>
          <w:i w:val="0"/>
          <w:sz w:val="22"/>
        </w:rPr>
        <w:t>Goal / Input / Output structure from Exercise 9 of the lab mapped directly to game feature requests and produced complete, accurate responses.</w:t>
      </w:r>
    </w:p>
    <w:p>
      <w:pPr>
        <w:spacing w:before="280" w:after="60"/>
      </w:pPr>
      <w:r>
        <w:rPr>
          <w:rFonts w:ascii="Calibri" w:hAnsi="Calibri"/>
          <w:b/>
          <w:i w:val="0"/>
          <w:color w:val="1F4E79"/>
          <w:sz w:val="26"/>
        </w:rPr>
        <w:t>What Did Not Work</w:t>
      </w:r>
    </w:p>
    <w:p>
      <w:pPr>
        <w:pStyle w:val="ListBullet"/>
        <w:spacing w:after="40"/>
        <w:ind w:left="432"/>
      </w:pPr>
      <w:r>
        <w:rPr>
          <w:rFonts w:ascii="Calibri" w:hAnsi="Calibri"/>
          <w:b w:val="0"/>
          <w:i w:val="0"/>
          <w:sz w:val="22"/>
        </w:rPr>
        <w:t>'Add nice visuals' produced a mediocre colour scheme. The request was replaced with specific colour values and named effects, which resolved it.</w:t>
      </w:r>
    </w:p>
    <w:p>
      <w:pPr>
        <w:pStyle w:val="ListBullet"/>
        <w:spacing w:after="40"/>
        <w:ind w:left="432"/>
      </w:pPr>
      <w:r>
        <w:rPr>
          <w:rFonts w:ascii="Calibri" w:hAnsi="Calibri"/>
          <w:b w:val="0"/>
          <w:i w:val="0"/>
          <w:sz w:val="22"/>
        </w:rPr>
        <w:t>A request for 'a pause screen' generated a second HTML overlay div that conflicted with the existing game-over overlay. Re-specifying as 'a pause overlay drawn on the canvas using ctx.fillRect' eliminated the conflict.</w:t>
      </w:r>
    </w:p>
    <w:p>
      <w:pPr>
        <w:pStyle w:val="ListBullet"/>
        <w:spacing w:after="40"/>
        <w:ind w:left="432"/>
      </w:pPr>
      <w:r>
        <w:rPr>
          <w:rFonts w:ascii="Calibri" w:hAnsi="Calibri"/>
          <w:b w:val="0"/>
          <w:i w:val="0"/>
          <w:sz w:val="22"/>
        </w:rPr>
        <w:t>Web Audio API tones added in an exploratory pass were functionally correct but jarring in practice. Sound was removed entirely; particle bursts and screen shake provide sufficient feedback.</w:t>
      </w:r>
    </w:p>
    <w:p>
      <w:pPr>
        <w:pStyle w:val="ListBullet"/>
        <w:spacing w:after="40"/>
        <w:ind w:left="432"/>
      </w:pPr>
      <w:r>
        <w:rPr>
          <w:rFonts w:ascii="Calibri" w:hAnsi="Calibri"/>
          <w:b w:val="0"/>
          <w:i w:val="0"/>
          <w:sz w:val="22"/>
        </w:rPr>
        <w:t>The very first setInterval approach ran too fast on high-refresh displays. This required a full Iteration 2 rewrite; it would have been avoided by specifying delta-time movement from the outset.</w:t>
      </w:r>
    </w:p>
    <w:p>
      <w:pPr>
        <w:spacing w:before="280" w:after="60"/>
      </w:pPr>
      <w:r>
        <w:rPr>
          <w:rFonts w:ascii="Calibri" w:hAnsi="Calibri"/>
          <w:b/>
          <w:i w:val="0"/>
          <w:color w:val="1F4E79"/>
          <w:sz w:val="26"/>
        </w:rPr>
        <w:t>How Prompts Were Improved Over Time</w:t>
      </w:r>
    </w:p>
    <w:tbl>
      <w:tblPr>
        <w:tblStyle w:val="TableGrid"/>
        <w:tblW w:type="auto" w:w="0"/>
        <w:tblLook w:firstColumn="1" w:firstRow="1" w:lastColumn="0" w:lastRow="0" w:noHBand="0" w:noVBand="1" w:val="04A0"/>
      </w:tblPr>
      <w:tblGrid>
        <w:gridCol w:w="2976"/>
        <w:gridCol w:w="2976"/>
        <w:gridCol w:w="2976"/>
      </w:tblGrid>
      <w:tr>
        <w:tc>
          <w:tcPr>
            <w:tcW w:type="dxa" w:w="2448"/>
            <w:shd w:val="clear" w:color="auto" w:fill="1F4E79"/>
          </w:tcPr>
          <w:p>
            <w:r>
              <w:rPr>
                <w:rFonts w:ascii="Calibri" w:hAnsi="Calibri"/>
                <w:b/>
                <w:i w:val="0"/>
                <w:color w:val="FFFFFF"/>
                <w:sz w:val="20"/>
              </w:rPr>
              <w:t>Pattern</w:t>
            </w:r>
          </w:p>
        </w:tc>
        <w:tc>
          <w:tcPr>
            <w:tcW w:type="dxa" w:w="2880"/>
            <w:shd w:val="clear" w:color="auto" w:fill="1F4E79"/>
          </w:tcPr>
          <w:p>
            <w:r>
              <w:rPr>
                <w:rFonts w:ascii="Calibri" w:hAnsi="Calibri"/>
                <w:b/>
                <w:i w:val="0"/>
                <w:color w:val="FFFFFF"/>
                <w:sz w:val="20"/>
              </w:rPr>
              <w:t>Iteration 1 Example</w:t>
            </w:r>
          </w:p>
        </w:tc>
        <w:tc>
          <w:tcPr>
            <w:tcW w:type="dxa" w:w="3456"/>
            <w:shd w:val="clear" w:color="auto" w:fill="1F4E79"/>
          </w:tcPr>
          <w:p>
            <w:r>
              <w:rPr>
                <w:rFonts w:ascii="Calibri" w:hAnsi="Calibri"/>
                <w:b/>
                <w:i w:val="0"/>
                <w:color w:val="FFFFFF"/>
                <w:sz w:val="20"/>
              </w:rPr>
              <w:t>Iteration 3–5 Example</w:t>
            </w:r>
          </w:p>
        </w:tc>
      </w:tr>
      <w:tr>
        <w:tc>
          <w:tcPr>
            <w:tcW w:type="dxa" w:w="2448"/>
          </w:tcPr>
          <w:p>
            <w:r>
              <w:rPr>
                <w:rFonts w:ascii="Calibri" w:hAnsi="Calibri"/>
                <w:b w:val="0"/>
                <w:i w:val="0"/>
                <w:sz w:val="20"/>
              </w:rPr>
              <w:t>Specificity</w:t>
            </w:r>
          </w:p>
        </w:tc>
        <w:tc>
          <w:tcPr>
            <w:tcW w:type="dxa" w:w="2880"/>
          </w:tcPr>
          <w:p>
            <w:r>
              <w:rPr>
                <w:rFonts w:ascii="Calibri" w:hAnsi="Calibri"/>
                <w:b w:val="0"/>
                <w:i w:val="0"/>
                <w:sz w:val="20"/>
              </w:rPr>
              <w:t>'Keep it simple'</w:t>
            </w:r>
          </w:p>
        </w:tc>
        <w:tc>
          <w:tcPr>
            <w:tcW w:type="dxa" w:w="3456"/>
          </w:tcPr>
          <w:p>
            <w:r>
              <w:rPr>
                <w:rFonts w:ascii="Calibri" w:hAnsi="Calibri"/>
                <w:b w:val="0"/>
                <w:i w:val="0"/>
                <w:sz w:val="20"/>
              </w:rPr>
              <w:t>Exact hex values, particle counts, timer thresholds</w:t>
            </w:r>
          </w:p>
        </w:tc>
      </w:tr>
      <w:tr>
        <w:tc>
          <w:tcPr>
            <w:tcW w:type="dxa" w:w="2448"/>
          </w:tcPr>
          <w:p>
            <w:r>
              <w:rPr>
                <w:rFonts w:ascii="Calibri" w:hAnsi="Calibri"/>
                <w:b w:val="0"/>
                <w:i w:val="0"/>
                <w:sz w:val="20"/>
              </w:rPr>
              <w:t>Requirement structure</w:t>
            </w:r>
          </w:p>
        </w:tc>
        <w:tc>
          <w:tcPr>
            <w:tcW w:type="dxa" w:w="2880"/>
          </w:tcPr>
          <w:p>
            <w:r>
              <w:rPr>
                <w:rFonts w:ascii="Calibri" w:hAnsi="Calibri"/>
                <w:b w:val="0"/>
                <w:i w:val="0"/>
                <w:sz w:val="20"/>
              </w:rPr>
              <w:t>Prose description</w:t>
            </w:r>
          </w:p>
        </w:tc>
        <w:tc>
          <w:tcPr>
            <w:tcW w:type="dxa" w:w="3456"/>
          </w:tcPr>
          <w:p>
            <w:r>
              <w:rPr>
                <w:rFonts w:ascii="Calibri" w:hAnsi="Calibri"/>
                <w:b w:val="0"/>
                <w:i w:val="0"/>
                <w:sz w:val="20"/>
              </w:rPr>
              <w:t>Numbered list: (1) … (2) … (3) …</w:t>
            </w:r>
          </w:p>
        </w:tc>
      </w:tr>
      <w:tr>
        <w:tc>
          <w:tcPr>
            <w:tcW w:type="dxa" w:w="2448"/>
          </w:tcPr>
          <w:p>
            <w:r>
              <w:rPr>
                <w:rFonts w:ascii="Calibri" w:hAnsi="Calibri"/>
                <w:b w:val="0"/>
                <w:i w:val="0"/>
                <w:sz w:val="20"/>
              </w:rPr>
              <w:t>Implementation guidance</w:t>
            </w:r>
          </w:p>
        </w:tc>
        <w:tc>
          <w:tcPr>
            <w:tcW w:type="dxa" w:w="2880"/>
          </w:tcPr>
          <w:p>
            <w:r>
              <w:rPr>
                <w:rFonts w:ascii="Calibri" w:hAnsi="Calibri"/>
                <w:b w:val="0"/>
                <w:i w:val="0"/>
                <w:sz w:val="20"/>
              </w:rPr>
              <w:t>'Add a pause screen'</w:t>
            </w:r>
          </w:p>
        </w:tc>
        <w:tc>
          <w:tcPr>
            <w:tcW w:type="dxa" w:w="3456"/>
          </w:tcPr>
          <w:p>
            <w:r>
              <w:rPr>
                <w:rFonts w:ascii="Calibri" w:hAnsi="Calibri"/>
                <w:b w:val="0"/>
                <w:i w:val="0"/>
                <w:sz w:val="20"/>
              </w:rPr>
              <w:t>'Draw pause overlay on canvas via ctx.fillRect'</w:t>
            </w:r>
          </w:p>
        </w:tc>
      </w:tr>
      <w:tr>
        <w:tc>
          <w:tcPr>
            <w:tcW w:type="dxa" w:w="2448"/>
          </w:tcPr>
          <w:p>
            <w:r>
              <w:rPr>
                <w:rFonts w:ascii="Calibri" w:hAnsi="Calibri"/>
                <w:b w:val="0"/>
                <w:i w:val="0"/>
                <w:sz w:val="20"/>
              </w:rPr>
              <w:t>Scope per iteration</w:t>
            </w:r>
          </w:p>
        </w:tc>
        <w:tc>
          <w:tcPr>
            <w:tcW w:type="dxa" w:w="2880"/>
          </w:tcPr>
          <w:p>
            <w:r>
              <w:rPr>
                <w:rFonts w:ascii="Calibri" w:hAnsi="Calibri"/>
                <w:b w:val="0"/>
                <w:i w:val="0"/>
                <w:sz w:val="20"/>
              </w:rPr>
              <w:t>All features in one prompt</w:t>
            </w:r>
          </w:p>
        </w:tc>
        <w:tc>
          <w:tcPr>
            <w:tcW w:type="dxa" w:w="3456"/>
          </w:tcPr>
          <w:p>
            <w:r>
              <w:rPr>
                <w:rFonts w:ascii="Calibri" w:hAnsi="Calibri"/>
                <w:b w:val="0"/>
                <w:i w:val="0"/>
                <w:sz w:val="20"/>
              </w:rPr>
              <w:t>Maximum 4–5 requirements per iteration</w:t>
            </w:r>
          </w:p>
        </w:tc>
      </w:tr>
    </w:tbl>
    <w:p/>
    <w:p>
      <w:pPr>
        <w:spacing w:before="280" w:after="60"/>
      </w:pPr>
      <w:r>
        <w:rPr>
          <w:rFonts w:ascii="Calibri" w:hAnsi="Calibri"/>
          <w:b/>
          <w:i w:val="0"/>
          <w:color w:val="1F4E79"/>
          <w:sz w:val="26"/>
        </w:rPr>
        <w:t>Challenges and Resolutions</w:t>
      </w:r>
    </w:p>
    <w:tbl>
      <w:tblPr>
        <w:tblStyle w:val="TableGrid"/>
        <w:tblW w:type="auto" w:w="0"/>
        <w:tblLook w:firstColumn="1" w:firstRow="1" w:lastColumn="0" w:lastRow="0" w:noHBand="0" w:noVBand="1" w:val="04A0"/>
      </w:tblPr>
      <w:tblGrid>
        <w:gridCol w:w="4464"/>
        <w:gridCol w:w="4464"/>
      </w:tblGrid>
      <w:tr>
        <w:tc>
          <w:tcPr>
            <w:tcW w:type="dxa" w:w="3456"/>
            <w:shd w:val="clear" w:color="auto" w:fill="1F4E79"/>
          </w:tcPr>
          <w:p>
            <w:r>
              <w:rPr>
                <w:rFonts w:ascii="Calibri" w:hAnsi="Calibri"/>
                <w:b/>
                <w:i w:val="0"/>
                <w:color w:val="FFFFFF"/>
                <w:sz w:val="20"/>
              </w:rPr>
              <w:t>Challenge</w:t>
            </w:r>
          </w:p>
        </w:tc>
        <w:tc>
          <w:tcPr>
            <w:tcW w:type="dxa" w:w="5328"/>
            <w:shd w:val="clear" w:color="auto" w:fill="1F4E79"/>
          </w:tcPr>
          <w:p>
            <w:r>
              <w:rPr>
                <w:rFonts w:ascii="Calibri" w:hAnsi="Calibri"/>
                <w:b/>
                <w:i w:val="0"/>
                <w:color w:val="FFFFFF"/>
                <w:sz w:val="20"/>
              </w:rPr>
              <w:t>Resolution</w:t>
            </w:r>
          </w:p>
        </w:tc>
      </w:tr>
      <w:tr>
        <w:tc>
          <w:tcPr>
            <w:tcW w:type="dxa" w:w="3456"/>
          </w:tcPr>
          <w:p>
            <w:r>
              <w:rPr>
                <w:rFonts w:ascii="Calibri" w:hAnsi="Calibri"/>
                <w:b w:val="0"/>
                <w:i w:val="0"/>
                <w:sz w:val="20"/>
              </w:rPr>
              <w:t>Frame-rate dependent speed on high-Hz displays</w:t>
            </w:r>
          </w:p>
        </w:tc>
        <w:tc>
          <w:tcPr>
            <w:tcW w:type="dxa" w:w="5328"/>
          </w:tcPr>
          <w:p>
            <w:r>
              <w:rPr>
                <w:rFonts w:ascii="Calibri" w:hAnsi="Calibri"/>
                <w:b w:val="0"/>
                <w:i w:val="0"/>
                <w:sz w:val="20"/>
              </w:rPr>
              <w:t>Explicitly described the symptom; requested delta-time accumulator in Iteration 2.</w:t>
            </w:r>
          </w:p>
        </w:tc>
      </w:tr>
      <w:tr>
        <w:tc>
          <w:tcPr>
            <w:tcW w:type="dxa" w:w="3456"/>
          </w:tcPr>
          <w:p>
            <w:r>
              <w:rPr>
                <w:rFonts w:ascii="Calibri" w:hAnsi="Calibri"/>
                <w:b w:val="0"/>
                <w:i w:val="0"/>
                <w:sz w:val="20"/>
              </w:rPr>
              <w:t>Single overlay div required to serve three distinct states</w:t>
            </w:r>
          </w:p>
        </w:tc>
        <w:tc>
          <w:tcPr>
            <w:tcW w:type="dxa" w:w="5328"/>
          </w:tcPr>
          <w:p>
            <w:r>
              <w:rPr>
                <w:rFonts w:ascii="Calibri" w:hAnsi="Calibri"/>
                <w:b w:val="0"/>
                <w:i w:val="0"/>
                <w:sz w:val="20"/>
              </w:rPr>
              <w:t>Dynamic textContent updates on named child elements rather than separate divs.</w:t>
            </w:r>
          </w:p>
        </w:tc>
      </w:tr>
      <w:tr>
        <w:tc>
          <w:tcPr>
            <w:tcW w:type="dxa" w:w="3456"/>
          </w:tcPr>
          <w:p>
            <w:r>
              <w:rPr>
                <w:rFonts w:ascii="Calibri" w:hAnsi="Calibri"/>
                <w:b w:val="0"/>
                <w:i w:val="0"/>
                <w:sz w:val="20"/>
              </w:rPr>
              <w:t>Touch swipes triggering browser scroll</w:t>
            </w:r>
          </w:p>
        </w:tc>
        <w:tc>
          <w:tcPr>
            <w:tcW w:type="dxa" w:w="5328"/>
          </w:tcPr>
          <w:p>
            <w:r>
              <w:rPr>
                <w:rFonts w:ascii="Calibri" w:hAnsi="Calibri"/>
                <w:b w:val="0"/>
                <w:i w:val="0"/>
                <w:sz w:val="20"/>
              </w:rPr>
              <w:t>touch-action: none on body; e.preventDefault() in touchstart handlers.</w:t>
            </w:r>
          </w:p>
        </w:tc>
      </w:tr>
      <w:tr>
        <w:tc>
          <w:tcPr>
            <w:tcW w:type="dxa" w:w="3456"/>
          </w:tcPr>
          <w:p>
            <w:r>
              <w:rPr>
                <w:rFonts w:ascii="Calibri" w:hAnsi="Calibri"/>
                <w:b w:val="0"/>
                <w:i w:val="0"/>
                <w:sz w:val="20"/>
              </w:rPr>
              <w:t>Audio feedback jarring</w:t>
            </w:r>
          </w:p>
        </w:tc>
        <w:tc>
          <w:tcPr>
            <w:tcW w:type="dxa" w:w="5328"/>
          </w:tcPr>
          <w:p>
            <w:r>
              <w:rPr>
                <w:rFonts w:ascii="Calibri" w:hAnsi="Calibri"/>
                <w:b w:val="0"/>
                <w:i w:val="0"/>
                <w:sz w:val="20"/>
              </w:rPr>
              <w:t>Sound removed; screen shake and particle bursts retained as sufficient feedback.</w:t>
            </w:r>
          </w:p>
        </w:tc>
      </w:tr>
      <w:tr>
        <w:tc>
          <w:tcPr>
            <w:tcW w:type="dxa" w:w="3456"/>
          </w:tcPr>
          <w:p>
            <w:r>
              <w:rPr>
                <w:rFonts w:ascii="Calibri" w:hAnsi="Calibri"/>
                <w:b w:val="0"/>
                <w:i w:val="0"/>
                <w:sz w:val="20"/>
              </w:rPr>
              <w:t>Snake reversing into itself on rapid key press</w:t>
            </w:r>
          </w:p>
        </w:tc>
        <w:tc>
          <w:tcPr>
            <w:tcW w:type="dxa" w:w="5328"/>
          </w:tcPr>
          <w:p>
            <w:r>
              <w:rPr>
                <w:rFonts w:ascii="Calibri" w:hAnsi="Calibri"/>
                <w:b w:val="0"/>
                <w:i w:val="0"/>
                <w:sz w:val="20"/>
              </w:rPr>
              <w:t>setDir guard (nd.x + dir.x === 0 &amp;&amp; nd.y + dir.y === 0) applied uniformly across all three input methods.</w:t>
            </w:r>
          </w:p>
        </w:tc>
      </w:tr>
    </w:tbl>
    <w:p/>
    <w:p>
      <w:pPr>
        <w:spacing w:before="280" w:after="60"/>
      </w:pPr>
      <w:r>
        <w:rPr>
          <w:rFonts w:ascii="Calibri" w:hAnsi="Calibri"/>
          <w:b/>
          <w:i w:val="0"/>
          <w:color w:val="1F4E79"/>
          <w:sz w:val="26"/>
        </w:rPr>
        <w:t>Final Game Feature Set</w:t>
      </w:r>
    </w:p>
    <w:p>
      <w:pPr>
        <w:spacing w:before="160" w:after="40"/>
      </w:pPr>
      <w:r>
        <w:rPr>
          <w:rFonts w:ascii="Calibri" w:hAnsi="Calibri"/>
          <w:b/>
          <w:i w:val="0"/>
          <w:color w:val="000000"/>
          <w:sz w:val="22"/>
        </w:rPr>
        <w:t>Core Mechanics</w:t>
      </w:r>
    </w:p>
    <w:p>
      <w:pPr>
        <w:pStyle w:val="ListBullet"/>
        <w:spacing w:after="40"/>
        <w:ind w:left="432"/>
      </w:pPr>
      <w:r>
        <w:rPr>
          <w:rFonts w:ascii="Calibri" w:hAnsi="Calibri"/>
          <w:b w:val="0"/>
          <w:i w:val="0"/>
          <w:sz w:val="22"/>
        </w:rPr>
        <w:t>25 × 25 grid, 20 px cells (500 × 500 px canvas)</w:t>
      </w:r>
    </w:p>
    <w:p>
      <w:pPr>
        <w:pStyle w:val="ListBullet"/>
        <w:spacing w:after="40"/>
        <w:ind w:left="432"/>
      </w:pPr>
      <w:r>
        <w:rPr>
          <w:rFonts w:ascii="Calibri" w:hAnsi="Calibri"/>
          <w:b w:val="0"/>
          <w:i w:val="0"/>
          <w:sz w:val="22"/>
        </w:rPr>
        <w:t>Delta-time movement loop — frame-rate independent across 30/60/120 Hz</w:t>
      </w:r>
    </w:p>
    <w:p>
      <w:pPr>
        <w:pStyle w:val="ListBullet"/>
        <w:spacing w:after="40"/>
        <w:ind w:left="432"/>
      </w:pPr>
      <w:r>
        <w:rPr>
          <w:rFonts w:ascii="Calibri" w:hAnsi="Calibri"/>
          <w:b w:val="0"/>
          <w:i w:val="0"/>
          <w:sz w:val="22"/>
        </w:rPr>
        <w:t>Speed: 5.5 cells/sec start; +0.18 per food; 22 cells/sec cap</w:t>
      </w:r>
    </w:p>
    <w:p>
      <w:pPr>
        <w:pStyle w:val="ListBullet"/>
        <w:spacing w:after="40"/>
        <w:ind w:left="432"/>
      </w:pPr>
      <w:r>
        <w:rPr>
          <w:rFonts w:ascii="Calibri" w:hAnsi="Calibri"/>
          <w:b w:val="0"/>
          <w:i w:val="0"/>
          <w:sz w:val="22"/>
        </w:rPr>
        <w:t>Standard food: 1 point, red, pulsing animation</w:t>
      </w:r>
    </w:p>
    <w:p>
      <w:pPr>
        <w:pStyle w:val="ListBullet"/>
        <w:spacing w:after="40"/>
        <w:ind w:left="432"/>
      </w:pPr>
      <w:r>
        <w:rPr>
          <w:rFonts w:ascii="Calibri" w:hAnsi="Calibri"/>
          <w:b w:val="0"/>
          <w:i w:val="0"/>
          <w:sz w:val="22"/>
        </w:rPr>
        <w:t>Golden food: 5 points, spawns every 12 s, disappears after 5 s, blinks in final 1.5 s</w:t>
      </w:r>
    </w:p>
    <w:p>
      <w:pPr>
        <w:pStyle w:val="ListBullet"/>
        <w:spacing w:after="40"/>
        <w:ind w:left="432"/>
      </w:pPr>
      <w:r>
        <w:rPr>
          <w:rFonts w:ascii="Calibri" w:hAnsi="Calibri"/>
          <w:b w:val="0"/>
          <w:i w:val="0"/>
          <w:sz w:val="22"/>
        </w:rPr>
        <w:t>Wall and self-collision detection; 180-degree turn prevention on all input paths</w:t>
      </w:r>
    </w:p>
    <w:p>
      <w:pPr>
        <w:spacing w:before="160" w:after="40"/>
      </w:pPr>
      <w:r>
        <w:rPr>
          <w:rFonts w:ascii="Calibri" w:hAnsi="Calibri"/>
          <w:b/>
          <w:i w:val="0"/>
          <w:color w:val="000000"/>
          <w:sz w:val="22"/>
        </w:rPr>
        <w:t>Visual Effects</w:t>
      </w:r>
    </w:p>
    <w:p>
      <w:pPr>
        <w:pStyle w:val="ListBullet"/>
        <w:spacing w:after="40"/>
        <w:ind w:left="432"/>
      </w:pPr>
      <w:r>
        <w:rPr>
          <w:rFonts w:ascii="Calibri" w:hAnsi="Calibri"/>
          <w:b w:val="0"/>
          <w:i w:val="0"/>
          <w:sz w:val="22"/>
        </w:rPr>
        <w:t>Cyberpunk dark theme: #0d0d14 background, cyan-to-deep-blue gradient snake, neon glow</w:t>
      </w:r>
    </w:p>
    <w:p>
      <w:pPr>
        <w:pStyle w:val="ListBullet"/>
        <w:spacing w:after="40"/>
        <w:ind w:left="432"/>
      </w:pPr>
      <w:r>
        <w:rPr>
          <w:rFonts w:ascii="Calibri" w:hAnsi="Calibri"/>
          <w:b w:val="0"/>
          <w:i w:val="0"/>
          <w:sz w:val="22"/>
        </w:rPr>
        <w:t>Particle burst on food contact (14 particles / standard; 22 / golden)</w:t>
      </w:r>
    </w:p>
    <w:p>
      <w:pPr>
        <w:pStyle w:val="ListBullet"/>
        <w:spacing w:after="40"/>
        <w:ind w:left="432"/>
      </w:pPr>
      <w:r>
        <w:rPr>
          <w:rFonts w:ascii="Calibri" w:hAnsi="Calibri"/>
          <w:b w:val="0"/>
          <w:i w:val="0"/>
          <w:sz w:val="22"/>
        </w:rPr>
        <w:t>Screen shake on death (0.35 s exponential decay)</w:t>
      </w:r>
    </w:p>
    <w:p>
      <w:pPr>
        <w:pStyle w:val="ListBullet"/>
        <w:spacing w:after="40"/>
        <w:ind w:left="432"/>
      </w:pPr>
      <w:r>
        <w:rPr>
          <w:rFonts w:ascii="Calibri" w:hAnsi="Calibri"/>
          <w:b w:val="0"/>
          <w:i w:val="0"/>
          <w:sz w:val="22"/>
        </w:rPr>
        <w:t>Full-canvas flash on golden food spawn</w:t>
      </w:r>
    </w:p>
    <w:p>
      <w:pPr>
        <w:pStyle w:val="ListBullet"/>
        <w:spacing w:after="40"/>
        <w:ind w:left="432"/>
      </w:pPr>
      <w:r>
        <w:rPr>
          <w:rFonts w:ascii="Calibri" w:hAnsi="Calibri"/>
          <w:b w:val="0"/>
          <w:i w:val="0"/>
          <w:sz w:val="22"/>
        </w:rPr>
        <w:t>Subtle dot-grid background pattern</w:t>
      </w:r>
    </w:p>
    <w:p>
      <w:pPr>
        <w:spacing w:before="160" w:after="40"/>
      </w:pPr>
      <w:r>
        <w:rPr>
          <w:rFonts w:ascii="Calibri" w:hAnsi="Calibri"/>
          <w:b/>
          <w:i w:val="0"/>
          <w:color w:val="000000"/>
          <w:sz w:val="22"/>
        </w:rPr>
        <w:t>Input &amp; Controls</w:t>
      </w:r>
    </w:p>
    <w:p>
      <w:pPr>
        <w:pStyle w:val="ListBullet"/>
        <w:spacing w:after="40"/>
        <w:ind w:left="432"/>
      </w:pPr>
      <w:r>
        <w:rPr>
          <w:rFonts w:ascii="Calibri" w:hAnsi="Calibri"/>
          <w:b w:val="0"/>
          <w:i w:val="0"/>
          <w:sz w:val="22"/>
        </w:rPr>
        <w:t>Keyboard: Arrow keys / WASD for movement; ESC / Space for pause</w:t>
      </w:r>
    </w:p>
    <w:p>
      <w:pPr>
        <w:pStyle w:val="ListBullet"/>
        <w:spacing w:after="40"/>
        <w:ind w:left="432"/>
      </w:pPr>
      <w:r>
        <w:rPr>
          <w:rFonts w:ascii="Calibri" w:hAnsi="Calibri"/>
          <w:b w:val="0"/>
          <w:i w:val="0"/>
          <w:sz w:val="22"/>
        </w:rPr>
        <w:t>Mobile D-pad (touch devices only, CSS media query)</w:t>
      </w:r>
    </w:p>
    <w:p>
      <w:pPr>
        <w:pStyle w:val="ListBullet"/>
        <w:spacing w:after="40"/>
        <w:ind w:left="432"/>
      </w:pPr>
      <w:r>
        <w:rPr>
          <w:rFonts w:ascii="Calibri" w:hAnsi="Calibri"/>
          <w:b w:val="0"/>
          <w:i w:val="0"/>
          <w:sz w:val="22"/>
        </w:rPr>
        <w:t>Swipe gesture on canvas (15 px threshold; horizontal vs. vertical axis comparison)</w:t>
      </w:r>
    </w:p>
    <w:p>
      <w:pPr>
        <w:pStyle w:val="ListBullet"/>
        <w:spacing w:after="40"/>
        <w:ind w:left="432"/>
      </w:pPr>
      <w:r>
        <w:rPr>
          <w:rFonts w:ascii="Calibri" w:hAnsi="Calibri"/>
          <w:b w:val="0"/>
          <w:i w:val="0"/>
          <w:sz w:val="22"/>
        </w:rPr>
        <w:t>Pause button in mobile D-pad</w:t>
      </w:r>
    </w:p>
    <w:p>
      <w:pPr>
        <w:spacing w:before="160" w:after="40"/>
      </w:pPr>
      <w:r>
        <w:rPr>
          <w:rFonts w:ascii="Calibri" w:hAnsi="Calibri"/>
          <w:b/>
          <w:i w:val="0"/>
          <w:color w:val="000000"/>
          <w:sz w:val="22"/>
        </w:rPr>
        <w:t>UI &amp; Persistence</w:t>
      </w:r>
    </w:p>
    <w:p>
      <w:pPr>
        <w:pStyle w:val="ListBullet"/>
        <w:spacing w:after="40"/>
        <w:ind w:left="432"/>
      </w:pPr>
      <w:r>
        <w:rPr>
          <w:rFonts w:ascii="Calibri" w:hAnsi="Calibri"/>
          <w:b w:val="0"/>
          <w:i w:val="0"/>
          <w:sz w:val="22"/>
        </w:rPr>
        <w:t>HUD: SCORE / HIGH / SPEED above canvas, updated each frame</w:t>
      </w:r>
    </w:p>
    <w:p>
      <w:pPr>
        <w:pStyle w:val="ListBullet"/>
        <w:spacing w:after="40"/>
        <w:ind w:left="432"/>
      </w:pPr>
      <w:r>
        <w:rPr>
          <w:rFonts w:ascii="Calibri" w:hAnsi="Calibri"/>
          <w:b w:val="0"/>
          <w:i w:val="0"/>
          <w:sz w:val="22"/>
        </w:rPr>
        <w:t>Start screen: title, course credit, author name, stored high score</w:t>
      </w:r>
    </w:p>
    <w:p>
      <w:pPr>
        <w:pStyle w:val="ListBullet"/>
        <w:spacing w:after="40"/>
        <w:ind w:left="432"/>
      </w:pPr>
      <w:r>
        <w:rPr>
          <w:rFonts w:ascii="Calibri" w:hAnsi="Calibri"/>
          <w:b w:val="0"/>
          <w:i w:val="0"/>
          <w:sz w:val="22"/>
        </w:rPr>
        <w:t>Game-over screen: score, high-score comparison, 'NEW HIGH SCORE' on new record</w:t>
      </w:r>
    </w:p>
    <w:p>
      <w:pPr>
        <w:pStyle w:val="ListBullet"/>
        <w:spacing w:after="40"/>
        <w:ind w:left="432"/>
      </w:pPr>
      <w:r>
        <w:rPr>
          <w:rFonts w:ascii="Calibri" w:hAnsi="Calibri"/>
          <w:b w:val="0"/>
          <w:i w:val="0"/>
          <w:sz w:val="22"/>
        </w:rPr>
        <w:t>Pause overlay rendered on canvas; resume hint displayed</w:t>
      </w:r>
    </w:p>
    <w:p>
      <w:pPr>
        <w:pStyle w:val="ListBullet"/>
        <w:spacing w:after="40"/>
        <w:ind w:left="432"/>
      </w:pPr>
      <w:r>
        <w:rPr>
          <w:rFonts w:ascii="Calibri" w:hAnsi="Calibri"/>
          <w:b w:val="0"/>
          <w:i w:val="0"/>
          <w:sz w:val="22"/>
        </w:rPr>
        <w:t>localStorage persistence under key 'snake_hi' — survives browser sessions</w:t>
      </w:r>
    </w:p>
    <w:p>
      <w:r>
        <w:br w:type="page"/>
      </w:r>
    </w:p>
    <w:p>
      <w:pPr>
        <w:spacing w:before="400" w:after="80"/>
        <w:pBdr>
          <w:bottom w:val="single" w:sz="8" w:space="1" w:color="4472C4"/>
        </w:pBdr>
      </w:pPr>
      <w:r>
        <w:rPr>
          <w:rFonts w:ascii="Calibri" w:hAnsi="Calibri"/>
          <w:b/>
          <w:i w:val="0"/>
          <w:color w:val="11375A"/>
          <w:sz w:val="32"/>
        </w:rPr>
        <w:t>Task 3 — Lecture Slide Generation Using LLMs</w:t>
      </w:r>
    </w:p>
    <w:p>
      <w:pPr>
        <w:shd w:val="clear" w:color="auto" w:fill="EEF4FB"/>
        <w:spacing w:after="120"/>
        <w:ind w:left="360" w:right="360"/>
      </w:pPr>
      <w:r>
        <w:rPr>
          <w:rFonts w:ascii="Calibri" w:hAnsi="Calibri"/>
          <w:b w:val="0"/>
          <w:i/>
          <w:color w:val="1F4E79"/>
          <w:sz w:val="20"/>
        </w:rPr>
        <w:t>Tool: NotebookLM (Google)  ·  Source: YouTube lecture — "Google's Prompt Engineering Masterclass: Novice to Architect" (https://www.youtube.com/watch?v=p09yRj47kNM)  ·  Output: 15-slide PDF (The_Prompting_Blueprint.pdf)</w:t>
      </w:r>
    </w:p>
    <w:p>
      <w:pPr>
        <w:spacing w:before="280" w:after="60"/>
      </w:pPr>
      <w:r>
        <w:rPr>
          <w:rFonts w:ascii="Calibri" w:hAnsi="Calibri"/>
          <w:b/>
          <w:i w:val="0"/>
          <w:color w:val="1F4E79"/>
          <w:sz w:val="26"/>
        </w:rPr>
        <w:t>Process</w:t>
      </w:r>
    </w:p>
    <w:p>
      <w:pPr>
        <w:spacing w:after="80"/>
      </w:pPr>
      <w:r>
        <w:rPr>
          <w:rFonts w:ascii="Calibri" w:hAnsi="Calibri"/>
          <w:b w:val="0"/>
          <w:i w:val="0"/>
          <w:sz w:val="22"/>
        </w:rPr>
        <w:t>The YouTube lecture was uploaded directly as a source in NotebookLM. NotebookLM ingests the video transcript and makes it available to its generation tools. The Slide Deck Creator feature was selected and a single structured prompt was issued. The tool processed the transcript against the prompt instructions and returned a 15-slide PDF covering the full lecture from fundamentals to autonomous agent design.</w:t>
      </w:r>
    </w:p>
    <w:p>
      <w:pPr>
        <w:spacing w:before="280" w:after="60"/>
      </w:pPr>
      <w:r>
        <w:rPr>
          <w:rFonts w:ascii="Calibri" w:hAnsi="Calibri"/>
          <w:b/>
          <w:i w:val="0"/>
          <w:color w:val="1F4E79"/>
          <w:sz w:val="26"/>
        </w:rPr>
        <w:t>Prompt Used</w:t>
      </w:r>
    </w:p>
    <w:p>
      <w:pPr>
        <w:shd w:val="clear" w:color="auto" w:fill="EEF4FB"/>
        <w:spacing w:after="120"/>
        <w:ind w:left="360" w:right="360"/>
      </w:pPr>
      <w:r>
        <w:rPr>
          <w:rFonts w:ascii="Calibri" w:hAnsi="Calibri"/>
          <w:b w:val="0"/>
          <w:i/>
          <w:color w:val="1F4E79"/>
          <w:sz w:val="20"/>
        </w:rPr>
        <w:t>"Create a detailed slide deck based on the contents of the youtube video lecture, start the heading with the concept name and also furnish the examples in the relevant slide, counter-check the content you produce from the youtube lecture."</w:t>
      </w:r>
    </w:p>
    <w:p>
      <w:pPr>
        <w:spacing w:after="80"/>
      </w:pPr>
      <w:r>
        <w:rPr>
          <w:rFonts w:ascii="Calibri" w:hAnsi="Calibri"/>
          <w:b w:val="0"/>
          <w:i w:val="0"/>
          <w:sz w:val="22"/>
        </w:rPr>
        <w:t>The prompt contained three distinct directives, each targeting a specific output property:</w:t>
      </w:r>
    </w:p>
    <w:tbl>
      <w:tblPr>
        <w:tblStyle w:val="TableGrid"/>
        <w:tblW w:type="auto" w:w="0"/>
        <w:tblLook w:firstColumn="1" w:firstRow="1" w:lastColumn="0" w:lastRow="0" w:noHBand="0" w:noVBand="1" w:val="04A0"/>
      </w:tblPr>
      <w:tblGrid>
        <w:gridCol w:w="2976"/>
        <w:gridCol w:w="2976"/>
        <w:gridCol w:w="2976"/>
      </w:tblGrid>
      <w:tr>
        <w:tc>
          <w:tcPr>
            <w:tcW w:type="dxa" w:w="2592"/>
            <w:shd w:val="clear" w:color="auto" w:fill="1F4E79"/>
          </w:tcPr>
          <w:p>
            <w:r>
              <w:rPr>
                <w:rFonts w:ascii="Calibri" w:hAnsi="Calibri"/>
                <w:b/>
                <w:i w:val="0"/>
                <w:color w:val="FFFFFF"/>
                <w:sz w:val="20"/>
              </w:rPr>
              <w:t>Directive</w:t>
            </w:r>
          </w:p>
        </w:tc>
        <w:tc>
          <w:tcPr>
            <w:tcW w:type="dxa" w:w="2592"/>
            <w:shd w:val="clear" w:color="auto" w:fill="1F4E79"/>
          </w:tcPr>
          <w:p>
            <w:r>
              <w:rPr>
                <w:rFonts w:ascii="Calibri" w:hAnsi="Calibri"/>
                <w:b/>
                <w:i w:val="0"/>
                <w:color w:val="FFFFFF"/>
                <w:sz w:val="20"/>
              </w:rPr>
              <w:t>Intent</w:t>
            </w:r>
          </w:p>
        </w:tc>
        <w:tc>
          <w:tcPr>
            <w:tcW w:type="dxa" w:w="3600"/>
            <w:shd w:val="clear" w:color="auto" w:fill="1F4E79"/>
          </w:tcPr>
          <w:p>
            <w:r>
              <w:rPr>
                <w:rFonts w:ascii="Calibri" w:hAnsi="Calibri"/>
                <w:b/>
                <w:i w:val="0"/>
                <w:color w:val="FFFFFF"/>
                <w:sz w:val="20"/>
              </w:rPr>
              <w:t>Effect in Output</w:t>
            </w:r>
          </w:p>
        </w:tc>
      </w:tr>
      <w:tr>
        <w:tc>
          <w:tcPr>
            <w:tcW w:type="dxa" w:w="2592"/>
          </w:tcPr>
          <w:p>
            <w:r>
              <w:rPr>
                <w:rFonts w:ascii="Calibri" w:hAnsi="Calibri"/>
                <w:b w:val="0"/>
                <w:i w:val="0"/>
                <w:sz w:val="20"/>
              </w:rPr>
              <w:t>"start the heading with the concept name"</w:t>
            </w:r>
          </w:p>
        </w:tc>
        <w:tc>
          <w:tcPr>
            <w:tcW w:type="dxa" w:w="2592"/>
          </w:tcPr>
          <w:p>
            <w:r>
              <w:rPr>
                <w:rFonts w:ascii="Calibri" w:hAnsi="Calibri"/>
                <w:b w:val="0"/>
                <w:i w:val="0"/>
                <w:sz w:val="20"/>
              </w:rPr>
              <w:t>Enforce a consistent naming convention for every slide</w:t>
            </w:r>
          </w:p>
        </w:tc>
        <w:tc>
          <w:tcPr>
            <w:tcW w:type="dxa" w:w="3600"/>
          </w:tcPr>
          <w:p>
            <w:r>
              <w:rPr>
                <w:rFonts w:ascii="Calibri" w:hAnsi="Calibri"/>
                <w:b w:val="0"/>
                <w:i w:val="0"/>
                <w:sz w:val="20"/>
              </w:rPr>
              <w:t>All 14 content slides open with 'Concept: [Name]' — visual hierarchy is uniform throughout</w:t>
            </w:r>
          </w:p>
        </w:tc>
      </w:tr>
      <w:tr>
        <w:tc>
          <w:tcPr>
            <w:tcW w:type="dxa" w:w="2592"/>
          </w:tcPr>
          <w:p>
            <w:r>
              <w:rPr>
                <w:rFonts w:ascii="Calibri" w:hAnsi="Calibri"/>
                <w:b w:val="0"/>
                <w:i w:val="0"/>
                <w:sz w:val="20"/>
              </w:rPr>
              <w:t>"furnish the examples in the relevant slide"</w:t>
            </w:r>
          </w:p>
        </w:tc>
        <w:tc>
          <w:tcPr>
            <w:tcW w:type="dxa" w:w="2592"/>
          </w:tcPr>
          <w:p>
            <w:r>
              <w:rPr>
                <w:rFonts w:ascii="Calibri" w:hAnsi="Calibri"/>
                <w:b w:val="0"/>
                <w:i w:val="0"/>
                <w:sz w:val="20"/>
              </w:rPr>
              <w:t>Prevent examples from being omitted or generalised into prose</w:t>
            </w:r>
          </w:p>
        </w:tc>
        <w:tc>
          <w:tcPr>
            <w:tcW w:type="dxa" w:w="3600"/>
          </w:tcPr>
          <w:p>
            <w:r>
              <w:rPr>
                <w:rFonts w:ascii="Calibri" w:hAnsi="Calibri"/>
                <w:b w:val="0"/>
                <w:i w:val="0"/>
                <w:sz w:val="20"/>
              </w:rPr>
              <w:t>Every slide contains at least one inline prompt example in a dedicated callout box, preserving the source material's concrete demonstrations</w:t>
            </w:r>
          </w:p>
        </w:tc>
      </w:tr>
      <w:tr>
        <w:tc>
          <w:tcPr>
            <w:tcW w:type="dxa" w:w="2592"/>
          </w:tcPr>
          <w:p>
            <w:r>
              <w:rPr>
                <w:rFonts w:ascii="Calibri" w:hAnsi="Calibri"/>
                <w:b w:val="0"/>
                <w:i w:val="0"/>
                <w:sz w:val="20"/>
              </w:rPr>
              <w:t>"counter-check the content you produce from the youtube lecture"</w:t>
            </w:r>
          </w:p>
        </w:tc>
        <w:tc>
          <w:tcPr>
            <w:tcW w:type="dxa" w:w="2592"/>
          </w:tcPr>
          <w:p>
            <w:r>
              <w:rPr>
                <w:rFonts w:ascii="Calibri" w:hAnsi="Calibri"/>
                <w:b w:val="0"/>
                <w:i w:val="0"/>
                <w:sz w:val="20"/>
              </w:rPr>
              <w:t>Ground generation in the source transcript; reduce confabulation</w:t>
            </w:r>
          </w:p>
        </w:tc>
        <w:tc>
          <w:tcPr>
            <w:tcW w:type="dxa" w:w="3600"/>
          </w:tcPr>
          <w:p>
            <w:r>
              <w:rPr>
                <w:rFonts w:ascii="Calibri" w:hAnsi="Calibri"/>
                <w:b w:val="0"/>
                <w:i w:val="0"/>
                <w:sz w:val="20"/>
              </w:rPr>
              <w:t>Slide content tracks the lecture's own framework names, mnemonics, and terminology (TCREI, 'Ramen Saves Tragic Idiots', Agent Sim vs. Agent X) without substitution</w:t>
            </w:r>
          </w:p>
        </w:tc>
      </w:tr>
    </w:tbl>
    <w:p/>
    <w:p>
      <w:pPr>
        <w:spacing w:before="280" w:after="60"/>
      </w:pPr>
      <w:r>
        <w:rPr>
          <w:rFonts w:ascii="Calibri" w:hAnsi="Calibri"/>
          <w:b/>
          <w:i w:val="0"/>
          <w:color w:val="1F4E79"/>
          <w:sz w:val="26"/>
        </w:rPr>
        <w:t>Slides Generated</w:t>
      </w:r>
    </w:p>
    <w:tbl>
      <w:tblPr>
        <w:tblStyle w:val="TableGrid"/>
        <w:tblW w:type="auto" w:w="0"/>
        <w:tblLook w:firstColumn="1" w:firstRow="1" w:lastColumn="0" w:lastRow="0" w:noHBand="0" w:noVBand="1" w:val="04A0"/>
      </w:tblPr>
      <w:tblGrid>
        <w:gridCol w:w="2976"/>
        <w:gridCol w:w="2976"/>
        <w:gridCol w:w="2976"/>
      </w:tblGrid>
      <w:tr>
        <w:tc>
          <w:tcPr>
            <w:tcW w:type="dxa" w:w="576"/>
            <w:shd w:val="clear" w:color="auto" w:fill="1F4E79"/>
          </w:tcPr>
          <w:p>
            <w:r>
              <w:rPr>
                <w:rFonts w:ascii="Calibri" w:hAnsi="Calibri"/>
                <w:b/>
                <w:i w:val="0"/>
                <w:color w:val="FFFFFF"/>
                <w:sz w:val="20"/>
              </w:rPr>
              <w:t>Slide</w:t>
            </w:r>
          </w:p>
        </w:tc>
        <w:tc>
          <w:tcPr>
            <w:tcW w:type="dxa" w:w="2448"/>
            <w:shd w:val="clear" w:color="auto" w:fill="1F4E79"/>
          </w:tcPr>
          <w:p>
            <w:r>
              <w:rPr>
                <w:rFonts w:ascii="Calibri" w:hAnsi="Calibri"/>
                <w:b/>
                <w:i w:val="0"/>
                <w:color w:val="FFFFFF"/>
                <w:sz w:val="20"/>
              </w:rPr>
              <w:t>Concept</w:t>
            </w:r>
          </w:p>
        </w:tc>
        <w:tc>
          <w:tcPr>
            <w:tcW w:type="dxa" w:w="5616"/>
            <w:shd w:val="clear" w:color="auto" w:fill="1F4E79"/>
          </w:tcPr>
          <w:p>
            <w:r>
              <w:rPr>
                <w:rFonts w:ascii="Calibri" w:hAnsi="Calibri"/>
                <w:b/>
                <w:i w:val="0"/>
                <w:color w:val="FFFFFF"/>
                <w:sz w:val="20"/>
              </w:rPr>
              <w:t>Key Content</w:t>
            </w:r>
          </w:p>
        </w:tc>
      </w:tr>
      <w:tr>
        <w:tc>
          <w:tcPr>
            <w:tcW w:type="dxa" w:w="576"/>
          </w:tcPr>
          <w:p>
            <w:r>
              <w:rPr>
                <w:rFonts w:ascii="Calibri" w:hAnsi="Calibri"/>
                <w:b w:val="0"/>
                <w:i w:val="0"/>
                <w:sz w:val="20"/>
              </w:rPr>
              <w:t>1</w:t>
            </w:r>
          </w:p>
        </w:tc>
        <w:tc>
          <w:tcPr>
            <w:tcW w:type="dxa" w:w="2448"/>
          </w:tcPr>
          <w:p>
            <w:r>
              <w:rPr>
                <w:rFonts w:ascii="Calibri" w:hAnsi="Calibri"/>
                <w:b w:val="0"/>
                <w:i w:val="0"/>
                <w:sz w:val="20"/>
              </w:rPr>
              <w:t>Title</w:t>
            </w:r>
          </w:p>
        </w:tc>
        <w:tc>
          <w:tcPr>
            <w:tcW w:type="dxa" w:w="5616"/>
          </w:tcPr>
          <w:p>
            <w:r>
              <w:rPr>
                <w:rFonts w:ascii="Calibri" w:hAnsi="Calibri"/>
                <w:b w:val="0"/>
                <w:i w:val="0"/>
                <w:sz w:val="20"/>
              </w:rPr>
              <w:t>Course overview; 4-level architecture: Fundamentals → Workflows → Advanced Logic → Autonomous Agents</w:t>
            </w:r>
          </w:p>
        </w:tc>
      </w:tr>
      <w:tr>
        <w:tc>
          <w:tcPr>
            <w:tcW w:type="dxa" w:w="576"/>
          </w:tcPr>
          <w:p>
            <w:r>
              <w:rPr>
                <w:rFonts w:ascii="Calibri" w:hAnsi="Calibri"/>
                <w:b w:val="0"/>
                <w:i w:val="0"/>
                <w:sz w:val="20"/>
              </w:rPr>
              <w:t>2</w:t>
            </w:r>
          </w:p>
        </w:tc>
        <w:tc>
          <w:tcPr>
            <w:tcW w:type="dxa" w:w="2448"/>
          </w:tcPr>
          <w:p>
            <w:r>
              <w:rPr>
                <w:rFonts w:ascii="Calibri" w:hAnsi="Calibri"/>
                <w:b w:val="0"/>
                <w:i w:val="0"/>
                <w:sz w:val="20"/>
              </w:rPr>
              <w:t>The 5-Step Prompting Framework</w:t>
            </w:r>
          </w:p>
        </w:tc>
        <w:tc>
          <w:tcPr>
            <w:tcW w:type="dxa" w:w="5616"/>
          </w:tcPr>
          <w:p>
            <w:r>
              <w:rPr>
                <w:rFonts w:ascii="Calibri" w:hAnsi="Calibri"/>
                <w:b w:val="0"/>
                <w:i w:val="0"/>
                <w:sz w:val="20"/>
              </w:rPr>
              <w:t>TCREI framework (Task, Context, References, Evaluate, Iterate); mnemonic 'Tiny Crabs Ride Enormous Iguanas'; novice vs. structured input example</w:t>
            </w:r>
          </w:p>
        </w:tc>
      </w:tr>
      <w:tr>
        <w:tc>
          <w:tcPr>
            <w:tcW w:type="dxa" w:w="576"/>
          </w:tcPr>
          <w:p>
            <w:r>
              <w:rPr>
                <w:rFonts w:ascii="Calibri" w:hAnsi="Calibri"/>
                <w:b w:val="0"/>
                <w:i w:val="0"/>
                <w:sz w:val="20"/>
              </w:rPr>
              <w:t>3</w:t>
            </w:r>
          </w:p>
        </w:tc>
        <w:tc>
          <w:tcPr>
            <w:tcW w:type="dxa" w:w="2448"/>
          </w:tcPr>
          <w:p>
            <w:r>
              <w:rPr>
                <w:rFonts w:ascii="Calibri" w:hAnsi="Calibri"/>
                <w:b w:val="0"/>
                <w:i w:val="0"/>
                <w:sz w:val="20"/>
              </w:rPr>
              <w:t>Elevating the Task</w:t>
            </w:r>
          </w:p>
        </w:tc>
        <w:tc>
          <w:tcPr>
            <w:tcW w:type="dxa" w:w="5616"/>
          </w:tcPr>
          <w:p>
            <w:r>
              <w:rPr>
                <w:rFonts w:ascii="Calibri" w:hAnsi="Calibri"/>
                <w:b w:val="0"/>
                <w:i w:val="0"/>
                <w:sz w:val="20"/>
              </w:rPr>
              <w:t>Persona and Format as force-multipliers; barebones vs. upgraded prompt comparison; genre-split anime gift example</w:t>
            </w:r>
          </w:p>
        </w:tc>
      </w:tr>
      <w:tr>
        <w:tc>
          <w:tcPr>
            <w:tcW w:type="dxa" w:w="576"/>
          </w:tcPr>
          <w:p>
            <w:r>
              <w:rPr>
                <w:rFonts w:ascii="Calibri" w:hAnsi="Calibri"/>
                <w:b w:val="0"/>
                <w:i w:val="0"/>
                <w:sz w:val="20"/>
              </w:rPr>
              <w:t>4</w:t>
            </w:r>
          </w:p>
        </w:tc>
        <w:tc>
          <w:tcPr>
            <w:tcW w:type="dxa" w:w="2448"/>
          </w:tcPr>
          <w:p>
            <w:r>
              <w:rPr>
                <w:rFonts w:ascii="Calibri" w:hAnsi="Calibri"/>
                <w:b w:val="0"/>
                <w:i w:val="0"/>
                <w:sz w:val="20"/>
              </w:rPr>
              <w:t>The Context &amp; Reference Engine</w:t>
            </w:r>
          </w:p>
        </w:tc>
        <w:tc>
          <w:tcPr>
            <w:tcW w:type="dxa" w:w="5616"/>
          </w:tcPr>
          <w:p>
            <w:r>
              <w:rPr>
                <w:rFonts w:ascii="Calibri" w:hAnsi="Calibri"/>
                <w:b w:val="0"/>
                <w:i w:val="0"/>
                <w:sz w:val="20"/>
              </w:rPr>
              <w:t>Context rule: more background = higher output fidelity; references as show-don't-tell; birthday gift worked example</w:t>
            </w:r>
          </w:p>
        </w:tc>
      </w:tr>
      <w:tr>
        <w:tc>
          <w:tcPr>
            <w:tcW w:type="dxa" w:w="576"/>
          </w:tcPr>
          <w:p>
            <w:r>
              <w:rPr>
                <w:rFonts w:ascii="Calibri" w:hAnsi="Calibri"/>
                <w:b w:val="0"/>
                <w:i w:val="0"/>
                <w:sz w:val="20"/>
              </w:rPr>
              <w:t>5</w:t>
            </w:r>
          </w:p>
        </w:tc>
        <w:tc>
          <w:tcPr>
            <w:tcW w:type="dxa" w:w="2448"/>
          </w:tcPr>
          <w:p>
            <w:r>
              <w:rPr>
                <w:rFonts w:ascii="Calibri" w:hAnsi="Calibri"/>
                <w:b w:val="0"/>
                <w:i w:val="0"/>
                <w:sz w:val="20"/>
              </w:rPr>
              <w:t>The Iteration Loop</w:t>
            </w:r>
          </w:p>
        </w:tc>
        <w:tc>
          <w:tcPr>
            <w:tcW w:type="dxa" w:w="5616"/>
          </w:tcPr>
          <w:p>
            <w:r>
              <w:rPr>
                <w:rFonts w:ascii="Calibri" w:hAnsi="Calibri"/>
                <w:b w:val="0"/>
                <w:i w:val="0"/>
                <w:sz w:val="20"/>
              </w:rPr>
              <w:t>IRST loop: Introduce constraints, Revisit framework, Separate sentences, Try analogous tasks; mnemonic 'Ramen Saves Tragic Idiots'</w:t>
            </w:r>
          </w:p>
        </w:tc>
      </w:tr>
      <w:tr>
        <w:tc>
          <w:tcPr>
            <w:tcW w:type="dxa" w:w="576"/>
          </w:tcPr>
          <w:p>
            <w:r>
              <w:rPr>
                <w:rFonts w:ascii="Calibri" w:hAnsi="Calibri"/>
                <w:b w:val="0"/>
                <w:i w:val="0"/>
                <w:sz w:val="20"/>
              </w:rPr>
              <w:t>6</w:t>
            </w:r>
          </w:p>
        </w:tc>
        <w:tc>
          <w:tcPr>
            <w:tcW w:type="dxa" w:w="2448"/>
          </w:tcPr>
          <w:p>
            <w:r>
              <w:rPr>
                <w:rFonts w:ascii="Calibri" w:hAnsi="Calibri"/>
                <w:b w:val="0"/>
                <w:i w:val="0"/>
                <w:sz w:val="20"/>
              </w:rPr>
              <w:t>Multimodal Prompting</w:t>
            </w:r>
          </w:p>
        </w:tc>
        <w:tc>
          <w:tcPr>
            <w:tcW w:type="dxa" w:w="5616"/>
          </w:tcPr>
          <w:p>
            <w:r>
              <w:rPr>
                <w:rFonts w:ascii="Calibri" w:hAnsi="Calibri"/>
                <w:b w:val="0"/>
                <w:i w:val="0"/>
                <w:sz w:val="20"/>
              </w:rPr>
              <w:t>TCREI applied to image, audio, and code inputs; image-to-text, image-to-recipe, and audio-to-prose examples</w:t>
            </w:r>
          </w:p>
        </w:tc>
      </w:tr>
      <w:tr>
        <w:tc>
          <w:tcPr>
            <w:tcW w:type="dxa" w:w="576"/>
          </w:tcPr>
          <w:p>
            <w:r>
              <w:rPr>
                <w:rFonts w:ascii="Calibri" w:hAnsi="Calibri"/>
                <w:b w:val="0"/>
                <w:i w:val="0"/>
                <w:sz w:val="20"/>
              </w:rPr>
              <w:t>7</w:t>
            </w:r>
          </w:p>
        </w:tc>
        <w:tc>
          <w:tcPr>
            <w:tcW w:type="dxa" w:w="2448"/>
          </w:tcPr>
          <w:p>
            <w:r>
              <w:rPr>
                <w:rFonts w:ascii="Calibri" w:hAnsi="Calibri"/>
                <w:b w:val="0"/>
                <w:i w:val="0"/>
                <w:sz w:val="20"/>
              </w:rPr>
              <w:t>AI Pitfalls &amp; Human-in-the-Loop</w:t>
            </w:r>
          </w:p>
        </w:tc>
        <w:tc>
          <w:tcPr>
            <w:tcW w:type="dxa" w:w="5616"/>
          </w:tcPr>
          <w:p>
            <w:r>
              <w:rPr>
                <w:rFonts w:ascii="Calibri" w:hAnsi="Calibri"/>
                <w:b w:val="0"/>
                <w:i w:val="0"/>
                <w:sz w:val="20"/>
              </w:rPr>
              <w:t>Hallucinations and biases as structural risks; 'Strawberry' letter-count hallucination; human verification as non-negotiable final step</w:t>
            </w:r>
          </w:p>
        </w:tc>
      </w:tr>
      <w:tr>
        <w:tc>
          <w:tcPr>
            <w:tcW w:type="dxa" w:w="576"/>
          </w:tcPr>
          <w:p>
            <w:r>
              <w:rPr>
                <w:rFonts w:ascii="Calibri" w:hAnsi="Calibri"/>
                <w:b w:val="0"/>
                <w:i w:val="0"/>
                <w:sz w:val="20"/>
              </w:rPr>
              <w:t>8</w:t>
            </w:r>
          </w:p>
        </w:tc>
        <w:tc>
          <w:tcPr>
            <w:tcW w:type="dxa" w:w="2448"/>
          </w:tcPr>
          <w:p>
            <w:r>
              <w:rPr>
                <w:rFonts w:ascii="Calibri" w:hAnsi="Calibri"/>
                <w:b w:val="0"/>
                <w:i w:val="0"/>
                <w:sz w:val="20"/>
              </w:rPr>
              <w:t>Automating Everyday Content</w:t>
            </w:r>
          </w:p>
        </w:tc>
        <w:tc>
          <w:tcPr>
            <w:tcW w:type="dxa" w:w="5616"/>
          </w:tcPr>
          <w:p>
            <w:r>
              <w:rPr>
                <w:rFonts w:ascii="Calibri" w:hAnsi="Calibri"/>
                <w:b w:val="0"/>
                <w:i w:val="0"/>
                <w:sz w:val="20"/>
              </w:rPr>
              <w:t>Tone dictation reduces administrative friction from 10 min to 1 min; gym schedule email worked example</w:t>
            </w:r>
          </w:p>
        </w:tc>
      </w:tr>
      <w:tr>
        <w:tc>
          <w:tcPr>
            <w:tcW w:type="dxa" w:w="576"/>
          </w:tcPr>
          <w:p>
            <w:r>
              <w:rPr>
                <w:rFonts w:ascii="Calibri" w:hAnsi="Calibri"/>
                <w:b w:val="0"/>
                <w:i w:val="0"/>
                <w:sz w:val="20"/>
              </w:rPr>
              <w:t>9</w:t>
            </w:r>
          </w:p>
        </w:tc>
        <w:tc>
          <w:tcPr>
            <w:tcW w:type="dxa" w:w="2448"/>
          </w:tcPr>
          <w:p>
            <w:r>
              <w:rPr>
                <w:rFonts w:ascii="Calibri" w:hAnsi="Calibri"/>
                <w:b w:val="0"/>
                <w:i w:val="0"/>
                <w:sz w:val="20"/>
              </w:rPr>
              <w:t>Safe Data Analysis</w:t>
            </w:r>
          </w:p>
        </w:tc>
        <w:tc>
          <w:tcPr>
            <w:tcW w:type="dxa" w:w="5616"/>
          </w:tcPr>
          <w:p>
            <w:r>
              <w:rPr>
                <w:rFonts w:ascii="Calibri" w:hAnsi="Calibri"/>
                <w:b w:val="0"/>
                <w:i w:val="0"/>
                <w:sz w:val="20"/>
              </w:rPr>
              <w:t>Data hygiene rule: no sensitive data in public LLMs; two-prompt sequence for spreadsheet insight extraction; store sales correlation example</w:t>
            </w:r>
          </w:p>
        </w:tc>
      </w:tr>
      <w:tr>
        <w:tc>
          <w:tcPr>
            <w:tcW w:type="dxa" w:w="576"/>
          </w:tcPr>
          <w:p>
            <w:r>
              <w:rPr>
                <w:rFonts w:ascii="Calibri" w:hAnsi="Calibri"/>
                <w:b w:val="0"/>
                <w:i w:val="0"/>
                <w:sz w:val="20"/>
              </w:rPr>
              <w:t>10</w:t>
            </w:r>
          </w:p>
        </w:tc>
        <w:tc>
          <w:tcPr>
            <w:tcW w:type="dxa" w:w="2448"/>
          </w:tcPr>
          <w:p>
            <w:r>
              <w:rPr>
                <w:rFonts w:ascii="Calibri" w:hAnsi="Calibri"/>
                <w:b w:val="0"/>
                <w:i w:val="0"/>
                <w:sz w:val="20"/>
              </w:rPr>
              <w:t>Prompt Chaining</w:t>
            </w:r>
          </w:p>
        </w:tc>
        <w:tc>
          <w:tcPr>
            <w:tcW w:type="dxa" w:w="5616"/>
          </w:tcPr>
          <w:p>
            <w:r>
              <w:rPr>
                <w:rFonts w:ascii="Calibri" w:hAnsi="Calibri"/>
                <w:b w:val="0"/>
                <w:i w:val="0"/>
                <w:sz w:val="20"/>
              </w:rPr>
              <w:t>Sequential prompting across three phases — Foundation, Synthesis, Execution; manuscript tagline and book tour example</w:t>
            </w:r>
          </w:p>
        </w:tc>
      </w:tr>
      <w:tr>
        <w:tc>
          <w:tcPr>
            <w:tcW w:type="dxa" w:w="576"/>
          </w:tcPr>
          <w:p>
            <w:r>
              <w:rPr>
                <w:rFonts w:ascii="Calibri" w:hAnsi="Calibri"/>
                <w:b w:val="0"/>
                <w:i w:val="0"/>
                <w:sz w:val="20"/>
              </w:rPr>
              <w:t>11</w:t>
            </w:r>
          </w:p>
        </w:tc>
        <w:tc>
          <w:tcPr>
            <w:tcW w:type="dxa" w:w="2448"/>
          </w:tcPr>
          <w:p>
            <w:r>
              <w:rPr>
                <w:rFonts w:ascii="Calibri" w:hAnsi="Calibri"/>
                <w:b w:val="0"/>
                <w:i w:val="0"/>
                <w:sz w:val="20"/>
              </w:rPr>
              <w:t>Advanced Reasoning Systems</w:t>
            </w:r>
          </w:p>
        </w:tc>
        <w:tc>
          <w:tcPr>
            <w:tcW w:type="dxa" w:w="5616"/>
          </w:tcPr>
          <w:p>
            <w:r>
              <w:rPr>
                <w:rFonts w:ascii="Calibri" w:hAnsi="Calibri"/>
                <w:b w:val="0"/>
                <w:i w:val="0"/>
                <w:sz w:val="20"/>
              </w:rPr>
              <w:t>Chain of Thought (linear, step-by-step, ideal for logic/math) vs. Tree of Thought (branching, parallel, ideal for creative/complex problems)</w:t>
            </w:r>
          </w:p>
        </w:tc>
      </w:tr>
      <w:tr>
        <w:tc>
          <w:tcPr>
            <w:tcW w:type="dxa" w:w="576"/>
          </w:tcPr>
          <w:p>
            <w:r>
              <w:rPr>
                <w:rFonts w:ascii="Calibri" w:hAnsi="Calibri"/>
                <w:b w:val="0"/>
                <w:i w:val="0"/>
                <w:sz w:val="20"/>
              </w:rPr>
              <w:t>12</w:t>
            </w:r>
          </w:p>
        </w:tc>
        <w:tc>
          <w:tcPr>
            <w:tcW w:type="dxa" w:w="2448"/>
          </w:tcPr>
          <w:p>
            <w:r>
              <w:rPr>
                <w:rFonts w:ascii="Calibri" w:hAnsi="Calibri"/>
                <w:b w:val="0"/>
                <w:i w:val="0"/>
                <w:sz w:val="20"/>
              </w:rPr>
              <w:t>Executing Tree of Thought</w:t>
            </w:r>
          </w:p>
        </w:tc>
        <w:tc>
          <w:tcPr>
            <w:tcW w:type="dxa" w:w="5616"/>
          </w:tcPr>
          <w:p>
            <w:r>
              <w:rPr>
                <w:rFonts w:ascii="Calibri" w:hAnsi="Calibri"/>
                <w:b w:val="0"/>
                <w:i w:val="0"/>
                <w:sz w:val="20"/>
              </w:rPr>
              <w:t>Multi-expert simulation with elimination rule; art supplies landing page worked example with three parallel designer perspectives</w:t>
            </w:r>
          </w:p>
        </w:tc>
      </w:tr>
      <w:tr>
        <w:tc>
          <w:tcPr>
            <w:tcW w:type="dxa" w:w="576"/>
          </w:tcPr>
          <w:p>
            <w:r>
              <w:rPr>
                <w:rFonts w:ascii="Calibri" w:hAnsi="Calibri"/>
                <w:b w:val="0"/>
                <w:i w:val="0"/>
                <w:sz w:val="20"/>
              </w:rPr>
              <w:t>13</w:t>
            </w:r>
          </w:p>
        </w:tc>
        <w:tc>
          <w:tcPr>
            <w:tcW w:type="dxa" w:w="2448"/>
          </w:tcPr>
          <w:p>
            <w:r>
              <w:rPr>
                <w:rFonts w:ascii="Calibri" w:hAnsi="Calibri"/>
                <w:b w:val="0"/>
                <w:i w:val="0"/>
                <w:sz w:val="20"/>
              </w:rPr>
              <w:t>Meta Prompting</w:t>
            </w:r>
          </w:p>
        </w:tc>
        <w:tc>
          <w:tcPr>
            <w:tcW w:type="dxa" w:w="5616"/>
          </w:tcPr>
          <w:p>
            <w:r>
              <w:rPr>
                <w:rFonts w:ascii="Calibri" w:hAnsi="Calibri"/>
                <w:b w:val="0"/>
                <w:i w:val="0"/>
                <w:sz w:val="20"/>
              </w:rPr>
              <w:t>AI interviews the user to architect its own prompt; tactic: 'Ask me questions one by one to write the perfect prompt for me'</w:t>
            </w:r>
          </w:p>
        </w:tc>
      </w:tr>
      <w:tr>
        <w:tc>
          <w:tcPr>
            <w:tcW w:type="dxa" w:w="576"/>
          </w:tcPr>
          <w:p>
            <w:r>
              <w:rPr>
                <w:rFonts w:ascii="Calibri" w:hAnsi="Calibri"/>
                <w:b w:val="0"/>
                <w:i w:val="0"/>
                <w:sz w:val="20"/>
              </w:rPr>
              <w:t>14</w:t>
            </w:r>
          </w:p>
        </w:tc>
        <w:tc>
          <w:tcPr>
            <w:tcW w:type="dxa" w:w="2448"/>
          </w:tcPr>
          <w:p>
            <w:r>
              <w:rPr>
                <w:rFonts w:ascii="Calibri" w:hAnsi="Calibri"/>
                <w:b w:val="0"/>
                <w:i w:val="0"/>
                <w:sz w:val="20"/>
              </w:rPr>
              <w:t>AI Agents: Simulation vs. Expert</w:t>
            </w:r>
          </w:p>
        </w:tc>
        <w:tc>
          <w:tcPr>
            <w:tcW w:type="dxa" w:w="5616"/>
          </w:tcPr>
          <w:p>
            <w:r>
              <w:rPr>
                <w:rFonts w:ascii="Calibri" w:hAnsi="Calibri"/>
                <w:b w:val="0"/>
                <w:i w:val="0"/>
                <w:sz w:val="20"/>
              </w:rPr>
              <w:t>Agent Sim for immersive roleplay practice; Agent X for personalized expert critique; HR interview and advertising pitch examples</w:t>
            </w:r>
          </w:p>
        </w:tc>
      </w:tr>
      <w:tr>
        <w:tc>
          <w:tcPr>
            <w:tcW w:type="dxa" w:w="576"/>
          </w:tcPr>
          <w:p>
            <w:r>
              <w:rPr>
                <w:rFonts w:ascii="Calibri" w:hAnsi="Calibri"/>
                <w:b w:val="0"/>
                <w:i w:val="0"/>
                <w:sz w:val="20"/>
              </w:rPr>
              <w:t>15</w:t>
            </w:r>
          </w:p>
        </w:tc>
        <w:tc>
          <w:tcPr>
            <w:tcW w:type="dxa" w:w="2448"/>
          </w:tcPr>
          <w:p>
            <w:r>
              <w:rPr>
                <w:rFonts w:ascii="Calibri" w:hAnsi="Calibri"/>
                <w:b w:val="0"/>
                <w:i w:val="0"/>
                <w:sz w:val="20"/>
              </w:rPr>
              <w:t>Designing Custom AI Agents</w:t>
            </w:r>
          </w:p>
        </w:tc>
        <w:tc>
          <w:tcPr>
            <w:tcW w:type="dxa" w:w="5616"/>
          </w:tcPr>
          <w:p>
            <w:r>
              <w:rPr>
                <w:rFonts w:ascii="Calibri" w:hAnsi="Calibri"/>
                <w:b w:val="0"/>
                <w:i w:val="0"/>
                <w:sz w:val="20"/>
              </w:rPr>
              <w:t>5-layer pyramid: Persona → Context → Interactions/Rules → Stop Phrase → Feedback Tool; fitness trainer agent worked example</w:t>
            </w:r>
          </w:p>
        </w:tc>
      </w:tr>
    </w:tbl>
    <w:p/>
    <w:p>
      <w:pPr>
        <w:spacing w:before="280" w:after="60"/>
      </w:pPr>
      <w:r>
        <w:rPr>
          <w:rFonts w:ascii="Calibri" w:hAnsi="Calibri"/>
          <w:b/>
          <w:i w:val="0"/>
          <w:color w:val="1F4E79"/>
          <w:sz w:val="26"/>
        </w:rPr>
        <w:t>What Worked</w:t>
      </w:r>
    </w:p>
    <w:p>
      <w:pPr>
        <w:pStyle w:val="ListBullet"/>
        <w:spacing w:after="40"/>
        <w:ind w:left="432"/>
      </w:pPr>
      <w:r>
        <w:rPr>
          <w:rFonts w:ascii="Calibri" w:hAnsi="Calibri"/>
          <w:b w:val="0"/>
          <w:i w:val="0"/>
          <w:sz w:val="22"/>
        </w:rPr>
        <w:t>The heading directive ('start the heading with the concept name') produced a visually consistent structure across all 15 slides without any follow-up correction — every content slide opens with 'Concept: [Name]' in the same typographic position.</w:t>
      </w:r>
    </w:p>
    <w:p>
      <w:pPr>
        <w:pStyle w:val="ListBullet"/>
        <w:spacing w:after="40"/>
        <w:ind w:left="432"/>
      </w:pPr>
      <w:r>
        <w:rPr>
          <w:rFonts w:ascii="Calibri" w:hAnsi="Calibri"/>
          <w:b w:val="0"/>
          <w:i w:val="0"/>
          <w:sz w:val="22"/>
        </w:rPr>
        <w:t>The example directive caused NotebookLM to allocate a dedicated callout box per slide for inline prompt demonstrations. Without this instruction, examples are typically folded into body text or omitted in favour of abstract descriptions.</w:t>
      </w:r>
    </w:p>
    <w:p>
      <w:pPr>
        <w:pStyle w:val="ListBullet"/>
        <w:spacing w:after="40"/>
        <w:ind w:left="432"/>
      </w:pPr>
      <w:r>
        <w:rPr>
          <w:rFonts w:ascii="Calibri" w:hAnsi="Calibri"/>
          <w:b w:val="0"/>
          <w:i w:val="0"/>
          <w:sz w:val="22"/>
        </w:rPr>
        <w:t>The counter-check directive preserved the lecture's exact proprietary terminology. Framework names (TCREI), mnemonics ('Ramen Saves Tragic Idiots', 'Tiny Crabs Ride Enormous Iguanas'), and agent type labels (Agent Sim, Agent X) all appeared verbatim from the source — no paraphrase substitution was detected.</w:t>
      </w:r>
    </w:p>
    <w:p>
      <w:pPr>
        <w:pStyle w:val="ListBullet"/>
        <w:spacing w:after="40"/>
        <w:ind w:left="432"/>
      </w:pPr>
      <w:r>
        <w:rPr>
          <w:rFonts w:ascii="Calibri" w:hAnsi="Calibri"/>
          <w:b w:val="0"/>
          <w:i w:val="0"/>
          <w:sz w:val="22"/>
        </w:rPr>
        <w:t>NotebookLM's source-grounding architecture meant the lecture video acted as the sole knowledge base. Content did not drift toward generic internet knowledge about prompting; it stayed within the lecture's own framework and examples.</w:t>
      </w:r>
    </w:p>
    <w:p>
      <w:pPr>
        <w:pStyle w:val="ListBullet"/>
        <w:spacing w:after="40"/>
        <w:ind w:left="432"/>
      </w:pPr>
      <w:r>
        <w:rPr>
          <w:rFonts w:ascii="Calibri" w:hAnsi="Calibri"/>
          <w:b w:val="0"/>
          <w:i w:val="0"/>
          <w:sz w:val="22"/>
        </w:rPr>
        <w:t>The 15-slide output covered the lecture's four structural tiers (Fundamentals, Workflows, Advanced Logic, Autonomous Agents) in the same sequence as the source material.</w:t>
      </w:r>
    </w:p>
    <w:p>
      <w:pPr>
        <w:spacing w:before="280" w:after="60"/>
      </w:pPr>
      <w:r>
        <w:rPr>
          <w:rFonts w:ascii="Calibri" w:hAnsi="Calibri"/>
          <w:b/>
          <w:i w:val="0"/>
          <w:color w:val="1F4E79"/>
          <w:sz w:val="26"/>
        </w:rPr>
        <w:t>What Did Not Work</w:t>
      </w:r>
    </w:p>
    <w:p>
      <w:pPr>
        <w:pStyle w:val="ListBullet"/>
        <w:spacing w:after="40"/>
        <w:ind w:left="432"/>
      </w:pPr>
      <w:r>
        <w:rPr>
          <w:rFonts w:ascii="Calibri" w:hAnsi="Calibri"/>
          <w:b w:val="0"/>
          <w:i w:val="0"/>
          <w:sz w:val="22"/>
        </w:rPr>
        <w:t>No slide count was specified. NotebookLM determined 15 slides autonomously; this may not align with the lecture's actual section count or the presenter's intended emphasis distribution.</w:t>
      </w:r>
    </w:p>
    <w:p>
      <w:pPr>
        <w:pStyle w:val="ListBullet"/>
        <w:spacing w:after="40"/>
        <w:ind w:left="432"/>
      </w:pPr>
      <w:r>
        <w:rPr>
          <w:rFonts w:ascii="Calibri" w:hAnsi="Calibri"/>
          <w:b w:val="0"/>
          <w:i w:val="0"/>
          <w:sz w:val="22"/>
        </w:rPr>
        <w:t>Layout density was inconsistent. Slides 10 (Prompt Chaining) and 12 (Executing Tree of Thought) carry heavier text loads than others. A directive specifying maximum bullet count per slide or separating diagram slides from text slides would have produced more uniform density.</w:t>
      </w:r>
    </w:p>
    <w:p>
      <w:pPr>
        <w:pStyle w:val="ListBullet"/>
        <w:spacing w:after="40"/>
        <w:ind w:left="432"/>
      </w:pPr>
      <w:r>
        <w:rPr>
          <w:rFonts w:ascii="Calibri" w:hAnsi="Calibri"/>
          <w:b w:val="0"/>
          <w:i w:val="0"/>
          <w:sz w:val="22"/>
        </w:rPr>
        <w:t>The 'counter-check' directive is a behavioural instruction, not a technical verification mechanism. NotebookLM cannot compare its generated output against the video frame-by-frame; it relies on transcript ingestion quality. Any transcription error in the source propagates into the slides without detection.</w:t>
      </w:r>
    </w:p>
    <w:p>
      <w:pPr>
        <w:pStyle w:val="ListBullet"/>
        <w:spacing w:after="40"/>
        <w:ind w:left="432"/>
      </w:pPr>
      <w:r>
        <w:rPr>
          <w:rFonts w:ascii="Calibri" w:hAnsi="Calibri"/>
          <w:b w:val="0"/>
          <w:i w:val="0"/>
          <w:sz w:val="22"/>
        </w:rPr>
        <w:t>Visual design was not addressable through the text prompt. Colour scheme, font choices, and graphic element placement are determined by NotebookLM's template engine, not the user's prompt.</w:t>
      </w:r>
    </w:p>
    <w:p>
      <w:pPr>
        <w:spacing w:before="280" w:after="60"/>
      </w:pPr>
      <w:r>
        <w:rPr>
          <w:rFonts w:ascii="Calibri" w:hAnsi="Calibri"/>
          <w:b/>
          <w:i w:val="0"/>
          <w:color w:val="1F4E79"/>
          <w:sz w:val="26"/>
        </w:rPr>
        <w:t>How the Prompt Was Refined</w:t>
      </w:r>
    </w:p>
    <w:p>
      <w:pPr>
        <w:spacing w:after="80"/>
      </w:pPr>
      <w:r>
        <w:rPr>
          <w:rFonts w:ascii="Calibri" w:hAnsi="Calibri"/>
          <w:b w:val="0"/>
          <w:i w:val="0"/>
          <w:sz w:val="22"/>
        </w:rPr>
        <w:t>A single prompt pass produced the final output. No iterative refinement was required because the three directives each addressed a distinct failure mode observed in prior unprompted slide generation attempts:</w:t>
      </w:r>
    </w:p>
    <w:tbl>
      <w:tblPr>
        <w:tblStyle w:val="TableGrid"/>
        <w:tblW w:type="auto" w:w="0"/>
        <w:tblLook w:firstColumn="1" w:firstRow="1" w:lastColumn="0" w:lastRow="0" w:noHBand="0" w:noVBand="1" w:val="04A0"/>
      </w:tblPr>
      <w:tblGrid>
        <w:gridCol w:w="2976"/>
        <w:gridCol w:w="2976"/>
        <w:gridCol w:w="2976"/>
      </w:tblGrid>
      <w:tr>
        <w:tc>
          <w:tcPr>
            <w:tcW w:type="dxa" w:w="2880"/>
            <w:shd w:val="clear" w:color="auto" w:fill="1F4E79"/>
          </w:tcPr>
          <w:p>
            <w:r>
              <w:rPr>
                <w:rFonts w:ascii="Calibri" w:hAnsi="Calibri"/>
                <w:b/>
                <w:i w:val="0"/>
                <w:color w:val="FFFFFF"/>
                <w:sz w:val="20"/>
              </w:rPr>
              <w:t>Failure Mode (Unprompted)</w:t>
            </w:r>
          </w:p>
        </w:tc>
        <w:tc>
          <w:tcPr>
            <w:tcW w:type="dxa" w:w="2880"/>
            <w:shd w:val="clear" w:color="auto" w:fill="1F4E79"/>
          </w:tcPr>
          <w:p>
            <w:r>
              <w:rPr>
                <w:rFonts w:ascii="Calibri" w:hAnsi="Calibri"/>
                <w:b/>
                <w:i w:val="0"/>
                <w:color w:val="FFFFFF"/>
                <w:sz w:val="20"/>
              </w:rPr>
              <w:t>Directive Added</w:t>
            </w:r>
          </w:p>
        </w:tc>
        <w:tc>
          <w:tcPr>
            <w:tcW w:type="dxa" w:w="3024"/>
            <w:shd w:val="clear" w:color="auto" w:fill="1F4E79"/>
          </w:tcPr>
          <w:p>
            <w:r>
              <w:rPr>
                <w:rFonts w:ascii="Calibri" w:hAnsi="Calibri"/>
                <w:b/>
                <w:i w:val="0"/>
                <w:color w:val="FFFFFF"/>
                <w:sz w:val="20"/>
              </w:rPr>
              <w:t>Result</w:t>
            </w:r>
          </w:p>
        </w:tc>
      </w:tr>
      <w:tr>
        <w:tc>
          <w:tcPr>
            <w:tcW w:type="dxa" w:w="2880"/>
          </w:tcPr>
          <w:p>
            <w:r>
              <w:rPr>
                <w:rFonts w:ascii="Calibri" w:hAnsi="Calibri"/>
                <w:b w:val="0"/>
                <w:i w:val="0"/>
                <w:sz w:val="20"/>
              </w:rPr>
              <w:t>Slide headings were generic ('Key Ideas', 'Summary')</w:t>
            </w:r>
          </w:p>
        </w:tc>
        <w:tc>
          <w:tcPr>
            <w:tcW w:type="dxa" w:w="2880"/>
          </w:tcPr>
          <w:p>
            <w:r>
              <w:rPr>
                <w:rFonts w:ascii="Calibri" w:hAnsi="Calibri"/>
                <w:b w:val="0"/>
                <w:i w:val="0"/>
                <w:sz w:val="20"/>
              </w:rPr>
              <w:t>'start the heading with the concept name'</w:t>
            </w:r>
          </w:p>
        </w:tc>
        <w:tc>
          <w:tcPr>
            <w:tcW w:type="dxa" w:w="3024"/>
          </w:tcPr>
          <w:p>
            <w:r>
              <w:rPr>
                <w:rFonts w:ascii="Calibri" w:hAnsi="Calibri"/>
                <w:b w:val="0"/>
                <w:i w:val="0"/>
                <w:sz w:val="20"/>
              </w:rPr>
              <w:t>All headings became concept-specific and consistent</w:t>
            </w:r>
          </w:p>
        </w:tc>
      </w:tr>
      <w:tr>
        <w:tc>
          <w:tcPr>
            <w:tcW w:type="dxa" w:w="2880"/>
          </w:tcPr>
          <w:p>
            <w:r>
              <w:rPr>
                <w:rFonts w:ascii="Calibri" w:hAnsi="Calibri"/>
                <w:b w:val="0"/>
                <w:i w:val="0"/>
                <w:sz w:val="20"/>
              </w:rPr>
              <w:t>Examples from the lecture were omitted or paraphrased into prose</w:t>
            </w:r>
          </w:p>
        </w:tc>
        <w:tc>
          <w:tcPr>
            <w:tcW w:type="dxa" w:w="2880"/>
          </w:tcPr>
          <w:p>
            <w:r>
              <w:rPr>
                <w:rFonts w:ascii="Calibri" w:hAnsi="Calibri"/>
                <w:b w:val="0"/>
                <w:i w:val="0"/>
                <w:sz w:val="20"/>
              </w:rPr>
              <w:t>'furnish the examples in the relevant slide'</w:t>
            </w:r>
          </w:p>
        </w:tc>
        <w:tc>
          <w:tcPr>
            <w:tcW w:type="dxa" w:w="3024"/>
          </w:tcPr>
          <w:p>
            <w:r>
              <w:rPr>
                <w:rFonts w:ascii="Calibri" w:hAnsi="Calibri"/>
                <w:b w:val="0"/>
                <w:i w:val="0"/>
                <w:sz w:val="20"/>
              </w:rPr>
              <w:t>Each slide retained at least one concrete inline example</w:t>
            </w:r>
          </w:p>
        </w:tc>
      </w:tr>
      <w:tr>
        <w:tc>
          <w:tcPr>
            <w:tcW w:type="dxa" w:w="2880"/>
          </w:tcPr>
          <w:p>
            <w:r>
              <w:rPr>
                <w:rFonts w:ascii="Calibri" w:hAnsi="Calibri"/>
                <w:b w:val="0"/>
                <w:i w:val="0"/>
                <w:sz w:val="20"/>
              </w:rPr>
              <w:t>Framework terms were paraphrased with general AI-writing vocabulary</w:t>
            </w:r>
          </w:p>
        </w:tc>
        <w:tc>
          <w:tcPr>
            <w:tcW w:type="dxa" w:w="2880"/>
          </w:tcPr>
          <w:p>
            <w:r>
              <w:rPr>
                <w:rFonts w:ascii="Calibri" w:hAnsi="Calibri"/>
                <w:b w:val="0"/>
                <w:i w:val="0"/>
                <w:sz w:val="20"/>
              </w:rPr>
              <w:t>'counter-check the content you produce from the youtube lecture'</w:t>
            </w:r>
          </w:p>
        </w:tc>
        <w:tc>
          <w:tcPr>
            <w:tcW w:type="dxa" w:w="3024"/>
          </w:tcPr>
          <w:p>
            <w:r>
              <w:rPr>
                <w:rFonts w:ascii="Calibri" w:hAnsi="Calibri"/>
                <w:b w:val="0"/>
                <w:i w:val="0"/>
                <w:sz w:val="20"/>
              </w:rPr>
              <w:t>Proprietary terms and mnemonics preserved verbatim</w:t>
            </w:r>
          </w:p>
        </w:tc>
      </w:tr>
    </w:tbl>
    <w:p/>
    <w:p>
      <w:pPr>
        <w:spacing w:before="280" w:after="60"/>
      </w:pPr>
      <w:r>
        <w:rPr>
          <w:rFonts w:ascii="Calibri" w:hAnsi="Calibri"/>
          <w:b/>
          <w:i w:val="0"/>
          <w:color w:val="1F4E79"/>
          <w:sz w:val="26"/>
        </w:rPr>
        <w:t>AI Tool Used</w:t>
      </w:r>
    </w:p>
    <w:tbl>
      <w:tblPr>
        <w:tblStyle w:val="TableGrid"/>
        <w:tblW w:type="auto" w:w="0"/>
        <w:tblLook w:firstColumn="1" w:firstRow="1" w:lastColumn="0" w:lastRow="0" w:noHBand="0" w:noVBand="1" w:val="04A0"/>
      </w:tblPr>
      <w:tblGrid>
        <w:gridCol w:w="2976"/>
        <w:gridCol w:w="2976"/>
        <w:gridCol w:w="2976"/>
      </w:tblGrid>
      <w:tr>
        <w:tc>
          <w:tcPr>
            <w:tcW w:type="dxa" w:w="2592"/>
            <w:shd w:val="clear" w:color="auto" w:fill="1F4E79"/>
          </w:tcPr>
          <w:p>
            <w:r>
              <w:rPr>
                <w:rFonts w:ascii="Calibri" w:hAnsi="Calibri"/>
                <w:b/>
                <w:i w:val="0"/>
                <w:color w:val="FFFFFF"/>
                <w:sz w:val="20"/>
              </w:rPr>
              <w:t>Tool</w:t>
            </w:r>
          </w:p>
        </w:tc>
        <w:tc>
          <w:tcPr>
            <w:tcW w:type="dxa" w:w="2592"/>
            <w:shd w:val="clear" w:color="auto" w:fill="1F4E79"/>
          </w:tcPr>
          <w:p>
            <w:r>
              <w:rPr>
                <w:rFonts w:ascii="Calibri" w:hAnsi="Calibri"/>
                <w:b/>
                <w:i w:val="0"/>
                <w:color w:val="FFFFFF"/>
                <w:sz w:val="20"/>
              </w:rPr>
              <w:t>Role</w:t>
            </w:r>
          </w:p>
        </w:tc>
        <w:tc>
          <w:tcPr>
            <w:tcW w:type="dxa" w:w="3600"/>
            <w:shd w:val="clear" w:color="auto" w:fill="1F4E79"/>
          </w:tcPr>
          <w:p>
            <w:r>
              <w:rPr>
                <w:rFonts w:ascii="Calibri" w:hAnsi="Calibri"/>
                <w:b/>
                <w:i w:val="0"/>
                <w:color w:val="FFFFFF"/>
                <w:sz w:val="20"/>
              </w:rPr>
              <w:t>Feature Used</w:t>
            </w:r>
          </w:p>
        </w:tc>
      </w:tr>
      <w:tr>
        <w:tc>
          <w:tcPr>
            <w:tcW w:type="dxa" w:w="2592"/>
          </w:tcPr>
          <w:p>
            <w:r>
              <w:rPr>
                <w:rFonts w:ascii="Calibri" w:hAnsi="Calibri"/>
                <w:b w:val="0"/>
                <w:i w:val="0"/>
                <w:sz w:val="20"/>
              </w:rPr>
              <w:t>NotebookLM (Google)</w:t>
            </w:r>
          </w:p>
        </w:tc>
        <w:tc>
          <w:tcPr>
            <w:tcW w:type="dxa" w:w="2592"/>
          </w:tcPr>
          <w:p>
            <w:r>
              <w:rPr>
                <w:rFonts w:ascii="Calibri" w:hAnsi="Calibri"/>
                <w:b w:val="0"/>
                <w:i w:val="0"/>
                <w:sz w:val="20"/>
              </w:rPr>
              <w:t>Primary generation tool</w:t>
            </w:r>
          </w:p>
        </w:tc>
        <w:tc>
          <w:tcPr>
            <w:tcW w:type="dxa" w:w="3600"/>
          </w:tcPr>
          <w:p>
            <w:r>
              <w:rPr>
                <w:rFonts w:ascii="Calibri" w:hAnsi="Calibri"/>
                <w:b w:val="0"/>
                <w:i w:val="0"/>
                <w:sz w:val="20"/>
              </w:rPr>
              <w:t>Slide Deck Creator — generates a presentation from uploaded source material</w:t>
            </w:r>
          </w:p>
        </w:tc>
      </w:tr>
      <w:tr>
        <w:tc>
          <w:tcPr>
            <w:tcW w:type="dxa" w:w="2592"/>
          </w:tcPr>
          <w:p>
            <w:r>
              <w:rPr>
                <w:rFonts w:ascii="Calibri" w:hAnsi="Calibri"/>
                <w:b w:val="0"/>
                <w:i w:val="0"/>
                <w:sz w:val="20"/>
              </w:rPr>
              <w:t>YouTube (source material)</w:t>
            </w:r>
          </w:p>
        </w:tc>
        <w:tc>
          <w:tcPr>
            <w:tcW w:type="dxa" w:w="2592"/>
          </w:tcPr>
          <w:p>
            <w:r>
              <w:rPr>
                <w:rFonts w:ascii="Calibri" w:hAnsi="Calibri"/>
                <w:b w:val="0"/>
                <w:i w:val="0"/>
                <w:sz w:val="20"/>
              </w:rPr>
              <w:t>Lecture source</w:t>
            </w:r>
          </w:p>
        </w:tc>
        <w:tc>
          <w:tcPr>
            <w:tcW w:type="dxa" w:w="3600"/>
          </w:tcPr>
          <w:p>
            <w:r>
              <w:rPr>
                <w:rFonts w:ascii="Calibri" w:hAnsi="Calibri"/>
                <w:b w:val="0"/>
                <w:i w:val="0"/>
                <w:sz w:val="20"/>
              </w:rPr>
              <w:t>Video uploaded as a NotebookLM source; transcript ingested automatically</w:t>
            </w:r>
          </w:p>
        </w:tc>
      </w:tr>
    </w:tbl>
    <w:p/>
    <w:p>
      <w:pPr>
        <w:spacing w:after="80"/>
      </w:pPr>
      <w:r>
        <w:rPr>
          <w:rFonts w:ascii="Calibri" w:hAnsi="Calibri"/>
          <w:b w:val="0"/>
          <w:i w:val="0"/>
          <w:sz w:val="22"/>
        </w:rPr>
        <w:t>NotebookLM was selected over general-purpose LLMs (ChatGPT, Claude, Gemini) because its source-grounding architecture constrains generation to the uploaded material. A general-purpose LLM given the same prompt would draw on its broader training data and risk substituting the lecture's specific frameworks with generic prompting advice present across the internet.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Saddam Hussain</dc:creator>
  <cp:keywords/>
  <dc:description>Saddam Hussain</dc:description>
  <cp:lastModifiedBy/>
  <cp:revision>1</cp:revision>
  <dcterms:created xsi:type="dcterms:W3CDTF">2013-12-23T23:15:00Z</dcterms:created>
  <dcterms:modified xsi:type="dcterms:W3CDTF">2013-12-23T23:15:00Z</dcterms:modified>
  <cp:category/>
</cp:coreProperties>
</file>