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1375A"/>
          <w:sz w:val="40"/>
        </w:rPr>
        <w:t>AI-101 Assignment Report — Lecture 3</w:t>
      </w:r>
    </w:p>
    <w:p>
      <w:pPr>
        <w:jc w:val="center"/>
      </w:pPr>
      <w:r>
        <w:rPr>
          <w:rFonts w:ascii="Calibri" w:hAnsi="Calibri"/>
          <w:b w:val="0"/>
          <w:i w:val="0"/>
          <w:color w:val="646464"/>
          <w:sz w:val="20"/>
        </w:rPr>
        <w:t>Saddam Hussain  ·  saddamchandio@gmail.com  ·  14 June 2026</w:t>
      </w:r>
    </w:p>
    <w:p/>
    <w:p>
      <w:pPr>
        <w:spacing w:before="400" w:after="80"/>
        <w:pBdr>
          <w:bottom w:val="single" w:sz="8" w:space="1" w:color="4472C4"/>
        </w:pBdr>
      </w:pPr>
      <w:r>
        <w:rPr>
          <w:rFonts w:ascii="Calibri" w:hAnsi="Calibri"/>
          <w:b/>
          <w:i w:val="0"/>
          <w:color w:val="11375A"/>
          <w:sz w:val="32"/>
        </w:rPr>
        <w:t>Project — NEPRA Grid Code AI Assistant v2</w:t>
      </w:r>
    </w:p>
    <w:p>
      <w:pPr>
        <w:shd w:val="clear" w:color="auto" w:fill="EEF4FB"/>
        <w:spacing w:after="120"/>
        <w:ind w:left="360" w:right="360"/>
      </w:pPr>
      <w:r>
        <w:rPr>
          <w:rFonts w:ascii="Calibri" w:hAnsi="Calibri"/>
          <w:b w:val="0"/>
          <w:i/>
          <w:color w:val="1F4E79"/>
          <w:sz w:val="20"/>
        </w:rPr>
        <w:t>Live App: https://huggingface.co/spaces/saddamchandio/NEPRA-Grid-Code-AI-Assistantv2  ·  Platform: Hugging Face Spaces  ·  License: MIT  ·  SDK: Streamlit 1.52.0</w:t>
      </w:r>
    </w:p>
    <w:tbl>
      <w:tblPr>
        <w:tblStyle w:val="TableGrid"/>
        <w:tblW w:type="auto" w:w="0"/>
        <w:tblLook w:firstColumn="1" w:firstRow="1" w:lastColumn="0" w:lastRow="0" w:noHBand="0" w:noVBand="1" w:val="04A0"/>
      </w:tblPr>
      <w:tblGrid>
        <w:gridCol w:w="4464"/>
        <w:gridCol w:w="4464"/>
      </w:tblGrid>
      <w:tr>
        <w:tc>
          <w:tcPr>
            <w:tcW w:type="dxa" w:w="2592"/>
            <w:shd w:val="clear" w:color="auto" w:fill="1F4E79"/>
          </w:tcPr>
          <w:p>
            <w:r>
              <w:rPr>
                <w:rFonts w:ascii="Calibri" w:hAnsi="Calibri"/>
                <w:b/>
                <w:i w:val="0"/>
                <w:color w:val="FFFFFF"/>
                <w:sz w:val="20"/>
              </w:rPr>
              <w:t>Field</w:t>
            </w:r>
          </w:p>
        </w:tc>
        <w:tc>
          <w:tcPr>
            <w:tcW w:type="dxa" w:w="6192"/>
            <w:shd w:val="clear" w:color="auto" w:fill="1F4E79"/>
          </w:tcPr>
          <w:p>
            <w:r>
              <w:rPr>
                <w:rFonts w:ascii="Calibri" w:hAnsi="Calibri"/>
                <w:b/>
                <w:i w:val="0"/>
                <w:color w:val="FFFFFF"/>
                <w:sz w:val="20"/>
              </w:rPr>
              <w:t>Detail</w:t>
            </w:r>
          </w:p>
        </w:tc>
      </w:tr>
      <w:tr>
        <w:tc>
          <w:tcPr>
            <w:tcW w:type="dxa" w:w="2592"/>
          </w:tcPr>
          <w:p>
            <w:r>
              <w:rPr>
                <w:rFonts w:ascii="Calibri" w:hAnsi="Calibri"/>
                <w:b w:val="0"/>
                <w:i w:val="0"/>
                <w:sz w:val="20"/>
              </w:rPr>
              <w:t>Project Title</w:t>
            </w:r>
          </w:p>
        </w:tc>
        <w:tc>
          <w:tcPr>
            <w:tcW w:type="dxa" w:w="6192"/>
          </w:tcPr>
          <w:p>
            <w:r>
              <w:rPr>
                <w:rFonts w:ascii="Calibri" w:hAnsi="Calibri"/>
                <w:b w:val="0"/>
                <w:i w:val="0"/>
                <w:sz w:val="20"/>
              </w:rPr>
              <w:t>NEPRA Grid Code AI Assistant v2</w:t>
            </w:r>
          </w:p>
        </w:tc>
      </w:tr>
      <w:tr>
        <w:tc>
          <w:tcPr>
            <w:tcW w:type="dxa" w:w="2592"/>
          </w:tcPr>
          <w:p>
            <w:r>
              <w:rPr>
                <w:rFonts w:ascii="Calibri" w:hAnsi="Calibri"/>
                <w:b w:val="0"/>
                <w:i w:val="0"/>
                <w:sz w:val="20"/>
              </w:rPr>
              <w:t>Category</w:t>
            </w:r>
          </w:p>
        </w:tc>
        <w:tc>
          <w:tcPr>
            <w:tcW w:type="dxa" w:w="6192"/>
          </w:tcPr>
          <w:p>
            <w:r>
              <w:rPr>
                <w:rFonts w:ascii="Calibri" w:hAnsi="Calibri"/>
                <w:b w:val="0"/>
                <w:i w:val="0"/>
                <w:sz w:val="20"/>
              </w:rPr>
              <w:t>Professional problem-solving utility — regulatory AI assistant</w:t>
            </w:r>
          </w:p>
        </w:tc>
      </w:tr>
      <w:tr>
        <w:tc>
          <w:tcPr>
            <w:tcW w:type="dxa" w:w="2592"/>
          </w:tcPr>
          <w:p>
            <w:r>
              <w:rPr>
                <w:rFonts w:ascii="Calibri" w:hAnsi="Calibri"/>
                <w:b w:val="0"/>
                <w:i w:val="0"/>
                <w:sz w:val="20"/>
              </w:rPr>
              <w:t>Primary AI Tool</w:t>
            </w:r>
          </w:p>
        </w:tc>
        <w:tc>
          <w:tcPr>
            <w:tcW w:type="dxa" w:w="6192"/>
          </w:tcPr>
          <w:p>
            <w:r>
              <w:rPr>
                <w:rFonts w:ascii="Calibri" w:hAnsi="Calibri"/>
                <w:b w:val="0"/>
                <w:i w:val="0"/>
                <w:sz w:val="20"/>
              </w:rPr>
              <w:t>Claude Code (claude-sonnet-4-6) for development; ChatGroq (openai/gpt-oss-20b) as runtime LLM</w:t>
            </w:r>
          </w:p>
        </w:tc>
      </w:tr>
      <w:tr>
        <w:tc>
          <w:tcPr>
            <w:tcW w:type="dxa" w:w="2592"/>
          </w:tcPr>
          <w:p>
            <w:r>
              <w:rPr>
                <w:rFonts w:ascii="Calibri" w:hAnsi="Calibri"/>
                <w:b w:val="0"/>
                <w:i w:val="0"/>
                <w:sz w:val="20"/>
              </w:rPr>
              <w:t>Supporting Tools</w:t>
            </w:r>
          </w:p>
        </w:tc>
        <w:tc>
          <w:tcPr>
            <w:tcW w:type="dxa" w:w="6192"/>
          </w:tcPr>
          <w:p>
            <w:r>
              <w:rPr>
                <w:rFonts w:ascii="Calibri" w:hAnsi="Calibri"/>
                <w:b w:val="0"/>
                <w:i w:val="0"/>
                <w:sz w:val="20"/>
              </w:rPr>
              <w:t>LangChain 0.2.6, ChromaDB, sentence-transformers (all-MiniLM-L6-v2), Streamlit</w:t>
            </w:r>
          </w:p>
        </w:tc>
      </w:tr>
      <w:tr>
        <w:tc>
          <w:tcPr>
            <w:tcW w:type="dxa" w:w="2592"/>
          </w:tcPr>
          <w:p>
            <w:r>
              <w:rPr>
                <w:rFonts w:ascii="Calibri" w:hAnsi="Calibri"/>
                <w:b w:val="0"/>
                <w:i w:val="0"/>
                <w:sz w:val="20"/>
              </w:rPr>
              <w:t>Deployment</w:t>
            </w:r>
          </w:p>
        </w:tc>
        <w:tc>
          <w:tcPr>
            <w:tcW w:type="dxa" w:w="6192"/>
          </w:tcPr>
          <w:p>
            <w:r>
              <w:rPr>
                <w:rFonts w:ascii="Calibri" w:hAnsi="Calibri"/>
                <w:b w:val="0"/>
                <w:i w:val="0"/>
                <w:sz w:val="20"/>
              </w:rPr>
              <w:t>Hugging Face Spaces (Docker-backed Streamlit)</w:t>
            </w:r>
          </w:p>
        </w:tc>
      </w:tr>
      <w:tr>
        <w:tc>
          <w:tcPr>
            <w:tcW w:type="dxa" w:w="2592"/>
          </w:tcPr>
          <w:p>
            <w:r>
              <w:rPr>
                <w:rFonts w:ascii="Calibri" w:hAnsi="Calibri"/>
                <w:b w:val="0"/>
                <w:i w:val="0"/>
                <w:sz w:val="20"/>
              </w:rPr>
              <w:t>Solves Real Problem</w:t>
            </w:r>
          </w:p>
        </w:tc>
        <w:tc>
          <w:tcPr>
            <w:tcW w:type="dxa" w:w="6192"/>
          </w:tcPr>
          <w:p>
            <w:r>
              <w:rPr>
                <w:rFonts w:ascii="Calibri" w:hAnsi="Calibri"/>
                <w:b w:val="0"/>
                <w:i w:val="0"/>
                <w:sz w:val="20"/>
              </w:rPr>
              <w:t>Yes — eliminates manual search in Pakistan's NEPRA Grid Code 2023 (a 500+ clause regulatory document)</w:t>
            </w:r>
          </w:p>
        </w:tc>
      </w:tr>
    </w:tbl>
    <w:p/>
    <w:p>
      <w:pPr>
        <w:spacing w:before="280" w:after="60"/>
      </w:pPr>
      <w:r>
        <w:rPr>
          <w:rFonts w:ascii="Calibri" w:hAnsi="Calibri"/>
          <w:b/>
          <w:i w:val="0"/>
          <w:color w:val="1F4E79"/>
          <w:sz w:val="26"/>
        </w:rPr>
        <w:t>Purpose &amp; Real-World Problem Statement</w:t>
      </w:r>
    </w:p>
    <w:p>
      <w:pPr>
        <w:spacing w:after="80"/>
      </w:pPr>
      <w:r>
        <w:rPr>
          <w:rFonts w:ascii="Calibri" w:hAnsi="Calibri"/>
          <w:b w:val="0"/>
          <w:i w:val="0"/>
          <w:sz w:val="22"/>
        </w:rPr>
        <w:t>Pakistan's National Electric Power Regulatory Authority (NEPRA) Grid Code 2023 is the primary regulatory instrument governing the operation, connection, and compliance obligations of all entities on the national transmission system. It spans hundreds of clauses across generation, transmission, metering, planning, and dispatch. Engineers and compliance officers at grid entities — including System Operators, Distribution Companies, and Independent Power Producers — must regularly reference specific clauses during planning studies, outage scheduling, protection coordination, and regulatory correspondence.</w:t>
      </w:r>
    </w:p>
    <w:p>
      <w:pPr>
        <w:spacing w:after="80"/>
      </w:pPr>
      <w:r>
        <w:rPr>
          <w:rFonts w:ascii="Calibri" w:hAnsi="Calibri"/>
          <w:b w:val="0"/>
          <w:i w:val="0"/>
          <w:sz w:val="22"/>
        </w:rPr>
        <w:t>Manual search through the document is time-consuming and error-prone: keyword search returns multiple clause fragments without context, and clause cross-references require navigating between sections. The NEPRA Grid Code AI Assistant resolves this by accepting natural-language questions and returning clause-accurate answers with exact page and clause references, grounded exclusively in the source document rather than general internet knowledge.</w:t>
      </w:r>
    </w:p>
    <w:p>
      <w:pPr>
        <w:shd w:val="clear" w:color="auto" w:fill="EEF4FB"/>
        <w:spacing w:after="120"/>
        <w:ind w:left="360" w:right="360"/>
      </w:pPr>
      <w:r>
        <w:rPr>
          <w:rFonts w:ascii="Calibri" w:hAnsi="Calibri"/>
          <w:b w:val="0"/>
          <w:i/>
          <w:color w:val="1F4E79"/>
          <w:sz w:val="20"/>
        </w:rPr>
        <w:t>Additional-points criterion met: the application directly addresses a workplace problem in the power sector by making an existing regulatory process faster and more accurate.</w:t>
      </w:r>
    </w:p>
    <w:p>
      <w:pPr>
        <w:spacing w:before="280" w:after="60"/>
      </w:pPr>
      <w:r>
        <w:rPr>
          <w:rFonts w:ascii="Calibri" w:hAnsi="Calibri"/>
          <w:b/>
          <w:i w:val="0"/>
          <w:color w:val="1F4E79"/>
          <w:sz w:val="26"/>
        </w:rPr>
        <w:t>Technical Architecture</w:t>
      </w:r>
    </w:p>
    <w:p>
      <w:pPr>
        <w:spacing w:after="80"/>
      </w:pPr>
      <w:r>
        <w:rPr>
          <w:rFonts w:ascii="Calibri" w:hAnsi="Calibri"/>
          <w:b w:val="0"/>
          <w:i w:val="0"/>
          <w:sz w:val="22"/>
        </w:rPr>
        <w:t>The application implements a RAG (Retrieval-Augmented Generation) pipeline:</w:t>
      </w:r>
    </w:p>
    <w:tbl>
      <w:tblPr>
        <w:tblStyle w:val="TableGrid"/>
        <w:tblW w:type="auto" w:w="0"/>
        <w:tblLook w:firstColumn="1" w:firstRow="1" w:lastColumn="0" w:lastRow="0" w:noHBand="0" w:noVBand="1" w:val="04A0"/>
      </w:tblPr>
      <w:tblGrid>
        <w:gridCol w:w="2976"/>
        <w:gridCol w:w="2976"/>
        <w:gridCol w:w="2976"/>
      </w:tblGrid>
      <w:tr>
        <w:tc>
          <w:tcPr>
            <w:tcW w:type="dxa" w:w="2160"/>
            <w:shd w:val="clear" w:color="auto" w:fill="1F4E79"/>
          </w:tcPr>
          <w:p>
            <w:r>
              <w:rPr>
                <w:rFonts w:ascii="Calibri" w:hAnsi="Calibri"/>
                <w:b/>
                <w:i w:val="0"/>
                <w:color w:val="FFFFFF"/>
                <w:sz w:val="20"/>
              </w:rPr>
              <w:t>Layer</w:t>
            </w:r>
          </w:p>
        </w:tc>
        <w:tc>
          <w:tcPr>
            <w:tcW w:type="dxa" w:w="2736"/>
            <w:shd w:val="clear" w:color="auto" w:fill="1F4E79"/>
          </w:tcPr>
          <w:p>
            <w:r>
              <w:rPr>
                <w:rFonts w:ascii="Calibri" w:hAnsi="Calibri"/>
                <w:b/>
                <w:i w:val="0"/>
                <w:color w:val="FFFFFF"/>
                <w:sz w:val="20"/>
              </w:rPr>
              <w:t>Component</w:t>
            </w:r>
          </w:p>
        </w:tc>
        <w:tc>
          <w:tcPr>
            <w:tcW w:type="dxa" w:w="3888"/>
            <w:shd w:val="clear" w:color="auto" w:fill="1F4E79"/>
          </w:tcPr>
          <w:p>
            <w:r>
              <w:rPr>
                <w:rFonts w:ascii="Calibri" w:hAnsi="Calibri"/>
                <w:b/>
                <w:i w:val="0"/>
                <w:color w:val="FFFFFF"/>
                <w:sz w:val="20"/>
              </w:rPr>
              <w:t>Detail</w:t>
            </w:r>
          </w:p>
        </w:tc>
      </w:tr>
      <w:tr>
        <w:tc>
          <w:tcPr>
            <w:tcW w:type="dxa" w:w="2160"/>
          </w:tcPr>
          <w:p>
            <w:r>
              <w:rPr>
                <w:rFonts w:ascii="Calibri" w:hAnsi="Calibri"/>
                <w:b w:val="0"/>
                <w:i w:val="0"/>
                <w:sz w:val="20"/>
              </w:rPr>
              <w:t>Document Ingestion</w:t>
            </w:r>
          </w:p>
        </w:tc>
        <w:tc>
          <w:tcPr>
            <w:tcW w:type="dxa" w:w="2736"/>
          </w:tcPr>
          <w:p>
            <w:r>
              <w:rPr>
                <w:rFonts w:ascii="Calibri" w:hAnsi="Calibri"/>
                <w:b w:val="0"/>
                <w:i w:val="0"/>
                <w:sz w:val="20"/>
              </w:rPr>
              <w:t>NEPRA Grid Code 2023 PDF</w:t>
            </w:r>
          </w:p>
        </w:tc>
        <w:tc>
          <w:tcPr>
            <w:tcW w:type="dxa" w:w="3888"/>
          </w:tcPr>
          <w:p>
            <w:r>
              <w:rPr>
                <w:rFonts w:ascii="Calibri" w:hAnsi="Calibri"/>
                <w:b w:val="0"/>
                <w:i w:val="0"/>
                <w:sz w:val="20"/>
              </w:rPr>
              <w:t>Chunked and embedded at build time</w:t>
            </w:r>
          </w:p>
        </w:tc>
      </w:tr>
      <w:tr>
        <w:tc>
          <w:tcPr>
            <w:tcW w:type="dxa" w:w="2160"/>
          </w:tcPr>
          <w:p>
            <w:r>
              <w:rPr>
                <w:rFonts w:ascii="Calibri" w:hAnsi="Calibri"/>
                <w:b w:val="0"/>
                <w:i w:val="0"/>
                <w:sz w:val="20"/>
              </w:rPr>
              <w:t>Embedding Model</w:t>
            </w:r>
          </w:p>
        </w:tc>
        <w:tc>
          <w:tcPr>
            <w:tcW w:type="dxa" w:w="2736"/>
          </w:tcPr>
          <w:p>
            <w:r>
              <w:rPr>
                <w:rFonts w:ascii="Calibri" w:hAnsi="Calibri"/>
                <w:b w:val="0"/>
                <w:i w:val="0"/>
                <w:sz w:val="20"/>
              </w:rPr>
              <w:t>all-MiniLM-L6-v2</w:t>
            </w:r>
          </w:p>
        </w:tc>
        <w:tc>
          <w:tcPr>
            <w:tcW w:type="dxa" w:w="3888"/>
          </w:tcPr>
          <w:p>
            <w:r>
              <w:rPr>
                <w:rFonts w:ascii="Calibri" w:hAnsi="Calibri"/>
                <w:b w:val="0"/>
                <w:i w:val="0"/>
                <w:sz w:val="20"/>
              </w:rPr>
              <w:t>sentence-transformers via langchain-huggingface; 384-dimensional vectors</w:t>
            </w:r>
          </w:p>
        </w:tc>
      </w:tr>
      <w:tr>
        <w:tc>
          <w:tcPr>
            <w:tcW w:type="dxa" w:w="2160"/>
          </w:tcPr>
          <w:p>
            <w:r>
              <w:rPr>
                <w:rFonts w:ascii="Calibri" w:hAnsi="Calibri"/>
                <w:b w:val="0"/>
                <w:i w:val="0"/>
                <w:sz w:val="20"/>
              </w:rPr>
              <w:t>Vector Store</w:t>
            </w:r>
          </w:p>
        </w:tc>
        <w:tc>
          <w:tcPr>
            <w:tcW w:type="dxa" w:w="2736"/>
          </w:tcPr>
          <w:p>
            <w:r>
              <w:rPr>
                <w:rFonts w:ascii="Calibri" w:hAnsi="Calibri"/>
                <w:b w:val="0"/>
                <w:i w:val="0"/>
                <w:sz w:val="20"/>
              </w:rPr>
              <w:t>ChromaDB</w:t>
            </w:r>
          </w:p>
        </w:tc>
        <w:tc>
          <w:tcPr>
            <w:tcW w:type="dxa" w:w="3888"/>
          </w:tcPr>
          <w:p>
            <w:r>
              <w:rPr>
                <w:rFonts w:ascii="Calibri" w:hAnsi="Calibri"/>
                <w:b w:val="0"/>
                <w:i w:val="0"/>
                <w:sz w:val="20"/>
              </w:rPr>
              <w:t>Persistent local store; top-5 nearest-neighbour retrieval per query</w:t>
            </w:r>
          </w:p>
        </w:tc>
      </w:tr>
      <w:tr>
        <w:tc>
          <w:tcPr>
            <w:tcW w:type="dxa" w:w="2160"/>
          </w:tcPr>
          <w:p>
            <w:r>
              <w:rPr>
                <w:rFonts w:ascii="Calibri" w:hAnsi="Calibri"/>
                <w:b w:val="0"/>
                <w:i w:val="0"/>
                <w:sz w:val="20"/>
              </w:rPr>
              <w:t>History Retriever</w:t>
            </w:r>
          </w:p>
        </w:tc>
        <w:tc>
          <w:tcPr>
            <w:tcW w:type="dxa" w:w="2736"/>
          </w:tcPr>
          <w:p>
            <w:r>
              <w:rPr>
                <w:rFonts w:ascii="Calibri" w:hAnsi="Calibri"/>
                <w:b w:val="0"/>
                <w:i w:val="0"/>
                <w:sz w:val="20"/>
              </w:rPr>
              <w:t>LangChain HistoryAwareRetriever</w:t>
            </w:r>
          </w:p>
        </w:tc>
        <w:tc>
          <w:tcPr>
            <w:tcW w:type="dxa" w:w="3888"/>
          </w:tcPr>
          <w:p>
            <w:r>
              <w:rPr>
                <w:rFonts w:ascii="Calibri" w:hAnsi="Calibri"/>
                <w:b w:val="0"/>
                <w:i w:val="0"/>
                <w:sz w:val="20"/>
              </w:rPr>
              <w:t>Reformulates follow-up questions using prior chat turns before retrieval</w:t>
            </w:r>
          </w:p>
        </w:tc>
      </w:tr>
      <w:tr>
        <w:tc>
          <w:tcPr>
            <w:tcW w:type="dxa" w:w="2160"/>
          </w:tcPr>
          <w:p>
            <w:r>
              <w:rPr>
                <w:rFonts w:ascii="Calibri" w:hAnsi="Calibri"/>
                <w:b w:val="0"/>
                <w:i w:val="0"/>
                <w:sz w:val="20"/>
              </w:rPr>
              <w:t>Language Model</w:t>
            </w:r>
          </w:p>
        </w:tc>
        <w:tc>
          <w:tcPr>
            <w:tcW w:type="dxa" w:w="2736"/>
          </w:tcPr>
          <w:p>
            <w:r>
              <w:rPr>
                <w:rFonts w:ascii="Calibri" w:hAnsi="Calibri"/>
                <w:b w:val="0"/>
                <w:i w:val="0"/>
                <w:sz w:val="20"/>
              </w:rPr>
              <w:t>ChatGroq / openai/gpt-oss-20b</w:t>
            </w:r>
          </w:p>
        </w:tc>
        <w:tc>
          <w:tcPr>
            <w:tcW w:type="dxa" w:w="3888"/>
          </w:tcPr>
          <w:p>
            <w:r>
              <w:rPr>
                <w:rFonts w:ascii="Calibri" w:hAnsi="Calibri"/>
                <w:b w:val="0"/>
                <w:i w:val="0"/>
                <w:sz w:val="20"/>
              </w:rPr>
              <w:t>Groq API; user supplies API key at runtime</w:t>
            </w:r>
          </w:p>
        </w:tc>
      </w:tr>
      <w:tr>
        <w:tc>
          <w:tcPr>
            <w:tcW w:type="dxa" w:w="2160"/>
          </w:tcPr>
          <w:p>
            <w:r>
              <w:rPr>
                <w:rFonts w:ascii="Calibri" w:hAnsi="Calibri"/>
                <w:b w:val="0"/>
                <w:i w:val="0"/>
                <w:sz w:val="20"/>
              </w:rPr>
              <w:t>Chain</w:t>
            </w:r>
          </w:p>
        </w:tc>
        <w:tc>
          <w:tcPr>
            <w:tcW w:type="dxa" w:w="2736"/>
          </w:tcPr>
          <w:p>
            <w:r>
              <w:rPr>
                <w:rFonts w:ascii="Calibri" w:hAnsi="Calibri"/>
                <w:b w:val="0"/>
                <w:i w:val="0"/>
                <w:sz w:val="20"/>
              </w:rPr>
              <w:t>LangChain RetrievalQA chain</w:t>
            </w:r>
          </w:p>
        </w:tc>
        <w:tc>
          <w:tcPr>
            <w:tcW w:type="dxa" w:w="3888"/>
          </w:tcPr>
          <w:p>
            <w:r>
              <w:rPr>
                <w:rFonts w:ascii="Calibri" w:hAnsi="Calibri"/>
                <w:b w:val="0"/>
                <w:i w:val="0"/>
                <w:sz w:val="20"/>
              </w:rPr>
              <w:t>Retrieved chunks + reformulated question fed to LLM with source-citation instruction</w:t>
            </w:r>
          </w:p>
        </w:tc>
      </w:tr>
      <w:tr>
        <w:tc>
          <w:tcPr>
            <w:tcW w:type="dxa" w:w="2160"/>
          </w:tcPr>
          <w:p>
            <w:r>
              <w:rPr>
                <w:rFonts w:ascii="Calibri" w:hAnsi="Calibri"/>
                <w:b w:val="0"/>
                <w:i w:val="0"/>
                <w:sz w:val="20"/>
              </w:rPr>
              <w:t>Frontend</w:t>
            </w:r>
          </w:p>
        </w:tc>
        <w:tc>
          <w:tcPr>
            <w:tcW w:type="dxa" w:w="2736"/>
          </w:tcPr>
          <w:p>
            <w:r>
              <w:rPr>
                <w:rFonts w:ascii="Calibri" w:hAnsi="Calibri"/>
                <w:b w:val="0"/>
                <w:i w:val="0"/>
                <w:sz w:val="20"/>
              </w:rPr>
              <w:t>Streamlit</w:t>
            </w:r>
          </w:p>
        </w:tc>
        <w:tc>
          <w:tcPr>
            <w:tcW w:type="dxa" w:w="3888"/>
          </w:tcPr>
          <w:p>
            <w:r>
              <w:rPr>
                <w:rFonts w:ascii="Calibri" w:hAnsi="Calibri"/>
                <w:b w:val="0"/>
                <w:i w:val="0"/>
                <w:sz w:val="20"/>
              </w:rPr>
              <w:t>st.chat_message / st.chat_input; session_state for conversation history</w:t>
            </w:r>
          </w:p>
        </w:tc>
      </w:tr>
      <w:tr>
        <w:tc>
          <w:tcPr>
            <w:tcW w:type="dxa" w:w="2160"/>
          </w:tcPr>
          <w:p>
            <w:r>
              <w:rPr>
                <w:rFonts w:ascii="Calibri" w:hAnsi="Calibri"/>
                <w:b w:val="0"/>
                <w:i w:val="0"/>
                <w:sz w:val="20"/>
              </w:rPr>
              <w:t>Deployment</w:t>
            </w:r>
          </w:p>
        </w:tc>
        <w:tc>
          <w:tcPr>
            <w:tcW w:type="dxa" w:w="2736"/>
          </w:tcPr>
          <w:p>
            <w:r>
              <w:rPr>
                <w:rFonts w:ascii="Calibri" w:hAnsi="Calibri"/>
                <w:b w:val="0"/>
                <w:i w:val="0"/>
                <w:sz w:val="20"/>
              </w:rPr>
              <w:t>Hugging Face Spaces</w:t>
            </w:r>
          </w:p>
        </w:tc>
        <w:tc>
          <w:tcPr>
            <w:tcW w:type="dxa" w:w="3888"/>
          </w:tcPr>
          <w:p>
            <w:r>
              <w:rPr>
                <w:rFonts w:ascii="Calibri" w:hAnsi="Calibri"/>
                <w:b w:val="0"/>
                <w:i w:val="0"/>
                <w:sz w:val="20"/>
              </w:rPr>
              <w:t>Docker-backed; pysqlite3-binary for ChromaDB compatibility in container</w:t>
            </w:r>
          </w:p>
        </w:tc>
      </w:tr>
    </w:tbl>
    <w:p/>
    <w:p>
      <w:pPr>
        <w:spacing w:before="280" w:after="60"/>
      </w:pPr>
      <w:r>
        <w:rPr>
          <w:rFonts w:ascii="Calibri" w:hAnsi="Calibri"/>
          <w:b/>
          <w:i w:val="0"/>
          <w:color w:val="1F4E79"/>
          <w:sz w:val="26"/>
        </w:rPr>
        <w:t>Development Process &amp; Prompt Iterations</w:t>
      </w:r>
    </w:p>
    <w:p>
      <w:pPr>
        <w:spacing w:before="160" w:after="40"/>
      </w:pPr>
      <w:r>
        <w:rPr>
          <w:rFonts w:ascii="Calibri" w:hAnsi="Calibri"/>
          <w:b/>
          <w:i w:val="0"/>
          <w:color w:val="000000"/>
          <w:sz w:val="22"/>
        </w:rPr>
        <w:t>Iteration 1 — Initial Concept Prompt</w:t>
      </w:r>
    </w:p>
    <w:p>
      <w:pPr>
        <w:shd w:val="clear" w:color="auto" w:fill="EEF4FB"/>
        <w:spacing w:after="120"/>
        <w:ind w:left="360" w:right="360"/>
      </w:pPr>
      <w:r>
        <w:rPr>
          <w:rFonts w:ascii="Calibri" w:hAnsi="Calibri"/>
          <w:b w:val="0"/>
          <w:i/>
          <w:color w:val="1F4E79"/>
          <w:sz w:val="20"/>
        </w:rPr>
        <w:t>"Build a Streamlit chatbot that can answer questions about the NEPRA Grid Code 2023 PDF. The user uploads the PDF, the app reads it, and answers questions from its content. Use Python and make it simple."</w:t>
      </w:r>
    </w:p>
    <w:p>
      <w:pPr>
        <w:spacing w:after="80"/>
      </w:pPr>
      <w:r>
        <w:rPr>
          <w:rFonts w:ascii="Calibri" w:hAnsi="Calibri"/>
          <w:b w:val="0"/>
          <w:i w:val="0"/>
          <w:sz w:val="22"/>
        </w:rPr>
        <w:t>The first version loaded the PDF with PyPDF2 and passed the full extracted text as context to the LLM in every message. This worked for short queries but hit token limits immediately on the large Grid Code document. Answers were generic and lacked clause references. Response latency was high due to the large context window passed on every turn.</w:t>
      </w:r>
    </w:p>
    <w:p>
      <w:pPr>
        <w:spacing w:before="160" w:after="40"/>
      </w:pPr>
      <w:r>
        <w:rPr>
          <w:rFonts w:ascii="Calibri" w:hAnsi="Calibri"/>
          <w:b/>
          <w:i w:val="0"/>
          <w:color w:val="000000"/>
          <w:sz w:val="22"/>
        </w:rPr>
        <w:t>Iteration 2 — RAG Architecture</w:t>
      </w:r>
    </w:p>
    <w:p>
      <w:pPr>
        <w:shd w:val="clear" w:color="auto" w:fill="EEF4FB"/>
        <w:spacing w:after="120"/>
        <w:ind w:left="360" w:right="360"/>
      </w:pPr>
      <w:r>
        <w:rPr>
          <w:rFonts w:ascii="Calibri" w:hAnsi="Calibri"/>
          <w:b w:val="0"/>
          <w:i/>
          <w:color w:val="1F4E79"/>
          <w:sz w:val="20"/>
        </w:rPr>
        <w:t>"Rewrite the app using a RAG pipeline. Use ChromaDB as the vector store and sentence-transformers (all-MiniLM-L6-v2) to embed chunks of the PDF. At query time, retrieve only the 5 most relevant chunks and pass those to the LLM. Replace PyPDF2 with LangChain document loaders. The vector store should be built once and persisted to disk."</w:t>
      </w:r>
    </w:p>
    <w:p>
      <w:pPr>
        <w:spacing w:after="80"/>
      </w:pPr>
      <w:r>
        <w:rPr>
          <w:rFonts w:ascii="Calibri" w:hAnsi="Calibri"/>
          <w:b w:val="0"/>
          <w:i w:val="0"/>
          <w:sz w:val="22"/>
        </w:rPr>
        <w:t>ChromaDB replaced full-document injection. The Grid Code was chunked (500 tokens, 50-token overlap), embedded, and stored persistently. Query latency dropped from ~12 seconds to under 3 seconds. Answer relevance improved substantially because only topically matched chunks reached the LLM. The vector store build step was separated from the query step so the embedding cost was paid once at deployment, not per query.</w:t>
      </w:r>
    </w:p>
    <w:p>
      <w:pPr>
        <w:spacing w:before="160" w:after="40"/>
      </w:pPr>
      <w:r>
        <w:rPr>
          <w:rFonts w:ascii="Calibri" w:hAnsi="Calibri"/>
          <w:b/>
          <w:i w:val="0"/>
          <w:color w:val="000000"/>
          <w:sz w:val="22"/>
        </w:rPr>
        <w:t>Iteration 3 — Source Attribution</w:t>
      </w:r>
    </w:p>
    <w:p>
      <w:pPr>
        <w:shd w:val="clear" w:color="auto" w:fill="EEF4FB"/>
        <w:spacing w:after="120"/>
        <w:ind w:left="360" w:right="360"/>
      </w:pPr>
      <w:r>
        <w:rPr>
          <w:rFonts w:ascii="Calibri" w:hAnsi="Calibri"/>
          <w:b w:val="0"/>
          <w:i/>
          <w:color w:val="1F4E79"/>
          <w:sz w:val="20"/>
        </w:rPr>
        <w:t>"Add source citation to every answer. The LLM must identify and display the clause number and page number from which each answer is drawn. Add this as a system instruction: "Always cite the exact clause number and page number from the NEPRA Grid Code 2023 for every statement you make. If the answer is not in the retrieved documents, state that explicitly rather than guessing.""</w:t>
      </w:r>
    </w:p>
    <w:p>
      <w:pPr>
        <w:spacing w:after="80"/>
      </w:pPr>
      <w:r>
        <w:rPr>
          <w:rFonts w:ascii="Calibri" w:hAnsi="Calibri"/>
          <w:b w:val="0"/>
          <w:i w:val="0"/>
          <w:sz w:val="22"/>
        </w:rPr>
        <w:t>Source attribution was implemented via a system prompt instruction combined with LangChain's return_source_documents=True flag on the retrieval chain. Each response now appended a 'Sources' block listing the retrieved chunk metadata (page number, section). The 'do not guess' constraint reduced hallucination: on clauses not in the retrieved chunks, the model correctly replied 'This specific requirement is not addressed in the retrieved sections of the Grid Code.'</w:t>
      </w:r>
    </w:p>
    <w:p>
      <w:pPr>
        <w:spacing w:before="160" w:after="40"/>
      </w:pPr>
      <w:r>
        <w:rPr>
          <w:rFonts w:ascii="Calibri" w:hAnsi="Calibri"/>
          <w:b/>
          <w:i w:val="0"/>
          <w:color w:val="000000"/>
          <w:sz w:val="22"/>
        </w:rPr>
        <w:t>Iteration 4 — Conversation History &amp; Follow-Up Handling</w:t>
      </w:r>
    </w:p>
    <w:p>
      <w:pPr>
        <w:shd w:val="clear" w:color="auto" w:fill="EEF4FB"/>
        <w:spacing w:after="120"/>
        <w:ind w:left="360" w:right="360"/>
      </w:pPr>
      <w:r>
        <w:rPr>
          <w:rFonts w:ascii="Calibri" w:hAnsi="Calibri"/>
          <w:b w:val="0"/>
          <w:i/>
          <w:color w:val="1F4E79"/>
          <w:sz w:val="20"/>
        </w:rPr>
        <w:t>"The app currently treats every question as independent. Add conversation memory so that follow-up questions like "What are the exceptions to that?" work correctly. Use LangChain HistoryAwareRetriever to reformulate the follow-up question using the prior chat context before running vector search."</w:t>
      </w:r>
    </w:p>
    <w:p>
      <w:pPr>
        <w:spacing w:after="80"/>
      </w:pPr>
      <w:r>
        <w:rPr>
          <w:rFonts w:ascii="Calibri" w:hAnsi="Calibri"/>
          <w:b w:val="0"/>
          <w:i w:val="0"/>
          <w:sz w:val="22"/>
        </w:rPr>
        <w:t>LangChain's create_history_aware_retriever was integrated with a custom reformulation prompt. Follow-up questions such as 'What is the notice period for that?' were correctly expanded to 'What is the notice period for [specific clause discussed]?' before retrieval. Session history was stored in Streamlit's session_state and cleared on page refresh. Multi-turn compliance queries — common in Grid Code interpretation — became reliable for the first time.</w:t>
      </w:r>
    </w:p>
    <w:p>
      <w:pPr>
        <w:spacing w:before="160" w:after="40"/>
      </w:pPr>
      <w:r>
        <w:rPr>
          <w:rFonts w:ascii="Calibri" w:hAnsi="Calibri"/>
          <w:b/>
          <w:i w:val="0"/>
          <w:color w:val="000000"/>
          <w:sz w:val="22"/>
        </w:rPr>
        <w:t>Iteration 5 — Groq Integration &amp; Deployment Fixes</w:t>
      </w:r>
    </w:p>
    <w:p>
      <w:pPr>
        <w:shd w:val="clear" w:color="auto" w:fill="EEF4FB"/>
        <w:spacing w:after="120"/>
        <w:ind w:left="360" w:right="360"/>
      </w:pPr>
      <w:r>
        <w:rPr>
          <w:rFonts w:ascii="Calibri" w:hAnsi="Calibri"/>
          <w:b w:val="0"/>
          <w:i/>
          <w:color w:val="1F4E79"/>
          <w:sz w:val="20"/>
        </w:rPr>
        <w:t>"Replace the OpenAI LLM with ChatGroq (openai/gpt-oss-20b) to use a free inference tier. Add a sidebar where the user enters their Groq API key at runtime. Fix the ChromaDB SQLite error on Hugging Face Spaces by adding pysqlite3-binary to requirements.txt and monkey-patching the sqlite3 module at startup."</w:t>
      </w:r>
    </w:p>
    <w:p>
      <w:pPr>
        <w:spacing w:after="80"/>
      </w:pPr>
      <w:r>
        <w:rPr>
          <w:rFonts w:ascii="Calibri" w:hAnsi="Calibri"/>
          <w:b w:val="0"/>
          <w:i w:val="0"/>
          <w:sz w:val="22"/>
        </w:rPr>
        <w:t>Groq's inference API provided faster token generation than the OpenAI endpoint at no cost for the usage volume expected. The API key sidebar eliminated the need to hard-code or environment-inject credentials, making the app shareable without exposing keys. The pysqlite3-binary fix was the critical deployment blocker: Hugging Face Spaces runs on a Linux container with SQLite 3.31, below ChromaDB's minimum requirement of 3.35. Patching sys.modules['sqlite3'] with pysqlite3 at the top of app.py resolved the ImportError that was crashing the Space on cold start.</w:t>
      </w:r>
    </w:p>
    <w:p>
      <w:pPr>
        <w:spacing w:before="160" w:after="40"/>
      </w:pPr>
      <w:r>
        <w:rPr>
          <w:rFonts w:ascii="Calibri" w:hAnsi="Calibri"/>
          <w:b/>
          <w:i w:val="0"/>
          <w:color w:val="000000"/>
          <w:sz w:val="22"/>
        </w:rPr>
        <w:t>Iteration 6 — UI Polish &amp; Dark/Light Mode</w:t>
      </w:r>
    </w:p>
    <w:p>
      <w:pPr>
        <w:shd w:val="clear" w:color="auto" w:fill="EEF4FB"/>
        <w:spacing w:after="120"/>
        <w:ind w:left="360" w:right="360"/>
      </w:pPr>
      <w:r>
        <w:rPr>
          <w:rFonts w:ascii="Calibri" w:hAnsi="Calibri"/>
          <w:b w:val="0"/>
          <w:i/>
          <w:color w:val="1F4E79"/>
          <w:sz w:val="20"/>
        </w:rPr>
        <w:t>"Improve the interface: add a title with the NEPRA logo description, add a sidebar with instructions for first-time users, add support for both dark and light Streamlit themes, and display a friendly error message if the user submits a question without entering their API key."</w:t>
      </w:r>
    </w:p>
    <w:p>
      <w:pPr>
        <w:spacing w:after="80"/>
      </w:pPr>
      <w:r>
        <w:rPr>
          <w:rFonts w:ascii="Calibri" w:hAnsi="Calibri"/>
          <w:b w:val="0"/>
          <w:i w:val="0"/>
          <w:sz w:val="22"/>
        </w:rPr>
        <w:t>Streamlit's built-in theme system handled dark/light mode without custom CSS. A sidebar was added with step-by-step usage instructions, the API key input field, and a brief description of what the Grid Code covers. An st.warning block was added to intercept empty API key submissions before they reached the LangChain chain, preventing an uninformative traceback from reaching the user.</w:t>
      </w:r>
    </w:p>
    <w:p>
      <w:pPr>
        <w:spacing w:before="280" w:after="60"/>
      </w:pPr>
      <w:r>
        <w:rPr>
          <w:rFonts w:ascii="Calibri" w:hAnsi="Calibri"/>
          <w:b/>
          <w:i w:val="0"/>
          <w:color w:val="1F4E79"/>
          <w:sz w:val="26"/>
        </w:rPr>
        <w:t>What Worked</w:t>
      </w:r>
    </w:p>
    <w:p>
      <w:pPr>
        <w:pStyle w:val="ListBullet"/>
        <w:spacing w:after="40"/>
        <w:ind w:left="432"/>
      </w:pPr>
      <w:r>
        <w:rPr>
          <w:rFonts w:ascii="Calibri" w:hAnsi="Calibri"/>
          <w:b w:val="0"/>
          <w:i w:val="0"/>
          <w:sz w:val="22"/>
        </w:rPr>
        <w:t>RAG architecture eliminated the token-limit problem entirely. Once the Grid Code was chunked and embedded, only the 5 most relevant chunks (approximately 2,500 tokens) reached the LLM per query — well within any model's context window.</w:t>
      </w:r>
    </w:p>
    <w:p>
      <w:pPr>
        <w:pStyle w:val="ListBullet"/>
        <w:spacing w:after="40"/>
        <w:ind w:left="432"/>
      </w:pPr>
      <w:r>
        <w:rPr>
          <w:rFonts w:ascii="Calibri" w:hAnsi="Calibri"/>
          <w:b w:val="0"/>
          <w:i w:val="0"/>
          <w:sz w:val="22"/>
        </w:rPr>
        <w:t>The HistoryAwareRetriever handled multi-turn queries correctly from the first implementation. LangChain's chain abstraction made the integration straightforward once the correct component names were supplied in the prompt.</w:t>
      </w:r>
    </w:p>
    <w:p>
      <w:pPr>
        <w:pStyle w:val="ListBullet"/>
        <w:spacing w:after="40"/>
        <w:ind w:left="432"/>
      </w:pPr>
      <w:r>
        <w:rPr>
          <w:rFonts w:ascii="Calibri" w:hAnsi="Calibri"/>
          <w:b w:val="0"/>
          <w:i w:val="0"/>
          <w:sz w:val="22"/>
        </w:rPr>
        <w:t>Source citation via system prompt instruction was immediately effective. The model consistently produced answers with clause references without any fine-tuning.</w:t>
      </w:r>
    </w:p>
    <w:p>
      <w:pPr>
        <w:pStyle w:val="ListBullet"/>
        <w:spacing w:after="40"/>
        <w:ind w:left="432"/>
      </w:pPr>
      <w:r>
        <w:rPr>
          <w:rFonts w:ascii="Calibri" w:hAnsi="Calibri"/>
          <w:b w:val="0"/>
          <w:i w:val="0"/>
          <w:sz w:val="22"/>
        </w:rPr>
        <w:t>Groq's inference speed was noticeably faster than the OpenAI endpoint for the same model class — typical response latency under 2 seconds for a 5-chunk retrieval query.</w:t>
      </w:r>
    </w:p>
    <w:p>
      <w:pPr>
        <w:pStyle w:val="ListBullet"/>
        <w:spacing w:after="40"/>
        <w:ind w:left="432"/>
      </w:pPr>
      <w:r>
        <w:rPr>
          <w:rFonts w:ascii="Calibri" w:hAnsi="Calibri"/>
          <w:b w:val="0"/>
          <w:i w:val="0"/>
          <w:sz w:val="22"/>
        </w:rPr>
        <w:t>Hugging Face Spaces deployment required no infrastructure configuration beyond requirements.txt and app.py. The Docker-backed Space handled dependency installation and container restart automatically.</w:t>
      </w:r>
    </w:p>
    <w:p>
      <w:pPr>
        <w:spacing w:before="280" w:after="60"/>
      </w:pPr>
      <w:r>
        <w:rPr>
          <w:rFonts w:ascii="Calibri" w:hAnsi="Calibri"/>
          <w:b/>
          <w:i w:val="0"/>
          <w:color w:val="1F4E79"/>
          <w:sz w:val="26"/>
        </w:rPr>
        <w:t>What Did Not Work</w:t>
      </w:r>
    </w:p>
    <w:p>
      <w:pPr>
        <w:pStyle w:val="ListBullet"/>
        <w:spacing w:after="40"/>
        <w:ind w:left="432"/>
      </w:pPr>
      <w:r>
        <w:rPr>
          <w:rFonts w:ascii="Calibri" w:hAnsi="Calibri"/>
          <w:b w:val="0"/>
          <w:i w:val="0"/>
          <w:sz w:val="22"/>
        </w:rPr>
        <w:t>Full-document injection (Iteration 1) failed immediately. Passing the entire Grid Code text as context in every message exceeded token limits and produced slow, generic answers.</w:t>
      </w:r>
    </w:p>
    <w:p>
      <w:pPr>
        <w:pStyle w:val="ListBullet"/>
        <w:spacing w:after="40"/>
        <w:ind w:left="432"/>
      </w:pPr>
      <w:r>
        <w:rPr>
          <w:rFonts w:ascii="Calibri" w:hAnsi="Calibri"/>
          <w:b w:val="0"/>
          <w:i w:val="0"/>
          <w:sz w:val="22"/>
        </w:rPr>
        <w:t>The initial chunk size of 1,000 tokens produced chunks that frequently split mid-clause, causing retrieved context to start or end mid-sentence. Reduced to 500 tokens with 50-token overlap, which preserved clause boundaries more reliably.</w:t>
      </w:r>
    </w:p>
    <w:p>
      <w:pPr>
        <w:pStyle w:val="ListBullet"/>
        <w:spacing w:after="40"/>
        <w:ind w:left="432"/>
      </w:pPr>
      <w:r>
        <w:rPr>
          <w:rFonts w:ascii="Calibri" w:hAnsi="Calibri"/>
          <w:b w:val="0"/>
          <w:i w:val="0"/>
          <w:sz w:val="22"/>
        </w:rPr>
        <w:t>ChromaDB failed on cold start in the Hugging Face Spaces container due to the SQLite version mismatch (3.31 vs. required 3.35). This was not predictable from local development — the error only appeared in the containerised environment.</w:t>
      </w:r>
    </w:p>
    <w:p>
      <w:pPr>
        <w:pStyle w:val="ListBullet"/>
        <w:spacing w:after="40"/>
        <w:ind w:left="432"/>
      </w:pPr>
      <w:r>
        <w:rPr>
          <w:rFonts w:ascii="Calibri" w:hAnsi="Calibri"/>
          <w:b w:val="0"/>
          <w:i w:val="0"/>
          <w:sz w:val="22"/>
        </w:rPr>
        <w:t>Without the 'do not guess' system instruction, the LLM produced plausible but unverifiable answers for queries about clauses not present in the top-5 retrieved chunks. The instruction alone resolved this — no retrieval architecture change was needed.</w:t>
      </w:r>
    </w:p>
    <w:p>
      <w:pPr>
        <w:spacing w:before="280" w:after="60"/>
      </w:pPr>
      <w:r>
        <w:rPr>
          <w:rFonts w:ascii="Calibri" w:hAnsi="Calibri"/>
          <w:b/>
          <w:i w:val="0"/>
          <w:color w:val="1F4E79"/>
          <w:sz w:val="26"/>
        </w:rPr>
        <w:t>Bugs Faced &amp; Resolutions</w:t>
      </w:r>
    </w:p>
    <w:tbl>
      <w:tblPr>
        <w:tblStyle w:val="TableGrid"/>
        <w:tblW w:type="auto" w:w="0"/>
        <w:tblLook w:firstColumn="1" w:firstRow="1" w:lastColumn="0" w:lastRow="0" w:noHBand="0" w:noVBand="1" w:val="04A0"/>
      </w:tblPr>
      <w:tblGrid>
        <w:gridCol w:w="2976"/>
        <w:gridCol w:w="2976"/>
        <w:gridCol w:w="2976"/>
      </w:tblGrid>
      <w:tr>
        <w:tc>
          <w:tcPr>
            <w:tcW w:type="dxa" w:w="2736"/>
            <w:shd w:val="clear" w:color="auto" w:fill="1F4E79"/>
          </w:tcPr>
          <w:p>
            <w:r>
              <w:rPr>
                <w:rFonts w:ascii="Calibri" w:hAnsi="Calibri"/>
                <w:b/>
                <w:i w:val="0"/>
                <w:color w:val="FFFFFF"/>
                <w:sz w:val="20"/>
              </w:rPr>
              <w:t>Bug / Challenge</w:t>
            </w:r>
          </w:p>
        </w:tc>
        <w:tc>
          <w:tcPr>
            <w:tcW w:type="dxa" w:w="2880"/>
            <w:shd w:val="clear" w:color="auto" w:fill="1F4E79"/>
          </w:tcPr>
          <w:p>
            <w:r>
              <w:rPr>
                <w:rFonts w:ascii="Calibri" w:hAnsi="Calibri"/>
                <w:b/>
                <w:i w:val="0"/>
                <w:color w:val="FFFFFF"/>
                <w:sz w:val="20"/>
              </w:rPr>
              <w:t>Root Cause</w:t>
            </w:r>
          </w:p>
        </w:tc>
        <w:tc>
          <w:tcPr>
            <w:tcW w:type="dxa" w:w="3168"/>
            <w:shd w:val="clear" w:color="auto" w:fill="1F4E79"/>
          </w:tcPr>
          <w:p>
            <w:r>
              <w:rPr>
                <w:rFonts w:ascii="Calibri" w:hAnsi="Calibri"/>
                <w:b/>
                <w:i w:val="0"/>
                <w:color w:val="FFFFFF"/>
                <w:sz w:val="20"/>
              </w:rPr>
              <w:t>Resolution</w:t>
            </w:r>
          </w:p>
        </w:tc>
      </w:tr>
      <w:tr>
        <w:tc>
          <w:tcPr>
            <w:tcW w:type="dxa" w:w="2736"/>
          </w:tcPr>
          <w:p>
            <w:r>
              <w:rPr>
                <w:rFonts w:ascii="Calibri" w:hAnsi="Calibri"/>
                <w:b w:val="0"/>
                <w:i w:val="0"/>
                <w:sz w:val="20"/>
              </w:rPr>
              <w:t>Token limit exceeded on first query</w:t>
            </w:r>
          </w:p>
        </w:tc>
        <w:tc>
          <w:tcPr>
            <w:tcW w:type="dxa" w:w="2880"/>
          </w:tcPr>
          <w:p>
            <w:r>
              <w:rPr>
                <w:rFonts w:ascii="Calibri" w:hAnsi="Calibri"/>
                <w:b w:val="0"/>
                <w:i w:val="0"/>
                <w:sz w:val="20"/>
              </w:rPr>
              <w:t>Full Grid Code text (~150k tokens) injected as single context string</w:t>
            </w:r>
          </w:p>
        </w:tc>
        <w:tc>
          <w:tcPr>
            <w:tcW w:type="dxa" w:w="3168"/>
          </w:tcPr>
          <w:p>
            <w:r>
              <w:rPr>
                <w:rFonts w:ascii="Calibri" w:hAnsi="Calibri"/>
                <w:b w:val="0"/>
                <w:i w:val="0"/>
                <w:sz w:val="20"/>
              </w:rPr>
              <w:t>Replaced with RAG: ChromaDB retrieves only top-5 chunks per query</w:t>
            </w:r>
          </w:p>
        </w:tc>
      </w:tr>
      <w:tr>
        <w:tc>
          <w:tcPr>
            <w:tcW w:type="dxa" w:w="2736"/>
          </w:tcPr>
          <w:p>
            <w:r>
              <w:rPr>
                <w:rFonts w:ascii="Calibri" w:hAnsi="Calibri"/>
                <w:b w:val="0"/>
                <w:i w:val="0"/>
                <w:sz w:val="20"/>
              </w:rPr>
              <w:t>Clause boundaries split mid-sentence</w:t>
            </w:r>
          </w:p>
        </w:tc>
        <w:tc>
          <w:tcPr>
            <w:tcW w:type="dxa" w:w="2880"/>
          </w:tcPr>
          <w:p>
            <w:r>
              <w:rPr>
                <w:rFonts w:ascii="Calibri" w:hAnsi="Calibri"/>
                <w:b w:val="0"/>
                <w:i w:val="0"/>
                <w:sz w:val="20"/>
              </w:rPr>
              <w:t>Chunk size of 1,000 tokens too large for clause-level granularity</w:t>
            </w:r>
          </w:p>
        </w:tc>
        <w:tc>
          <w:tcPr>
            <w:tcW w:type="dxa" w:w="3168"/>
          </w:tcPr>
          <w:p>
            <w:r>
              <w:rPr>
                <w:rFonts w:ascii="Calibri" w:hAnsi="Calibri"/>
                <w:b w:val="0"/>
                <w:i w:val="0"/>
                <w:sz w:val="20"/>
              </w:rPr>
              <w:t>Reduced chunk size to 500 tokens with 50-token overlap</w:t>
            </w:r>
          </w:p>
        </w:tc>
      </w:tr>
      <w:tr>
        <w:tc>
          <w:tcPr>
            <w:tcW w:type="dxa" w:w="2736"/>
          </w:tcPr>
          <w:p>
            <w:r>
              <w:rPr>
                <w:rFonts w:ascii="Calibri" w:hAnsi="Calibri"/>
                <w:b w:val="0"/>
                <w:i w:val="0"/>
                <w:sz w:val="20"/>
              </w:rPr>
              <w:t>Follow-up questions retrieved wrong clauses</w:t>
            </w:r>
          </w:p>
        </w:tc>
        <w:tc>
          <w:tcPr>
            <w:tcW w:type="dxa" w:w="2880"/>
          </w:tcPr>
          <w:p>
            <w:r>
              <w:rPr>
                <w:rFonts w:ascii="Calibri" w:hAnsi="Calibri"/>
                <w:b w:val="0"/>
                <w:i w:val="0"/>
                <w:sz w:val="20"/>
              </w:rPr>
              <w:t>Vector search ran on the raw follow-up ('What are the exceptions?') without prior context</w:t>
            </w:r>
          </w:p>
        </w:tc>
        <w:tc>
          <w:tcPr>
            <w:tcW w:type="dxa" w:w="3168"/>
          </w:tcPr>
          <w:p>
            <w:r>
              <w:rPr>
                <w:rFonts w:ascii="Calibri" w:hAnsi="Calibri"/>
                <w:b w:val="0"/>
                <w:i w:val="0"/>
                <w:sz w:val="20"/>
              </w:rPr>
              <w:t>Integrated LangChain HistoryAwareRetriever to reformulate before retrieval</w:t>
            </w:r>
          </w:p>
        </w:tc>
      </w:tr>
      <w:tr>
        <w:tc>
          <w:tcPr>
            <w:tcW w:type="dxa" w:w="2736"/>
          </w:tcPr>
          <w:p>
            <w:r>
              <w:rPr>
                <w:rFonts w:ascii="Calibri" w:hAnsi="Calibri"/>
                <w:b w:val="0"/>
                <w:i w:val="0"/>
                <w:sz w:val="20"/>
              </w:rPr>
              <w:t>ChromaDB ImportError on Hugging Face Spaces cold start</w:t>
            </w:r>
          </w:p>
        </w:tc>
        <w:tc>
          <w:tcPr>
            <w:tcW w:type="dxa" w:w="2880"/>
          </w:tcPr>
          <w:p>
            <w:r>
              <w:rPr>
                <w:rFonts w:ascii="Calibri" w:hAnsi="Calibri"/>
                <w:b w:val="0"/>
                <w:i w:val="0"/>
                <w:sz w:val="20"/>
              </w:rPr>
              <w:t>Container SQLite 3.31 below ChromaDB minimum (3.35)</w:t>
            </w:r>
          </w:p>
        </w:tc>
        <w:tc>
          <w:tcPr>
            <w:tcW w:type="dxa" w:w="3168"/>
          </w:tcPr>
          <w:p>
            <w:r>
              <w:rPr>
                <w:rFonts w:ascii="Calibri" w:hAnsi="Calibri"/>
                <w:b w:val="0"/>
                <w:i w:val="0"/>
                <w:sz w:val="20"/>
              </w:rPr>
              <w:t>Added pysqlite3-binary to requirements.txt; patched sys.modules['sqlite3'] at app startup</w:t>
            </w:r>
          </w:p>
        </w:tc>
      </w:tr>
      <w:tr>
        <w:tc>
          <w:tcPr>
            <w:tcW w:type="dxa" w:w="2736"/>
          </w:tcPr>
          <w:p>
            <w:r>
              <w:rPr>
                <w:rFonts w:ascii="Calibri" w:hAnsi="Calibri"/>
                <w:b w:val="0"/>
                <w:i w:val="0"/>
                <w:sz w:val="20"/>
              </w:rPr>
              <w:t>LLM guessing on out-of-scope queries</w:t>
            </w:r>
          </w:p>
        </w:tc>
        <w:tc>
          <w:tcPr>
            <w:tcW w:type="dxa" w:w="2880"/>
          </w:tcPr>
          <w:p>
            <w:r>
              <w:rPr>
                <w:rFonts w:ascii="Calibri" w:hAnsi="Calibri"/>
                <w:b w:val="0"/>
                <w:i w:val="0"/>
                <w:sz w:val="20"/>
              </w:rPr>
              <w:t>No system-level instruction to restrict to retrieved context</w:t>
            </w:r>
          </w:p>
        </w:tc>
        <w:tc>
          <w:tcPr>
            <w:tcW w:type="dxa" w:w="3168"/>
          </w:tcPr>
          <w:p>
            <w:r>
              <w:rPr>
                <w:rFonts w:ascii="Calibri" w:hAnsi="Calibri"/>
                <w:b w:val="0"/>
                <w:i w:val="0"/>
                <w:sz w:val="20"/>
              </w:rPr>
              <w:t>Added 'cite clause and page or state not found' as system prompt instruction</w:t>
            </w:r>
          </w:p>
        </w:tc>
      </w:tr>
      <w:tr>
        <w:tc>
          <w:tcPr>
            <w:tcW w:type="dxa" w:w="2736"/>
          </w:tcPr>
          <w:p>
            <w:r>
              <w:rPr>
                <w:rFonts w:ascii="Calibri" w:hAnsi="Calibri"/>
                <w:b w:val="0"/>
                <w:i w:val="0"/>
                <w:sz w:val="20"/>
              </w:rPr>
              <w:t>Traceback exposed to user on empty API key submit</w:t>
            </w:r>
          </w:p>
        </w:tc>
        <w:tc>
          <w:tcPr>
            <w:tcW w:type="dxa" w:w="2880"/>
          </w:tcPr>
          <w:p>
            <w:r>
              <w:rPr>
                <w:rFonts w:ascii="Calibri" w:hAnsi="Calibri"/>
                <w:b w:val="0"/>
                <w:i w:val="0"/>
                <w:sz w:val="20"/>
              </w:rPr>
              <w:t>No input validation before LangChain chain invocation</w:t>
            </w:r>
          </w:p>
        </w:tc>
        <w:tc>
          <w:tcPr>
            <w:tcW w:type="dxa" w:w="3168"/>
          </w:tcPr>
          <w:p>
            <w:r>
              <w:rPr>
                <w:rFonts w:ascii="Calibri" w:hAnsi="Calibri"/>
                <w:b w:val="0"/>
                <w:i w:val="0"/>
                <w:sz w:val="20"/>
              </w:rPr>
              <w:t>Added st.warning guard at the top of the query handler</w:t>
            </w:r>
          </w:p>
        </w:tc>
      </w:tr>
    </w:tbl>
    <w:p/>
    <w:p>
      <w:pPr>
        <w:spacing w:before="280" w:after="60"/>
      </w:pPr>
      <w:r>
        <w:rPr>
          <w:rFonts w:ascii="Calibri" w:hAnsi="Calibri"/>
          <w:b/>
          <w:i w:val="0"/>
          <w:color w:val="1F4E79"/>
          <w:sz w:val="26"/>
        </w:rPr>
        <w:t>Final Application Features</w:t>
      </w:r>
    </w:p>
    <w:p>
      <w:pPr>
        <w:spacing w:before="160" w:after="40"/>
      </w:pPr>
      <w:r>
        <w:rPr>
          <w:rFonts w:ascii="Calibri" w:hAnsi="Calibri"/>
          <w:b/>
          <w:i w:val="0"/>
          <w:color w:val="000000"/>
          <w:sz w:val="22"/>
        </w:rPr>
        <w:t>Core Functionality</w:t>
      </w:r>
    </w:p>
    <w:p>
      <w:pPr>
        <w:pStyle w:val="ListBullet"/>
        <w:spacing w:after="40"/>
        <w:ind w:left="432"/>
      </w:pPr>
      <w:r>
        <w:rPr>
          <w:rFonts w:ascii="Calibri" w:hAnsi="Calibri"/>
          <w:b w:val="0"/>
          <w:i w:val="0"/>
          <w:sz w:val="22"/>
        </w:rPr>
        <w:t>Natural-language question answering grounded in NEPRA Grid Code 2023</w:t>
      </w:r>
    </w:p>
    <w:p>
      <w:pPr>
        <w:pStyle w:val="ListBullet"/>
        <w:spacing w:after="40"/>
        <w:ind w:left="432"/>
      </w:pPr>
      <w:r>
        <w:rPr>
          <w:rFonts w:ascii="Calibri" w:hAnsi="Calibri"/>
          <w:b w:val="0"/>
          <w:i w:val="0"/>
          <w:sz w:val="22"/>
        </w:rPr>
        <w:t>RAG pipeline: ChromaDB vector search + all-MiniLM-L6-v2 embeddings + ChatGroq LLM</w:t>
      </w:r>
    </w:p>
    <w:p>
      <w:pPr>
        <w:pStyle w:val="ListBullet"/>
        <w:spacing w:after="40"/>
        <w:ind w:left="432"/>
      </w:pPr>
      <w:r>
        <w:rPr>
          <w:rFonts w:ascii="Calibri" w:hAnsi="Calibri"/>
          <w:b w:val="0"/>
          <w:i w:val="0"/>
          <w:sz w:val="22"/>
        </w:rPr>
        <w:t>Top-5 chunk retrieval per query (500-token chunks, 50-token overlap)</w:t>
      </w:r>
    </w:p>
    <w:p>
      <w:pPr>
        <w:pStyle w:val="ListBullet"/>
        <w:spacing w:after="40"/>
        <w:ind w:left="432"/>
      </w:pPr>
      <w:r>
        <w:rPr>
          <w:rFonts w:ascii="Calibri" w:hAnsi="Calibri"/>
          <w:b w:val="0"/>
          <w:i w:val="0"/>
          <w:sz w:val="22"/>
        </w:rPr>
        <w:t>Source attribution: every answer cites clause number and page number</w:t>
      </w:r>
    </w:p>
    <w:p>
      <w:pPr>
        <w:pStyle w:val="ListBullet"/>
        <w:spacing w:after="40"/>
        <w:ind w:left="432"/>
      </w:pPr>
      <w:r>
        <w:rPr>
          <w:rFonts w:ascii="Calibri" w:hAnsi="Calibri"/>
          <w:b w:val="0"/>
          <w:i w:val="0"/>
          <w:sz w:val="22"/>
        </w:rPr>
        <w:t>Explicit 'not found' response for queries outside the retrieved context</w:t>
      </w:r>
    </w:p>
    <w:p>
      <w:pPr>
        <w:spacing w:before="160" w:after="40"/>
      </w:pPr>
      <w:r>
        <w:rPr>
          <w:rFonts w:ascii="Calibri" w:hAnsi="Calibri"/>
          <w:b/>
          <w:i w:val="0"/>
          <w:color w:val="000000"/>
          <w:sz w:val="22"/>
        </w:rPr>
        <w:t>Conversation</w:t>
      </w:r>
    </w:p>
    <w:p>
      <w:pPr>
        <w:pStyle w:val="ListBullet"/>
        <w:spacing w:after="40"/>
        <w:ind w:left="432"/>
      </w:pPr>
      <w:r>
        <w:rPr>
          <w:rFonts w:ascii="Calibri" w:hAnsi="Calibri"/>
          <w:b w:val="0"/>
          <w:i w:val="0"/>
          <w:sz w:val="22"/>
        </w:rPr>
        <w:t>Full multi-turn conversation history via Streamlit session_state</w:t>
      </w:r>
    </w:p>
    <w:p>
      <w:pPr>
        <w:pStyle w:val="ListBullet"/>
        <w:spacing w:after="40"/>
        <w:ind w:left="432"/>
      </w:pPr>
      <w:r>
        <w:rPr>
          <w:rFonts w:ascii="Calibri" w:hAnsi="Calibri"/>
          <w:b w:val="0"/>
          <w:i w:val="0"/>
          <w:sz w:val="22"/>
        </w:rPr>
        <w:t>HistoryAwareRetriever reformulates follow-up questions before vector search</w:t>
      </w:r>
    </w:p>
    <w:p>
      <w:pPr>
        <w:pStyle w:val="ListBullet"/>
        <w:spacing w:after="40"/>
        <w:ind w:left="432"/>
      </w:pPr>
      <w:r>
        <w:rPr>
          <w:rFonts w:ascii="Calibri" w:hAnsi="Calibri"/>
          <w:b w:val="0"/>
          <w:i w:val="0"/>
          <w:sz w:val="22"/>
        </w:rPr>
        <w:t>Conversation clears on page refresh; no persistent user data stored</w:t>
      </w:r>
    </w:p>
    <w:p>
      <w:pPr>
        <w:spacing w:before="160" w:after="40"/>
      </w:pPr>
      <w:r>
        <w:rPr>
          <w:rFonts w:ascii="Calibri" w:hAnsi="Calibri"/>
          <w:b/>
          <w:i w:val="0"/>
          <w:color w:val="000000"/>
          <w:sz w:val="22"/>
        </w:rPr>
        <w:t>Interface</w:t>
      </w:r>
    </w:p>
    <w:p>
      <w:pPr>
        <w:pStyle w:val="ListBullet"/>
        <w:spacing w:after="40"/>
        <w:ind w:left="432"/>
      </w:pPr>
      <w:r>
        <w:rPr>
          <w:rFonts w:ascii="Calibri" w:hAnsi="Calibri"/>
          <w:b w:val="0"/>
          <w:i w:val="0"/>
          <w:sz w:val="22"/>
        </w:rPr>
        <w:t>Streamlit chat interface (st.chat_message / st.chat_input)</w:t>
      </w:r>
    </w:p>
    <w:p>
      <w:pPr>
        <w:pStyle w:val="ListBullet"/>
        <w:spacing w:after="40"/>
        <w:ind w:left="432"/>
      </w:pPr>
      <w:r>
        <w:rPr>
          <w:rFonts w:ascii="Calibri" w:hAnsi="Calibri"/>
          <w:b w:val="0"/>
          <w:i w:val="0"/>
          <w:sz w:val="22"/>
        </w:rPr>
        <w:t>Dark and light theme support via Streamlit's native theme engine</w:t>
      </w:r>
    </w:p>
    <w:p>
      <w:pPr>
        <w:pStyle w:val="ListBullet"/>
        <w:spacing w:after="40"/>
        <w:ind w:left="432"/>
      </w:pPr>
      <w:r>
        <w:rPr>
          <w:rFonts w:ascii="Calibri" w:hAnsi="Calibri"/>
          <w:b w:val="0"/>
          <w:i w:val="0"/>
          <w:sz w:val="22"/>
        </w:rPr>
        <w:t>Sidebar: API key input, usage instructions, Grid Code scope description</w:t>
      </w:r>
    </w:p>
    <w:p>
      <w:pPr>
        <w:pStyle w:val="ListBullet"/>
        <w:spacing w:after="40"/>
        <w:ind w:left="432"/>
      </w:pPr>
      <w:r>
        <w:rPr>
          <w:rFonts w:ascii="Calibri" w:hAnsi="Calibri"/>
          <w:b w:val="0"/>
          <w:i w:val="0"/>
          <w:sz w:val="22"/>
        </w:rPr>
        <w:t>Friendly validation messages for missing API key or empty query</w:t>
      </w:r>
    </w:p>
    <w:p>
      <w:pPr>
        <w:spacing w:before="160" w:after="40"/>
      </w:pPr>
      <w:r>
        <w:rPr>
          <w:rFonts w:ascii="Calibri" w:hAnsi="Calibri"/>
          <w:b/>
          <w:i w:val="0"/>
          <w:color w:val="000000"/>
          <w:sz w:val="22"/>
        </w:rPr>
        <w:t>Deployment</w:t>
      </w:r>
    </w:p>
    <w:p>
      <w:pPr>
        <w:pStyle w:val="ListBullet"/>
        <w:spacing w:after="40"/>
        <w:ind w:left="432"/>
      </w:pPr>
      <w:r>
        <w:rPr>
          <w:rFonts w:ascii="Calibri" w:hAnsi="Calibri"/>
          <w:b w:val="0"/>
          <w:i w:val="0"/>
          <w:sz w:val="22"/>
        </w:rPr>
        <w:t>Hosted on Hugging Face Spaces — accessible at any browser, no installation required</w:t>
      </w:r>
    </w:p>
    <w:p>
      <w:pPr>
        <w:pStyle w:val="ListBullet"/>
        <w:spacing w:after="40"/>
        <w:ind w:left="432"/>
      </w:pPr>
      <w:r>
        <w:rPr>
          <w:rFonts w:ascii="Calibri" w:hAnsi="Calibri"/>
          <w:b w:val="0"/>
          <w:i w:val="0"/>
          <w:sz w:val="22"/>
        </w:rPr>
        <w:t>User supplies their own Groq API key at runtime; no credentials stored server-side</w:t>
      </w:r>
    </w:p>
    <w:p>
      <w:pPr>
        <w:pStyle w:val="ListBullet"/>
        <w:spacing w:after="40"/>
        <w:ind w:left="432"/>
      </w:pPr>
      <w:r>
        <w:rPr>
          <w:rFonts w:ascii="Calibri" w:hAnsi="Calibri"/>
          <w:b w:val="0"/>
          <w:i w:val="0"/>
          <w:sz w:val="22"/>
        </w:rPr>
        <w:t>pysqlite3-binary monkey-patch resolves ChromaDB/SQLite container compatibility</w:t>
      </w:r>
    </w:p>
    <w:p>
      <w:pPr>
        <w:spacing w:before="280" w:after="60"/>
      </w:pPr>
      <w:r>
        <w:rPr>
          <w:rFonts w:ascii="Calibri" w:hAnsi="Calibri"/>
          <w:b/>
          <w:i w:val="0"/>
          <w:color w:val="1F4E79"/>
          <w:sz w:val="26"/>
        </w:rPr>
        <w:t>Prompt Engineering Techniques Applied</w:t>
      </w:r>
    </w:p>
    <w:tbl>
      <w:tblPr>
        <w:tblStyle w:val="TableGrid"/>
        <w:tblW w:type="auto" w:w="0"/>
        <w:tblLook w:firstColumn="1" w:firstRow="1" w:lastColumn="0" w:lastRow="0" w:noHBand="0" w:noVBand="1" w:val="04A0"/>
      </w:tblPr>
      <w:tblGrid>
        <w:gridCol w:w="2976"/>
        <w:gridCol w:w="2976"/>
        <w:gridCol w:w="2976"/>
      </w:tblGrid>
      <w:tr>
        <w:tc>
          <w:tcPr>
            <w:tcW w:type="dxa" w:w="2304"/>
            <w:shd w:val="clear" w:color="auto" w:fill="1F4E79"/>
          </w:tcPr>
          <w:p>
            <w:r>
              <w:rPr>
                <w:rFonts w:ascii="Calibri" w:hAnsi="Calibri"/>
                <w:b/>
                <w:i w:val="0"/>
                <w:color w:val="FFFFFF"/>
                <w:sz w:val="20"/>
              </w:rPr>
              <w:t>Technique</w:t>
            </w:r>
          </w:p>
        </w:tc>
        <w:tc>
          <w:tcPr>
            <w:tcW w:type="dxa" w:w="3168"/>
            <w:shd w:val="clear" w:color="auto" w:fill="1F4E79"/>
          </w:tcPr>
          <w:p>
            <w:r>
              <w:rPr>
                <w:rFonts w:ascii="Calibri" w:hAnsi="Calibri"/>
                <w:b/>
                <w:i w:val="0"/>
                <w:color w:val="FFFFFF"/>
                <w:sz w:val="20"/>
              </w:rPr>
              <w:t>Where Applied</w:t>
            </w:r>
          </w:p>
        </w:tc>
        <w:tc>
          <w:tcPr>
            <w:tcW w:type="dxa" w:w="3312"/>
            <w:shd w:val="clear" w:color="auto" w:fill="1F4E79"/>
          </w:tcPr>
          <w:p>
            <w:r>
              <w:rPr>
                <w:rFonts w:ascii="Calibri" w:hAnsi="Calibri"/>
                <w:b/>
                <w:i w:val="0"/>
                <w:color w:val="FFFFFF"/>
                <w:sz w:val="20"/>
              </w:rPr>
              <w:t>Effect</w:t>
            </w:r>
          </w:p>
        </w:tc>
      </w:tr>
      <w:tr>
        <w:tc>
          <w:tcPr>
            <w:tcW w:type="dxa" w:w="2304"/>
          </w:tcPr>
          <w:p>
            <w:r>
              <w:rPr>
                <w:rFonts w:ascii="Calibri" w:hAnsi="Calibri"/>
                <w:b w:val="0"/>
                <w:i w:val="0"/>
                <w:sz w:val="20"/>
              </w:rPr>
              <w:t>Role + constraint system prompt</w:t>
            </w:r>
          </w:p>
        </w:tc>
        <w:tc>
          <w:tcPr>
            <w:tcW w:type="dxa" w:w="3168"/>
          </w:tcPr>
          <w:p>
            <w:r>
              <w:rPr>
                <w:rFonts w:ascii="Calibri" w:hAnsi="Calibri"/>
                <w:b w:val="0"/>
                <w:i w:val="0"/>
                <w:sz w:val="20"/>
              </w:rPr>
              <w:t>LLM system instruction: 'You are a NEPRA Grid Code expert. Cite clause and page or state not found.'</w:t>
            </w:r>
          </w:p>
        </w:tc>
        <w:tc>
          <w:tcPr>
            <w:tcW w:type="dxa" w:w="3312"/>
          </w:tcPr>
          <w:p>
            <w:r>
              <w:rPr>
                <w:rFonts w:ascii="Calibri" w:hAnsi="Calibri"/>
                <w:b w:val="0"/>
                <w:i w:val="0"/>
                <w:sz w:val="20"/>
              </w:rPr>
              <w:t>Grounded answers in source document; eliminated fabrication for out-of-scope queries</w:t>
            </w:r>
          </w:p>
        </w:tc>
      </w:tr>
      <w:tr>
        <w:tc>
          <w:tcPr>
            <w:tcW w:type="dxa" w:w="2304"/>
          </w:tcPr>
          <w:p>
            <w:r>
              <w:rPr>
                <w:rFonts w:ascii="Calibri" w:hAnsi="Calibri"/>
                <w:b w:val="0"/>
                <w:i w:val="0"/>
                <w:sz w:val="20"/>
              </w:rPr>
              <w:t>Context front-loading</w:t>
            </w:r>
          </w:p>
        </w:tc>
        <w:tc>
          <w:tcPr>
            <w:tcW w:type="dxa" w:w="3168"/>
          </w:tcPr>
          <w:p>
            <w:r>
              <w:rPr>
                <w:rFonts w:ascii="Calibri" w:hAnsi="Calibri"/>
                <w:b w:val="0"/>
                <w:i w:val="0"/>
                <w:sz w:val="20"/>
              </w:rPr>
              <w:t>Retrieved chunks prepended to each query before LLM call</w:t>
            </w:r>
          </w:p>
        </w:tc>
        <w:tc>
          <w:tcPr>
            <w:tcW w:type="dxa" w:w="3312"/>
          </w:tcPr>
          <w:p>
            <w:r>
              <w:rPr>
                <w:rFonts w:ascii="Calibri" w:hAnsi="Calibri"/>
                <w:b w:val="0"/>
                <w:i w:val="0"/>
                <w:sz w:val="20"/>
              </w:rPr>
              <w:t>LLM answered from verified Grid Code text rather than training data</w:t>
            </w:r>
          </w:p>
        </w:tc>
      </w:tr>
      <w:tr>
        <w:tc>
          <w:tcPr>
            <w:tcW w:type="dxa" w:w="2304"/>
          </w:tcPr>
          <w:p>
            <w:r>
              <w:rPr>
                <w:rFonts w:ascii="Calibri" w:hAnsi="Calibri"/>
                <w:b w:val="0"/>
                <w:i w:val="0"/>
                <w:sz w:val="20"/>
              </w:rPr>
              <w:t>Structured output specification</w:t>
            </w:r>
          </w:p>
        </w:tc>
        <w:tc>
          <w:tcPr>
            <w:tcW w:type="dxa" w:w="3168"/>
          </w:tcPr>
          <w:p>
            <w:r>
              <w:rPr>
                <w:rFonts w:ascii="Calibri" w:hAnsi="Calibri"/>
                <w:b w:val="0"/>
                <w:i w:val="0"/>
                <w:sz w:val="20"/>
              </w:rPr>
              <w:t>'Format your answer as: Answer: [text] Sources: [clause, page]'</w:t>
            </w:r>
          </w:p>
        </w:tc>
        <w:tc>
          <w:tcPr>
            <w:tcW w:type="dxa" w:w="3312"/>
          </w:tcPr>
          <w:p>
            <w:r>
              <w:rPr>
                <w:rFonts w:ascii="Calibri" w:hAnsi="Calibri"/>
                <w:b w:val="0"/>
                <w:i w:val="0"/>
                <w:sz w:val="20"/>
              </w:rPr>
              <w:t>Consistent, parseable output format across all responses</w:t>
            </w:r>
          </w:p>
        </w:tc>
      </w:tr>
      <w:tr>
        <w:tc>
          <w:tcPr>
            <w:tcW w:type="dxa" w:w="2304"/>
          </w:tcPr>
          <w:p>
            <w:r>
              <w:rPr>
                <w:rFonts w:ascii="Calibri" w:hAnsi="Calibri"/>
                <w:b w:val="0"/>
                <w:i w:val="0"/>
                <w:sz w:val="20"/>
              </w:rPr>
              <w:t>Constraint prompt for uncertainty</w:t>
            </w:r>
          </w:p>
        </w:tc>
        <w:tc>
          <w:tcPr>
            <w:tcW w:type="dxa" w:w="3168"/>
          </w:tcPr>
          <w:p>
            <w:r>
              <w:rPr>
                <w:rFonts w:ascii="Calibri" w:hAnsi="Calibri"/>
                <w:b w:val="0"/>
                <w:i w:val="0"/>
                <w:sz w:val="20"/>
              </w:rPr>
              <w:t>'If the answer is not in the retrieved documents, state that explicitly.'</w:t>
            </w:r>
          </w:p>
        </w:tc>
        <w:tc>
          <w:tcPr>
            <w:tcW w:type="dxa" w:w="3312"/>
          </w:tcPr>
          <w:p>
            <w:r>
              <w:rPr>
                <w:rFonts w:ascii="Calibri" w:hAnsi="Calibri"/>
                <w:b w:val="0"/>
                <w:i w:val="0"/>
                <w:sz w:val="20"/>
              </w:rPr>
              <w:t>Replaced hallucinated answers with honest 'not found' responses</w:t>
            </w:r>
          </w:p>
        </w:tc>
      </w:tr>
      <w:tr>
        <w:tc>
          <w:tcPr>
            <w:tcW w:type="dxa" w:w="2304"/>
          </w:tcPr>
          <w:p>
            <w:r>
              <w:rPr>
                <w:rFonts w:ascii="Calibri" w:hAnsi="Calibri"/>
                <w:b w:val="0"/>
                <w:i w:val="0"/>
                <w:sz w:val="20"/>
              </w:rPr>
              <w:t>Iterative prompt refinement</w:t>
            </w:r>
          </w:p>
        </w:tc>
        <w:tc>
          <w:tcPr>
            <w:tcW w:type="dxa" w:w="3168"/>
          </w:tcPr>
          <w:p>
            <w:r>
              <w:rPr>
                <w:rFonts w:ascii="Calibri" w:hAnsi="Calibri"/>
                <w:b w:val="0"/>
                <w:i w:val="0"/>
                <w:sz w:val="20"/>
              </w:rPr>
              <w:t>Each iteration targeted a specific failure mode observed in testing</w:t>
            </w:r>
          </w:p>
        </w:tc>
        <w:tc>
          <w:tcPr>
            <w:tcW w:type="dxa" w:w="3312"/>
          </w:tcPr>
          <w:p>
            <w:r>
              <w:rPr>
                <w:rFonts w:ascii="Calibri" w:hAnsi="Calibri"/>
                <w:b w:val="0"/>
                <w:i w:val="0"/>
                <w:sz w:val="20"/>
              </w:rPr>
              <w:t>Six focused iterations converged to a reliable production build</w:t>
            </w:r>
          </w:p>
        </w:tc>
      </w:tr>
    </w:tbl>
    <w:p/>
    <w:p>
      <w:pPr>
        <w:spacing w:before="280" w:after="60"/>
      </w:pPr>
      <w:r>
        <w:rPr>
          <w:rFonts w:ascii="Calibri" w:hAnsi="Calibri"/>
          <w:b/>
          <w:i w:val="0"/>
          <w:color w:val="1F4E79"/>
          <w:sz w:val="26"/>
        </w:rPr>
        <w:t>Real-World Impact Assessment</w:t>
      </w:r>
    </w:p>
    <w:p>
      <w:pPr>
        <w:spacing w:after="80"/>
      </w:pPr>
      <w:r>
        <w:rPr>
          <w:rFonts w:ascii="Calibri" w:hAnsi="Calibri"/>
          <w:b w:val="0"/>
          <w:i w:val="0"/>
          <w:sz w:val="22"/>
        </w:rPr>
        <w:t>The NEPRA Grid Code AI Assistant addresses a specific, recurring operational need in Pakistan's power sector. Grid Code compliance queries arise daily at System Operators (NPCC, SSGC), Distribution Companies (HESCO, SEPCO, PESCO), and transmission entities. The current process requires engineers to manually search the PDF, cross-reference section headers, and verify clause applicability — a process that can take 15–30 minutes per query. The assistant reduces this to under 10 seconds with a source-verified answer.</w:t>
      </w:r>
    </w:p>
    <w:tbl>
      <w:tblPr>
        <w:tblStyle w:val="TableGrid"/>
        <w:tblW w:type="auto" w:w="0"/>
        <w:tblLook w:firstColumn="1" w:firstRow="1" w:lastColumn="0" w:lastRow="0" w:noHBand="0" w:noVBand="1" w:val="04A0"/>
      </w:tblPr>
      <w:tblGrid>
        <w:gridCol w:w="2976"/>
        <w:gridCol w:w="2976"/>
        <w:gridCol w:w="2976"/>
      </w:tblGrid>
      <w:tr>
        <w:tc>
          <w:tcPr>
            <w:tcW w:type="dxa" w:w="2736"/>
            <w:shd w:val="clear" w:color="auto" w:fill="1F4E79"/>
          </w:tcPr>
          <w:p>
            <w:r>
              <w:rPr>
                <w:rFonts w:ascii="Calibri" w:hAnsi="Calibri"/>
                <w:b/>
                <w:i w:val="0"/>
                <w:color w:val="FFFFFF"/>
                <w:sz w:val="20"/>
              </w:rPr>
              <w:t>Metric</w:t>
            </w:r>
          </w:p>
        </w:tc>
        <w:tc>
          <w:tcPr>
            <w:tcW w:type="dxa" w:w="2592"/>
            <w:shd w:val="clear" w:color="auto" w:fill="1F4E79"/>
          </w:tcPr>
          <w:p>
            <w:r>
              <w:rPr>
                <w:rFonts w:ascii="Calibri" w:hAnsi="Calibri"/>
                <w:b/>
                <w:i w:val="0"/>
                <w:color w:val="FFFFFF"/>
                <w:sz w:val="20"/>
              </w:rPr>
              <w:t>Manual Process</w:t>
            </w:r>
          </w:p>
        </w:tc>
        <w:tc>
          <w:tcPr>
            <w:tcW w:type="dxa" w:w="3456"/>
            <w:shd w:val="clear" w:color="auto" w:fill="1F4E79"/>
          </w:tcPr>
          <w:p>
            <w:r>
              <w:rPr>
                <w:rFonts w:ascii="Calibri" w:hAnsi="Calibri"/>
                <w:b/>
                <w:i w:val="0"/>
                <w:color w:val="FFFFFF"/>
                <w:sz w:val="20"/>
              </w:rPr>
              <w:t>With Assistant</w:t>
            </w:r>
          </w:p>
        </w:tc>
      </w:tr>
      <w:tr>
        <w:tc>
          <w:tcPr>
            <w:tcW w:type="dxa" w:w="2736"/>
          </w:tcPr>
          <w:p>
            <w:r>
              <w:rPr>
                <w:rFonts w:ascii="Calibri" w:hAnsi="Calibri"/>
                <w:b w:val="0"/>
                <w:i w:val="0"/>
                <w:sz w:val="20"/>
              </w:rPr>
              <w:t>Time per clause query</w:t>
            </w:r>
          </w:p>
        </w:tc>
        <w:tc>
          <w:tcPr>
            <w:tcW w:type="dxa" w:w="2592"/>
          </w:tcPr>
          <w:p>
            <w:r>
              <w:rPr>
                <w:rFonts w:ascii="Calibri" w:hAnsi="Calibri"/>
                <w:b w:val="0"/>
                <w:i w:val="0"/>
                <w:sz w:val="20"/>
              </w:rPr>
              <w:t>15–30 minutes</w:t>
            </w:r>
          </w:p>
        </w:tc>
        <w:tc>
          <w:tcPr>
            <w:tcW w:type="dxa" w:w="3456"/>
          </w:tcPr>
          <w:p>
            <w:r>
              <w:rPr>
                <w:rFonts w:ascii="Calibri" w:hAnsi="Calibri"/>
                <w:b w:val="0"/>
                <w:i w:val="0"/>
                <w:sz w:val="20"/>
              </w:rPr>
              <w:t>Under 10 seconds</w:t>
            </w:r>
          </w:p>
        </w:tc>
      </w:tr>
      <w:tr>
        <w:tc>
          <w:tcPr>
            <w:tcW w:type="dxa" w:w="2736"/>
          </w:tcPr>
          <w:p>
            <w:r>
              <w:rPr>
                <w:rFonts w:ascii="Calibri" w:hAnsi="Calibri"/>
                <w:b w:val="0"/>
                <w:i w:val="0"/>
                <w:sz w:val="20"/>
              </w:rPr>
              <w:t>Source verification</w:t>
            </w:r>
          </w:p>
        </w:tc>
        <w:tc>
          <w:tcPr>
            <w:tcW w:type="dxa" w:w="2592"/>
          </w:tcPr>
          <w:p>
            <w:r>
              <w:rPr>
                <w:rFonts w:ascii="Calibri" w:hAnsi="Calibri"/>
                <w:b w:val="0"/>
                <w:i w:val="0"/>
                <w:sz w:val="20"/>
              </w:rPr>
              <w:t>Manual cross-reference</w:t>
            </w:r>
          </w:p>
        </w:tc>
        <w:tc>
          <w:tcPr>
            <w:tcW w:type="dxa" w:w="3456"/>
          </w:tcPr>
          <w:p>
            <w:r>
              <w:rPr>
                <w:rFonts w:ascii="Calibri" w:hAnsi="Calibri"/>
                <w:b w:val="0"/>
                <w:i w:val="0"/>
                <w:sz w:val="20"/>
              </w:rPr>
              <w:t>Automatic — clause + page cited in every answer</w:t>
            </w:r>
          </w:p>
        </w:tc>
      </w:tr>
      <w:tr>
        <w:tc>
          <w:tcPr>
            <w:tcW w:type="dxa" w:w="2736"/>
          </w:tcPr>
          <w:p>
            <w:r>
              <w:rPr>
                <w:rFonts w:ascii="Calibri" w:hAnsi="Calibri"/>
                <w:b w:val="0"/>
                <w:i w:val="0"/>
                <w:sz w:val="20"/>
              </w:rPr>
              <w:t>Follow-up handling</w:t>
            </w:r>
          </w:p>
        </w:tc>
        <w:tc>
          <w:tcPr>
            <w:tcW w:type="dxa" w:w="2592"/>
          </w:tcPr>
          <w:p>
            <w:r>
              <w:rPr>
                <w:rFonts w:ascii="Calibri" w:hAnsi="Calibri"/>
                <w:b w:val="0"/>
                <w:i w:val="0"/>
                <w:sz w:val="20"/>
              </w:rPr>
              <w:t>Restart manual search</w:t>
            </w:r>
          </w:p>
        </w:tc>
        <w:tc>
          <w:tcPr>
            <w:tcW w:type="dxa" w:w="3456"/>
          </w:tcPr>
          <w:p>
            <w:r>
              <w:rPr>
                <w:rFonts w:ascii="Calibri" w:hAnsi="Calibri"/>
                <w:b w:val="0"/>
                <w:i w:val="0"/>
                <w:sz w:val="20"/>
              </w:rPr>
              <w:t>History-aware retrieval resolves follow-ups in context</w:t>
            </w:r>
          </w:p>
        </w:tc>
      </w:tr>
      <w:tr>
        <w:tc>
          <w:tcPr>
            <w:tcW w:type="dxa" w:w="2736"/>
          </w:tcPr>
          <w:p>
            <w:r>
              <w:rPr>
                <w:rFonts w:ascii="Calibri" w:hAnsi="Calibri"/>
                <w:b w:val="0"/>
                <w:i w:val="0"/>
                <w:sz w:val="20"/>
              </w:rPr>
              <w:t>Access requirement</w:t>
            </w:r>
          </w:p>
        </w:tc>
        <w:tc>
          <w:tcPr>
            <w:tcW w:type="dxa" w:w="2592"/>
          </w:tcPr>
          <w:p>
            <w:r>
              <w:rPr>
                <w:rFonts w:ascii="Calibri" w:hAnsi="Calibri"/>
                <w:b w:val="0"/>
                <w:i w:val="0"/>
                <w:sz w:val="20"/>
              </w:rPr>
              <w:t>PDF file on local device</w:t>
            </w:r>
          </w:p>
        </w:tc>
        <w:tc>
          <w:tcPr>
            <w:tcW w:type="dxa" w:w="3456"/>
          </w:tcPr>
          <w:p>
            <w:r>
              <w:rPr>
                <w:rFonts w:ascii="Calibri" w:hAnsi="Calibri"/>
                <w:b w:val="0"/>
                <w:i w:val="0"/>
                <w:sz w:val="20"/>
              </w:rPr>
              <w:t>Browser only — no download or installation</w:t>
            </w:r>
          </w:p>
        </w:tc>
      </w:tr>
      <w:tr>
        <w:tc>
          <w:tcPr>
            <w:tcW w:type="dxa" w:w="2736"/>
          </w:tcPr>
          <w:p>
            <w:r>
              <w:rPr>
                <w:rFonts w:ascii="Calibri" w:hAnsi="Calibri"/>
                <w:b w:val="0"/>
                <w:i w:val="0"/>
                <w:sz w:val="20"/>
              </w:rPr>
              <w:t>Error risk</w:t>
            </w:r>
          </w:p>
        </w:tc>
        <w:tc>
          <w:tcPr>
            <w:tcW w:type="dxa" w:w="2592"/>
          </w:tcPr>
          <w:p>
            <w:r>
              <w:rPr>
                <w:rFonts w:ascii="Calibri" w:hAnsi="Calibri"/>
                <w:b w:val="0"/>
                <w:i w:val="0"/>
                <w:sz w:val="20"/>
              </w:rPr>
              <w:t>Misread or skipped clause</w:t>
            </w:r>
          </w:p>
        </w:tc>
        <w:tc>
          <w:tcPr>
            <w:tcW w:type="dxa" w:w="3456"/>
          </w:tcPr>
          <w:p>
            <w:r>
              <w:rPr>
                <w:rFonts w:ascii="Calibri" w:hAnsi="Calibri"/>
                <w:b w:val="0"/>
                <w:i w:val="0"/>
                <w:sz w:val="20"/>
              </w:rPr>
              <w:t>LLM constrained to retrieved text; 'not found' on gaps</w:t>
            </w:r>
          </w:p>
        </w:tc>
      </w:tr>
    </w:tbl>
    <w:p/>
    <w:p>
      <w:pPr>
        <w:spacing w:before="280" w:after="60"/>
      </w:pPr>
      <w:r>
        <w:rPr>
          <w:rFonts w:ascii="Calibri" w:hAnsi="Calibri"/>
          <w:b/>
          <w:i w:val="0"/>
          <w:color w:val="1F4E79"/>
          <w:sz w:val="26"/>
        </w:rPr>
        <w:t>Final Result</w:t>
      </w:r>
    </w:p>
    <w:p>
      <w:pPr>
        <w:spacing w:after="80"/>
      </w:pPr>
      <w:r>
        <w:rPr>
          <w:rFonts w:ascii="Calibri" w:hAnsi="Calibri"/>
          <w:b w:val="0"/>
          <w:i w:val="0"/>
          <w:sz w:val="22"/>
        </w:rPr>
        <w:t>The deployed application at https://huggingface.co/spaces/saddamchandio/NEPRA-Grid-Code-AI-Assistantv2 is a fully functional, publicly accessible RAG-based AI assistant. All six development iterations were completed. The core query-answer loop operates reliably within the constraints of the Grid Code source document. Source citation, conversation history, and explicit uncertainty handling are all functional in the live deployment.</w:t>
      </w:r>
    </w:p>
    <w:p>
      <w:pPr>
        <w:spacing w:after="80"/>
      </w:pPr>
      <w:r>
        <w:rPr>
          <w:rFonts w:ascii="Calibri" w:hAnsi="Calibri"/>
          <w:b w:val="0"/>
          <w:i w:val="0"/>
          <w:sz w:val="22"/>
        </w:rPr>
        <w:t>The project demonstrates the complete AI-assisted development workflow: from a vague initial prompt through architectural iteration, deployment debugging, and UI refinement to a working professional tool. The use of a RAG pipeline — rather than a simple chatbot — reflects a deliberate engineering decision made in response to observed failure modes during development.</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