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rFonts w:ascii="Calibri" w:cs="Calibri" w:eastAsia="Calibri" w:hAnsi="Calibri"/>
          <w:b/>
          <w:bCs/>
          <w:color w:val="1F3A5F"/>
          <w:sz w:val="64"/>
          <w:szCs w:val="64"/>
        </w:rPr>
        <w:t xml:space="preserve">LEAP</w:t>
      </w:r>
      <w:r>
        <w:rPr>
          <w:rFonts w:ascii="Calibri" w:cs="Calibri" w:eastAsia="Calibri" w:hAnsi="Calibri"/>
          <w:b/>
          <w:bCs/>
          <w:color w:val="D9622B"/>
          <w:sz w:val="36"/>
          <w:szCs w:val="36"/>
        </w:rPr>
        <w:t xml:space="preserve"> AUTO PARTS MARKETPLACE</w:t>
      </w:r>
    </w:p>
    <w:p>
      <w:pPr>
        <w:spacing w:after="100" w:before="120"/>
      </w:pPr>
      <w:r>
        <w:rPr>
          <w:rFonts w:ascii="Calibri" w:cs="Calibri" w:eastAsia="Calibri" w:hAnsi="Calibri"/>
          <w:i/>
          <w:iCs/>
          <w:color w:val="595959"/>
          <w:sz w:val="26"/>
          <w:szCs w:val="26"/>
        </w:rPr>
        <w:t xml:space="preserve">Project Kickoff Charter &amp; Readiness Checklist</w:t>
      </w:r>
    </w:p>
    <w:p>
      <w:pPr>
        <w:spacing w:after="300"/>
      </w:pPr>
      <w:r>
        <w:rPr>
          <w:rFonts w:ascii="Calibri" w:cs="Calibri" w:eastAsia="Calibri" w:hAnsi="Calibri"/>
          <w:color w:val="595959"/>
          <w:sz w:val="20"/>
          <w:szCs w:val="20"/>
        </w:rPr>
        <w:t xml:space="preserve">Version 1.1  ·  Draft for kickoff  ·  16-week Phase 1 timeline  ·  July 12, 2026</w:t>
      </w:r>
    </w:p>
    <w:p>
      <w:pPr>
        <w:spacing w:after="140" w:line="268"/>
      </w:pPr>
      <w:r>
        <w:rPr>
          <w:rFonts w:ascii="Calibri" w:cs="Calibri" w:eastAsia="Calibri" w:hAnsi="Calibri"/>
          <w:color w:val="262626"/>
          <w:sz w:val="21"/>
          <w:szCs w:val="21"/>
        </w:rPr>
        <w:t xml:space="preserve">This document turns the Software Requirements Specification and UI prototypes into an actionable starting point: the decisions that need sign-off, the people and vendors to line up, the legal and compliance groundwork, the accounts to open, and the checklists to run the kickoff meeting from. Each table is meant to be used directly — assign an owner and a date, then check items off as they close.</w:t>
      </w:r>
    </w:p>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1. Open Decisions Requiring Sign-Off</w:t>
      </w:r>
    </w:p>
    <w:p>
      <w:pPr>
        <w:spacing w:after="140" w:line="268"/>
      </w:pPr>
      <w:r>
        <w:rPr>
          <w:rFonts w:ascii="Calibri" w:cs="Calibri" w:eastAsia="Calibri" w:hAnsi="Calibri"/>
          <w:color w:val="262626"/>
          <w:sz w:val="21"/>
          <w:szCs w:val="21"/>
        </w:rPr>
        <w:t xml:space="preserve">These block accurate scoping and estimation — resolve before or during kickoff. They carry over from the SRS Appendix (Section 11).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600"/>
        <w:gridCol w:w="1100"/>
      </w:tblGrid>
      <w:tr>
        <w:tc>
          <w:tcPr>
            <w:tcW w:type="dxa" w:w="2600"/>
            <w:shd w:fill="1F3A5F"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Decision needed</w:t>
            </w:r>
          </w:p>
        </w:tc>
        <w:tc>
          <w:tcPr>
            <w:tcW w:type="dxa" w:w="4200"/>
            <w:shd w:fill="1F3A5F"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Options</w:t>
            </w:r>
          </w:p>
        </w:tc>
        <w:tc>
          <w:tcPr>
            <w:tcW w:type="dxa" w:w="1600"/>
            <w:shd w:fill="1F3A5F"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Owner</w:t>
            </w:r>
          </w:p>
        </w:tc>
        <w:tc>
          <w:tcPr>
            <w:tcW w:type="dxa" w:w="1100"/>
            <w:shd w:fill="1F3A5F"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Due</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Mobile development approach</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React Native / Flutter (recommended for budget &amp; timeline) vs. native iOS + Android</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Product + Tech Lead</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Kickoff</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Phase 1 launch countries</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Pick 3–5 priority countries rather than a simultaneous global launch</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Product / Sponsor</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Kickoff</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Fitment data source</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Supplier-provided only vs. licensed ACES/PIES-compatible data provider</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Product + Ops</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1</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Shipping / 3PL partner(s)</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China→destination carrier options, cost, and delivery lead times</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Ops / Logistics</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2</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Payment methods per country</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Stripe/PayPal/Google Pay + which local methods (Mada, Alipay, iDEAL, etc.)</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Finance + Tech Lead</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2</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Commission structure</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Flat rate vs. per-category vs. per-supplier vs. per-country</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Finance / Sponsor</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2</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Return &amp; warranty policy</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Window length, who bears return shipping, warranty duration by category</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Product / Legal</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2</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Guest checkout</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Allowed without an account, or account required</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Product</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1</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Translation review level</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Machine translation only vs. human review for top SKUs, and which languages</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Product / Ops</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3</w:t>
            </w:r>
          </w:p>
        </w:tc>
      </w:tr>
      <w:tr>
        <w:tc>
          <w:tcPr>
            <w:tcW w:type="dxa" w:w="2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Tax / VAT / customs approach</w:t>
            </w:r>
          </w:p>
        </w:tc>
        <w:tc>
          <w:tcPr>
            <w:tcW w:type="dxa" w:w="42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In-house rules engine vs. third-party tax-calculation service (e.g., Avalara)</w:t>
            </w:r>
          </w:p>
        </w:tc>
        <w:tc>
          <w:tcPr>
            <w:tcW w:type="dxa" w:w="16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Finance / Legal</w:t>
            </w:r>
          </w:p>
        </w:tc>
        <w:tc>
          <w:tcPr>
            <w:tcW w:type="dxa" w:w="1100"/>
            <w:shd w:fill="FFFFFF" w:val="clear"/>
            <w:tcMar>
              <w:top w:type="dxa" w:w="90"/>
              <w:left w:type="dxa" w:w="100"/>
              <w:bottom w:type="dxa" w:w="90"/>
              <w:right w:type="dxa" w:w="100"/>
            </w:tcMar>
            <w:vAlign w:val="center"/>
          </w:tcPr>
          <w:p>
            <w:r>
              <w:rPr>
                <w:rFonts w:ascii="Calibri" w:cs="Calibri" w:eastAsia="Calibri" w:hAnsi="Calibri"/>
                <w:b w:val="false"/>
                <w:bCs w:val="false"/>
                <w:color w:val="262626"/>
                <w:sz w:val="20"/>
                <w:szCs w:val="20"/>
              </w:rPr>
              <w:t xml:space="preserve">Week 3</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2. Team &amp; Vendor Setup</w:t>
      </w:r>
    </w:p>
    <w:p>
      <w:pPr>
        <w:pStyle w:val="Heading2"/>
        <w:spacing w:after="140" w:before="260"/>
      </w:pPr>
      <w:r>
        <w:rPr>
          <w:rFonts w:ascii="Calibri" w:cs="Calibri" w:eastAsia="Calibri" w:hAnsi="Calibri"/>
          <w:b/>
          <w:bCs/>
          <w:color w:val="D9622B"/>
          <w:sz w:val="24"/>
          <w:szCs w:val="24"/>
        </w:rPr>
        <w:t xml:space="preserve">2.1 Staffing decision</w:t>
      </w:r>
    </w:p>
    <w:p>
      <w:pPr>
        <w:spacing w:after="140" w:line="268"/>
      </w:pPr>
      <w:r>
        <w:rPr>
          <w:rFonts w:ascii="Calibri" w:cs="Calibri" w:eastAsia="Calibri" w:hAnsi="Calibri"/>
          <w:color w:val="262626"/>
          <w:sz w:val="21"/>
          <w:szCs w:val="21"/>
        </w:rPr>
        <w:t xml:space="preserve">Decide the delivery model before writing job posts or RFPs: in-house hires, a single development agency, or a mix of freelancers coordinated by an internal PM. If going the agency route, the SRS and the three UI prototypes (mobile app, admin dashboard, supplier portal) are ready to use as the RFP/scoping package — send them out for comparable quotes.</w:t>
      </w:r>
    </w:p>
    <w:p>
      <w:pPr>
        <w:pStyle w:val="Heading2"/>
        <w:spacing w:after="140" w:before="260"/>
      </w:pPr>
      <w:r>
        <w:rPr>
          <w:rFonts w:ascii="Calibri" w:cs="Calibri" w:eastAsia="Calibri" w:hAnsi="Calibri"/>
          <w:b/>
          <w:bCs/>
          <w:color w:val="D9622B"/>
          <w:sz w:val="24"/>
          <w:szCs w:val="24"/>
        </w:rPr>
        <w:t xml:space="preserve">2.2 Core roles needed either way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
        <w:gridCol w:w="4700"/>
        <w:gridCol w:w="2000"/>
        <w:gridCol w:w="1200"/>
        <w:gridCol w:w="1170"/>
      </w:tblGrid>
      <w:tr>
        <w:tc>
          <w:tcPr>
            <w:tcW w:type="dxa" w:w="430"/>
            <w:shd w:fill="1F3A5F" w:val="clear"/>
            <w:tcMar>
              <w:top w:type="dxa" w:w="90"/>
              <w:left w:type="dxa" w:w="100"/>
              <w:bottom w:type="dxa" w:w="90"/>
              <w:right w:type="dxa" w:w="100"/>
            </w:tcMar>
            <w:vAlign w:val="center"/>
          </w:tcPr>
          <w:p>
            <w:pPr>
              <w:jc w:val="center"/>
            </w:pPr>
            <w:r>
              <w:rPr>
                <w:rFonts w:ascii="Calibri" w:cs="Calibri" w:eastAsia="Calibri" w:hAnsi="Calibri"/>
                <w:b/>
                <w:bCs/>
                <w:color w:val="FFFFFF"/>
                <w:sz w:val="20"/>
                <w:szCs w:val="20"/>
              </w:rPr>
              <w:t xml:space="preserve"/>
            </w:r>
          </w:p>
        </w:tc>
        <w:tc>
          <w:tcPr>
            <w:tcW w:type="dxa" w:w="47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Item</w:t>
            </w:r>
          </w:p>
        </w:tc>
        <w:tc>
          <w:tcPr>
            <w:tcW w:type="dxa" w:w="20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Owner</w:t>
            </w:r>
          </w:p>
        </w:tc>
        <w:tc>
          <w:tcPr>
            <w:tcW w:type="dxa" w:w="12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Target date</w:t>
            </w:r>
          </w:p>
        </w:tc>
        <w:tc>
          <w:tcPr>
            <w:tcW w:type="dxa" w:w="117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Project / Product Manager</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Sponsor</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Kickoff</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Backend / API engineer(s)</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Mobile engineer(s) (per chosen framework)</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Frontend engineer (admin backend + supplier portal)</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QA / test engineer</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DevOps / infrastructure owner</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UI/UX designer (polish pass on prototypes)</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Product</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3. Legal &amp; Compliance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
        <w:gridCol w:w="4700"/>
        <w:gridCol w:w="2000"/>
        <w:gridCol w:w="1200"/>
        <w:gridCol w:w="1170"/>
      </w:tblGrid>
      <w:tr>
        <w:tc>
          <w:tcPr>
            <w:tcW w:type="dxa" w:w="430"/>
            <w:shd w:fill="1F3A5F" w:val="clear"/>
            <w:tcMar>
              <w:top w:type="dxa" w:w="90"/>
              <w:left w:type="dxa" w:w="100"/>
              <w:bottom w:type="dxa" w:w="90"/>
              <w:right w:type="dxa" w:w="100"/>
            </w:tcMar>
            <w:vAlign w:val="center"/>
          </w:tcPr>
          <w:p>
            <w:pPr>
              <w:jc w:val="center"/>
            </w:pPr>
            <w:r>
              <w:rPr>
                <w:rFonts w:ascii="Calibri" w:cs="Calibri" w:eastAsia="Calibri" w:hAnsi="Calibri"/>
                <w:b/>
                <w:bCs/>
                <w:color w:val="FFFFFF"/>
                <w:sz w:val="20"/>
                <w:szCs w:val="20"/>
              </w:rPr>
              <w:t xml:space="preserve"/>
            </w:r>
          </w:p>
        </w:tc>
        <w:tc>
          <w:tcPr>
            <w:tcW w:type="dxa" w:w="47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Item</w:t>
            </w:r>
          </w:p>
        </w:tc>
        <w:tc>
          <w:tcPr>
            <w:tcW w:type="dxa" w:w="20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Owner</w:t>
            </w:r>
          </w:p>
        </w:tc>
        <w:tc>
          <w:tcPr>
            <w:tcW w:type="dxa" w:w="12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Target date</w:t>
            </w:r>
          </w:p>
        </w:tc>
        <w:tc>
          <w:tcPr>
            <w:tcW w:type="dxa" w:w="117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Confirm/register the legal entity operating the platform</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Sponsor / Legal</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Draft Terms of Service</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Draft Privacy Policy (per launch-country data law)</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Draft Supplier / Seller Agreement (commission, SLAs, disputes)</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Draft Return &amp; Warranty Policy</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 / Product</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Confirm data-protection compliance approach per launch country (GDPR/CCPA/PDPL/etc.)</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Confirm tax/VAT registration needs per launch country</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Finance / Legal</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Confirm import/customs disclosure requirements for cross-border shipping</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 / Logistics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4. Accounts &amp; Infrastructure to Set Up</w:t>
      </w:r>
    </w:p>
    <w:p>
      <w:pPr>
        <w:spacing w:after="140" w:line="268"/>
      </w:pPr>
      <w:r>
        <w:rPr>
          <w:rFonts w:ascii="Calibri" w:cs="Calibri" w:eastAsia="Calibri" w:hAnsi="Calibri"/>
          <w:color w:val="262626"/>
          <w:sz w:val="21"/>
          <w:szCs w:val="21"/>
        </w:rPr>
        <w:t xml:space="preserve">Several of these have real lead times — payment gateway and app-store accounts especially can take days to weeks to approve. Start these in week 1, in parallel with development setup.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
        <w:gridCol w:w="4700"/>
        <w:gridCol w:w="2000"/>
        <w:gridCol w:w="1200"/>
        <w:gridCol w:w="1170"/>
      </w:tblGrid>
      <w:tr>
        <w:tc>
          <w:tcPr>
            <w:tcW w:type="dxa" w:w="430"/>
            <w:shd w:fill="1F3A5F" w:val="clear"/>
            <w:tcMar>
              <w:top w:type="dxa" w:w="90"/>
              <w:left w:type="dxa" w:w="100"/>
              <w:bottom w:type="dxa" w:w="90"/>
              <w:right w:type="dxa" w:w="100"/>
            </w:tcMar>
            <w:vAlign w:val="center"/>
          </w:tcPr>
          <w:p>
            <w:pPr>
              <w:jc w:val="center"/>
            </w:pPr>
            <w:r>
              <w:rPr>
                <w:rFonts w:ascii="Calibri" w:cs="Calibri" w:eastAsia="Calibri" w:hAnsi="Calibri"/>
                <w:b/>
                <w:bCs/>
                <w:color w:val="FFFFFF"/>
                <w:sz w:val="20"/>
                <w:szCs w:val="20"/>
              </w:rPr>
              <w:t xml:space="preserve"/>
            </w:r>
          </w:p>
        </w:tc>
        <w:tc>
          <w:tcPr>
            <w:tcW w:type="dxa" w:w="47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Item</w:t>
            </w:r>
          </w:p>
        </w:tc>
        <w:tc>
          <w:tcPr>
            <w:tcW w:type="dxa" w:w="20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Owner</w:t>
            </w:r>
          </w:p>
        </w:tc>
        <w:tc>
          <w:tcPr>
            <w:tcW w:type="dxa" w:w="12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Target date</w:t>
            </w:r>
          </w:p>
        </w:tc>
        <w:tc>
          <w:tcPr>
            <w:tcW w:type="dxa" w:w="117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Cloud provider account (AWS / GCP / Azure)</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DevOps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Domain name + DNS</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DevOps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Payment gateway merchant accounts (Stripe, PayPal, etc.)</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Finance</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Region-specific payment method approvals (e.g., Mada)</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Finance</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Apple Developer Program account</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Google Play Console account</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SMS / email / push notification provider</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DevOps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Machine translation API account</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Tax-calculation service account (if selected in Section 1)</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Finance</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Error tracking / analytics tooling</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DevOps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5. Supplier Readiness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
        <w:gridCol w:w="4700"/>
        <w:gridCol w:w="2000"/>
        <w:gridCol w:w="1200"/>
        <w:gridCol w:w="1170"/>
      </w:tblGrid>
      <w:tr>
        <w:tc>
          <w:tcPr>
            <w:tcW w:type="dxa" w:w="430"/>
            <w:shd w:fill="1F3A5F" w:val="clear"/>
            <w:tcMar>
              <w:top w:type="dxa" w:w="90"/>
              <w:left w:type="dxa" w:w="100"/>
              <w:bottom w:type="dxa" w:w="90"/>
              <w:right w:type="dxa" w:w="100"/>
            </w:tcMar>
            <w:vAlign w:val="center"/>
          </w:tcPr>
          <w:p>
            <w:pPr>
              <w:jc w:val="center"/>
            </w:pPr>
            <w:r>
              <w:rPr>
                <w:rFonts w:ascii="Calibri" w:cs="Calibri" w:eastAsia="Calibri" w:hAnsi="Calibri"/>
                <w:b/>
                <w:bCs/>
                <w:color w:val="FFFFFF"/>
                <w:sz w:val="20"/>
                <w:szCs w:val="20"/>
              </w:rPr>
              <w:t xml:space="preserve"/>
            </w:r>
          </w:p>
        </w:tc>
        <w:tc>
          <w:tcPr>
            <w:tcW w:type="dxa" w:w="47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Item</w:t>
            </w:r>
          </w:p>
        </w:tc>
        <w:tc>
          <w:tcPr>
            <w:tcW w:type="dxa" w:w="20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Owner</w:t>
            </w:r>
          </w:p>
        </w:tc>
        <w:tc>
          <w:tcPr>
            <w:tcW w:type="dxa" w:w="12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Target date</w:t>
            </w:r>
          </w:p>
        </w:tc>
        <w:tc>
          <w:tcPr>
            <w:tcW w:type="dxa" w:w="117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Finalize Supplier Agreement template (see Section 3)</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 / 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Identify first batch of verified suppliers to onboard at launch</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Confirm fitment/product data source per Section 1 decision</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Prepare supplier bulk-upload template and instructions (Chinese)</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Ops / Tech Lead</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4</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Define supplier fulfillment SLA and escalation process</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3</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6. Content &amp; Brand Assets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
        <w:gridCol w:w="4700"/>
        <w:gridCol w:w="2000"/>
        <w:gridCol w:w="1200"/>
        <w:gridCol w:w="1170"/>
      </w:tblGrid>
      <w:tr>
        <w:tc>
          <w:tcPr>
            <w:tcW w:type="dxa" w:w="430"/>
            <w:shd w:fill="1F3A5F" w:val="clear"/>
            <w:tcMar>
              <w:top w:type="dxa" w:w="90"/>
              <w:left w:type="dxa" w:w="100"/>
              <w:bottom w:type="dxa" w:w="90"/>
              <w:right w:type="dxa" w:w="100"/>
            </w:tcMar>
            <w:vAlign w:val="center"/>
          </w:tcPr>
          <w:p>
            <w:pPr>
              <w:jc w:val="center"/>
            </w:pPr>
            <w:r>
              <w:rPr>
                <w:rFonts w:ascii="Calibri" w:cs="Calibri" w:eastAsia="Calibri" w:hAnsi="Calibri"/>
                <w:b/>
                <w:bCs/>
                <w:color w:val="FFFFFF"/>
                <w:sz w:val="20"/>
                <w:szCs w:val="20"/>
              </w:rPr>
              <w:t xml:space="preserve"/>
            </w:r>
          </w:p>
        </w:tc>
        <w:tc>
          <w:tcPr>
            <w:tcW w:type="dxa" w:w="47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Item</w:t>
            </w:r>
          </w:p>
        </w:tc>
        <w:tc>
          <w:tcPr>
            <w:tcW w:type="dxa" w:w="20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Owner</w:t>
            </w:r>
          </w:p>
        </w:tc>
        <w:tc>
          <w:tcPr>
            <w:tcW w:type="dxa" w:w="12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Target date</w:t>
            </w:r>
          </w:p>
        </w:tc>
        <w:tc>
          <w:tcPr>
            <w:tcW w:type="dxa" w:w="117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Finalize master category taxonomy</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Product</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Translate legal/policy content into launch-country languages</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Legal / Ops</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4</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Finalize logo, icon set, and brand guidelines (design polish pass on prototype system)</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Design</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4</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7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Prepare Help Center / FAQ content</w:t>
            </w:r>
          </w:p>
        </w:tc>
        <w:tc>
          <w:tcPr>
            <w:tcW w:type="dxa" w:w="20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Product / Support</w:t>
            </w:r>
          </w:p>
        </w:tc>
        <w:tc>
          <w:tcPr>
            <w:tcW w:type="dxa" w:w="12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5</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bl>
    <w:p>
      <w:r>
        <w:br w:type="page"/>
      </w:r>
    </w:p>
    <w:p>
      <w:pPr>
        <w:pStyle w:val="Heading1"/>
        <w:pBdr>
          <w:bottom w:val="single" w:color="1F3A5F" w:sz="8" w:space="4"/>
        </w:pBdr>
        <w:spacing w:after="200" w:before="420"/>
      </w:pPr>
      <w:r>
        <w:rPr>
          <w:rFonts w:ascii="Calibri" w:cs="Calibri" w:eastAsia="Calibri" w:hAnsi="Calibri"/>
          <w:b/>
          <w:bCs/>
          <w:color w:val="1F3A5F"/>
          <w:sz w:val="30"/>
          <w:szCs w:val="30"/>
        </w:rPr>
        <w:t xml:space="preserve">7. Project Governance</w:t>
      </w:r>
    </w:p>
    <w:p>
      <w:pPr>
        <w:pStyle w:val="Heading2"/>
        <w:spacing w:after="140" w:before="260"/>
      </w:pPr>
      <w:r>
        <w:rPr>
          <w:rFonts w:ascii="Calibri" w:cs="Calibri" w:eastAsia="Calibri" w:hAnsi="Calibri"/>
          <w:b/>
          <w:bCs/>
          <w:color w:val="D9622B"/>
          <w:sz w:val="24"/>
          <w:szCs w:val="24"/>
        </w:rPr>
        <w:t xml:space="preserve">7.1 Kickoff meeting agenda</w:t>
      </w:r>
    </w:p>
    <w:p>
      <w:pPr>
        <w:spacing w:after="140" w:line="268"/>
      </w:pPr>
      <w:r>
        <w:rPr>
          <w:rFonts w:ascii="Calibri" w:cs="Calibri" w:eastAsia="Calibri" w:hAnsi="Calibri"/>
          <w:color w:val="262626"/>
          <w:sz w:val="21"/>
          <w:szCs w:val="21"/>
        </w:rPr>
        <w:t xml:space="preserve">Suggested 90-minute kickoff agenda once the team is assembled:</w:t>
      </w:r>
    </w:p>
    <w:p>
      <w:pPr>
        <w:pStyle w:val="ListParagraph"/>
        <w:numPr>
          <w:ilvl w:val="0"/>
          <w:numId w:val="2"/>
        </w:numPr>
        <w:spacing w:after="80"/>
      </w:pPr>
      <w:r>
        <w:rPr>
          <w:rFonts w:ascii="Calibri" w:cs="Calibri" w:eastAsia="Calibri" w:hAnsi="Calibri"/>
          <w:sz w:val="21"/>
          <w:szCs w:val="21"/>
        </w:rPr>
        <w:t xml:space="preserve">Walk through the SRS and the three prototypes (mobile app, admin dashboard, supplier portal) with the full team.</w:t>
      </w:r>
    </w:p>
    <w:p>
      <w:pPr>
        <w:pStyle w:val="ListParagraph"/>
        <w:numPr>
          <w:ilvl w:val="0"/>
          <w:numId w:val="2"/>
        </w:numPr>
        <w:spacing w:after="80"/>
      </w:pPr>
      <w:r>
        <w:rPr>
          <w:rFonts w:ascii="Calibri" w:cs="Calibri" w:eastAsia="Calibri" w:hAnsi="Calibri"/>
          <w:sz w:val="21"/>
          <w:szCs w:val="21"/>
        </w:rPr>
        <w:t xml:space="preserve">Work through Section 1 (Open Decisions) live and assign owners/dates for anything not yet resolved.</w:t>
      </w:r>
    </w:p>
    <w:p>
      <w:pPr>
        <w:pStyle w:val="ListParagraph"/>
        <w:numPr>
          <w:ilvl w:val="0"/>
          <w:numId w:val="2"/>
        </w:numPr>
        <w:spacing w:after="80"/>
      </w:pPr>
      <w:r>
        <w:rPr>
          <w:rFonts w:ascii="Calibri" w:cs="Calibri" w:eastAsia="Calibri" w:hAnsi="Calibri"/>
          <w:sz w:val="21"/>
          <w:szCs w:val="21"/>
        </w:rPr>
        <w:t xml:space="preserve">Confirm the Phase 1 scope boundary (Must Have requirements only) and explicitly agree what is out of scope for launch.</w:t>
      </w:r>
    </w:p>
    <w:p>
      <w:pPr>
        <w:pStyle w:val="ListParagraph"/>
        <w:numPr>
          <w:ilvl w:val="0"/>
          <w:numId w:val="2"/>
        </w:numPr>
        <w:spacing w:after="80"/>
      </w:pPr>
      <w:r>
        <w:rPr>
          <w:rFonts w:ascii="Calibri" w:cs="Calibri" w:eastAsia="Calibri" w:hAnsi="Calibri"/>
          <w:sz w:val="21"/>
          <w:szCs w:val="21"/>
        </w:rPr>
        <w:t xml:space="preserve">Assign owners for Sections 2–6 of this checklist.</w:t>
      </w:r>
    </w:p>
    <w:p>
      <w:pPr>
        <w:pStyle w:val="ListParagraph"/>
        <w:numPr>
          <w:ilvl w:val="0"/>
          <w:numId w:val="2"/>
        </w:numPr>
        <w:spacing w:after="160"/>
      </w:pPr>
      <w:r>
        <w:rPr>
          <w:rFonts w:ascii="Calibri" w:cs="Calibri" w:eastAsia="Calibri" w:hAnsi="Calibri"/>
          <w:sz w:val="21"/>
          <w:szCs w:val="21"/>
        </w:rPr>
        <w:t xml:space="preserve">Set the cadence for recurring check-ins (recommended: weekly status, bi-weekly demo).</w:t>
      </w:r>
    </w:p>
    <w:p>
      <w:pPr>
        <w:pStyle w:val="Heading2"/>
        <w:spacing w:after="140" w:before="260"/>
      </w:pPr>
      <w:r>
        <w:rPr>
          <w:rFonts w:ascii="Calibri" w:cs="Calibri" w:eastAsia="Calibri" w:hAnsi="Calibri"/>
          <w:b/>
          <w:bCs/>
          <w:color w:val="D9622B"/>
          <w:sz w:val="24"/>
          <w:szCs w:val="24"/>
        </w:rPr>
        <w:t xml:space="preserve">7.2 Milestone plan (16-week Phase 1 window)</w:t>
      </w:r>
    </w:p>
    <w:p>
      <w:pPr>
        <w:spacing w:after="140" w:line="268"/>
      </w:pPr>
      <w:r>
        <w:rPr>
          <w:rFonts w:ascii="Calibri" w:cs="Calibri" w:eastAsia="Calibri" w:hAnsi="Calibri"/>
          <w:color w:val="262626"/>
          <w:sz w:val="21"/>
          <w:szCs w:val="21"/>
        </w:rPr>
        <w:t xml:space="preserve">16 weeks (≈ 3.7 months) is tighter than the 5–6 month window assumed in the SRS budget/timeline note. Hitting it requires strict discipline on scope: Must Have requirements only, no mid-project scope additions, and country/language coverage limited to the priority set agreed in Section 1. Flag slippage early rather than quietly extending scope.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30"/>
        <w:gridCol w:w="4900"/>
        <w:gridCol w:w="1900"/>
        <w:gridCol w:w="1500"/>
        <w:gridCol w:w="1170"/>
      </w:tblGrid>
      <w:tr>
        <w:tc>
          <w:tcPr>
            <w:tcW w:type="dxa" w:w="430"/>
            <w:shd w:fill="1F3A5F" w:val="clear"/>
            <w:tcMar>
              <w:top w:type="dxa" w:w="90"/>
              <w:left w:type="dxa" w:w="100"/>
              <w:bottom w:type="dxa" w:w="90"/>
              <w:right w:type="dxa" w:w="100"/>
            </w:tcMar>
            <w:vAlign w:val="center"/>
          </w:tcPr>
          <w:p>
            <w:pPr>
              <w:jc w:val="center"/>
            </w:pPr>
            <w:r>
              <w:rPr>
                <w:rFonts w:ascii="Calibri" w:cs="Calibri" w:eastAsia="Calibri" w:hAnsi="Calibri"/>
                <w:b/>
                <w:bCs/>
                <w:color w:val="FFFFFF"/>
                <w:sz w:val="20"/>
                <w:szCs w:val="20"/>
              </w:rPr>
              <w:t xml:space="preserve"/>
            </w:r>
          </w:p>
        </w:tc>
        <w:tc>
          <w:tcPr>
            <w:tcW w:type="dxa" w:w="49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Item</w:t>
            </w:r>
          </w:p>
        </w:tc>
        <w:tc>
          <w:tcPr>
            <w:tcW w:type="dxa" w:w="19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Owner</w:t>
            </w:r>
          </w:p>
        </w:tc>
        <w:tc>
          <w:tcPr>
            <w:tcW w:type="dxa" w:w="150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Target date</w:t>
            </w:r>
          </w:p>
        </w:tc>
        <w:tc>
          <w:tcPr>
            <w:tcW w:type="dxa" w:w="1170"/>
            <w:shd w:fill="1F3A5F" w:val="clear"/>
            <w:tcMar>
              <w:top w:type="dxa" w:w="90"/>
              <w:left w:type="dxa" w:w="100"/>
              <w:bottom w:type="dxa" w:w="9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Milestone 1: Decisions closed, team + vendors onboarded, accounts provisioned</w:t>
            </w:r>
          </w:p>
        </w:tc>
        <w:tc>
          <w:tcPr>
            <w:tcW w:type="dxa" w:w="1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Sponsor / PM</w:t>
            </w:r>
          </w:p>
        </w:tc>
        <w:tc>
          <w:tcPr>
            <w:tcW w:type="dxa" w:w="15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End of Week 2</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Milestone 2: Core services (catalog, cart, order, payment) functional in dev</w:t>
            </w:r>
          </w:p>
        </w:tc>
        <w:tc>
          <w:tcPr>
            <w:tcW w:type="dxa" w:w="1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Tech Lead</w:t>
            </w:r>
          </w:p>
        </w:tc>
        <w:tc>
          <w:tcPr>
            <w:tcW w:type="dxa" w:w="15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7</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Milestone 3: Supplier portal + admin backend functional; first suppliers onboarded</w:t>
            </w:r>
          </w:p>
        </w:tc>
        <w:tc>
          <w:tcPr>
            <w:tcW w:type="dxa" w:w="1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Ops / Tech Lead</w:t>
            </w:r>
          </w:p>
        </w:tc>
        <w:tc>
          <w:tcPr>
            <w:tcW w:type="dxa" w:w="15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11</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Milestone 4: End-to-end QA pass across buyer app, admin, and supplier portal</w:t>
            </w:r>
          </w:p>
        </w:tc>
        <w:tc>
          <w:tcPr>
            <w:tcW w:type="dxa" w:w="1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QA</w:t>
            </w:r>
          </w:p>
        </w:tc>
        <w:tc>
          <w:tcPr>
            <w:tcW w:type="dxa" w:w="15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14</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r>
        <w:tc>
          <w:tcPr>
            <w:tcW w:type="dxa" w:w="430"/>
            <w:shd w:fill="FFFFFF" w:val="clear"/>
            <w:tcMar>
              <w:top w:type="dxa" w:w="90"/>
              <w:left w:type="dxa" w:w="100"/>
              <w:bottom w:type="dxa" w:w="90"/>
              <w:right w:type="dxa" w:w="100"/>
            </w:tcMar>
            <w:vAlign w:val="center"/>
          </w:tcPr>
          <w:p>
            <w:pPr>
              <w:jc w:val="center"/>
            </w:pPr>
            <w:r>
              <w:rPr>
                <w:rFonts w:ascii="Calibri" w:cs="Calibri" w:eastAsia="Calibri" w:hAnsi="Calibri"/>
                <w:b w:val="false"/>
                <w:bCs w:val="false"/>
                <w:color w:val="262626"/>
                <w:sz w:val="20"/>
                <w:szCs w:val="20"/>
              </w:rPr>
              <w:t xml:space="preserve">☐</w:t>
            </w:r>
          </w:p>
        </w:tc>
        <w:tc>
          <w:tcPr>
            <w:tcW w:type="dxa" w:w="4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Milestone 5: Phase 1 launch in priority countries</w:t>
            </w:r>
          </w:p>
        </w:tc>
        <w:tc>
          <w:tcPr>
            <w:tcW w:type="dxa" w:w="19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PM / Sponsor</w:t>
            </w:r>
          </w:p>
        </w:tc>
        <w:tc>
          <w:tcPr>
            <w:tcW w:type="dxa" w:w="150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Week 16</w:t>
            </w:r>
          </w:p>
        </w:tc>
        <w:tc>
          <w:tcPr>
            <w:tcW w:type="dxa" w:w="1170"/>
            <w:shd w:fill="FFFFFF" w:val="clear"/>
            <w:tcMar>
              <w:top w:type="dxa" w:w="90"/>
              <w:left w:type="dxa" w:w="100"/>
              <w:bottom w:type="dxa" w:w="90"/>
              <w:right w:type="dxa" w:w="100"/>
            </w:tcMar>
            <w:vAlign w:val="center"/>
          </w:tcPr>
          <w:p>
            <w:pPr>
              <w:jc w:val="left"/>
            </w:pPr>
            <w:r>
              <w:rPr>
                <w:rFonts w:ascii="Calibri" w:cs="Calibri" w:eastAsia="Calibri" w:hAnsi="Calibri"/>
                <w:b w:val="false"/>
                <w:bCs w:val="false"/>
                <w:color w:val="262626"/>
                <w:sz w:val="20"/>
                <w:szCs w:val="20"/>
              </w:rPr>
              <w:t xml:space="preserve">Not started</w:t>
            </w:r>
          </w:p>
        </w:tc>
      </w:tr>
    </w:tbl>
    <w:p>
      <w:pPr>
        <w:pStyle w:val="Heading2"/>
        <w:spacing w:after="140" w:before="260"/>
      </w:pPr>
      <w:r>
        <w:rPr>
          <w:rFonts w:ascii="Calibri" w:cs="Calibri" w:eastAsia="Calibri" w:hAnsi="Calibri"/>
          <w:b/>
          <w:bCs/>
          <w:color w:val="D9622B"/>
          <w:sz w:val="24"/>
          <w:szCs w:val="24"/>
        </w:rPr>
        <w:t xml:space="preserve">7.3 Success metrics to track from launch</w:t>
      </w:r>
    </w:p>
    <w:p>
      <w:pPr>
        <w:spacing w:after="140" w:line="268"/>
      </w:pPr>
      <w:r>
        <w:rPr>
          <w:rFonts w:ascii="Calibri" w:cs="Calibri" w:eastAsia="Calibri" w:hAnsi="Calibri"/>
          <w:color w:val="262626"/>
          <w:sz w:val="21"/>
          <w:szCs w:val="21"/>
        </w:rPr>
        <w:t xml:space="preserve">These map directly to the KPIs already modeled in the admin dashboard prototype, so reporting is available from day one:</w:t>
      </w:r>
    </w:p>
    <w:p>
      <w:pPr>
        <w:pStyle w:val="ListParagraph"/>
        <w:numPr>
          <w:ilvl w:val="0"/>
          <w:numId w:val="3"/>
        </w:numPr>
        <w:spacing w:after="80"/>
      </w:pPr>
      <w:r>
        <w:rPr>
          <w:rFonts w:ascii="Calibri" w:cs="Calibri" w:eastAsia="Calibri" w:hAnsi="Calibri"/>
          <w:sz w:val="21"/>
          <w:szCs w:val="21"/>
        </w:rPr>
        <w:t xml:space="preserve">GMV and order volume, by country</w:t>
      </w:r>
    </w:p>
    <w:p>
      <w:pPr>
        <w:pStyle w:val="ListParagraph"/>
        <w:numPr>
          <w:ilvl w:val="0"/>
          <w:numId w:val="3"/>
        </w:numPr>
        <w:spacing w:after="80"/>
      </w:pPr>
      <w:r>
        <w:rPr>
          <w:rFonts w:ascii="Calibri" w:cs="Calibri" w:eastAsia="Calibri" w:hAnsi="Calibri"/>
          <w:sz w:val="21"/>
          <w:szCs w:val="21"/>
        </w:rPr>
        <w:t xml:space="preserve">Supplier fulfillment SLA and dispute/return rate</w:t>
      </w:r>
    </w:p>
    <w:p>
      <w:pPr>
        <w:pStyle w:val="ListParagraph"/>
        <w:numPr>
          <w:ilvl w:val="0"/>
          <w:numId w:val="3"/>
        </w:numPr>
        <w:spacing w:after="80"/>
      </w:pPr>
      <w:r>
        <w:rPr>
          <w:rFonts w:ascii="Calibri" w:cs="Calibri" w:eastAsia="Calibri" w:hAnsi="Calibri"/>
          <w:sz w:val="21"/>
          <w:szCs w:val="21"/>
        </w:rPr>
        <w:t xml:space="preserve">Fitment search success rate (searches that return a confirmed-fit result)</w:t>
      </w:r>
    </w:p>
    <w:p>
      <w:pPr>
        <w:pStyle w:val="ListParagraph"/>
        <w:numPr>
          <w:ilvl w:val="0"/>
          <w:numId w:val="3"/>
        </w:numPr>
        <w:spacing w:after="160"/>
      </w:pPr>
      <w:r>
        <w:rPr>
          <w:rFonts w:ascii="Calibri" w:cs="Calibri" w:eastAsia="Calibri" w:hAnsi="Calibri"/>
          <w:sz w:val="21"/>
          <w:szCs w:val="21"/>
        </w:rPr>
        <w:t xml:space="preserve">Cart abandonment and checkout conversion rate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Leap Auto Parts Marketplace — Project Kickoff Charter v1.1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CONFIDENTIAL — Leap Auto Parts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2026-07-12T14:33:26.939Z</dcterms:created>
  <dcterms:modified xsi:type="dcterms:W3CDTF">2026-07-12T14:33:26.952Z</dcterms:modified>
</cp:coreProperties>
</file>

<file path=docProps/custom.xml><?xml version="1.0" encoding="utf-8"?>
<Properties xmlns="http://schemas.openxmlformats.org/officeDocument/2006/custom-properties" xmlns:vt="http://schemas.openxmlformats.org/officeDocument/2006/docPropsVTypes"/>
</file>