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Deployment Setup Guide</w:t>
      </w:r>
    </w:p>
    <w:p>
      <w:r>
        <w:rPr>
          <w:b/>
        </w:rPr>
        <w:t>Product:</w:t>
      </w:r>
      <w:r>
        <w:t xml:space="preserve"> Lead Generation API Platform </w:t>
      </w:r>
      <w:r>
        <w:rPr>
          <w:b/>
        </w:rPr>
        <w:t>Author / owner:</w:t>
      </w:r>
      <w:r>
        <w:t xml:space="preserve"> Sadeq Obaid </w:t>
      </w:r>
      <w:r>
        <w:rPr>
          <w:b/>
        </w:rPr>
        <w:t>Release:</w:t>
      </w:r>
      <w:r>
        <w:t xml:space="preserve"> 0.1.0 </w:t>
      </w:r>
      <w:r>
        <w:rPr>
          <w:b/>
        </w:rPr>
        <w:t>Distribution:</w:t>
      </w:r>
      <w:r>
        <w:t xml:space="preserve"> Non-exclusive self-hosted commercial source license</w:t>
      </w:r>
    </w:p>
    <w:p>
      <w:pPr>
        <w:pStyle w:val="Heading2"/>
      </w:pPr>
      <w:r>
        <w:t>1. Release position</w:t>
      </w:r>
    </w:p>
    <w:p>
      <w:r>
        <w:t>This package is a production-oriented self-hosted source baseline. It includes the application, reviewed Alembic migrations, shared Redis coordination, a Redis Streams worker, an immutable credit ledger, a generic provider adapter boundary, privacy primitives, a signed billing-webhook contract, backup and restore scripts, metrics, security documentation, tests, and a DOCX documentation set.</w:t>
      </w:r>
    </w:p>
    <w:p>
      <w:r>
        <w:t xml:space="preserve">The package does not include real lead data, provider credentials, payment credentials, hosting, a legal compliance certification, or a hosted endpoint. The built-in provider returns synthetic demonstration records from invalid </w:t>
      </w:r>
      <w:r>
        <w:rPr>
          <w:rFonts w:ascii="Courier New" w:hAnsi="Courier New"/>
          <w:sz w:val="18"/>
        </w:rPr>
        <w:t>.example.invalid</w:t>
      </w:r>
      <w:r>
        <w:t xml:space="preserve"> domains. Connect a real provider only after confirming that its contract permits the intended collection, storage, deletion, suppression, export, and customer-facing use.</w:t>
      </w:r>
    </w:p>
    <w:p>
      <w:r>
        <w:t xml:space="preserve">For the commercial terms, use </w:t>
      </w:r>
      <w:r>
        <w:rPr>
          <w:rFonts w:ascii="Courier New" w:hAnsi="Courier New"/>
          <w:sz w:val="18"/>
        </w:rPr>
        <w:t>COMMERCIAL_SOFTWARE_LICENSE.docx</w:t>
      </w:r>
      <w:r>
        <w:t xml:space="preserve">. It identifies </w:t>
      </w:r>
      <w:r>
        <w:rPr>
          <w:b/>
        </w:rPr>
        <w:t>Sadeq Obaid</w:t>
      </w:r>
      <w:r>
        <w:t xml:space="preserve"> as Licensor and grants a non-exclusive license to the purchaser identified by the marketplace transaction. The same release may continue to be sold to other clients and marketplaces.</w:t>
      </w:r>
    </w:p>
    <w:p>
      <w:pPr>
        <w:pStyle w:val="Heading2"/>
      </w:pPr>
      <w:r>
        <w:t>2. Required software</w:t>
      </w:r>
    </w:p>
    <w:p>
      <w:r>
        <w:t>A local demonstration requires Python 3.11 or newer, pip, and a terminal. A production deployment requires PostgreSQL, Redis, a container runtime or equivalent managed services, TLS, secret injection, logs, metrics, backups, and a separately managed worker process.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Local demonstration</w:t>
            </w:r>
          </w:p>
        </w:tc>
        <w:tc>
          <w:tcPr>
            <w:tcW w:type="dxa" w:w="2880"/>
          </w:tcPr>
          <w:p>
            <w:r>
              <w:rPr>
                <w:b/>
              </w:rPr>
              <w:t>Production</w:t>
            </w:r>
          </w:p>
        </w:tc>
      </w:tr>
      <w:tr>
        <w:tc>
          <w:tcPr>
            <w:tcW w:type="dxa" w:w="2880"/>
          </w:tcPr>
          <w:p>
            <w:r>
              <w:t>Database</w:t>
            </w:r>
          </w:p>
        </w:tc>
        <w:tc>
          <w:tcPr>
            <w:tcW w:type="dxa" w:w="2880"/>
          </w:tcPr>
          <w:p>
            <w:r>
              <w:t>SQLite</w:t>
            </w:r>
          </w:p>
        </w:tc>
        <w:tc>
          <w:tcPr>
            <w:tcW w:type="dxa" w:w="2880"/>
          </w:tcPr>
          <w:p>
            <w:r>
              <w:t>Managed PostgreSQL</w:t>
            </w:r>
          </w:p>
        </w:tc>
      </w:tr>
      <w:tr>
        <w:tc>
          <w:tcPr>
            <w:tcW w:type="dxa" w:w="2880"/>
          </w:tcPr>
          <w:p>
            <w:r>
              <w:t>Coordination</w:t>
            </w:r>
          </w:p>
        </w:tc>
        <w:tc>
          <w:tcPr>
            <w:tcW w:type="dxa" w:w="2880"/>
          </w:tcPr>
          <w:p>
            <w:r>
              <w:t>In-memory test backends</w:t>
            </w:r>
          </w:p>
        </w:tc>
        <w:tc>
          <w:tcPr>
            <w:tcW w:type="dxa" w:w="2880"/>
          </w:tcPr>
          <w:p>
            <w:r>
              <w:t>Shared Redis</w:t>
            </w:r>
          </w:p>
        </w:tc>
      </w:tr>
      <w:tr>
        <w:tc>
          <w:tcPr>
            <w:tcW w:type="dxa" w:w="2880"/>
          </w:tcPr>
          <w:p>
            <w:r>
              <w:t>Provider</w:t>
            </w:r>
          </w:p>
        </w:tc>
        <w:tc>
          <w:tcPr>
            <w:tcW w:type="dxa" w:w="2880"/>
          </w:tcPr>
          <w:p>
            <w:r>
              <w:t>Synthetic fixture</w:t>
            </w:r>
          </w:p>
        </w:tc>
        <w:tc>
          <w:tcPr>
            <w:tcW w:type="dxa" w:w="2880"/>
          </w:tcPr>
          <w:p>
            <w:r>
              <w:t>Approved licensed adapter</w:t>
            </w:r>
          </w:p>
        </w:tc>
      </w:tr>
      <w:tr>
        <w:tc>
          <w:tcPr>
            <w:tcW w:type="dxa" w:w="2880"/>
          </w:tcPr>
          <w:p>
            <w:r>
              <w:t>Billing</w:t>
            </w:r>
          </w:p>
        </w:tc>
        <w:tc>
          <w:tcPr>
            <w:tcW w:type="dxa" w:w="2880"/>
          </w:tcPr>
          <w:p>
            <w:r>
              <w:t>Disabled or test webhook</w:t>
            </w:r>
          </w:p>
        </w:tc>
        <w:tc>
          <w:tcPr>
            <w:tcW w:type="dxa" w:w="2880"/>
          </w:tcPr>
          <w:p>
            <w:r>
              <w:t>Processor-specific verified integration</w:t>
            </w:r>
          </w:p>
        </w:tc>
      </w:tr>
      <w:tr>
        <w:tc>
          <w:tcPr>
            <w:tcW w:type="dxa" w:w="2880"/>
          </w:tcPr>
          <w:p>
            <w:r>
              <w:t>API</w:t>
            </w:r>
          </w:p>
        </w:tc>
        <w:tc>
          <w:tcPr>
            <w:tcW w:type="dxa" w:w="2880"/>
          </w:tcPr>
          <w:p>
            <w:r>
              <w:t>One local process</w:t>
            </w:r>
          </w:p>
        </w:tc>
        <w:tc>
          <w:tcPr>
            <w:tcW w:type="dxa" w:w="2880"/>
          </w:tcPr>
          <w:p>
            <w:r>
              <w:t>One or more API replicas behind HTTPS</w:t>
            </w:r>
          </w:p>
        </w:tc>
      </w:tr>
      <w:tr>
        <w:tc>
          <w:tcPr>
            <w:tcW w:type="dxa" w:w="2880"/>
          </w:tcPr>
          <w:p>
            <w:r>
              <w:t>Worker</w:t>
            </w:r>
          </w:p>
        </w:tc>
        <w:tc>
          <w:tcPr>
            <w:tcW w:type="dxa" w:w="2880"/>
          </w:tcPr>
          <w:p>
            <w:r>
              <w:t>Optional</w:t>
            </w:r>
          </w:p>
        </w:tc>
        <w:tc>
          <w:tcPr>
            <w:tcW w:type="dxa" w:w="2880"/>
          </w:tcPr>
          <w:p>
            <w:r>
              <w:t>Separate Redis Streams worker process</w:t>
            </w:r>
          </w:p>
        </w:tc>
      </w:tr>
    </w:tbl>
    <w:p>
      <w:pPr>
        <w:pStyle w:val="Heading2"/>
      </w:pPr>
      <w:r>
        <w:t>3. macOS local installation</w:t>
      </w:r>
    </w:p>
    <w:p>
      <w:r>
        <w:t>Extract the ZIP, open Terminal, change into the extracted project directory, and run:</w:t>
      </w:r>
    </w:p>
    <w:p>
      <w:pPr>
        <w:pStyle w:val="NoSpacing"/>
        <w:ind w:left="432" w:right="432"/>
      </w:pPr>
      <w:r>
        <w:rPr>
          <w:rFonts w:ascii="Courier New" w:hAnsi="Courier New"/>
          <w:sz w:val="17"/>
        </w:rPr>
        <w:t>python3 --version</w:t>
        <w:br/>
        <w:t>python3 -m venv .venv</w:t>
        <w:br/>
        <w:t>source .venv/bin/activate</w:t>
        <w:br/>
        <w:t>python -m pip install --upgrade pip</w:t>
        <w:br/>
        <w:t>python -m pip install -r requirements.txt</w:t>
        <w:br/>
        <w:t>cp .env.example .env</w:t>
        <w:br/>
        <w:t>python scripts/generate_secrets.py &gt;&gt; .env</w:t>
        <w:br/>
        <w:t>chmod 600 .env</w:t>
        <w:br/>
        <w:t>set -a</w:t>
        <w:br/>
        <w:t>source .env</w:t>
        <w:br/>
        <w:t>set +a</w:t>
        <w:br/>
        <w:t>uvicorn app.main:app --reload --host 127.0.0.1 --port 8000</w:t>
      </w:r>
    </w:p>
    <w:p>
      <w:r>
        <w:t xml:space="preserve">The </w:t>
      </w:r>
      <w:r>
        <w:rPr>
          <w:rFonts w:ascii="Courier New" w:hAnsi="Courier New"/>
          <w:sz w:val="18"/>
        </w:rPr>
        <w:t>generate_secrets.py</w:t>
      </w:r>
      <w:r>
        <w:t xml:space="preserve"> command appends fresh JWT and API-key secrets to the local configuration. The later values override the safe example values when the shell loads the file. Keep the Terminal window running.</w:t>
      </w:r>
    </w:p>
    <w:p>
      <w:r>
        <w:t xml:space="preserve">Open </w:t>
      </w:r>
      <w:r>
        <w:rPr>
          <w:u w:val="single"/>
        </w:rPr>
        <w:t>http://127.0.0.1:8000/docs (http://127.0.0.1:8000/docs)</w:t>
      </w:r>
      <w:r>
        <w:t xml:space="preserve"> in a browser. In a second Terminal window, enter the project directory, activate the environment, and run:</w:t>
      </w:r>
    </w:p>
    <w:p>
      <w:pPr>
        <w:pStyle w:val="NoSpacing"/>
        <w:ind w:left="432" w:right="432"/>
      </w:pPr>
      <w:r>
        <w:rPr>
          <w:rFonts w:ascii="Courier New" w:hAnsi="Courier New"/>
          <w:sz w:val="17"/>
        </w:rPr>
        <w:t>source .venv/bin/activate</w:t>
        <w:br/>
        <w:t>BASE_URL=http://127.0.0.1:8000 python scripts/smoke_test.py</w:t>
      </w:r>
    </w:p>
    <w:p>
      <w:r>
        <w:t xml:space="preserve">A correct installation prints </w:t>
      </w:r>
      <w:r>
        <w:rPr>
          <w:rFonts w:ascii="Courier New" w:hAnsi="Courier New"/>
          <w:sz w:val="18"/>
        </w:rPr>
        <w:t>smoke test passed</w:t>
      </w:r>
      <w:r>
        <w:t>. Stop the API with Control-C when finished.</w:t>
      </w:r>
    </w:p>
    <w:p>
      <w:pPr>
        <w:pStyle w:val="Heading2"/>
      </w:pPr>
      <w:r>
        <w:t>4. Linux and Windows local installation</w:t>
      </w:r>
    </w:p>
    <w:p>
      <w:r>
        <w:t>On Linux, use the same commands shown for macOS. On Windows PowerShell, use:</w:t>
      </w:r>
    </w:p>
    <w:p>
      <w:pPr>
        <w:pStyle w:val="NoSpacing"/>
        <w:ind w:left="432" w:right="432"/>
      </w:pPr>
      <w:r>
        <w:rPr>
          <w:rFonts w:ascii="Courier New" w:hAnsi="Courier New"/>
          <w:sz w:val="17"/>
        </w:rPr>
        <w:t>py -3 -m venv .venv</w:t>
        <w:br/>
        <w:t>.venv\Scripts\Activate.ps1</w:t>
        <w:br/>
        <w:t>python -m pip install --upgrade pip</w:t>
        <w:br/>
        <w:t>python -m pip install -r requirements.txt</w:t>
        <w:br/>
        <w:t>Copy-Item .env.example .env</w:t>
        <w:br/>
        <w:t>python scripts/generate_secrets.py | Add-Content .env</w:t>
        <w:br/>
        <w:t>python scripts/smoke_test.py</w:t>
      </w:r>
    </w:p>
    <w:p>
      <w:r>
        <w:t>Start the API in PowerShell with:</w:t>
      </w:r>
    </w:p>
    <w:p>
      <w:pPr>
        <w:pStyle w:val="NoSpacing"/>
        <w:ind w:left="432" w:right="432"/>
      </w:pPr>
      <w:r>
        <w:rPr>
          <w:rFonts w:ascii="Courier New" w:hAnsi="Courier New"/>
          <w:sz w:val="17"/>
        </w:rPr>
        <w:t>uvicorn app.main:app --reload --host 127.0.0.1 --port 8000</w:t>
      </w:r>
    </w:p>
    <w:p>
      <w:r>
        <w:t>Run the smoke test from another PowerShell window after the API is listening:</w:t>
      </w:r>
    </w:p>
    <w:p>
      <w:pPr>
        <w:pStyle w:val="NoSpacing"/>
        <w:ind w:left="432" w:right="432"/>
      </w:pPr>
      <w:r>
        <w:rPr>
          <w:rFonts w:ascii="Courier New" w:hAnsi="Courier New"/>
          <w:sz w:val="17"/>
        </w:rPr>
        <w:t>$env:BASE_URL = "http://127.0.0.1:8000"</w:t>
        <w:br/>
        <w:t>python scripts/smoke_test.py</w:t>
      </w:r>
    </w:p>
    <w:p>
      <w:pPr>
        <w:pStyle w:val="Heading2"/>
      </w:pPr>
      <w:r>
        <w:t>5. Docker Compose staging setup</w:t>
      </w:r>
    </w:p>
    <w:p>
      <w:r>
        <w:t xml:space="preserve">Docker Compose runs PostgreSQL, Redis, the migration job, the API, and the worker. Copy </w:t>
      </w:r>
      <w:r>
        <w:rPr>
          <w:rFonts w:ascii="Courier New" w:hAnsi="Courier New"/>
          <w:sz w:val="18"/>
        </w:rPr>
        <w:t>.env.example</w:t>
      </w:r>
      <w:r>
        <w:t xml:space="preserve"> to </w:t>
      </w:r>
      <w:r>
        <w:rPr>
          <w:rFonts w:ascii="Courier New" w:hAnsi="Courier New"/>
          <w:sz w:val="18"/>
        </w:rPr>
        <w:t>.env</w:t>
      </w:r>
      <w:r>
        <w:t>, retain the development database password only for disposable local staging, and then run:</w:t>
      </w:r>
    </w:p>
    <w:p>
      <w:pPr>
        <w:pStyle w:val="NoSpacing"/>
        <w:ind w:left="432" w:right="432"/>
      </w:pPr>
      <w:r>
        <w:rPr>
          <w:rFonts w:ascii="Courier New" w:hAnsi="Courier New"/>
          <w:sz w:val="17"/>
        </w:rPr>
        <w:t>cp .env.example .env</w:t>
        <w:br/>
        <w:t>python scripts/generate_secrets.py &gt;&gt; .env</w:t>
        <w:br/>
        <w:t>chmod 600 .env</w:t>
        <w:br/>
        <w:t>docker compose up --build</w:t>
      </w:r>
    </w:p>
    <w:p>
      <w:r>
        <w:t xml:space="preserve">The migration service must complete before the API and worker start. The API is available at </w:t>
      </w:r>
      <w:r>
        <w:rPr>
          <w:rFonts w:ascii="Courier New" w:hAnsi="Courier New"/>
          <w:sz w:val="18"/>
        </w:rPr>
        <w:t>http://127.0.0.1:8000</w:t>
      </w:r>
      <w:r>
        <w:t xml:space="preserve">; PostgreSQL and Redis bind to localhost for local staging. The worker consumes the Redis Streams consumer group configured by </w:t>
      </w:r>
      <w:r>
        <w:rPr>
          <w:rFonts w:ascii="Courier New" w:hAnsi="Courier New"/>
          <w:sz w:val="18"/>
        </w:rPr>
        <w:t>QUEUE_GROUP</w:t>
      </w:r>
      <w:r>
        <w:t xml:space="preserve"> and uses the value in </w:t>
      </w:r>
      <w:r>
        <w:rPr>
          <w:rFonts w:ascii="Courier New" w:hAnsi="Courier New"/>
          <w:sz w:val="18"/>
        </w:rPr>
        <w:t>QUEUE_CONSUMER</w:t>
      </w:r>
      <w:r>
        <w:t xml:space="preserve"> as its identity.</w:t>
      </w:r>
    </w:p>
    <w:p>
      <w:r>
        <w:t>Run detached:</w:t>
      </w:r>
    </w:p>
    <w:p>
      <w:pPr>
        <w:pStyle w:val="NoSpacing"/>
        <w:ind w:left="432" w:right="432"/>
      </w:pPr>
      <w:r>
        <w:rPr>
          <w:rFonts w:ascii="Courier New" w:hAnsi="Courier New"/>
          <w:sz w:val="17"/>
        </w:rPr>
        <w:t>docker compose up --build -d</w:t>
        <w:br/>
        <w:t>docker compose ps</w:t>
        <w:br/>
        <w:t>docker compose logs -f api</w:t>
        <w:br/>
        <w:t>docker compose logs -f worker</w:t>
      </w:r>
    </w:p>
    <w:p>
      <w:r>
        <w:t>Stop while retaining volumes:</w:t>
      </w:r>
    </w:p>
    <w:p>
      <w:pPr>
        <w:pStyle w:val="NoSpacing"/>
        <w:ind w:left="432" w:right="432"/>
      </w:pPr>
      <w:r>
        <w:rPr>
          <w:rFonts w:ascii="Courier New" w:hAnsi="Courier New"/>
          <w:sz w:val="17"/>
        </w:rPr>
        <w:t>docker compose down</w:t>
      </w:r>
    </w:p>
    <w:p>
      <w:r>
        <w:t>Delete local staging volumes only when data loss is intended:</w:t>
      </w:r>
    </w:p>
    <w:p>
      <w:pPr>
        <w:pStyle w:val="NoSpacing"/>
        <w:ind w:left="432" w:right="432"/>
      </w:pPr>
      <w:r>
        <w:rPr>
          <w:rFonts w:ascii="Courier New" w:hAnsi="Courier New"/>
          <w:sz w:val="17"/>
        </w:rPr>
        <w:t>docker compose down -v</w:t>
      </w:r>
    </w:p>
    <w:p>
      <w:pPr>
        <w:pStyle w:val="Heading2"/>
      </w:pPr>
      <w:r>
        <w:t>6. Production environment</w:t>
      </w:r>
    </w:p>
    <w:p>
      <w:r>
        <w:t xml:space="preserve">Production must use a secret manager or protected environment configuration. Set </w:t>
      </w:r>
      <w:r>
        <w:rPr>
          <w:rFonts w:ascii="Courier New" w:hAnsi="Courier New"/>
          <w:sz w:val="18"/>
        </w:rPr>
        <w:t>APP_ENV=production</w:t>
      </w:r>
      <w:r>
        <w:t xml:space="preserve">, </w:t>
      </w:r>
      <w:r>
        <w:rPr>
          <w:rFonts w:ascii="Courier New" w:hAnsi="Courier New"/>
          <w:sz w:val="18"/>
        </w:rPr>
        <w:t>AUTO_CREATE_SCHEMA=false</w:t>
      </w:r>
      <w:r>
        <w:t xml:space="preserve">, </w:t>
      </w:r>
      <w:r>
        <w:rPr>
          <w:rFonts w:ascii="Courier New" w:hAnsi="Courier New"/>
          <w:sz w:val="18"/>
        </w:rPr>
        <w:t>DATABASE_URL</w:t>
      </w:r>
      <w:r>
        <w:t xml:space="preserve"> to PostgreSQL, </w:t>
      </w:r>
      <w:r>
        <w:rPr>
          <w:rFonts w:ascii="Courier New" w:hAnsi="Courier New"/>
          <w:sz w:val="18"/>
        </w:rPr>
        <w:t>REDIS_URL</w:t>
      </w:r>
      <w:r>
        <w:t xml:space="preserve"> to the managed Redis instance, </w:t>
      </w:r>
      <w:r>
        <w:rPr>
          <w:rFonts w:ascii="Courier New" w:hAnsi="Courier New"/>
          <w:sz w:val="18"/>
        </w:rPr>
        <w:t>RATE_LIMIT_BACKEND=redis</w:t>
      </w:r>
      <w:r>
        <w:t xml:space="preserve">, </w:t>
      </w:r>
      <w:r>
        <w:rPr>
          <w:rFonts w:ascii="Courier New" w:hAnsi="Courier New"/>
          <w:sz w:val="18"/>
        </w:rPr>
        <w:t>IDEMPOTENCY_BACKEND=redis</w:t>
      </w:r>
      <w:r>
        <w:t xml:space="preserve">, </w:t>
      </w:r>
      <w:r>
        <w:rPr>
          <w:rFonts w:ascii="Courier New" w:hAnsi="Courier New"/>
          <w:sz w:val="18"/>
        </w:rPr>
        <w:t>QUEUE_BACKEND=redis</w:t>
      </w:r>
      <w:r>
        <w:t xml:space="preserve">, </w:t>
      </w:r>
      <w:r>
        <w:rPr>
          <w:rFonts w:ascii="Courier New" w:hAnsi="Courier New"/>
          <w:sz w:val="18"/>
        </w:rPr>
        <w:t>METRICS_ENABLED=true</w:t>
      </w:r>
      <w:r>
        <w:t xml:space="preserve">, a strong </w:t>
      </w:r>
      <w:r>
        <w:rPr>
          <w:rFonts w:ascii="Courier New" w:hAnsi="Courier New"/>
          <w:sz w:val="18"/>
        </w:rPr>
        <w:t>METRICS_TOKEN</w:t>
      </w:r>
      <w:r>
        <w:t xml:space="preserve">, a strong </w:t>
      </w:r>
      <w:r>
        <w:rPr>
          <w:rFonts w:ascii="Courier New" w:hAnsi="Courier New"/>
          <w:sz w:val="18"/>
        </w:rPr>
        <w:t>BILLING_WEBHOOK_SECRET</w:t>
      </w:r>
      <w:r>
        <w:t xml:space="preserve">, and </w:t>
      </w:r>
      <w:r>
        <w:rPr>
          <w:rFonts w:ascii="Courier New" w:hAnsi="Courier New"/>
          <w:sz w:val="18"/>
        </w:rPr>
        <w:t>PROVIDER_MODE=http</w:t>
      </w:r>
      <w:r>
        <w:t xml:space="preserve"> with the approved provider URL and token.</w:t>
      </w:r>
    </w:p>
    <w:p>
      <w:r>
        <w:t xml:space="preserve">Production configuration must also use a restricted </w:t>
      </w:r>
      <w:r>
        <w:rPr>
          <w:rFonts w:ascii="Courier New" w:hAnsi="Courier New"/>
          <w:sz w:val="18"/>
        </w:rPr>
        <w:t>CORS_ORIGINS</w:t>
      </w:r>
      <w:r>
        <w:t xml:space="preserve"> allowlist, a unique </w:t>
      </w:r>
      <w:r>
        <w:rPr>
          <w:rFonts w:ascii="Courier New" w:hAnsi="Courier New"/>
          <w:sz w:val="18"/>
        </w:rPr>
        <w:t>QUEUE_CONSUMER</w:t>
      </w:r>
      <w:r>
        <w:t xml:space="preserve"> per worker, a strong JWT secret, a strong API-key pepper, and a database connection policy appropriate for the selected PostgreSQL service. Never place production secrets in the ZIP, source control, shell history, logs, or support messages.</w:t>
      </w:r>
    </w:p>
    <w:p>
      <w:r>
        <w:t xml:space="preserve">The generic HTTP provider accepts a JSON request containing </w:t>
      </w:r>
      <w:r>
        <w:rPr>
          <w:rFonts w:ascii="Courier New" w:hAnsi="Courier New"/>
          <w:sz w:val="18"/>
        </w:rPr>
        <w:t>filters</w:t>
      </w:r>
      <w:r>
        <w:t xml:space="preserve"> and expects either a JSON list or an object containing </w:t>
      </w:r>
      <w:r>
        <w:rPr>
          <w:rFonts w:ascii="Courier New" w:hAnsi="Courier New"/>
          <w:sz w:val="18"/>
        </w:rPr>
        <w:t>data</w:t>
      </w:r>
      <w:r>
        <w:t xml:space="preserve">. Each result must contain a </w:t>
      </w:r>
      <w:r>
        <w:rPr>
          <w:rFonts w:ascii="Courier New" w:hAnsi="Courier New"/>
          <w:sz w:val="18"/>
        </w:rPr>
        <w:t>company</w:t>
      </w:r>
      <w:r>
        <w:t xml:space="preserve"> object and may contain </w:t>
      </w:r>
      <w:r>
        <w:rPr>
          <w:rFonts w:ascii="Courier New" w:hAnsi="Courier New"/>
          <w:sz w:val="18"/>
        </w:rPr>
        <w:t>contact</w:t>
      </w:r>
      <w:r>
        <w:t xml:space="preserve">, </w:t>
      </w:r>
      <w:r>
        <w:rPr>
          <w:rFonts w:ascii="Courier New" w:hAnsi="Courier New"/>
          <w:sz w:val="18"/>
        </w:rPr>
        <w:t>observed_at</w:t>
      </w:r>
      <w:r>
        <w:t xml:space="preserve">, </w:t>
      </w:r>
      <w:r>
        <w:rPr>
          <w:rFonts w:ascii="Courier New" w:hAnsi="Courier New"/>
          <w:sz w:val="18"/>
        </w:rPr>
        <w:t>use_policy</w:t>
      </w:r>
      <w:r>
        <w:t xml:space="preserve">, and </w:t>
      </w:r>
      <w:r>
        <w:rPr>
          <w:rFonts w:ascii="Courier New" w:hAnsi="Courier New"/>
          <w:sz w:val="18"/>
        </w:rPr>
        <w:t>data_status</w:t>
      </w:r>
      <w:r>
        <w:t>. The buyer must document the provider’s field rights and adapt the contract where necessary.</w:t>
      </w:r>
    </w:p>
    <w:p>
      <w:r>
        <w:t xml:space="preserve">The generic billing endpoint expects </w:t>
      </w:r>
      <w:r>
        <w:rPr>
          <w:rFonts w:ascii="Courier New" w:hAnsi="Courier New"/>
          <w:sz w:val="18"/>
        </w:rPr>
        <w:t>X-Webhook-Signature: sha256=the-provider-generated-hmac-value</w:t>
      </w:r>
      <w:r>
        <w:t xml:space="preserve"> and a JSON object containing </w:t>
      </w:r>
      <w:r>
        <w:rPr>
          <w:rFonts w:ascii="Courier New" w:hAnsi="Courier New"/>
          <w:sz w:val="18"/>
        </w:rPr>
        <w:t>provider</w:t>
      </w:r>
      <w:r>
        <w:t xml:space="preserve">, </w:t>
      </w:r>
      <w:r>
        <w:rPr>
          <w:rFonts w:ascii="Courier New" w:hAnsi="Courier New"/>
          <w:sz w:val="18"/>
        </w:rPr>
        <w:t>event_id</w:t>
      </w:r>
      <w:r>
        <w:t xml:space="preserve">, </w:t>
      </w:r>
      <w:r>
        <w:rPr>
          <w:rFonts w:ascii="Courier New" w:hAnsi="Courier New"/>
          <w:sz w:val="18"/>
        </w:rPr>
        <w:t>event_type</w:t>
      </w:r>
      <w:r>
        <w:t xml:space="preserve">, </w:t>
      </w:r>
      <w:r>
        <w:rPr>
          <w:rFonts w:ascii="Courier New" w:hAnsi="Courier New"/>
          <w:sz w:val="18"/>
        </w:rPr>
        <w:t>tenant_id</w:t>
      </w:r>
      <w:r>
        <w:t xml:space="preserve">, and a positive </w:t>
      </w:r>
      <w:r>
        <w:rPr>
          <w:rFonts w:ascii="Courier New" w:hAnsi="Courier New"/>
          <w:sz w:val="18"/>
        </w:rPr>
        <w:t>credits</w:t>
      </w:r>
      <w:r>
        <w:t xml:space="preserve"> integer. A real payment processor requires a processor-specific adapter for signature verification, refunds, chargebacks, retries, and reconciliation.</w:t>
      </w:r>
    </w:p>
    <w:p>
      <w:pPr>
        <w:pStyle w:val="Heading2"/>
      </w:pPr>
      <w:r>
        <w:t>7. Controlled production deployment</w:t>
      </w:r>
    </w:p>
    <w:p>
      <w:r>
        <w:t>Run the following sequence from an immutable release checkout:</w:t>
      </w:r>
    </w:p>
    <w:p>
      <w:pPr>
        <w:pStyle w:val="NoSpacing"/>
        <w:ind w:left="432" w:right="432"/>
      </w:pPr>
      <w:r>
        <w:rPr>
          <w:rFonts w:ascii="Courier New" w:hAnsi="Courier New"/>
          <w:sz w:val="17"/>
        </w:rPr>
        <w:t>python scripts/migrate.py</w:t>
        <w:br/>
        <w:t>python scripts/check_migrations.py</w:t>
        <w:br/>
        <w:t>docker build -t lead-generation-api:0.1.0 .</w:t>
      </w:r>
    </w:p>
    <w:p>
      <w:r>
        <w:t xml:space="preserve">Scan the image and pinned dependencies, record the image digest, and run the API and worker as separate services. Put the API behind HTTPS and keep PostgreSQL and Redis on private networks. Route liveness and readiness checks to </w:t>
      </w:r>
      <w:r>
        <w:rPr>
          <w:rFonts w:ascii="Courier New" w:hAnsi="Courier New"/>
          <w:sz w:val="18"/>
        </w:rPr>
        <w:t>/health/live</w:t>
      </w:r>
      <w:r>
        <w:t xml:space="preserve"> and </w:t>
      </w:r>
      <w:r>
        <w:rPr>
          <w:rFonts w:ascii="Courier New" w:hAnsi="Courier New"/>
          <w:sz w:val="18"/>
        </w:rPr>
        <w:t>/health/ready</w:t>
      </w:r>
      <w:r>
        <w:t>.</w:t>
      </w:r>
    </w:p>
    <w:p>
      <w:r>
        <w:t>Run the smoke test against staging after the API, provider adapter, and worker are available:</w:t>
      </w:r>
    </w:p>
    <w:p>
      <w:pPr>
        <w:pStyle w:val="NoSpacing"/>
        <w:ind w:left="432" w:right="432"/>
      </w:pPr>
      <w:r>
        <w:rPr>
          <w:rFonts w:ascii="Courier New" w:hAnsi="Courier New"/>
          <w:sz w:val="17"/>
        </w:rPr>
        <w:t>BASE_URL=https://staging-api.example.invalid python scripts/smoke_test.py</w:t>
      </w:r>
    </w:p>
    <w:p>
      <w:r>
        <w:t>Replace the example staging hostname with the real staging hostname in the deployment environment; do not place a production hostname or credential in the source archive.</w:t>
      </w:r>
    </w:p>
    <w:p>
      <w:pPr>
        <w:pStyle w:val="Heading2"/>
      </w:pPr>
      <w:r>
        <w:t>8. Migrations</w:t>
      </w:r>
    </w:p>
    <w:p>
      <w:r>
        <w:t xml:space="preserve">The production schema is controlled by Alembic. </w:t>
      </w:r>
      <w:r>
        <w:rPr>
          <w:rFonts w:ascii="Courier New" w:hAnsi="Courier New"/>
          <w:sz w:val="18"/>
        </w:rPr>
        <w:t>scripts/migrate.py</w:t>
      </w:r>
      <w:r>
        <w:t xml:space="preserve"> applies the reviewed revisions and </w:t>
      </w:r>
      <w:r>
        <w:rPr>
          <w:rFonts w:ascii="Courier New" w:hAnsi="Courier New"/>
          <w:sz w:val="18"/>
        </w:rPr>
        <w:t>scripts/check_migrations.py</w:t>
      </w:r>
      <w:r>
        <w:t xml:space="preserve"> fails when the database is not at the current head. Do not use </w:t>
      </w:r>
      <w:r>
        <w:rPr>
          <w:rFonts w:ascii="Courier New" w:hAnsi="Courier New"/>
          <w:sz w:val="18"/>
        </w:rPr>
        <w:t>scripts/init_db.py</w:t>
      </w:r>
      <w:r>
        <w:t xml:space="preserve"> in staging or production. That script is guarded as a development-only </w:t>
      </w:r>
      <w:r>
        <w:rPr>
          <w:rFonts w:ascii="Courier New" w:hAnsi="Courier New"/>
          <w:sz w:val="18"/>
        </w:rPr>
        <w:t>create_all()</w:t>
      </w:r>
      <w:r>
        <w:t xml:space="preserve"> helper.</w:t>
      </w:r>
    </w:p>
    <w:p>
      <w:r>
        <w:t>The current release contains the initial schema revision and the billing-events revision. Future changes must be generated, reviewed, tested on a restored copy, and applied as a separate deployment job before application replicas start.</w:t>
      </w:r>
    </w:p>
    <w:p>
      <w:pPr>
        <w:pStyle w:val="Heading2"/>
      </w:pPr>
      <w:r>
        <w:t>9. Worker and queue operations</w:t>
      </w:r>
    </w:p>
    <w:p>
      <w:r>
        <w:t>The worker consumes Redis Streams through a consumer group. It claims pending messages left by failed workers, stores job state in PostgreSQL, acknowledges deliveries, and re-enqueues retryable failures until the configured attempt limit is reached.</w:t>
      </w:r>
    </w:p>
    <w:p>
      <w:r>
        <w:t>Start a worker directly with:</w:t>
      </w:r>
    </w:p>
    <w:p>
      <w:pPr>
        <w:pStyle w:val="NoSpacing"/>
        <w:ind w:left="432" w:right="432"/>
      </w:pPr>
      <w:r>
        <w:rPr>
          <w:rFonts w:ascii="Courier New" w:hAnsi="Courier New"/>
          <w:sz w:val="17"/>
        </w:rPr>
        <w:t>python scripts/worker.py</w:t>
      </w:r>
    </w:p>
    <w:p>
      <w:r>
        <w:t xml:space="preserve">Use a distinct </w:t>
      </w:r>
      <w:r>
        <w:rPr>
          <w:rFonts w:ascii="Courier New" w:hAnsi="Courier New"/>
          <w:sz w:val="18"/>
        </w:rPr>
        <w:t>QUEUE_CONSUMER</w:t>
      </w:r>
      <w:r>
        <w:t xml:space="preserve"> for every worker process. Monitor queued, running, failed, and completed jobs, Redis memory, pending messages, retry counts, and worker restarts.</w:t>
      </w:r>
    </w:p>
    <w:p>
      <w:pPr>
        <w:pStyle w:val="Heading2"/>
      </w:pPr>
      <w:r>
        <w:t>10. Backups and restoration</w:t>
      </w:r>
    </w:p>
    <w:p>
      <w:r>
        <w:t>Use the guarded PostgreSQL backup script with a protected output directory:</w:t>
      </w:r>
    </w:p>
    <w:p>
      <w:pPr>
        <w:pStyle w:val="NoSpacing"/>
        <w:ind w:left="432" w:right="432"/>
      </w:pPr>
      <w:r>
        <w:rPr>
          <w:rFonts w:ascii="Courier New" w:hAnsi="Courier New"/>
          <w:sz w:val="17"/>
        </w:rPr>
        <w:t>mkdir -m 700 backups</w:t>
        <w:br/>
        <w:t>DATABASE_URL="$DATABASE_URL" ./scripts/backup_postgres.sh backups</w:t>
      </w:r>
    </w:p>
    <w:p>
      <w:r>
        <w:t>Restore only after confirming the target database and obtaining explicit operational approval:</w:t>
      </w:r>
    </w:p>
    <w:p>
      <w:pPr>
        <w:pStyle w:val="NoSpacing"/>
        <w:ind w:left="432" w:right="432"/>
      </w:pPr>
      <w:r>
        <w:rPr>
          <w:rFonts w:ascii="Courier New" w:hAnsi="Courier New"/>
          <w:sz w:val="17"/>
        </w:rPr>
        <w:t>DATABASE_URL="$DATABASE_URL" ./scripts/restore_postgres.sh backups/lead_api-20260826T120000Z.dump</w:t>
      </w:r>
    </w:p>
    <w:p>
      <w:r>
        <w:t>The restore script requires an explicit confirmation flag before destructive replacement. Restore into an isolated environment first, verify the Alembic revision, perform row-count sanity checks, run the smoke test, and record the result.</w:t>
      </w:r>
    </w:p>
    <w:p>
      <w:pPr>
        <w:pStyle w:val="Heading2"/>
      </w:pPr>
      <w:r>
        <w:t>11. Monitoring and incident response</w:t>
      </w:r>
    </w:p>
    <w:p>
      <w:r>
        <w:t xml:space="preserve">The protected </w:t>
      </w:r>
      <w:r>
        <w:rPr>
          <w:rFonts w:ascii="Courier New" w:hAnsi="Courier New"/>
          <w:sz w:val="18"/>
        </w:rPr>
        <w:t>/metrics</w:t>
      </w:r>
      <w:r>
        <w:t xml:space="preserve"> endpoint exposes request, credit, and queued-job counters when metrics are enabled. Operators should monitor API restarts, readiness failures, 4xx and 5xx rates, latency, database connections, Redis memory, provider failures, queue depth, credit anomalies, billing mismatches, authentication failures, backup age, and restore-test results.</w:t>
      </w:r>
    </w:p>
    <w:p>
      <w:r>
        <w:t xml:space="preserve">Request logs include correlated request IDs and must not contain Authorization headers, raw API keys, passwords, provider tokens, payment secrets, or unnecessary personal data. Use </w:t>
      </w:r>
      <w:r>
        <w:rPr>
          <w:rFonts w:ascii="Courier New" w:hAnsi="Courier New"/>
          <w:sz w:val="18"/>
        </w:rPr>
        <w:t>SECURITY.docx</w:t>
      </w:r>
      <w:r>
        <w:t xml:space="preserve"> and </w:t>
      </w:r>
      <w:r>
        <w:rPr>
          <w:rFonts w:ascii="Courier New" w:hAnsi="Courier New"/>
          <w:sz w:val="18"/>
        </w:rPr>
        <w:t>OPERATIONS.docx</w:t>
      </w:r>
      <w:r>
        <w:t xml:space="preserve"> for vulnerability reporting, incident triage, backup procedures, and recovery responsibilities.</w:t>
      </w:r>
    </w:p>
    <w:p>
      <w:pPr>
        <w:pStyle w:val="Heading2"/>
      </w:pPr>
      <w:r>
        <w:t>12. Production release gates</w:t>
      </w:r>
    </w:p>
    <w:p>
      <w:r>
        <w:t>The code and local validation are complete, but a hosted paid edition still requires evidence from the target deployment. Complete a licensed provider review, processor-specific billing integration, Docker and Compose run, PostgreSQL and Redis integration test, load test, dependency scan, tenant-isolation review, backup and restore drill, alert test, incident rehearsal, independent security review, privacy review, and legal review of the customer terms.</w:t>
      </w:r>
    </w:p>
    <w:p>
      <w:r>
        <w:t xml:space="preserve">Do not advertise the self-hosted source edition as a real lead database, legal compliance certification, hosted service, penetration-test report, or guarantee of lead accuracy. The marketplace product is the source package licensed non-exclusively by </w:t>
      </w:r>
      <w:r>
        <w:rPr>
          <w:b/>
        </w:rPr>
        <w:t>Sadeq Obaid</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DEPLOYMENT SETUP</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